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5CF" w:rsidRDefault="00E005CF">
      <w:pPr>
        <w:spacing w:after="200" w:line="276" w:lineRule="auto"/>
        <w:rPr>
          <w:b/>
          <w:sz w:val="40"/>
          <w:szCs w:val="40"/>
        </w:rPr>
      </w:pPr>
    </w:p>
    <w:p w:rsidR="00E005CF" w:rsidRDefault="00E005CF">
      <w:pPr>
        <w:spacing w:after="200" w:line="276" w:lineRule="auto"/>
        <w:rPr>
          <w:b/>
          <w:sz w:val="40"/>
          <w:szCs w:val="40"/>
        </w:rPr>
      </w:pPr>
    </w:p>
    <w:p w:rsidR="00E005CF" w:rsidRDefault="00E005CF">
      <w:pPr>
        <w:spacing w:after="200" w:line="276" w:lineRule="auto"/>
        <w:rPr>
          <w:b/>
          <w:sz w:val="40"/>
          <w:szCs w:val="40"/>
        </w:rPr>
      </w:pPr>
    </w:p>
    <w:p w:rsidR="00E005CF" w:rsidRDefault="00E005CF" w:rsidP="00E005CF">
      <w:pPr>
        <w:autoSpaceDE w:val="0"/>
        <w:autoSpaceDN w:val="0"/>
        <w:adjustRightInd w:val="0"/>
        <w:jc w:val="center"/>
        <w:rPr>
          <w:rFonts w:cs="Aharoni"/>
          <w:b/>
          <w:caps/>
          <w:sz w:val="44"/>
          <w:szCs w:val="40"/>
        </w:rPr>
      </w:pPr>
    </w:p>
    <w:p w:rsidR="00E005CF" w:rsidRDefault="00E005CF" w:rsidP="00E005CF">
      <w:pPr>
        <w:autoSpaceDE w:val="0"/>
        <w:autoSpaceDN w:val="0"/>
        <w:adjustRightInd w:val="0"/>
        <w:jc w:val="center"/>
        <w:rPr>
          <w:rFonts w:cs="Aharoni"/>
          <w:b/>
          <w:caps/>
          <w:sz w:val="44"/>
          <w:szCs w:val="40"/>
        </w:rPr>
      </w:pPr>
    </w:p>
    <w:p w:rsidR="00E005CF" w:rsidRDefault="00E005CF" w:rsidP="00E005CF">
      <w:pPr>
        <w:autoSpaceDE w:val="0"/>
        <w:autoSpaceDN w:val="0"/>
        <w:adjustRightInd w:val="0"/>
        <w:jc w:val="center"/>
        <w:rPr>
          <w:rFonts w:cs="Aharoni"/>
          <w:b/>
          <w:caps/>
          <w:sz w:val="44"/>
          <w:szCs w:val="40"/>
        </w:rPr>
      </w:pPr>
    </w:p>
    <w:p w:rsidR="00E005CF" w:rsidRDefault="00E005CF" w:rsidP="00E005CF">
      <w:pPr>
        <w:autoSpaceDE w:val="0"/>
        <w:autoSpaceDN w:val="0"/>
        <w:adjustRightInd w:val="0"/>
        <w:jc w:val="center"/>
        <w:rPr>
          <w:rFonts w:cs="Aharoni"/>
          <w:b/>
          <w:caps/>
          <w:sz w:val="44"/>
          <w:szCs w:val="40"/>
        </w:rPr>
      </w:pPr>
    </w:p>
    <w:p w:rsidR="00E005CF" w:rsidRDefault="00E005CF" w:rsidP="00E005CF">
      <w:pPr>
        <w:autoSpaceDE w:val="0"/>
        <w:autoSpaceDN w:val="0"/>
        <w:adjustRightInd w:val="0"/>
        <w:jc w:val="center"/>
        <w:rPr>
          <w:rFonts w:cs="Aharoni"/>
          <w:b/>
          <w:caps/>
          <w:sz w:val="44"/>
          <w:szCs w:val="40"/>
        </w:rPr>
      </w:pPr>
    </w:p>
    <w:p w:rsidR="00E005CF" w:rsidRDefault="00E005CF" w:rsidP="00E005CF">
      <w:pPr>
        <w:autoSpaceDE w:val="0"/>
        <w:autoSpaceDN w:val="0"/>
        <w:adjustRightInd w:val="0"/>
        <w:jc w:val="center"/>
        <w:rPr>
          <w:rFonts w:cs="Aharoni"/>
          <w:b/>
          <w:caps/>
          <w:sz w:val="44"/>
          <w:szCs w:val="40"/>
        </w:rPr>
      </w:pPr>
    </w:p>
    <w:p w:rsidR="00E005CF" w:rsidRPr="00E005CF" w:rsidRDefault="00E005CF" w:rsidP="00E005CF">
      <w:pPr>
        <w:autoSpaceDE w:val="0"/>
        <w:autoSpaceDN w:val="0"/>
        <w:adjustRightInd w:val="0"/>
        <w:jc w:val="center"/>
        <w:rPr>
          <w:rFonts w:cs="Aharoni"/>
          <w:b/>
          <w:caps/>
          <w:sz w:val="44"/>
          <w:szCs w:val="40"/>
        </w:rPr>
      </w:pPr>
      <w:r w:rsidRPr="00E005CF">
        <w:rPr>
          <w:rFonts w:cs="Aharoni"/>
          <w:b/>
          <w:caps/>
          <w:sz w:val="44"/>
          <w:szCs w:val="40"/>
        </w:rPr>
        <w:t>Les standards internationaux</w:t>
      </w:r>
    </w:p>
    <w:p w:rsidR="00E005CF" w:rsidRPr="00E005CF" w:rsidRDefault="00E005CF" w:rsidP="00E005CF">
      <w:pPr>
        <w:autoSpaceDE w:val="0"/>
        <w:autoSpaceDN w:val="0"/>
        <w:adjustRightInd w:val="0"/>
        <w:jc w:val="center"/>
        <w:rPr>
          <w:rFonts w:cs="Aharoni"/>
          <w:b/>
          <w:caps/>
          <w:sz w:val="44"/>
          <w:szCs w:val="40"/>
        </w:rPr>
      </w:pPr>
      <w:r w:rsidRPr="00E005CF">
        <w:rPr>
          <w:rFonts w:cs="Aharoni"/>
          <w:b/>
          <w:caps/>
          <w:sz w:val="44"/>
          <w:szCs w:val="40"/>
        </w:rPr>
        <w:t>de la bonne gouvernance</w:t>
      </w:r>
    </w:p>
    <w:p w:rsidR="00E005CF" w:rsidRDefault="00E005CF" w:rsidP="00E005CF">
      <w:pPr>
        <w:autoSpaceDE w:val="0"/>
        <w:autoSpaceDN w:val="0"/>
        <w:adjustRightInd w:val="0"/>
        <w:jc w:val="center"/>
        <w:rPr>
          <w:rFonts w:cs="Aharoni"/>
          <w:b/>
          <w:caps/>
          <w:sz w:val="44"/>
          <w:szCs w:val="40"/>
        </w:rPr>
      </w:pPr>
      <w:r w:rsidRPr="00E005CF">
        <w:rPr>
          <w:rFonts w:cs="Aharoni"/>
          <w:b/>
          <w:caps/>
          <w:sz w:val="44"/>
          <w:szCs w:val="40"/>
        </w:rPr>
        <w:t xml:space="preserve"> des finances publiques</w:t>
      </w:r>
    </w:p>
    <w:p w:rsidR="00E005CF" w:rsidRDefault="00E005CF" w:rsidP="00E005CF">
      <w:pPr>
        <w:autoSpaceDE w:val="0"/>
        <w:autoSpaceDN w:val="0"/>
        <w:adjustRightInd w:val="0"/>
        <w:jc w:val="center"/>
        <w:rPr>
          <w:rFonts w:cs="Aharoni"/>
          <w:b/>
          <w:caps/>
          <w:sz w:val="44"/>
          <w:szCs w:val="40"/>
        </w:rPr>
      </w:pPr>
    </w:p>
    <w:p w:rsidR="00E005CF" w:rsidRDefault="00E005CF" w:rsidP="00E005CF">
      <w:pPr>
        <w:autoSpaceDE w:val="0"/>
        <w:autoSpaceDN w:val="0"/>
        <w:adjustRightInd w:val="0"/>
        <w:jc w:val="center"/>
        <w:rPr>
          <w:rFonts w:cs="Aharoni"/>
          <w:b/>
          <w:caps/>
          <w:sz w:val="44"/>
          <w:szCs w:val="40"/>
        </w:rPr>
      </w:pPr>
    </w:p>
    <w:p w:rsidR="00E005CF" w:rsidRDefault="00E005CF" w:rsidP="00E005CF">
      <w:pPr>
        <w:autoSpaceDE w:val="0"/>
        <w:autoSpaceDN w:val="0"/>
        <w:adjustRightInd w:val="0"/>
        <w:jc w:val="center"/>
        <w:rPr>
          <w:rFonts w:cs="Aharoni"/>
          <w:b/>
          <w:caps/>
          <w:sz w:val="44"/>
          <w:szCs w:val="40"/>
        </w:rPr>
      </w:pPr>
    </w:p>
    <w:p w:rsidR="00E005CF" w:rsidRDefault="00E005CF" w:rsidP="00E005CF">
      <w:pPr>
        <w:autoSpaceDE w:val="0"/>
        <w:autoSpaceDN w:val="0"/>
        <w:adjustRightInd w:val="0"/>
        <w:jc w:val="center"/>
        <w:rPr>
          <w:rFonts w:cs="Aharoni"/>
          <w:b/>
          <w:caps/>
          <w:sz w:val="44"/>
          <w:szCs w:val="40"/>
        </w:rPr>
      </w:pPr>
    </w:p>
    <w:p w:rsidR="00E005CF" w:rsidRDefault="00E005CF" w:rsidP="00E005CF">
      <w:pPr>
        <w:autoSpaceDE w:val="0"/>
        <w:autoSpaceDN w:val="0"/>
        <w:adjustRightInd w:val="0"/>
        <w:jc w:val="center"/>
        <w:rPr>
          <w:rFonts w:cs="Aharoni"/>
          <w:b/>
          <w:caps/>
          <w:sz w:val="44"/>
          <w:szCs w:val="40"/>
        </w:rPr>
      </w:pPr>
    </w:p>
    <w:p w:rsidR="00E005CF" w:rsidRDefault="00E005CF" w:rsidP="00E005CF">
      <w:pPr>
        <w:autoSpaceDE w:val="0"/>
        <w:autoSpaceDN w:val="0"/>
        <w:adjustRightInd w:val="0"/>
        <w:jc w:val="center"/>
        <w:rPr>
          <w:rFonts w:cs="Aharoni"/>
          <w:b/>
          <w:caps/>
          <w:sz w:val="44"/>
          <w:szCs w:val="40"/>
        </w:rPr>
      </w:pPr>
    </w:p>
    <w:p w:rsidR="00E005CF" w:rsidRDefault="00E005CF" w:rsidP="00E005CF">
      <w:pPr>
        <w:autoSpaceDE w:val="0"/>
        <w:autoSpaceDN w:val="0"/>
        <w:adjustRightInd w:val="0"/>
        <w:jc w:val="center"/>
        <w:rPr>
          <w:rFonts w:cs="Aharoni"/>
          <w:b/>
          <w:caps/>
          <w:sz w:val="44"/>
          <w:szCs w:val="40"/>
        </w:rPr>
      </w:pPr>
    </w:p>
    <w:p w:rsidR="00E005CF" w:rsidRDefault="00E005CF" w:rsidP="00E005CF">
      <w:pPr>
        <w:autoSpaceDE w:val="0"/>
        <w:autoSpaceDN w:val="0"/>
        <w:adjustRightInd w:val="0"/>
        <w:jc w:val="center"/>
        <w:rPr>
          <w:rFonts w:cs="Aharoni"/>
          <w:b/>
          <w:caps/>
          <w:sz w:val="44"/>
          <w:szCs w:val="40"/>
        </w:rPr>
      </w:pPr>
    </w:p>
    <w:p w:rsidR="000C4AD3" w:rsidRDefault="000C4AD3" w:rsidP="00E005CF">
      <w:pPr>
        <w:autoSpaceDE w:val="0"/>
        <w:autoSpaceDN w:val="0"/>
        <w:adjustRightInd w:val="0"/>
        <w:jc w:val="center"/>
        <w:rPr>
          <w:rFonts w:cs="Aharoni"/>
          <w:b/>
          <w:caps/>
          <w:sz w:val="44"/>
          <w:szCs w:val="40"/>
        </w:rPr>
      </w:pPr>
    </w:p>
    <w:p w:rsidR="000C4AD3" w:rsidRDefault="000C4AD3" w:rsidP="00E005CF">
      <w:pPr>
        <w:autoSpaceDE w:val="0"/>
        <w:autoSpaceDN w:val="0"/>
        <w:adjustRightInd w:val="0"/>
        <w:jc w:val="center"/>
        <w:rPr>
          <w:rFonts w:cs="Aharoni"/>
          <w:b/>
          <w:caps/>
          <w:sz w:val="44"/>
          <w:szCs w:val="40"/>
        </w:rPr>
      </w:pPr>
    </w:p>
    <w:p w:rsidR="00E005CF" w:rsidRPr="00E005CF" w:rsidRDefault="00E005CF" w:rsidP="00E005CF">
      <w:pPr>
        <w:autoSpaceDE w:val="0"/>
        <w:autoSpaceDN w:val="0"/>
        <w:adjustRightInd w:val="0"/>
        <w:jc w:val="center"/>
        <w:rPr>
          <w:rFonts w:ascii="Times New Roman Gras" w:hAnsi="Times New Roman Gras" w:cs="Aharoni"/>
          <w:b/>
          <w:sz w:val="32"/>
          <w:szCs w:val="40"/>
        </w:rPr>
      </w:pPr>
      <w:r>
        <w:rPr>
          <w:rFonts w:ascii="Times New Roman Gras" w:hAnsi="Times New Roman Gras" w:cs="Aharoni"/>
          <w:b/>
          <w:sz w:val="32"/>
          <w:szCs w:val="40"/>
        </w:rPr>
        <w:t>Mohamed MOINDZE</w:t>
      </w:r>
      <w:r w:rsidRPr="00E005CF">
        <w:rPr>
          <w:rFonts w:ascii="Times New Roman Gras" w:hAnsi="Times New Roman Gras" w:cs="Aharoni"/>
          <w:b/>
          <w:sz w:val="32"/>
          <w:szCs w:val="40"/>
        </w:rPr>
        <w:t>,</w:t>
      </w:r>
    </w:p>
    <w:p w:rsidR="00E005CF" w:rsidRPr="00C719BB" w:rsidRDefault="00E005CF" w:rsidP="00E005CF">
      <w:pPr>
        <w:autoSpaceDE w:val="0"/>
        <w:autoSpaceDN w:val="0"/>
        <w:adjustRightInd w:val="0"/>
        <w:jc w:val="center"/>
        <w:rPr>
          <w:rFonts w:ascii="Times New Roman Gras" w:hAnsi="Times New Roman Gras" w:cs="Aharoni"/>
          <w:sz w:val="28"/>
          <w:szCs w:val="28"/>
        </w:rPr>
      </w:pPr>
      <w:r w:rsidRPr="00C719BB">
        <w:rPr>
          <w:rFonts w:ascii="Times New Roman Gras" w:hAnsi="Times New Roman Gras" w:cs="Aharoni"/>
          <w:sz w:val="28"/>
          <w:szCs w:val="28"/>
        </w:rPr>
        <w:t>Consultant en Finances Publiques</w:t>
      </w:r>
    </w:p>
    <w:p w:rsidR="00E005CF" w:rsidRPr="00C719BB" w:rsidRDefault="00E005CF" w:rsidP="00E005CF">
      <w:pPr>
        <w:autoSpaceDE w:val="0"/>
        <w:autoSpaceDN w:val="0"/>
        <w:adjustRightInd w:val="0"/>
        <w:jc w:val="center"/>
        <w:rPr>
          <w:rFonts w:cs="Aharoni"/>
          <w:caps/>
          <w:sz w:val="28"/>
          <w:szCs w:val="28"/>
        </w:rPr>
      </w:pPr>
      <w:r w:rsidRPr="00C719BB">
        <w:rPr>
          <w:rFonts w:ascii="Times New Roman Gras" w:hAnsi="Times New Roman Gras" w:cs="Aharoni"/>
          <w:sz w:val="28"/>
          <w:szCs w:val="28"/>
        </w:rPr>
        <w:t>Mars 2010</w:t>
      </w:r>
    </w:p>
    <w:p w:rsidR="00E005CF" w:rsidRDefault="00E005CF">
      <w:pPr>
        <w:spacing w:after="200" w:line="276" w:lineRule="auto"/>
      </w:pPr>
      <w:r>
        <w:br w:type="page"/>
      </w:r>
    </w:p>
    <w:p w:rsidR="00E005CF" w:rsidRPr="00C45636" w:rsidRDefault="00E005CF" w:rsidP="00E005CF">
      <w:pPr>
        <w:autoSpaceDE w:val="0"/>
        <w:autoSpaceDN w:val="0"/>
        <w:adjustRightInd w:val="0"/>
        <w:jc w:val="both"/>
      </w:pPr>
      <w:r>
        <w:lastRenderedPageBreak/>
        <w:t xml:space="preserve">Plus que jamais, la bonne gouvernance des finances publiques est sous les regards de tous les acteurs de la vie publique, qu’ils soient nationaux ou internationaux. Force est de constater qu’il est de plus en plus admis que la bonne gouvernance des finances publiques est déterminante pour la réalisation des objectifs de politique publique, notamment les objectifs du millénaire pour le développement et que les résultats insuffisants enregistrés au niveau des secteurs publics sont la conséquence d’une mauvaise gouvernance des finances publiques. C’est pourquoi, la bonne gouvernance des finances publiques demeure au centre de tout débat concernant les politiques de développement. Après un rappel de la définition de la gouvernance des finances publiques, cette note présentera les principaux référentiels d’évaluation de la gouvernance des finances publiques dont disposent actuellement les pays en développement et leurs partenaires techniques et financiers. </w:t>
      </w:r>
    </w:p>
    <w:p w:rsidR="00E005CF" w:rsidRPr="00E005CF" w:rsidRDefault="00E005CF" w:rsidP="00E005CF">
      <w:pPr>
        <w:pStyle w:val="Titre1"/>
        <w:rPr>
          <w:rFonts w:ascii="Times New Roman" w:hAnsi="Times New Roman" w:cs="Times New Roman"/>
          <w:sz w:val="24"/>
          <w:szCs w:val="24"/>
        </w:rPr>
      </w:pPr>
      <w:r w:rsidRPr="00E005CF">
        <w:rPr>
          <w:rFonts w:ascii="Times New Roman" w:hAnsi="Times New Roman" w:cs="Times New Roman"/>
          <w:sz w:val="24"/>
          <w:szCs w:val="24"/>
        </w:rPr>
        <w:t>Qu’est ce que la bonne gouvernance des finances publiques ?</w:t>
      </w:r>
    </w:p>
    <w:p w:rsidR="00E005CF" w:rsidRDefault="00E005CF" w:rsidP="00E005CF">
      <w:pPr>
        <w:autoSpaceDE w:val="0"/>
        <w:autoSpaceDN w:val="0"/>
        <w:adjustRightInd w:val="0"/>
        <w:jc w:val="both"/>
      </w:pPr>
    </w:p>
    <w:p w:rsidR="00E005CF" w:rsidRDefault="00E005CF" w:rsidP="00E005CF">
      <w:pPr>
        <w:autoSpaceDE w:val="0"/>
        <w:autoSpaceDN w:val="0"/>
        <w:adjustRightInd w:val="0"/>
        <w:jc w:val="both"/>
      </w:pPr>
      <w:r>
        <w:t>Le concept de  gouvernance émerge au début des années 1990 dans la constellation des idées en faveur d’une société fondée « </w:t>
      </w:r>
      <w:r w:rsidRPr="00BD2951">
        <w:rPr>
          <w:i/>
        </w:rPr>
        <w:t>sur le droit, la responsabilité, la transparence, l’échange, et le respect et l’épanouissement des diversités </w:t>
      </w:r>
      <w:r>
        <w:t>»</w:t>
      </w:r>
      <w:r>
        <w:rPr>
          <w:rStyle w:val="Appelnotedebasdep"/>
        </w:rPr>
        <w:footnoteReference w:id="1"/>
      </w:r>
      <w:r>
        <w:t>. Il désigne le processus par lequel les décisions sont prises et mises en œuvre dans la société. Au sein des administrations publiques, la gouvernance est le processus par lequel les pouvoirs publics gèrent les affaires et les ressources publiques. On attend par bonne gouvernance une gestion des affaires publiques essentiellement exempte de pratiques abusives et de corruption et qui respecte la primauté du droit. Les finances publiques étant l’instrument le plus important dont disposent les gouvernements pour la réalisation de leurs objectifs de politique publique, la bonne gouvernance des finances publiques est alors indispensable pour le succès de ces actions publiques. Elle est évaluée à l’aune de quatre axes principaux: la responsabilité, la transparence, la prévisibilité et la participation. Le terme « responsabilité » a p</w:t>
      </w:r>
      <w:r w:rsidRPr="00D416E9">
        <w:t>lusieurs définitions, mais la plus utilisée (et surtout par l’OCDE) est la suivante:</w:t>
      </w:r>
      <w:r>
        <w:t xml:space="preserve"> « </w:t>
      </w:r>
      <w:r w:rsidRPr="00D416E9">
        <w:rPr>
          <w:i/>
        </w:rPr>
        <w:t>c’est l’obligation de rendre compte et de répondre de la manière dont les responsabilités sont acquittées à trave</w:t>
      </w:r>
      <w:r>
        <w:rPr>
          <w:i/>
        </w:rPr>
        <w:t xml:space="preserve">rs les structures politiques et </w:t>
      </w:r>
      <w:r w:rsidRPr="00D416E9">
        <w:rPr>
          <w:i/>
        </w:rPr>
        <w:t>constitutionnelles</w:t>
      </w:r>
      <w:r>
        <w:t> »</w:t>
      </w:r>
      <w:r w:rsidRPr="00D416E9">
        <w:t>.</w:t>
      </w:r>
      <w:r>
        <w:t xml:space="preserve"> Ainsi l’exécutif rend-il compte aux citoyens et au parlement de la manière dont il s’acquitte de ses responsabilités. En son sein, la responsabilité des gestionnaires de budgets est bien précisée. Une instance externe indépendante établit, au moins une fois par an, un rapport sur l’exécution du budget qui doit être public. </w:t>
      </w:r>
    </w:p>
    <w:p w:rsidR="00E005CF" w:rsidRDefault="00E005CF" w:rsidP="00E005CF">
      <w:pPr>
        <w:autoSpaceDE w:val="0"/>
        <w:autoSpaceDN w:val="0"/>
        <w:adjustRightInd w:val="0"/>
        <w:jc w:val="both"/>
      </w:pPr>
    </w:p>
    <w:p w:rsidR="00E005CF" w:rsidRPr="00957FBC" w:rsidRDefault="00E005CF" w:rsidP="00E005CF">
      <w:pPr>
        <w:autoSpaceDE w:val="0"/>
        <w:autoSpaceDN w:val="0"/>
        <w:adjustRightInd w:val="0"/>
        <w:jc w:val="both"/>
        <w:rPr>
          <w:rFonts w:ascii="MinionPro-Regular" w:eastAsiaTheme="minorHAnsi" w:hAnsi="MinionPro-Regular" w:cs="MinionPro-Regular"/>
          <w:sz w:val="20"/>
          <w:szCs w:val="20"/>
          <w:lang w:eastAsia="en-US"/>
        </w:rPr>
      </w:pPr>
      <w:r>
        <w:t>La</w:t>
      </w:r>
      <w:r w:rsidRPr="00A8702E">
        <w:t xml:space="preserve"> transparence des finances publiques</w:t>
      </w:r>
      <w:r>
        <w:t xml:space="preserve"> est définie par « </w:t>
      </w:r>
      <w:r w:rsidRPr="00A8702E">
        <w:rPr>
          <w:i/>
        </w:rPr>
        <w:t xml:space="preserve">l’information claire du public sur la structure et les fonctions des administrations publiques, les visées de la politique de finances publiques, les comptes du </w:t>
      </w:r>
      <w:r w:rsidRPr="00A8702E">
        <w:rPr>
          <w:i/>
          <w:iCs/>
        </w:rPr>
        <w:t>secteur public</w:t>
      </w:r>
      <w:r w:rsidRPr="00A8702E">
        <w:rPr>
          <w:i/>
        </w:rPr>
        <w:t xml:space="preserve"> et les projections budgétaires</w:t>
      </w:r>
      <w:r>
        <w:t> »</w:t>
      </w:r>
      <w:r>
        <w:rPr>
          <w:rStyle w:val="Appelnotedebasdep"/>
        </w:rPr>
        <w:footnoteReference w:id="2"/>
      </w:r>
      <w:r w:rsidRPr="00A8702E">
        <w:t xml:space="preserve">. La transparence des finances publiques renforce la responsabilisation </w:t>
      </w:r>
      <w:r>
        <w:t>et accroît</w:t>
      </w:r>
      <w:r w:rsidRPr="00A8702E">
        <w:t xml:space="preserve"> la crédibilité des autorités, ce qui a pour avantages d’abaisser le coût de l’emprunt et d’inciter un public bien informé à soutenir plus fermement des politiques macroéconomiques saines. Inversement, une gestion non transparente des finances publiques peut être déstabilisatrice et génératrice d’inefficiences et d’iniquités.</w:t>
      </w:r>
      <w:r>
        <w:t xml:space="preserve"> </w:t>
      </w:r>
      <w:r w:rsidRPr="00957FBC">
        <w:t>Elle  encourage les dépenses inappropriées, inutiles et liées à la corruption</w:t>
      </w:r>
      <w:r>
        <w:t>. En outre,</w:t>
      </w:r>
      <w:r w:rsidRPr="00957FBC">
        <w:t xml:space="preserve"> </w:t>
      </w:r>
      <w:r>
        <w:t>elle</w:t>
      </w:r>
      <w:r w:rsidRPr="00957FBC">
        <w:t xml:space="preserve"> réduit la légitimité et l’impact des initiatives de lutte contre la pauvreté. A</w:t>
      </w:r>
      <w:r>
        <w:t>in</w:t>
      </w:r>
      <w:r w:rsidRPr="00957FBC">
        <w:t>si</w:t>
      </w:r>
      <w:r>
        <w:t xml:space="preserve">, les fonctions des différents organes de l’Etat et la répartition des pouvoirs et des responsabilités entre les divers niveaux de </w:t>
      </w:r>
      <w:r>
        <w:lastRenderedPageBreak/>
        <w:t>l’administration doivent être clairement établies. Des informations budgétaires à caractère financier et non financier sont publiquement disponibles en temps utile et la terminologie budgétaire est bien expliquée. L</w:t>
      </w:r>
      <w:r w:rsidRPr="001467F2">
        <w:t xml:space="preserve">e tableau </w:t>
      </w:r>
      <w:r>
        <w:t xml:space="preserve">1 </w:t>
      </w:r>
      <w:r w:rsidRPr="001467F2">
        <w:t xml:space="preserve">ci-après </w:t>
      </w:r>
      <w:r>
        <w:t xml:space="preserve">présente les critères de la transparence des finances publiques selon le FMI: la deuxième colonne présente les principes </w:t>
      </w:r>
      <w:r w:rsidRPr="001467F2">
        <w:t xml:space="preserve">et conditions </w:t>
      </w:r>
      <w:r>
        <w:t>tandis que l</w:t>
      </w:r>
      <w:r w:rsidRPr="001467F2">
        <w:t xml:space="preserve">a </w:t>
      </w:r>
      <w:r>
        <w:t>troisième</w:t>
      </w:r>
      <w:r w:rsidRPr="001467F2">
        <w:t xml:space="preserve"> définit les procédures et institutions qui permettraient d’appliquer ces </w:t>
      </w:r>
      <w:r>
        <w:t>principes, la première colonne indiquant une numérotation des principes</w:t>
      </w:r>
      <w:r w:rsidRPr="001467F2">
        <w:t>.</w:t>
      </w:r>
      <w:r>
        <w:t xml:space="preserve"> </w:t>
      </w:r>
    </w:p>
    <w:p w:rsidR="00E005CF" w:rsidRDefault="00E005CF" w:rsidP="00E005CF">
      <w:pPr>
        <w:autoSpaceDE w:val="0"/>
        <w:autoSpaceDN w:val="0"/>
        <w:adjustRightInd w:val="0"/>
        <w:jc w:val="both"/>
      </w:pPr>
    </w:p>
    <w:p w:rsidR="00E005CF" w:rsidRDefault="00E005CF" w:rsidP="00E005CF">
      <w:pPr>
        <w:autoSpaceDE w:val="0"/>
        <w:autoSpaceDN w:val="0"/>
        <w:adjustRightInd w:val="0"/>
        <w:jc w:val="both"/>
      </w:pPr>
    </w:p>
    <w:p w:rsidR="00E005CF" w:rsidRDefault="00E005CF" w:rsidP="00E005CF">
      <w:pPr>
        <w:autoSpaceDE w:val="0"/>
        <w:autoSpaceDN w:val="0"/>
        <w:adjustRightInd w:val="0"/>
        <w:jc w:val="both"/>
      </w:pPr>
      <w:r>
        <w:t>La prédictibilité résulte de l’existence de législations et des réglementations claires, bien connues  à l’avance par les assujettis et qui sont uniformément et efficacement mises en œuvre. Il est important que les objectifs assignés au budget et à la dette publique s’inscrivent dans un cadre budgétaire à moyen terme, régulièrement mis à jour et que les taux et l’assiette des impôts et des autres prélèvements restent relativement stables.</w:t>
      </w:r>
    </w:p>
    <w:p w:rsidR="00E005CF" w:rsidRDefault="00E005CF" w:rsidP="00E005CF">
      <w:pPr>
        <w:autoSpaceDE w:val="0"/>
        <w:autoSpaceDN w:val="0"/>
        <w:adjustRightInd w:val="0"/>
        <w:jc w:val="both"/>
      </w:pPr>
    </w:p>
    <w:p w:rsidR="00E005CF" w:rsidRPr="00B67324" w:rsidRDefault="00E005CF" w:rsidP="00E005CF">
      <w:pPr>
        <w:autoSpaceDE w:val="0"/>
        <w:autoSpaceDN w:val="0"/>
        <w:adjustRightInd w:val="0"/>
        <w:jc w:val="both"/>
        <w:rPr>
          <w:sz w:val="20"/>
          <w:szCs w:val="20"/>
        </w:rPr>
      </w:pPr>
      <w:r w:rsidRPr="00B67324">
        <w:rPr>
          <w:sz w:val="20"/>
          <w:szCs w:val="20"/>
        </w:rPr>
        <w:t>Tableau 1.</w:t>
      </w:r>
      <w:r w:rsidRPr="00B67324">
        <w:rPr>
          <w:sz w:val="20"/>
          <w:szCs w:val="20"/>
        </w:rPr>
        <w:tab/>
        <w:t>Tableau synoptique des principes et des règles fondamentales de transparence des finances publiques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
        <w:gridCol w:w="4087"/>
        <w:gridCol w:w="5029"/>
      </w:tblGrid>
      <w:tr w:rsidR="00E005CF" w:rsidRPr="00BE2295" w:rsidTr="00D630D6">
        <w:tc>
          <w:tcPr>
            <w:tcW w:w="516" w:type="dxa"/>
          </w:tcPr>
          <w:p w:rsidR="00E005CF" w:rsidRPr="00BE2295" w:rsidRDefault="00E005CF" w:rsidP="00D630D6">
            <w:pPr>
              <w:pStyle w:val="Titre2"/>
              <w:numPr>
                <w:ilvl w:val="1"/>
                <w:numId w:val="0"/>
              </w:numPr>
              <w:ind w:left="576" w:hanging="576"/>
              <w:jc w:val="both"/>
              <w:rPr>
                <w:sz w:val="18"/>
                <w:szCs w:val="18"/>
              </w:rPr>
            </w:pPr>
            <w:bookmarkStart w:id="0" w:name="_Toc269879516"/>
            <w:bookmarkEnd w:id="0"/>
          </w:p>
        </w:tc>
        <w:tc>
          <w:tcPr>
            <w:tcW w:w="4452" w:type="dxa"/>
          </w:tcPr>
          <w:p w:rsidR="00E005CF" w:rsidRPr="00BE2295" w:rsidRDefault="00E005CF" w:rsidP="00D630D6">
            <w:pPr>
              <w:pStyle w:val="NormalWeb"/>
              <w:jc w:val="center"/>
              <w:rPr>
                <w:b/>
                <w:sz w:val="18"/>
                <w:szCs w:val="18"/>
              </w:rPr>
            </w:pPr>
            <w:r w:rsidRPr="00BE2295">
              <w:rPr>
                <w:b/>
                <w:sz w:val="18"/>
                <w:szCs w:val="18"/>
              </w:rPr>
              <w:t>Principes</w:t>
            </w:r>
          </w:p>
        </w:tc>
        <w:tc>
          <w:tcPr>
            <w:tcW w:w="5488" w:type="dxa"/>
          </w:tcPr>
          <w:p w:rsidR="00E005CF" w:rsidRPr="00BE2295" w:rsidRDefault="00E005CF" w:rsidP="00D630D6">
            <w:pPr>
              <w:pStyle w:val="NormalWeb"/>
              <w:jc w:val="center"/>
              <w:rPr>
                <w:b/>
                <w:sz w:val="18"/>
                <w:szCs w:val="18"/>
              </w:rPr>
            </w:pPr>
            <w:r w:rsidRPr="00BE2295">
              <w:rPr>
                <w:b/>
                <w:sz w:val="18"/>
                <w:szCs w:val="18"/>
              </w:rPr>
              <w:t>Règles fondamentales</w:t>
            </w:r>
          </w:p>
        </w:tc>
      </w:tr>
      <w:tr w:rsidR="00E005CF" w:rsidRPr="00BE2295" w:rsidTr="00D630D6">
        <w:tc>
          <w:tcPr>
            <w:tcW w:w="10456" w:type="dxa"/>
            <w:gridSpan w:val="3"/>
          </w:tcPr>
          <w:p w:rsidR="00E005CF" w:rsidRPr="00BE2295" w:rsidRDefault="00E005CF" w:rsidP="00D630D6">
            <w:pPr>
              <w:pStyle w:val="NormalWeb"/>
              <w:jc w:val="center"/>
              <w:rPr>
                <w:b/>
                <w:i/>
                <w:sz w:val="18"/>
                <w:szCs w:val="18"/>
              </w:rPr>
            </w:pPr>
            <w:r w:rsidRPr="00BE2295">
              <w:rPr>
                <w:b/>
                <w:i/>
                <w:sz w:val="18"/>
                <w:szCs w:val="18"/>
              </w:rPr>
              <w:t>Définition claire des attributions et des responsabilités</w:t>
            </w:r>
          </w:p>
        </w:tc>
      </w:tr>
      <w:tr w:rsidR="00E005CF" w:rsidRPr="00BE2295" w:rsidTr="00D630D6">
        <w:trPr>
          <w:trHeight w:val="1937"/>
        </w:trPr>
        <w:tc>
          <w:tcPr>
            <w:tcW w:w="516" w:type="dxa"/>
          </w:tcPr>
          <w:p w:rsidR="00E005CF" w:rsidRPr="00BE2295" w:rsidRDefault="00E005CF" w:rsidP="00D630D6">
            <w:pPr>
              <w:pStyle w:val="NormalWeb"/>
              <w:jc w:val="both"/>
              <w:rPr>
                <w:sz w:val="18"/>
                <w:szCs w:val="18"/>
              </w:rPr>
            </w:pPr>
            <w:r w:rsidRPr="00BE2295">
              <w:rPr>
                <w:sz w:val="18"/>
                <w:szCs w:val="18"/>
              </w:rPr>
              <w:t>1.1</w:t>
            </w:r>
          </w:p>
        </w:tc>
        <w:tc>
          <w:tcPr>
            <w:tcW w:w="4452" w:type="dxa"/>
          </w:tcPr>
          <w:p w:rsidR="00E005CF" w:rsidRPr="00BE2295" w:rsidRDefault="00E005CF" w:rsidP="00D630D6">
            <w:pPr>
              <w:pStyle w:val="NormalWeb"/>
              <w:jc w:val="both"/>
              <w:rPr>
                <w:sz w:val="18"/>
                <w:szCs w:val="18"/>
              </w:rPr>
            </w:pPr>
            <w:r w:rsidRPr="00BE2295">
              <w:rPr>
                <w:sz w:val="18"/>
                <w:szCs w:val="18"/>
              </w:rPr>
              <w:t xml:space="preserve">Le secteur de l’administration publique doit être distinct du reste du secteur public et du reste de l’économie, et la répartition des attributions au sein du secteur public en matière de décision et de gestion doit être claire et rendue publique. </w:t>
            </w:r>
          </w:p>
        </w:tc>
        <w:tc>
          <w:tcPr>
            <w:tcW w:w="5488" w:type="dxa"/>
          </w:tcPr>
          <w:p w:rsidR="00E005CF" w:rsidRPr="00BE2295" w:rsidRDefault="00E005CF" w:rsidP="00E005CF">
            <w:pPr>
              <w:pStyle w:val="NormalWeb"/>
              <w:numPr>
                <w:ilvl w:val="0"/>
                <w:numId w:val="11"/>
              </w:numPr>
              <w:jc w:val="both"/>
              <w:rPr>
                <w:sz w:val="18"/>
                <w:szCs w:val="18"/>
              </w:rPr>
            </w:pPr>
            <w:r w:rsidRPr="00BE2295">
              <w:rPr>
                <w:sz w:val="18"/>
                <w:szCs w:val="18"/>
              </w:rPr>
              <w:t>Un tableau institutionnel publié fait clairement apparaître la structure du secteur public, et énumère toutes les entités de l’administration publique, ventilées par niveau, et toutes les sociétés publiques.</w:t>
            </w:r>
          </w:p>
          <w:p w:rsidR="00E005CF" w:rsidRPr="00BE2295" w:rsidRDefault="00E005CF" w:rsidP="00E005CF">
            <w:pPr>
              <w:pStyle w:val="NormalWeb"/>
              <w:numPr>
                <w:ilvl w:val="0"/>
                <w:numId w:val="11"/>
              </w:numPr>
              <w:jc w:val="both"/>
              <w:rPr>
                <w:sz w:val="18"/>
                <w:szCs w:val="18"/>
              </w:rPr>
            </w:pPr>
            <w:r w:rsidRPr="00BE2295">
              <w:rPr>
                <w:sz w:val="18"/>
                <w:szCs w:val="18"/>
              </w:rPr>
              <w:t xml:space="preserve">La portée et le but de toutes les activités quasi fiscales sont expliqués. </w:t>
            </w:r>
          </w:p>
          <w:p w:rsidR="00E005CF" w:rsidRPr="00BE2295" w:rsidRDefault="00E005CF" w:rsidP="00E005CF">
            <w:pPr>
              <w:pStyle w:val="NormalWeb"/>
              <w:numPr>
                <w:ilvl w:val="0"/>
                <w:numId w:val="11"/>
              </w:numPr>
              <w:jc w:val="both"/>
              <w:rPr>
                <w:sz w:val="18"/>
                <w:szCs w:val="18"/>
              </w:rPr>
            </w:pPr>
            <w:r w:rsidRPr="00BE2295">
              <w:rPr>
                <w:sz w:val="18"/>
                <w:szCs w:val="18"/>
              </w:rPr>
              <w:t xml:space="preserve"> Les recettes et les responsabilités sont clairement réparties entre les différents échelons des administrations publiques.</w:t>
            </w:r>
          </w:p>
        </w:tc>
      </w:tr>
      <w:tr w:rsidR="00E005CF" w:rsidRPr="00BE2295" w:rsidTr="00D630D6">
        <w:tc>
          <w:tcPr>
            <w:tcW w:w="516" w:type="dxa"/>
          </w:tcPr>
          <w:p w:rsidR="00E005CF" w:rsidRPr="00BE2295" w:rsidRDefault="00E005CF" w:rsidP="00D630D6">
            <w:pPr>
              <w:pStyle w:val="NormalWeb"/>
              <w:jc w:val="both"/>
              <w:rPr>
                <w:sz w:val="18"/>
                <w:szCs w:val="18"/>
              </w:rPr>
            </w:pPr>
            <w:r w:rsidRPr="00BE2295">
              <w:rPr>
                <w:sz w:val="18"/>
                <w:szCs w:val="18"/>
              </w:rPr>
              <w:t>1.2</w:t>
            </w:r>
          </w:p>
        </w:tc>
        <w:tc>
          <w:tcPr>
            <w:tcW w:w="4452" w:type="dxa"/>
          </w:tcPr>
          <w:p w:rsidR="00E005CF" w:rsidRPr="00BE2295" w:rsidRDefault="00E005CF" w:rsidP="00D630D6">
            <w:pPr>
              <w:pStyle w:val="NormalWeb"/>
              <w:jc w:val="both"/>
              <w:rPr>
                <w:sz w:val="18"/>
                <w:szCs w:val="18"/>
              </w:rPr>
            </w:pPr>
            <w:r w:rsidRPr="00BE2295">
              <w:rPr>
                <w:sz w:val="18"/>
                <w:szCs w:val="18"/>
              </w:rPr>
              <w:t>La gestion des finances publiques doit s’inscrire dans un cadre juridique, réglementaire et administratif clair et ouvert.</w:t>
            </w:r>
          </w:p>
        </w:tc>
        <w:tc>
          <w:tcPr>
            <w:tcW w:w="5488" w:type="dxa"/>
          </w:tcPr>
          <w:p w:rsidR="00E005CF" w:rsidRPr="00BE2295" w:rsidRDefault="00E005CF" w:rsidP="00E005CF">
            <w:pPr>
              <w:pStyle w:val="NormalWeb"/>
              <w:numPr>
                <w:ilvl w:val="0"/>
                <w:numId w:val="11"/>
              </w:numPr>
              <w:jc w:val="both"/>
              <w:rPr>
                <w:sz w:val="18"/>
                <w:szCs w:val="18"/>
              </w:rPr>
            </w:pPr>
            <w:r w:rsidRPr="00BE2295">
              <w:rPr>
                <w:sz w:val="18"/>
                <w:szCs w:val="18"/>
              </w:rPr>
              <w:t xml:space="preserve">Les fonds publics ne peuvent être dépensés sans que la preuve de leur affectation par le pouvoir législatif ne soit portée à la connaissance du public. </w:t>
            </w:r>
          </w:p>
          <w:p w:rsidR="00E005CF" w:rsidRPr="00BE2295" w:rsidRDefault="00E005CF" w:rsidP="00E005CF">
            <w:pPr>
              <w:pStyle w:val="NormalWeb"/>
              <w:numPr>
                <w:ilvl w:val="0"/>
                <w:numId w:val="11"/>
              </w:numPr>
              <w:jc w:val="both"/>
              <w:rPr>
                <w:sz w:val="18"/>
                <w:szCs w:val="18"/>
              </w:rPr>
            </w:pPr>
            <w:r w:rsidRPr="00BE2295">
              <w:rPr>
                <w:sz w:val="18"/>
                <w:szCs w:val="18"/>
              </w:rPr>
              <w:t>Le recouvrement des recettes est régi par des lois et règlements clairs et facilement accessibles.</w:t>
            </w:r>
          </w:p>
        </w:tc>
      </w:tr>
      <w:tr w:rsidR="00E005CF" w:rsidRPr="00BE2295" w:rsidTr="00D630D6">
        <w:tc>
          <w:tcPr>
            <w:tcW w:w="10456" w:type="dxa"/>
            <w:gridSpan w:val="3"/>
          </w:tcPr>
          <w:p w:rsidR="00E005CF" w:rsidRPr="00BE2295" w:rsidRDefault="00E005CF" w:rsidP="00D630D6">
            <w:pPr>
              <w:pStyle w:val="NormalWeb"/>
              <w:jc w:val="center"/>
              <w:rPr>
                <w:b/>
                <w:i/>
                <w:sz w:val="18"/>
                <w:szCs w:val="18"/>
              </w:rPr>
            </w:pPr>
            <w:r w:rsidRPr="00BE2295">
              <w:rPr>
                <w:b/>
                <w:i/>
                <w:sz w:val="18"/>
                <w:szCs w:val="18"/>
              </w:rPr>
              <w:t xml:space="preserve">Processus budgétaires ouverts </w:t>
            </w:r>
          </w:p>
        </w:tc>
      </w:tr>
      <w:tr w:rsidR="00E005CF" w:rsidRPr="00BE2295" w:rsidTr="00D630D6">
        <w:trPr>
          <w:trHeight w:val="1063"/>
        </w:trPr>
        <w:tc>
          <w:tcPr>
            <w:tcW w:w="516" w:type="dxa"/>
          </w:tcPr>
          <w:p w:rsidR="00E005CF" w:rsidRPr="00BE2295" w:rsidRDefault="00E005CF" w:rsidP="00D630D6">
            <w:pPr>
              <w:pStyle w:val="NormalWeb"/>
              <w:jc w:val="both"/>
              <w:rPr>
                <w:sz w:val="18"/>
                <w:szCs w:val="18"/>
              </w:rPr>
            </w:pPr>
            <w:r w:rsidRPr="00BE2295">
              <w:rPr>
                <w:sz w:val="18"/>
                <w:szCs w:val="18"/>
              </w:rPr>
              <w:t>2.1</w:t>
            </w:r>
          </w:p>
        </w:tc>
        <w:tc>
          <w:tcPr>
            <w:tcW w:w="4452" w:type="dxa"/>
          </w:tcPr>
          <w:p w:rsidR="00E005CF" w:rsidRPr="00BE2295" w:rsidRDefault="00E005CF" w:rsidP="00D630D6">
            <w:pPr>
              <w:pStyle w:val="NormalWeb"/>
              <w:jc w:val="both"/>
              <w:rPr>
                <w:sz w:val="18"/>
                <w:szCs w:val="18"/>
              </w:rPr>
            </w:pPr>
            <w:r w:rsidRPr="00BE2295">
              <w:rPr>
                <w:sz w:val="18"/>
                <w:szCs w:val="18"/>
              </w:rPr>
              <w:t xml:space="preserve">La préparation du budget doit suivre un calendrier établi et obéir à des objectifs de politique budgétaire et macroéconomique bien définis. </w:t>
            </w:r>
          </w:p>
          <w:p w:rsidR="00E005CF" w:rsidRPr="00BE2295" w:rsidRDefault="00E005CF" w:rsidP="00D630D6">
            <w:pPr>
              <w:pStyle w:val="NormalWeb"/>
              <w:jc w:val="both"/>
              <w:rPr>
                <w:sz w:val="18"/>
                <w:szCs w:val="18"/>
              </w:rPr>
            </w:pPr>
          </w:p>
        </w:tc>
        <w:tc>
          <w:tcPr>
            <w:tcW w:w="5488" w:type="dxa"/>
          </w:tcPr>
          <w:p w:rsidR="00E005CF" w:rsidRPr="00BE2295" w:rsidRDefault="00E005CF" w:rsidP="00E005CF">
            <w:pPr>
              <w:pStyle w:val="NormalWeb"/>
              <w:numPr>
                <w:ilvl w:val="0"/>
                <w:numId w:val="11"/>
              </w:numPr>
              <w:jc w:val="both"/>
              <w:rPr>
                <w:sz w:val="18"/>
                <w:szCs w:val="18"/>
              </w:rPr>
            </w:pPr>
            <w:r w:rsidRPr="00BE2295">
              <w:rPr>
                <w:sz w:val="18"/>
                <w:szCs w:val="18"/>
              </w:rPr>
              <w:t xml:space="preserve">Un projet de budget réaliste est présenté à la législature conformément au calendrier prescrit. </w:t>
            </w:r>
          </w:p>
          <w:p w:rsidR="00E005CF" w:rsidRPr="00BE2295" w:rsidRDefault="00E005CF" w:rsidP="00E005CF">
            <w:pPr>
              <w:pStyle w:val="NormalWeb"/>
              <w:numPr>
                <w:ilvl w:val="0"/>
                <w:numId w:val="11"/>
              </w:numPr>
              <w:jc w:val="both"/>
              <w:rPr>
                <w:sz w:val="18"/>
                <w:szCs w:val="18"/>
              </w:rPr>
            </w:pPr>
            <w:r w:rsidRPr="00BE2295">
              <w:rPr>
                <w:sz w:val="18"/>
                <w:szCs w:val="18"/>
              </w:rPr>
              <w:t>Les coûts et les effets prévisibles des nouvelles mesures de dépenses et de recettes proposées sont clairement expliqués.</w:t>
            </w:r>
          </w:p>
          <w:p w:rsidR="00E005CF" w:rsidRPr="00BE2295" w:rsidRDefault="00E005CF" w:rsidP="00E005CF">
            <w:pPr>
              <w:pStyle w:val="NormalWeb"/>
              <w:numPr>
                <w:ilvl w:val="0"/>
                <w:numId w:val="11"/>
              </w:numPr>
              <w:jc w:val="both"/>
              <w:rPr>
                <w:sz w:val="18"/>
                <w:szCs w:val="18"/>
              </w:rPr>
            </w:pPr>
            <w:r w:rsidRPr="00BE2295">
              <w:rPr>
                <w:sz w:val="18"/>
                <w:szCs w:val="18"/>
              </w:rPr>
              <w:t>Un cadre budgétaire pluriannuel cohérent, fondé sur des hypothèses économiques réalistes, est fourni.</w:t>
            </w:r>
          </w:p>
        </w:tc>
      </w:tr>
      <w:tr w:rsidR="00E005CF" w:rsidRPr="00BE2295" w:rsidTr="00D630D6">
        <w:tc>
          <w:tcPr>
            <w:tcW w:w="516" w:type="dxa"/>
          </w:tcPr>
          <w:p w:rsidR="00E005CF" w:rsidRPr="00BE2295" w:rsidRDefault="00E005CF" w:rsidP="00D630D6">
            <w:pPr>
              <w:pStyle w:val="NormalWeb"/>
              <w:jc w:val="both"/>
              <w:rPr>
                <w:sz w:val="18"/>
                <w:szCs w:val="18"/>
              </w:rPr>
            </w:pPr>
            <w:r w:rsidRPr="00BE2295">
              <w:rPr>
                <w:sz w:val="18"/>
                <w:szCs w:val="18"/>
              </w:rPr>
              <w:t>2.2</w:t>
            </w:r>
          </w:p>
        </w:tc>
        <w:tc>
          <w:tcPr>
            <w:tcW w:w="4452" w:type="dxa"/>
          </w:tcPr>
          <w:p w:rsidR="00E005CF" w:rsidRPr="00BE2295" w:rsidRDefault="00E005CF" w:rsidP="00D630D6">
            <w:pPr>
              <w:pStyle w:val="NormalWeb"/>
              <w:jc w:val="both"/>
              <w:rPr>
                <w:sz w:val="18"/>
                <w:szCs w:val="18"/>
              </w:rPr>
            </w:pPr>
            <w:r w:rsidRPr="00BE2295">
              <w:rPr>
                <w:sz w:val="18"/>
                <w:szCs w:val="18"/>
              </w:rPr>
              <w:t>L’exécution, le suivi et l’information budgétaires doivent faire l’objet de procédures claires</w:t>
            </w:r>
          </w:p>
        </w:tc>
        <w:tc>
          <w:tcPr>
            <w:tcW w:w="5488" w:type="dxa"/>
          </w:tcPr>
          <w:p w:rsidR="00E005CF" w:rsidRPr="00BE2295" w:rsidRDefault="00E005CF" w:rsidP="00E005CF">
            <w:pPr>
              <w:pStyle w:val="NormalWeb"/>
              <w:numPr>
                <w:ilvl w:val="0"/>
                <w:numId w:val="11"/>
              </w:numPr>
              <w:jc w:val="both"/>
              <w:rPr>
                <w:sz w:val="18"/>
                <w:szCs w:val="18"/>
              </w:rPr>
            </w:pPr>
            <w:r w:rsidRPr="00BE2295">
              <w:rPr>
                <w:sz w:val="18"/>
                <w:szCs w:val="18"/>
              </w:rPr>
              <w:t xml:space="preserve">Le suivi des recettes, des engagements, des paiements et des arriérés peut être fait efficacement. </w:t>
            </w:r>
          </w:p>
          <w:p w:rsidR="00E005CF" w:rsidRPr="00BE2295" w:rsidRDefault="00E005CF" w:rsidP="00E005CF">
            <w:pPr>
              <w:pStyle w:val="NormalWeb"/>
              <w:numPr>
                <w:ilvl w:val="0"/>
                <w:numId w:val="11"/>
              </w:numPr>
              <w:jc w:val="both"/>
              <w:rPr>
                <w:sz w:val="18"/>
                <w:szCs w:val="18"/>
              </w:rPr>
            </w:pPr>
            <w:r w:rsidRPr="00BE2295">
              <w:rPr>
                <w:sz w:val="18"/>
                <w:szCs w:val="18"/>
              </w:rPr>
              <w:t>Les comptes définitifs audités et les rapports d’audit sont présentés aux autorités législatives et publiés dans un délai d’un an.</w:t>
            </w:r>
          </w:p>
        </w:tc>
      </w:tr>
      <w:tr w:rsidR="00E005CF" w:rsidRPr="00BE2295" w:rsidTr="00D630D6">
        <w:tc>
          <w:tcPr>
            <w:tcW w:w="10456" w:type="dxa"/>
            <w:gridSpan w:val="3"/>
          </w:tcPr>
          <w:p w:rsidR="00E005CF" w:rsidRPr="00BE2295" w:rsidRDefault="00E005CF" w:rsidP="00D630D6">
            <w:pPr>
              <w:pStyle w:val="NormalWeb"/>
              <w:jc w:val="center"/>
              <w:rPr>
                <w:b/>
                <w:i/>
                <w:sz w:val="18"/>
                <w:szCs w:val="18"/>
              </w:rPr>
            </w:pPr>
            <w:r w:rsidRPr="00BE2295">
              <w:rPr>
                <w:b/>
                <w:i/>
                <w:sz w:val="18"/>
                <w:szCs w:val="18"/>
              </w:rPr>
              <w:t>Accès du public à l'information</w:t>
            </w:r>
          </w:p>
        </w:tc>
      </w:tr>
      <w:tr w:rsidR="00E005CF" w:rsidRPr="00BE2295" w:rsidTr="00D630D6">
        <w:tc>
          <w:tcPr>
            <w:tcW w:w="516" w:type="dxa"/>
          </w:tcPr>
          <w:p w:rsidR="00E005CF" w:rsidRPr="00BE2295" w:rsidRDefault="00E005CF" w:rsidP="00D630D6">
            <w:pPr>
              <w:pStyle w:val="NormalWeb"/>
              <w:jc w:val="both"/>
              <w:rPr>
                <w:sz w:val="18"/>
                <w:szCs w:val="18"/>
              </w:rPr>
            </w:pPr>
            <w:r w:rsidRPr="00BE2295">
              <w:rPr>
                <w:sz w:val="18"/>
                <w:szCs w:val="18"/>
              </w:rPr>
              <w:t>3.1</w:t>
            </w:r>
          </w:p>
        </w:tc>
        <w:tc>
          <w:tcPr>
            <w:tcW w:w="4452" w:type="dxa"/>
          </w:tcPr>
          <w:p w:rsidR="00E005CF" w:rsidRPr="00BE2295" w:rsidRDefault="00E005CF" w:rsidP="00D630D6">
            <w:pPr>
              <w:pStyle w:val="NormalWeb"/>
              <w:jc w:val="both"/>
              <w:rPr>
                <w:sz w:val="18"/>
                <w:szCs w:val="18"/>
              </w:rPr>
            </w:pPr>
            <w:r w:rsidRPr="00BE2295">
              <w:rPr>
                <w:sz w:val="18"/>
                <w:szCs w:val="18"/>
              </w:rPr>
              <w:t xml:space="preserve">Le public doit être pleinement informé de l’activité financière passée, présente et prévue et des principaux risques financiers. </w:t>
            </w:r>
          </w:p>
        </w:tc>
        <w:tc>
          <w:tcPr>
            <w:tcW w:w="5488" w:type="dxa"/>
          </w:tcPr>
          <w:p w:rsidR="00E005CF" w:rsidRPr="00BE2295" w:rsidRDefault="00E005CF" w:rsidP="00E005CF">
            <w:pPr>
              <w:pStyle w:val="NormalWeb"/>
              <w:numPr>
                <w:ilvl w:val="0"/>
                <w:numId w:val="11"/>
              </w:numPr>
              <w:jc w:val="both"/>
              <w:rPr>
                <w:sz w:val="18"/>
                <w:szCs w:val="18"/>
              </w:rPr>
            </w:pPr>
            <w:r w:rsidRPr="00BE2295">
              <w:rPr>
                <w:sz w:val="18"/>
                <w:szCs w:val="18"/>
              </w:rPr>
              <w:t xml:space="preserve">La documentation budgétaire couvre l’intégralité des activités budgétaires et extrabudgétaires de l’administration centrale, la situation budgétaire des collectivités territoriales et les finances des sociétés publiques. </w:t>
            </w:r>
          </w:p>
          <w:p w:rsidR="00E005CF" w:rsidRDefault="00E005CF" w:rsidP="00E005CF">
            <w:pPr>
              <w:pStyle w:val="NormalWeb"/>
              <w:numPr>
                <w:ilvl w:val="0"/>
                <w:numId w:val="11"/>
              </w:numPr>
              <w:jc w:val="both"/>
              <w:rPr>
                <w:sz w:val="18"/>
                <w:szCs w:val="18"/>
              </w:rPr>
            </w:pPr>
            <w:r w:rsidRPr="00BE2295">
              <w:rPr>
                <w:sz w:val="18"/>
                <w:szCs w:val="18"/>
              </w:rPr>
              <w:t xml:space="preserve">Les informations publiées sur l’administration centrale comprennent des détails de sa dette, de ses ressources financières et naturelles importantes et de ses </w:t>
            </w:r>
            <w:r w:rsidRPr="00BE2295">
              <w:rPr>
                <w:sz w:val="18"/>
                <w:szCs w:val="18"/>
              </w:rPr>
              <w:lastRenderedPageBreak/>
              <w:t>obligations non liées à la dette et passifs éventuels.</w:t>
            </w:r>
          </w:p>
          <w:p w:rsidR="00E005CF" w:rsidRPr="00BE2295" w:rsidRDefault="00E005CF" w:rsidP="00D630D6">
            <w:pPr>
              <w:pStyle w:val="NormalWeb"/>
              <w:ind w:left="720"/>
              <w:jc w:val="both"/>
              <w:rPr>
                <w:sz w:val="18"/>
                <w:szCs w:val="18"/>
              </w:rPr>
            </w:pPr>
          </w:p>
        </w:tc>
      </w:tr>
      <w:tr w:rsidR="00E005CF" w:rsidRPr="00BE2295" w:rsidTr="00D630D6">
        <w:tc>
          <w:tcPr>
            <w:tcW w:w="516" w:type="dxa"/>
          </w:tcPr>
          <w:p w:rsidR="00E005CF" w:rsidRPr="00BE2295" w:rsidRDefault="00E005CF" w:rsidP="00D630D6">
            <w:pPr>
              <w:pStyle w:val="NormalWeb"/>
              <w:jc w:val="both"/>
              <w:rPr>
                <w:sz w:val="18"/>
                <w:szCs w:val="18"/>
              </w:rPr>
            </w:pPr>
            <w:r w:rsidRPr="00BE2295">
              <w:rPr>
                <w:sz w:val="18"/>
                <w:szCs w:val="18"/>
              </w:rPr>
              <w:lastRenderedPageBreak/>
              <w:t>3.2</w:t>
            </w:r>
          </w:p>
        </w:tc>
        <w:tc>
          <w:tcPr>
            <w:tcW w:w="4452" w:type="dxa"/>
          </w:tcPr>
          <w:p w:rsidR="00E005CF" w:rsidRPr="00BE2295" w:rsidRDefault="00E005CF" w:rsidP="00D630D6">
            <w:pPr>
              <w:pStyle w:val="NormalWeb"/>
              <w:jc w:val="both"/>
              <w:rPr>
                <w:sz w:val="18"/>
                <w:szCs w:val="18"/>
              </w:rPr>
            </w:pPr>
            <w:r w:rsidRPr="00BE2295">
              <w:rPr>
                <w:sz w:val="18"/>
                <w:szCs w:val="18"/>
              </w:rPr>
              <w:t>Les informations financières doivent être présentées de manière à satisfaire aux besoins de l’analyse des politiques et à  promouvoir la responsabilisation.</w:t>
            </w:r>
          </w:p>
        </w:tc>
        <w:tc>
          <w:tcPr>
            <w:tcW w:w="5488" w:type="dxa"/>
          </w:tcPr>
          <w:p w:rsidR="00E005CF" w:rsidRPr="00BE2295" w:rsidRDefault="00E005CF" w:rsidP="00E005CF">
            <w:pPr>
              <w:pStyle w:val="NormalWeb"/>
              <w:numPr>
                <w:ilvl w:val="0"/>
                <w:numId w:val="11"/>
              </w:numPr>
              <w:jc w:val="both"/>
              <w:rPr>
                <w:sz w:val="18"/>
                <w:szCs w:val="18"/>
              </w:rPr>
            </w:pPr>
            <w:r w:rsidRPr="00BE2295">
              <w:rPr>
                <w:sz w:val="18"/>
                <w:szCs w:val="18"/>
              </w:rPr>
              <w:t>Les propositions principales et le contexte économique du budget sont expliqués clairement au public.</w:t>
            </w:r>
          </w:p>
          <w:p w:rsidR="00E005CF" w:rsidRPr="00BE2295" w:rsidRDefault="00E005CF" w:rsidP="00E005CF">
            <w:pPr>
              <w:pStyle w:val="NormalWeb"/>
              <w:numPr>
                <w:ilvl w:val="0"/>
                <w:numId w:val="11"/>
              </w:numPr>
              <w:jc w:val="both"/>
              <w:rPr>
                <w:sz w:val="18"/>
                <w:szCs w:val="18"/>
              </w:rPr>
            </w:pPr>
            <w:r w:rsidRPr="00BE2295">
              <w:rPr>
                <w:sz w:val="18"/>
                <w:szCs w:val="18"/>
              </w:rPr>
              <w:t xml:space="preserve">Les recettes, dépenses et financements sont présentés sur une base brute, avec une ventilation économique, fonctionnelle et administrative des dépenses. </w:t>
            </w:r>
          </w:p>
          <w:p w:rsidR="00E005CF" w:rsidRPr="00BE2295" w:rsidRDefault="00E005CF" w:rsidP="00E005CF">
            <w:pPr>
              <w:pStyle w:val="NormalWeb"/>
              <w:numPr>
                <w:ilvl w:val="0"/>
                <w:numId w:val="11"/>
              </w:numPr>
              <w:jc w:val="both"/>
              <w:rPr>
                <w:sz w:val="18"/>
                <w:szCs w:val="18"/>
              </w:rPr>
            </w:pPr>
            <w:r w:rsidRPr="00BE2295">
              <w:rPr>
                <w:sz w:val="18"/>
                <w:szCs w:val="18"/>
              </w:rPr>
              <w:t xml:space="preserve">Les résultats des programmes de l’administration centrale sont présentés à l’organe législatif.  </w:t>
            </w:r>
          </w:p>
        </w:tc>
      </w:tr>
      <w:tr w:rsidR="00E005CF" w:rsidRPr="00BE2295" w:rsidTr="00D630D6">
        <w:tc>
          <w:tcPr>
            <w:tcW w:w="516" w:type="dxa"/>
          </w:tcPr>
          <w:p w:rsidR="00E005CF" w:rsidRPr="00BE2295" w:rsidRDefault="00E005CF" w:rsidP="00D630D6">
            <w:pPr>
              <w:pStyle w:val="NormalWeb"/>
              <w:jc w:val="both"/>
              <w:rPr>
                <w:sz w:val="18"/>
                <w:szCs w:val="18"/>
              </w:rPr>
            </w:pPr>
            <w:r w:rsidRPr="00BE2295">
              <w:rPr>
                <w:sz w:val="18"/>
                <w:szCs w:val="18"/>
              </w:rPr>
              <w:t>3.3</w:t>
            </w:r>
          </w:p>
        </w:tc>
        <w:tc>
          <w:tcPr>
            <w:tcW w:w="4452" w:type="dxa"/>
          </w:tcPr>
          <w:p w:rsidR="00E005CF" w:rsidRPr="00BE2295" w:rsidRDefault="00E005CF" w:rsidP="00D630D6">
            <w:pPr>
              <w:pStyle w:val="NormalWeb"/>
              <w:jc w:val="both"/>
              <w:rPr>
                <w:sz w:val="18"/>
                <w:szCs w:val="18"/>
              </w:rPr>
            </w:pPr>
            <w:r w:rsidRPr="00BE2295">
              <w:rPr>
                <w:sz w:val="18"/>
                <w:szCs w:val="18"/>
              </w:rPr>
              <w:t>Un engagement public de diffuser en temps voulu des informations sur les finances publiques doit être pris.</w:t>
            </w:r>
          </w:p>
        </w:tc>
        <w:tc>
          <w:tcPr>
            <w:tcW w:w="5488" w:type="dxa"/>
          </w:tcPr>
          <w:p w:rsidR="00E005CF" w:rsidRPr="00BE2295" w:rsidRDefault="00E005CF" w:rsidP="00E005CF">
            <w:pPr>
              <w:pStyle w:val="NormalWeb"/>
              <w:numPr>
                <w:ilvl w:val="0"/>
                <w:numId w:val="11"/>
              </w:numPr>
              <w:jc w:val="both"/>
              <w:rPr>
                <w:sz w:val="18"/>
                <w:szCs w:val="18"/>
              </w:rPr>
            </w:pPr>
            <w:r w:rsidRPr="00BE2295">
              <w:rPr>
                <w:sz w:val="18"/>
                <w:szCs w:val="18"/>
              </w:rPr>
              <w:t xml:space="preserve">La loi exige la publication d’informations à jour. </w:t>
            </w:r>
          </w:p>
        </w:tc>
      </w:tr>
      <w:tr w:rsidR="00E005CF" w:rsidRPr="00BE2295" w:rsidTr="00D630D6">
        <w:trPr>
          <w:trHeight w:val="420"/>
        </w:trPr>
        <w:tc>
          <w:tcPr>
            <w:tcW w:w="10456" w:type="dxa"/>
            <w:gridSpan w:val="3"/>
          </w:tcPr>
          <w:p w:rsidR="00E005CF" w:rsidRPr="00BE2295" w:rsidRDefault="00E005CF" w:rsidP="00D630D6">
            <w:pPr>
              <w:pStyle w:val="NormalWeb"/>
              <w:jc w:val="center"/>
              <w:rPr>
                <w:b/>
                <w:i/>
                <w:sz w:val="18"/>
                <w:szCs w:val="18"/>
              </w:rPr>
            </w:pPr>
            <w:r w:rsidRPr="00BE2295">
              <w:rPr>
                <w:b/>
                <w:i/>
                <w:sz w:val="18"/>
                <w:szCs w:val="18"/>
              </w:rPr>
              <w:t>Garantie d'intégrité</w:t>
            </w:r>
          </w:p>
        </w:tc>
      </w:tr>
      <w:tr w:rsidR="00E005CF" w:rsidRPr="00BE2295" w:rsidTr="00D630D6">
        <w:tc>
          <w:tcPr>
            <w:tcW w:w="516" w:type="dxa"/>
          </w:tcPr>
          <w:p w:rsidR="00E005CF" w:rsidRPr="00BE2295" w:rsidRDefault="00E005CF" w:rsidP="00D630D6">
            <w:pPr>
              <w:pStyle w:val="NormalWeb"/>
              <w:jc w:val="both"/>
              <w:rPr>
                <w:sz w:val="18"/>
                <w:szCs w:val="18"/>
              </w:rPr>
            </w:pPr>
            <w:r w:rsidRPr="00BE2295">
              <w:rPr>
                <w:sz w:val="18"/>
                <w:szCs w:val="18"/>
              </w:rPr>
              <w:t>4.1</w:t>
            </w:r>
          </w:p>
        </w:tc>
        <w:tc>
          <w:tcPr>
            <w:tcW w:w="4452" w:type="dxa"/>
          </w:tcPr>
          <w:p w:rsidR="00E005CF" w:rsidRPr="00BE2295" w:rsidRDefault="00E005CF" w:rsidP="00D630D6">
            <w:pPr>
              <w:pStyle w:val="NormalWeb"/>
              <w:jc w:val="both"/>
              <w:rPr>
                <w:sz w:val="20"/>
                <w:szCs w:val="20"/>
              </w:rPr>
            </w:pPr>
            <w:r w:rsidRPr="00BE2295">
              <w:rPr>
                <w:sz w:val="20"/>
                <w:szCs w:val="20"/>
              </w:rPr>
              <w:t>Les données budgétaires doivent être conformes aux normes de qualité reconnues.</w:t>
            </w:r>
          </w:p>
        </w:tc>
        <w:tc>
          <w:tcPr>
            <w:tcW w:w="5488" w:type="dxa"/>
          </w:tcPr>
          <w:p w:rsidR="00E005CF" w:rsidRPr="00BE2295" w:rsidRDefault="00E005CF" w:rsidP="00E005CF">
            <w:pPr>
              <w:pStyle w:val="NormalWeb"/>
              <w:numPr>
                <w:ilvl w:val="0"/>
                <w:numId w:val="11"/>
              </w:numPr>
              <w:jc w:val="both"/>
              <w:rPr>
                <w:sz w:val="20"/>
                <w:szCs w:val="20"/>
              </w:rPr>
            </w:pPr>
            <w:r w:rsidRPr="00BE2295">
              <w:rPr>
                <w:sz w:val="20"/>
                <w:szCs w:val="20"/>
              </w:rPr>
              <w:t xml:space="preserve">Les pratiques comptables satisfont aux normes généralement acceptées. </w:t>
            </w:r>
          </w:p>
          <w:p w:rsidR="00E005CF" w:rsidRPr="00BE2295" w:rsidRDefault="00E005CF" w:rsidP="00E005CF">
            <w:pPr>
              <w:pStyle w:val="NormalWeb"/>
              <w:numPr>
                <w:ilvl w:val="0"/>
                <w:numId w:val="11"/>
              </w:numPr>
              <w:jc w:val="both"/>
              <w:rPr>
                <w:sz w:val="20"/>
                <w:szCs w:val="20"/>
              </w:rPr>
            </w:pPr>
            <w:r w:rsidRPr="00BE2295">
              <w:rPr>
                <w:sz w:val="20"/>
                <w:szCs w:val="20"/>
              </w:rPr>
              <w:t xml:space="preserve">Les comptes définitifs correspondent parfaitement aux crédits ouverts et les résultats globaux correspondent aux prévisions. </w:t>
            </w:r>
          </w:p>
          <w:p w:rsidR="00E005CF" w:rsidRPr="00BE2295" w:rsidRDefault="00E005CF" w:rsidP="00E005CF">
            <w:pPr>
              <w:pStyle w:val="NormalWeb"/>
              <w:numPr>
                <w:ilvl w:val="0"/>
                <w:numId w:val="11"/>
              </w:numPr>
              <w:jc w:val="both"/>
              <w:rPr>
                <w:sz w:val="20"/>
                <w:szCs w:val="20"/>
              </w:rPr>
            </w:pPr>
            <w:r w:rsidRPr="00BE2295">
              <w:rPr>
                <w:sz w:val="20"/>
                <w:szCs w:val="20"/>
              </w:rPr>
              <w:t>Les pays adhèrent au SGDD</w:t>
            </w:r>
            <w:r>
              <w:rPr>
                <w:sz w:val="20"/>
                <w:szCs w:val="20"/>
              </w:rPr>
              <w:t xml:space="preserve"> (système général de diffusion des données)</w:t>
            </w:r>
            <w:r w:rsidRPr="00BE2295">
              <w:rPr>
                <w:sz w:val="20"/>
                <w:szCs w:val="20"/>
              </w:rPr>
              <w:t xml:space="preserve"> s’ils ne sont pas en mesure d’adhérer à la NSDD</w:t>
            </w:r>
            <w:r>
              <w:rPr>
                <w:sz w:val="20"/>
                <w:szCs w:val="20"/>
              </w:rPr>
              <w:t xml:space="preserve"> (norme spéciale de diffusion des données)</w:t>
            </w:r>
            <w:r w:rsidRPr="00BE2295">
              <w:rPr>
                <w:sz w:val="20"/>
                <w:szCs w:val="20"/>
              </w:rPr>
              <w:t xml:space="preserve">. </w:t>
            </w:r>
          </w:p>
        </w:tc>
      </w:tr>
      <w:tr w:rsidR="00E005CF" w:rsidRPr="00BE2295" w:rsidTr="00D630D6">
        <w:tc>
          <w:tcPr>
            <w:tcW w:w="516" w:type="dxa"/>
          </w:tcPr>
          <w:p w:rsidR="00E005CF" w:rsidRPr="00BE2295" w:rsidRDefault="00E005CF" w:rsidP="00D630D6">
            <w:pPr>
              <w:pStyle w:val="NormalWeb"/>
              <w:jc w:val="both"/>
              <w:rPr>
                <w:sz w:val="18"/>
                <w:szCs w:val="18"/>
              </w:rPr>
            </w:pPr>
            <w:r w:rsidRPr="00BE2295">
              <w:rPr>
                <w:sz w:val="18"/>
                <w:szCs w:val="18"/>
              </w:rPr>
              <w:t>4.2</w:t>
            </w:r>
          </w:p>
        </w:tc>
        <w:tc>
          <w:tcPr>
            <w:tcW w:w="4452" w:type="dxa"/>
          </w:tcPr>
          <w:p w:rsidR="00E005CF" w:rsidRPr="00BE2295" w:rsidRDefault="00E005CF" w:rsidP="00D630D6">
            <w:pPr>
              <w:pStyle w:val="NormalWeb"/>
              <w:jc w:val="both"/>
              <w:rPr>
                <w:sz w:val="20"/>
                <w:szCs w:val="20"/>
              </w:rPr>
            </w:pPr>
            <w:r w:rsidRPr="00BE2295">
              <w:rPr>
                <w:sz w:val="20"/>
                <w:szCs w:val="20"/>
              </w:rPr>
              <w:t>Les activités financières doivent être soumises à des sauvegardes et à un contrôle interne effectifs.</w:t>
            </w:r>
          </w:p>
        </w:tc>
        <w:tc>
          <w:tcPr>
            <w:tcW w:w="5488" w:type="dxa"/>
          </w:tcPr>
          <w:p w:rsidR="00E005CF" w:rsidRPr="00BE2295" w:rsidRDefault="00E005CF" w:rsidP="00E005CF">
            <w:pPr>
              <w:pStyle w:val="NormalWeb"/>
              <w:numPr>
                <w:ilvl w:val="0"/>
                <w:numId w:val="12"/>
              </w:numPr>
              <w:jc w:val="both"/>
              <w:rPr>
                <w:sz w:val="20"/>
                <w:szCs w:val="20"/>
              </w:rPr>
            </w:pPr>
            <w:r w:rsidRPr="00BE2295">
              <w:rPr>
                <w:sz w:val="20"/>
                <w:szCs w:val="20"/>
              </w:rPr>
              <w:t xml:space="preserve">Les normes de passation de marchés, celles visant les opérations financières auxquelles participe le secteur public et les normes déontologiques concernant les fonctionnaires sont claires, accessibles au public et observées dans la pratique. </w:t>
            </w:r>
          </w:p>
          <w:p w:rsidR="00E005CF" w:rsidRPr="00BE2295" w:rsidRDefault="00E005CF" w:rsidP="00E005CF">
            <w:pPr>
              <w:pStyle w:val="NormalWeb"/>
              <w:numPr>
                <w:ilvl w:val="0"/>
                <w:numId w:val="12"/>
              </w:numPr>
              <w:jc w:val="both"/>
              <w:rPr>
                <w:sz w:val="20"/>
                <w:szCs w:val="20"/>
              </w:rPr>
            </w:pPr>
            <w:r w:rsidRPr="00BE2295">
              <w:rPr>
                <w:sz w:val="20"/>
                <w:szCs w:val="20"/>
              </w:rPr>
              <w:t xml:space="preserve">Les procédures d’audit interne sont claires. </w:t>
            </w:r>
          </w:p>
        </w:tc>
      </w:tr>
      <w:tr w:rsidR="00E005CF" w:rsidRPr="00BE2295" w:rsidTr="00D630D6">
        <w:tc>
          <w:tcPr>
            <w:tcW w:w="516" w:type="dxa"/>
          </w:tcPr>
          <w:p w:rsidR="00E005CF" w:rsidRPr="00BE2295" w:rsidRDefault="00E005CF" w:rsidP="00D630D6">
            <w:pPr>
              <w:pStyle w:val="NormalWeb"/>
              <w:jc w:val="both"/>
              <w:rPr>
                <w:sz w:val="18"/>
                <w:szCs w:val="18"/>
              </w:rPr>
            </w:pPr>
            <w:r w:rsidRPr="00BE2295">
              <w:rPr>
                <w:sz w:val="18"/>
                <w:szCs w:val="18"/>
              </w:rPr>
              <w:t>4.3</w:t>
            </w:r>
          </w:p>
        </w:tc>
        <w:tc>
          <w:tcPr>
            <w:tcW w:w="4452" w:type="dxa"/>
          </w:tcPr>
          <w:p w:rsidR="00E005CF" w:rsidRPr="00BE2295" w:rsidRDefault="00E005CF" w:rsidP="00D630D6">
            <w:pPr>
              <w:pStyle w:val="NormalWeb"/>
              <w:jc w:val="both"/>
              <w:rPr>
                <w:sz w:val="20"/>
                <w:szCs w:val="20"/>
              </w:rPr>
            </w:pPr>
            <w:r w:rsidRPr="00BE2295">
              <w:rPr>
                <w:sz w:val="20"/>
                <w:szCs w:val="20"/>
              </w:rPr>
              <w:t>Les informations relatives aux finances publiques doivent être soumises à un examen extérieur.</w:t>
            </w:r>
          </w:p>
        </w:tc>
        <w:tc>
          <w:tcPr>
            <w:tcW w:w="5488" w:type="dxa"/>
          </w:tcPr>
          <w:p w:rsidR="00E005CF" w:rsidRPr="00BE2295" w:rsidRDefault="00E005CF" w:rsidP="00E005CF">
            <w:pPr>
              <w:pStyle w:val="NormalWeb"/>
              <w:numPr>
                <w:ilvl w:val="0"/>
                <w:numId w:val="12"/>
              </w:numPr>
              <w:jc w:val="both"/>
              <w:rPr>
                <w:sz w:val="20"/>
                <w:szCs w:val="20"/>
              </w:rPr>
            </w:pPr>
            <w:r w:rsidRPr="00BE2295">
              <w:rPr>
                <w:sz w:val="20"/>
                <w:szCs w:val="20"/>
              </w:rPr>
              <w:t xml:space="preserve">Une instance nationale d’audit indépendante du pouvoir exécutif remet aux autorités législatives et au public (avec une périodicité au moins annuelle) des rapports récents sur l’intégrité financière des comptes de l’administration publique. </w:t>
            </w:r>
          </w:p>
        </w:tc>
      </w:tr>
    </w:tbl>
    <w:p w:rsidR="00E005CF" w:rsidRPr="00313BD2" w:rsidRDefault="00E005CF" w:rsidP="00E005CF">
      <w:pPr>
        <w:autoSpaceDE w:val="0"/>
        <w:autoSpaceDN w:val="0"/>
        <w:adjustRightInd w:val="0"/>
        <w:jc w:val="both"/>
        <w:rPr>
          <w:i/>
          <w:sz w:val="20"/>
          <w:szCs w:val="20"/>
        </w:rPr>
      </w:pPr>
      <w:r w:rsidRPr="00313BD2">
        <w:rPr>
          <w:i/>
          <w:sz w:val="20"/>
          <w:szCs w:val="20"/>
        </w:rPr>
        <w:t>Source : FMI (2007). Manuel sur la transparence des finances publiques</w:t>
      </w:r>
    </w:p>
    <w:p w:rsidR="00E005CF" w:rsidRDefault="00E005CF" w:rsidP="00E005CF">
      <w:pPr>
        <w:autoSpaceDE w:val="0"/>
        <w:autoSpaceDN w:val="0"/>
        <w:adjustRightInd w:val="0"/>
        <w:jc w:val="both"/>
      </w:pPr>
    </w:p>
    <w:p w:rsidR="00E005CF" w:rsidRPr="00A4770A" w:rsidRDefault="00E005CF" w:rsidP="00E005CF">
      <w:pPr>
        <w:autoSpaceDE w:val="0"/>
        <w:autoSpaceDN w:val="0"/>
        <w:adjustRightInd w:val="0"/>
        <w:jc w:val="both"/>
      </w:pPr>
      <w:r>
        <w:t xml:space="preserve">La participation du public au processus budgétaire est essentielle pour l’amélioration des décisions budgétaires et la crédibilité des politiques publiques. Elle peut encourager le soutien de la population au processus budgétaire local et national en lui offrant la possibilité de faire connaître leurs préoccupations à l’égard de la gestion fiscale et de leurs priorités budgétaires et partant, en créer </w:t>
      </w:r>
      <w:r w:rsidRPr="00B860B7">
        <w:t>des partenariats fondés sur la confiance et le consensus entre l´Etat et les citoyens</w:t>
      </w:r>
      <w:r>
        <w:t xml:space="preserve">. Elle permet enfin d’améliorer la communication entre les fonctionnaires, les leaders politiques et la société civile. Cette participation peut accroître également la transparence fiscale et la responsabilité en matière de gestion des finances publiques. </w:t>
      </w:r>
      <w:r w:rsidRPr="00B860B7">
        <w:t xml:space="preserve">Qui plus est, elle peut aider les organes étatiques à mieux contrôler la gestion des finances publiques (cf. encadré 1). </w:t>
      </w:r>
    </w:p>
    <w:p w:rsidR="00E005CF" w:rsidRDefault="00E005CF" w:rsidP="00E005CF">
      <w:pPr>
        <w:autoSpaceDE w:val="0"/>
        <w:autoSpaceDN w:val="0"/>
        <w:adjustRightInd w:val="0"/>
        <w:jc w:val="both"/>
        <w:rPr>
          <w:rFonts w:eastAsiaTheme="minorHAnsi"/>
          <w:color w:val="FF0000"/>
          <w:lang w:eastAsia="en-US"/>
        </w:rPr>
      </w:pPr>
    </w:p>
    <w:p w:rsidR="00CC2A2B" w:rsidRDefault="00CC2A2B" w:rsidP="00E005CF">
      <w:pPr>
        <w:autoSpaceDE w:val="0"/>
        <w:autoSpaceDN w:val="0"/>
        <w:adjustRightInd w:val="0"/>
        <w:jc w:val="both"/>
        <w:rPr>
          <w:rFonts w:eastAsiaTheme="minorHAnsi"/>
          <w:color w:val="FF0000"/>
          <w:lang w:eastAsia="en-US"/>
        </w:rPr>
      </w:pPr>
    </w:p>
    <w:p w:rsidR="00CC2A2B" w:rsidRDefault="00CC2A2B" w:rsidP="00E005CF">
      <w:pPr>
        <w:autoSpaceDE w:val="0"/>
        <w:autoSpaceDN w:val="0"/>
        <w:adjustRightInd w:val="0"/>
        <w:jc w:val="both"/>
        <w:rPr>
          <w:rFonts w:eastAsiaTheme="minorHAnsi"/>
          <w:color w:val="FF0000"/>
          <w:lang w:eastAsia="en-US"/>
        </w:rPr>
      </w:pPr>
    </w:p>
    <w:p w:rsidR="00CC2A2B" w:rsidRPr="00795AC2" w:rsidRDefault="00CC2A2B" w:rsidP="00E005CF">
      <w:pPr>
        <w:autoSpaceDE w:val="0"/>
        <w:autoSpaceDN w:val="0"/>
        <w:adjustRightInd w:val="0"/>
        <w:jc w:val="both"/>
        <w:rPr>
          <w:rFonts w:eastAsiaTheme="minorHAnsi"/>
          <w:color w:val="FF0000"/>
          <w:lang w:eastAsia="en-US"/>
        </w:rPr>
      </w:pPr>
    </w:p>
    <w:p w:rsidR="00E005CF" w:rsidRDefault="00E005CF" w:rsidP="00E005CF">
      <w:pPr>
        <w:autoSpaceDE w:val="0"/>
        <w:autoSpaceDN w:val="0"/>
        <w:adjustRightInd w:val="0"/>
        <w:jc w:val="both"/>
        <w:rPr>
          <w:rFonts w:eastAsia="Times-Roman"/>
          <w:lang w:eastAsia="en-US"/>
        </w:rPr>
      </w:pPr>
    </w:p>
    <w:p w:rsidR="00E005CF" w:rsidRPr="00792460" w:rsidRDefault="00E005CF" w:rsidP="00E005CF">
      <w:pPr>
        <w:pBdr>
          <w:top w:val="single" w:sz="4" w:space="1" w:color="auto"/>
          <w:left w:val="single" w:sz="4" w:space="1" w:color="auto"/>
          <w:bottom w:val="single" w:sz="4" w:space="1" w:color="auto"/>
          <w:right w:val="single" w:sz="4" w:space="4" w:color="auto"/>
        </w:pBdr>
        <w:autoSpaceDE w:val="0"/>
        <w:autoSpaceDN w:val="0"/>
        <w:adjustRightInd w:val="0"/>
        <w:jc w:val="both"/>
        <w:rPr>
          <w:rFonts w:eastAsiaTheme="minorHAnsi"/>
          <w:b/>
          <w:color w:val="000000"/>
          <w:lang w:eastAsia="en-US"/>
        </w:rPr>
      </w:pPr>
      <w:r w:rsidRPr="00792460">
        <w:rPr>
          <w:rFonts w:eastAsiaTheme="minorHAnsi"/>
          <w:b/>
          <w:color w:val="000000"/>
          <w:lang w:eastAsia="en-US"/>
        </w:rPr>
        <w:lastRenderedPageBreak/>
        <w:t>Encadré</w:t>
      </w:r>
      <w:r>
        <w:rPr>
          <w:rFonts w:eastAsiaTheme="minorHAnsi"/>
          <w:b/>
          <w:color w:val="000000"/>
          <w:lang w:eastAsia="en-US"/>
        </w:rPr>
        <w:t xml:space="preserve"> 1</w:t>
      </w:r>
      <w:r w:rsidRPr="00792460">
        <w:rPr>
          <w:rFonts w:eastAsiaTheme="minorHAnsi"/>
          <w:b/>
          <w:color w:val="000000"/>
          <w:lang w:eastAsia="en-US"/>
        </w:rPr>
        <w:t>. Intervention de la société civile lors du contrôle budgétaire</w:t>
      </w:r>
    </w:p>
    <w:p w:rsidR="00E005CF" w:rsidRPr="00795AC2" w:rsidRDefault="00E005CF" w:rsidP="00E005CF">
      <w:pPr>
        <w:pBdr>
          <w:top w:val="single" w:sz="4" w:space="1" w:color="auto"/>
          <w:left w:val="single" w:sz="4" w:space="1" w:color="auto"/>
          <w:bottom w:val="single" w:sz="4" w:space="1" w:color="auto"/>
          <w:right w:val="single" w:sz="4" w:space="4" w:color="auto"/>
        </w:pBdr>
        <w:autoSpaceDE w:val="0"/>
        <w:autoSpaceDN w:val="0"/>
        <w:adjustRightInd w:val="0"/>
        <w:jc w:val="both"/>
        <w:rPr>
          <w:rFonts w:eastAsiaTheme="minorHAnsi"/>
          <w:b/>
          <w:bCs/>
          <w:color w:val="0065A5"/>
          <w:lang w:eastAsia="en-US"/>
        </w:rPr>
      </w:pPr>
    </w:p>
    <w:p w:rsidR="00E005CF" w:rsidRDefault="00E005CF" w:rsidP="00E005CF">
      <w:pPr>
        <w:pBdr>
          <w:top w:val="single" w:sz="4" w:space="1" w:color="auto"/>
          <w:left w:val="single" w:sz="4" w:space="1" w:color="auto"/>
          <w:bottom w:val="single" w:sz="4" w:space="1" w:color="auto"/>
          <w:right w:val="single" w:sz="4" w:space="4" w:color="auto"/>
        </w:pBdr>
        <w:autoSpaceDE w:val="0"/>
        <w:autoSpaceDN w:val="0"/>
        <w:adjustRightInd w:val="0"/>
        <w:jc w:val="both"/>
        <w:rPr>
          <w:rFonts w:eastAsiaTheme="minorHAnsi"/>
          <w:color w:val="000000"/>
          <w:lang w:eastAsia="en-US"/>
        </w:rPr>
      </w:pPr>
      <w:r w:rsidRPr="00795AC2">
        <w:rPr>
          <w:rFonts w:eastAsiaTheme="minorHAnsi"/>
          <w:color w:val="000000"/>
          <w:lang w:eastAsia="en-US"/>
        </w:rPr>
        <w:t>Les membres du groupe Citoyens concernés d’Abra pour un bon gouvernement (CCAGG) aux Philippines ont été choqués quand ils ont vu un encart dans le journal publié par le Ministère des travaux publics déclarant qu’il avait réalisé avec succès 27 projets dans la province d’Abra. Sachant que cela n’était pas vrai, les membres de CCAGG ont rassemblé une documentation détaillée sur l’état véritable des projets soi-disant réalisés. Un contrôle gouvernemental officiel a concordé avec les conclusions de CCAGG, et plusieurs fonctionnaires ont été accusés de corruption puis finalement suspendus pour mauvaise conduite.</w:t>
      </w:r>
    </w:p>
    <w:p w:rsidR="00E005CF" w:rsidRPr="00795AC2" w:rsidRDefault="00E005CF" w:rsidP="00E005CF">
      <w:pPr>
        <w:pBdr>
          <w:top w:val="single" w:sz="4" w:space="1" w:color="auto"/>
          <w:left w:val="single" w:sz="4" w:space="1" w:color="auto"/>
          <w:bottom w:val="single" w:sz="4" w:space="1" w:color="auto"/>
          <w:right w:val="single" w:sz="4" w:space="4" w:color="auto"/>
        </w:pBdr>
        <w:autoSpaceDE w:val="0"/>
        <w:autoSpaceDN w:val="0"/>
        <w:adjustRightInd w:val="0"/>
        <w:jc w:val="both"/>
        <w:rPr>
          <w:rFonts w:eastAsiaTheme="minorHAnsi"/>
          <w:color w:val="000000"/>
          <w:lang w:eastAsia="en-US"/>
        </w:rPr>
      </w:pPr>
    </w:p>
    <w:p w:rsidR="00E005CF" w:rsidRDefault="00E005CF" w:rsidP="00E005CF">
      <w:pPr>
        <w:pBdr>
          <w:top w:val="single" w:sz="4" w:space="1" w:color="auto"/>
          <w:left w:val="single" w:sz="4" w:space="1" w:color="auto"/>
          <w:bottom w:val="single" w:sz="4" w:space="1" w:color="auto"/>
          <w:right w:val="single" w:sz="4" w:space="4" w:color="auto"/>
        </w:pBdr>
        <w:autoSpaceDE w:val="0"/>
        <w:autoSpaceDN w:val="0"/>
        <w:adjustRightInd w:val="0"/>
        <w:jc w:val="both"/>
        <w:rPr>
          <w:rFonts w:eastAsiaTheme="minorHAnsi"/>
          <w:color w:val="000000"/>
          <w:lang w:eastAsia="en-US"/>
        </w:rPr>
      </w:pPr>
      <w:r w:rsidRPr="00795AC2">
        <w:rPr>
          <w:rFonts w:eastAsiaTheme="minorHAnsi"/>
          <w:color w:val="000000"/>
          <w:lang w:eastAsia="en-US"/>
        </w:rPr>
        <w:t>Certaines organisations de la société civile ont pris des mesures pour publi</w:t>
      </w:r>
      <w:r>
        <w:rPr>
          <w:rFonts w:eastAsiaTheme="minorHAnsi"/>
          <w:color w:val="000000"/>
          <w:lang w:eastAsia="en-US"/>
        </w:rPr>
        <w:t>er</w:t>
      </w:r>
      <w:r w:rsidRPr="00795AC2">
        <w:rPr>
          <w:rFonts w:eastAsiaTheme="minorHAnsi"/>
          <w:color w:val="000000"/>
          <w:lang w:eastAsia="en-US"/>
        </w:rPr>
        <w:t xml:space="preserve"> les résultats des Rapports d’audit afin que le gouvernement se responsabilise pour la gestion des fonds publics. L’une de ces organisations, HakiElimu en Tanzanie, a créé un ensemble de prospectus qui présentent les résultats des Rapports d’audit récents de façon attractive et accessible et les a distribués auprès des médias, des fonctionnaires de l’exécutif, des législateurs et des partenaires de la société civile. La première série de prospectus, publiée en 2006, a obtenu un large succès, et le contrôleur et l’auditeur général ont alors coopéré dav</w:t>
      </w:r>
      <w:r>
        <w:rPr>
          <w:rFonts w:eastAsiaTheme="minorHAnsi"/>
          <w:color w:val="000000"/>
          <w:lang w:eastAsia="en-US"/>
        </w:rPr>
        <w:t>antage avec le projet lors de son</w:t>
      </w:r>
      <w:r w:rsidRPr="00795AC2">
        <w:rPr>
          <w:rFonts w:eastAsiaTheme="minorHAnsi"/>
          <w:color w:val="000000"/>
          <w:lang w:eastAsia="en-US"/>
        </w:rPr>
        <w:t xml:space="preserve"> </w:t>
      </w:r>
      <w:r>
        <w:rPr>
          <w:rFonts w:eastAsiaTheme="minorHAnsi"/>
          <w:color w:val="000000"/>
          <w:lang w:eastAsia="en-US"/>
        </w:rPr>
        <w:t>renouvellement</w:t>
      </w:r>
      <w:r w:rsidRPr="00795AC2">
        <w:rPr>
          <w:rFonts w:eastAsiaTheme="minorHAnsi"/>
          <w:color w:val="000000"/>
          <w:lang w:eastAsia="en-US"/>
        </w:rPr>
        <w:t xml:space="preserve"> en 2007.</w:t>
      </w:r>
    </w:p>
    <w:p w:rsidR="00E005CF" w:rsidRDefault="00E005CF" w:rsidP="00E005CF">
      <w:pPr>
        <w:pBdr>
          <w:top w:val="single" w:sz="4" w:space="1" w:color="auto"/>
          <w:left w:val="single" w:sz="4" w:space="1" w:color="auto"/>
          <w:bottom w:val="single" w:sz="4" w:space="1" w:color="auto"/>
          <w:right w:val="single" w:sz="4" w:space="4" w:color="auto"/>
        </w:pBdr>
        <w:autoSpaceDE w:val="0"/>
        <w:autoSpaceDN w:val="0"/>
        <w:adjustRightInd w:val="0"/>
        <w:jc w:val="both"/>
        <w:rPr>
          <w:rFonts w:eastAsiaTheme="minorHAnsi"/>
          <w:color w:val="000000"/>
          <w:lang w:eastAsia="en-US"/>
        </w:rPr>
      </w:pPr>
    </w:p>
    <w:p w:rsidR="00E005CF" w:rsidRPr="006E18F7" w:rsidRDefault="00E005CF" w:rsidP="00E005CF">
      <w:pPr>
        <w:pBdr>
          <w:top w:val="single" w:sz="4" w:space="1" w:color="auto"/>
          <w:left w:val="single" w:sz="4" w:space="1" w:color="auto"/>
          <w:bottom w:val="single" w:sz="4" w:space="1" w:color="auto"/>
          <w:right w:val="single" w:sz="4" w:space="4" w:color="auto"/>
        </w:pBdr>
        <w:autoSpaceDE w:val="0"/>
        <w:autoSpaceDN w:val="0"/>
        <w:adjustRightInd w:val="0"/>
        <w:jc w:val="both"/>
        <w:rPr>
          <w:rFonts w:eastAsiaTheme="minorHAnsi"/>
          <w:color w:val="000000"/>
          <w:sz w:val="20"/>
          <w:szCs w:val="20"/>
          <w:lang w:eastAsia="en-US"/>
        </w:rPr>
      </w:pPr>
      <w:r w:rsidRPr="006E18F7">
        <w:rPr>
          <w:rFonts w:eastAsiaTheme="minorHAnsi"/>
          <w:color w:val="000000"/>
          <w:sz w:val="20"/>
          <w:szCs w:val="20"/>
          <w:lang w:eastAsia="en-US"/>
        </w:rPr>
        <w:t>Adapté de International Budget Partenership « Ouvrir les budgets, changez les vies, enquête sur le budget ouvert 2008 ».</w:t>
      </w:r>
    </w:p>
    <w:p w:rsidR="00E005CF" w:rsidRDefault="00E005CF" w:rsidP="00E005CF">
      <w:pPr>
        <w:autoSpaceDE w:val="0"/>
        <w:autoSpaceDN w:val="0"/>
        <w:adjustRightInd w:val="0"/>
        <w:jc w:val="both"/>
      </w:pPr>
    </w:p>
    <w:p w:rsidR="00E005CF" w:rsidRPr="00E005CF" w:rsidRDefault="00E005CF" w:rsidP="00E005CF">
      <w:pPr>
        <w:autoSpaceDE w:val="0"/>
        <w:autoSpaceDN w:val="0"/>
        <w:adjustRightInd w:val="0"/>
        <w:jc w:val="both"/>
        <w:rPr>
          <w:color w:val="000000"/>
        </w:rPr>
      </w:pPr>
      <w:r>
        <w:t xml:space="preserve">L’intérêt manifesté pour la promotion de la gouvernance des finances publiques est de plus en plus important. On ne peut que le constater: la bonne gouvernance des finances publiques est au cœur de toutes les réformes de la gestion des finances publiques. Des standards internationaux sont développés par des organisations et initiatives internationles, comme le FMI, la Banque Mondiale, l’Union Européenne, l’OCDE, le PEFA (Performance Expenditure and Financial Accountability), </w:t>
      </w:r>
      <w:r w:rsidRPr="00114225">
        <w:t>l’</w:t>
      </w:r>
      <w:r w:rsidRPr="00114225">
        <w:rPr>
          <w:color w:val="000000"/>
        </w:rPr>
        <w:t>Initiative sur la transparence des industries extractives (EITI), l’INTOSAI</w:t>
      </w:r>
      <w:r>
        <w:rPr>
          <w:color w:val="000000"/>
        </w:rPr>
        <w:t xml:space="preserve"> (</w:t>
      </w:r>
      <w:r w:rsidRPr="00887075">
        <w:rPr>
          <w:bCs/>
          <w:lang w:eastAsia="en-GB"/>
        </w:rPr>
        <w:t>Organisation Internationale des Institutions Supérieures de Contrôle des Finances Publiques</w:t>
      </w:r>
      <w:r>
        <w:rPr>
          <w:bCs/>
          <w:lang w:eastAsia="en-GB"/>
        </w:rPr>
        <w:t>)</w:t>
      </w:r>
      <w:r w:rsidRPr="00114225">
        <w:rPr>
          <w:color w:val="000000"/>
        </w:rPr>
        <w:t>,</w:t>
      </w:r>
      <w:r>
        <w:rPr>
          <w:color w:val="000000"/>
        </w:rPr>
        <w:t xml:space="preserve"> l’Open Budget Initiative</w:t>
      </w:r>
      <w:r w:rsidRPr="00114225">
        <w:rPr>
          <w:color w:val="000000"/>
        </w:rPr>
        <w:t xml:space="preserve">… </w:t>
      </w:r>
      <w:r>
        <w:rPr>
          <w:color w:val="000000"/>
        </w:rPr>
        <w:t>Les principaux standards sont décrits ci-dessous.</w:t>
      </w:r>
    </w:p>
    <w:p w:rsidR="00E005CF" w:rsidRPr="00E005CF" w:rsidRDefault="00E005CF" w:rsidP="00E005CF">
      <w:pPr>
        <w:pStyle w:val="Titre1"/>
        <w:rPr>
          <w:rFonts w:ascii="Times New Roman" w:hAnsi="Times New Roman" w:cs="Times New Roman"/>
          <w:sz w:val="24"/>
          <w:szCs w:val="24"/>
        </w:rPr>
      </w:pPr>
      <w:bookmarkStart w:id="1" w:name="_Toc233962984"/>
      <w:r w:rsidRPr="00E005CF">
        <w:rPr>
          <w:rFonts w:ascii="Times New Roman" w:hAnsi="Times New Roman" w:cs="Times New Roman"/>
          <w:sz w:val="24"/>
          <w:szCs w:val="24"/>
        </w:rPr>
        <w:t>La bonne gouvernance des finances publiques selon le FMI</w:t>
      </w:r>
      <w:bookmarkEnd w:id="1"/>
    </w:p>
    <w:p w:rsidR="00E005CF" w:rsidRPr="00F9731C" w:rsidRDefault="00E005CF" w:rsidP="00E005CF">
      <w:pPr>
        <w:pStyle w:val="NormalWeb"/>
        <w:jc w:val="both"/>
      </w:pPr>
      <w:r w:rsidRPr="00F9731C">
        <w:t>Jusqu’au début des années 1990, le FMI observait une culture de confidentialité de ses activités et de ses rapports avec les pays membres et ce, souvent avec la demande persistante des autorités nationales. Ce</w:t>
      </w:r>
      <w:r>
        <w:t>ci</w:t>
      </w:r>
      <w:r w:rsidRPr="00F9731C">
        <w:t xml:space="preserve"> a </w:t>
      </w:r>
      <w:r>
        <w:t xml:space="preserve">complètement </w:t>
      </w:r>
      <w:r w:rsidRPr="00F9731C">
        <w:t>changé au cours des années 1990 sous le double effet de la reconnaissance du rôle de la société civile dans les réformes économiques et de la médiatisation des crises financières mondiales (et particulièrement celles frappant les pays émergents</w:t>
      </w:r>
      <w:r w:rsidRPr="00F9731C">
        <w:rPr>
          <w:rStyle w:val="Appelnotedebasdep"/>
        </w:rPr>
        <w:footnoteReference w:id="3"/>
      </w:r>
      <w:r w:rsidRPr="00F9731C">
        <w:t>), permettant une meilleure sensibilisation de l’opinion publique sur les politiques fiscales</w:t>
      </w:r>
      <w:r>
        <w:t xml:space="preserve"> et devient de plus en</w:t>
      </w:r>
      <w:r w:rsidRPr="00F9731C">
        <w:t xml:space="preserve"> plus perceptible avec l’élaboration et la mise en œuvre des programmes de développement basés sur la croissance économique et la réduction de la pauvreté. </w:t>
      </w:r>
      <w:r>
        <w:t>Dans ce cadre, l</w:t>
      </w:r>
      <w:r w:rsidRPr="00F9731C">
        <w:t>e FMI a établi un « Code de bonnes pratiques » et publié un « Manuel sur la transparence des finances publiques »</w:t>
      </w:r>
      <w:r>
        <w:rPr>
          <w:rStyle w:val="Appelnotedebasdep"/>
        </w:rPr>
        <w:footnoteReference w:id="4"/>
      </w:r>
      <w:r w:rsidRPr="00F9731C">
        <w:t xml:space="preserve"> ainsi qu'un « Guide pour la transparence des recettes des ressources </w:t>
      </w:r>
      <w:r w:rsidRPr="00F9731C">
        <w:lastRenderedPageBreak/>
        <w:t>naturelles »</w:t>
      </w:r>
      <w:r>
        <w:rPr>
          <w:rStyle w:val="Appelnotedebasdep"/>
        </w:rPr>
        <w:footnoteReference w:id="5"/>
      </w:r>
      <w:r w:rsidRPr="00F9731C">
        <w:t xml:space="preserve"> en 1998 dans le cadre de l'Initiative en matière de normes et codes, effort international qui avait pour ambition d'établir les principes de bonne gouvernance devant présider à l'amélioration de l'architecture du système financier international. Ces documents  ont été mis à jour en 2007, afin d'encourager une plus grande transparence des finances publiques. Le </w:t>
      </w:r>
      <w:hyperlink r:id="rId8" w:history="1">
        <w:r w:rsidRPr="00F9731C">
          <w:t>Manuel sur la transparence des finances publiques</w:t>
        </w:r>
      </w:hyperlink>
      <w:r w:rsidRPr="00F9731C">
        <w:t xml:space="preserve"> </w:t>
      </w:r>
      <w:r>
        <w:t xml:space="preserve">décrit </w:t>
      </w:r>
      <w:r w:rsidRPr="00F9731C">
        <w:t>de manière plus détaillée les principes et les pratiques énoncés dans le code. Ce manuel se fonde sur l'expérience des pays membres pour illustrer les bonnes pratiques et propose de nombreuses références pour faciliter la tâche des pays à cet égard. En outre, il décrit quelques-unes des mesures élémentaires de transparence budgétaire qui doivent être prises en toute priorité par les pays qui auront sans doute le plus de mal à observer la norme générale du code. Enfin, le manuel donne des exemples de bonnes pratiques.</w:t>
      </w:r>
    </w:p>
    <w:p w:rsidR="00E005CF" w:rsidRDefault="00E005CF" w:rsidP="00E005CF">
      <w:pPr>
        <w:autoSpaceDE w:val="0"/>
        <w:autoSpaceDN w:val="0"/>
        <w:adjustRightInd w:val="0"/>
        <w:jc w:val="both"/>
      </w:pPr>
      <w:r>
        <w:t xml:space="preserve">Le  </w:t>
      </w:r>
      <w:hyperlink r:id="rId9" w:history="1">
        <w:r w:rsidRPr="00F9731C">
          <w:t>Guide pour la transparence des recettes des ressources naturelles</w:t>
        </w:r>
      </w:hyperlink>
      <w:r>
        <w:t xml:space="preserve"> applique les principes du code à la série de problèmes particuliers auxquels sont confrontés les pays qui tirent une large part de leurs recettes de leurs ressources minérales ou pétrolières. En effet, pour de nombreux pays, l'ampleur même de ces ressources ainsi que la complexité technique et la variabilité des transactions posent des problèmes particuliers qui nécessitent des principes directeurs plus détaillés que ceux du manuel. Ce guide complète naturellement certaines initiatives récentes, dont l'Initiative pour la transparence des industries extractives (ITIE), qui porte plus précisément sur la déclaration des transactions entre les sociétés qui exploitent les ressources et les gouvernements.</w:t>
      </w:r>
    </w:p>
    <w:p w:rsidR="00E005CF" w:rsidRDefault="00E005CF" w:rsidP="00E005CF">
      <w:pPr>
        <w:autoSpaceDE w:val="0"/>
        <w:autoSpaceDN w:val="0"/>
        <w:adjustRightInd w:val="0"/>
        <w:jc w:val="both"/>
      </w:pPr>
    </w:p>
    <w:p w:rsidR="00E005CF" w:rsidRDefault="00E005CF" w:rsidP="00E005CF">
      <w:pPr>
        <w:autoSpaceDE w:val="0"/>
        <w:autoSpaceDN w:val="0"/>
        <w:adjustRightInd w:val="0"/>
        <w:jc w:val="both"/>
      </w:pPr>
      <w:r>
        <w:t>Le FMI a également publié en 1986 son manuel de statistique des finances publiques (MSFP) qui sera mis à jour en 2001. Il présente un cadre théorique et comptable adapté à l’analyse et à l’évaluation des politiques de finances publiques et définit les concepts d’administrations publiques et de secteur public. Il couvre également la performance du secteur public en général et celle des administrations publiques en particulier. Aussi le MSFP propose des classifications budgétaires telles que la classification des recettes, la classification économique des charges et la classification fonctionnelle des dépenses des administrations publiques (CFAP). Ces classifications sont présentées largement ci-dessous.</w:t>
      </w:r>
    </w:p>
    <w:p w:rsidR="00E005CF" w:rsidRDefault="00E005CF" w:rsidP="00E005CF">
      <w:pPr>
        <w:autoSpaceDE w:val="0"/>
        <w:autoSpaceDN w:val="0"/>
        <w:adjustRightInd w:val="0"/>
        <w:jc w:val="both"/>
      </w:pPr>
    </w:p>
    <w:p w:rsidR="00E005CF" w:rsidRDefault="00E005CF" w:rsidP="00E005CF">
      <w:pPr>
        <w:autoSpaceDE w:val="0"/>
        <w:autoSpaceDN w:val="0"/>
        <w:adjustRightInd w:val="0"/>
        <w:jc w:val="both"/>
      </w:pPr>
      <w:r>
        <w:t xml:space="preserve">Dans la plupart des pays, certains aspects de la transparence des finances publiques couverts par le code peuvent encore être améliorés. La mise en application du code ne procède pas au même rythme partout, tenant compte de la diversité des systèmes budgétaires et des contextes culturels et juridiques entre pays, ainsi que de l'inégalité des moyens techniques et administratifs. Dans les pays en voie de développement, en particulier, une </w:t>
      </w:r>
      <w:hyperlink r:id="rId10" w:history="1">
        <w:r w:rsidRPr="00442707">
          <w:t>assistance technique</w:t>
        </w:r>
      </w:hyperlink>
      <w:r>
        <w:t xml:space="preserve"> sera essentielle pour améliorer la transparence des finances publiques. L’encadré 2 ci-dessous présente les quatre grands principes du Code de Transparence.</w:t>
      </w:r>
    </w:p>
    <w:p w:rsidR="00E005CF" w:rsidRDefault="00E005CF" w:rsidP="00E005CF">
      <w:pPr>
        <w:autoSpaceDE w:val="0"/>
        <w:autoSpaceDN w:val="0"/>
        <w:adjustRightInd w:val="0"/>
        <w:jc w:val="both"/>
      </w:pPr>
    </w:p>
    <w:p w:rsidR="00E005CF" w:rsidRPr="00CB7EFE" w:rsidRDefault="00E005CF" w:rsidP="00E005CF">
      <w:pPr>
        <w:pStyle w:val="NormalWeb"/>
        <w:pBdr>
          <w:top w:val="single" w:sz="4" w:space="1" w:color="auto"/>
          <w:left w:val="single" w:sz="4" w:space="4" w:color="auto"/>
          <w:bottom w:val="single" w:sz="4" w:space="1" w:color="auto"/>
          <w:right w:val="single" w:sz="4" w:space="4" w:color="auto"/>
        </w:pBdr>
        <w:rPr>
          <w:b/>
        </w:rPr>
      </w:pPr>
      <w:r w:rsidRPr="00CB7EFE">
        <w:rPr>
          <w:b/>
        </w:rPr>
        <w:t xml:space="preserve">Encadré </w:t>
      </w:r>
      <w:r>
        <w:rPr>
          <w:b/>
        </w:rPr>
        <w:t>2</w:t>
      </w:r>
      <w:r w:rsidRPr="00CB7EFE">
        <w:rPr>
          <w:b/>
        </w:rPr>
        <w:t xml:space="preserve">. Le code </w:t>
      </w:r>
      <w:r>
        <w:rPr>
          <w:b/>
        </w:rPr>
        <w:t xml:space="preserve">de Transparence des finances publiques </w:t>
      </w:r>
      <w:r w:rsidRPr="00CB7EFE">
        <w:rPr>
          <w:b/>
        </w:rPr>
        <w:t>repose sur quatre grands principes:</w:t>
      </w:r>
    </w:p>
    <w:p w:rsidR="00E005CF" w:rsidRDefault="00E005CF" w:rsidP="00E005CF">
      <w:pPr>
        <w:pStyle w:val="NormalWeb"/>
        <w:numPr>
          <w:ilvl w:val="0"/>
          <w:numId w:val="4"/>
        </w:numPr>
        <w:pBdr>
          <w:top w:val="single" w:sz="4" w:space="1" w:color="auto"/>
          <w:left w:val="single" w:sz="4" w:space="4" w:color="auto"/>
          <w:bottom w:val="single" w:sz="4" w:space="1" w:color="auto"/>
          <w:right w:val="single" w:sz="4" w:space="4" w:color="auto"/>
        </w:pBdr>
        <w:jc w:val="both"/>
      </w:pPr>
      <w:r>
        <w:rPr>
          <w:b/>
          <w:bCs/>
        </w:rPr>
        <w:t>Définition claire des rôles et des responsabilités</w:t>
      </w:r>
      <w:r w:rsidRPr="00CB7EFE">
        <w:t>.</w:t>
      </w:r>
      <w:r>
        <w:t xml:space="preserve">  Il doit y avoir une distinction nette entre les activités du secteur public et les activités commerciales. La gestion des finances publiques doit s'inscrire dans un cadre juridique et institutionnel clairement défini. Au sein du secteur public, la répartition des fonctions de décision et de gestion doit être elle aussi clairement définie et rendue publique. </w:t>
      </w:r>
    </w:p>
    <w:p w:rsidR="00E005CF" w:rsidRDefault="00E005CF" w:rsidP="00E005CF">
      <w:pPr>
        <w:pStyle w:val="NormalWeb"/>
        <w:numPr>
          <w:ilvl w:val="0"/>
          <w:numId w:val="4"/>
        </w:numPr>
        <w:pBdr>
          <w:top w:val="single" w:sz="4" w:space="1" w:color="auto"/>
          <w:left w:val="single" w:sz="4" w:space="4" w:color="auto"/>
          <w:bottom w:val="single" w:sz="4" w:space="1" w:color="auto"/>
          <w:right w:val="single" w:sz="4" w:space="4" w:color="auto"/>
        </w:pBdr>
        <w:jc w:val="both"/>
      </w:pPr>
      <w:r>
        <w:rPr>
          <w:b/>
          <w:bCs/>
        </w:rPr>
        <w:lastRenderedPageBreak/>
        <w:t>Transparence des procédures budgétaires</w:t>
      </w:r>
      <w:r>
        <w:rPr>
          <w:i/>
          <w:iCs/>
        </w:rPr>
        <w:t>.</w:t>
      </w:r>
      <w:r>
        <w:t xml:space="preserve"> Les données budgétaires doivent être présentées de manière à faciliter l'analyse et à promouvoir la responsabilisation des pouvoirs publics. La documentation budgétaire doit préciser les objectifs de la politique budgétaire, les hypothèses macroéconomiques qui les sous-tendent et les principaux risques identifiables. Les modalités du recouvrement des recettes et du suivi des dépenses approuvées doivent être clairement établies. </w:t>
      </w:r>
    </w:p>
    <w:p w:rsidR="00E005CF" w:rsidRDefault="00E005CF" w:rsidP="00E005CF">
      <w:pPr>
        <w:pStyle w:val="NormalWeb"/>
        <w:numPr>
          <w:ilvl w:val="0"/>
          <w:numId w:val="4"/>
        </w:numPr>
        <w:pBdr>
          <w:top w:val="single" w:sz="4" w:space="1" w:color="auto"/>
          <w:left w:val="single" w:sz="4" w:space="4" w:color="auto"/>
          <w:bottom w:val="single" w:sz="4" w:space="1" w:color="auto"/>
          <w:right w:val="single" w:sz="4" w:space="4" w:color="auto"/>
        </w:pBdr>
        <w:jc w:val="both"/>
      </w:pPr>
      <w:r>
        <w:rPr>
          <w:b/>
          <w:bCs/>
        </w:rPr>
        <w:t>Accès du public à l'information</w:t>
      </w:r>
      <w:r>
        <w:t xml:space="preserve">. Le public doit être pleinement informé de l'activité passée, présente et prévue des administrations publiques en matière budgétaire. Les pays doivent s'engager à diffuser en temps opportun des informations sur les finances publiques. </w:t>
      </w:r>
    </w:p>
    <w:p w:rsidR="00E005CF" w:rsidRDefault="00E005CF" w:rsidP="00E005CF">
      <w:pPr>
        <w:pStyle w:val="NormalWeb"/>
        <w:numPr>
          <w:ilvl w:val="0"/>
          <w:numId w:val="4"/>
        </w:numPr>
        <w:pBdr>
          <w:top w:val="single" w:sz="4" w:space="1" w:color="auto"/>
          <w:left w:val="single" w:sz="4" w:space="4" w:color="auto"/>
          <w:bottom w:val="single" w:sz="4" w:space="1" w:color="auto"/>
          <w:right w:val="single" w:sz="4" w:space="4" w:color="auto"/>
        </w:pBdr>
        <w:jc w:val="both"/>
      </w:pPr>
      <w:r>
        <w:rPr>
          <w:b/>
          <w:bCs/>
        </w:rPr>
        <w:t>Garantie d’intégrité</w:t>
      </w:r>
      <w:r w:rsidRPr="00B860B7">
        <w:t xml:space="preserve">. </w:t>
      </w:r>
      <w:r>
        <w:t xml:space="preserve">L'information budgétaire doit satisfaire aux normes de qualité convenues et faire l'objet d'un examen indépendant. </w:t>
      </w:r>
    </w:p>
    <w:p w:rsidR="00E005CF" w:rsidRPr="00B860B7" w:rsidRDefault="00E005CF" w:rsidP="00E005CF">
      <w:pPr>
        <w:pStyle w:val="NormalWeb"/>
        <w:pBdr>
          <w:top w:val="single" w:sz="4" w:space="1" w:color="auto"/>
          <w:left w:val="single" w:sz="4" w:space="4" w:color="auto"/>
          <w:bottom w:val="single" w:sz="4" w:space="1" w:color="auto"/>
          <w:right w:val="single" w:sz="4" w:space="4" w:color="auto"/>
        </w:pBdr>
        <w:jc w:val="both"/>
        <w:rPr>
          <w:sz w:val="20"/>
          <w:szCs w:val="20"/>
        </w:rPr>
      </w:pPr>
      <w:r w:rsidRPr="00B860B7">
        <w:rPr>
          <w:sz w:val="20"/>
          <w:szCs w:val="20"/>
        </w:rPr>
        <w:t>Source : FMI (2007). Code de bonnes pratiques en matière de transparence des finances publiques et Manuel sur la transparence des finances publiques.</w:t>
      </w:r>
    </w:p>
    <w:p w:rsidR="00E005CF" w:rsidRDefault="00E005CF" w:rsidP="00E005CF">
      <w:pPr>
        <w:autoSpaceDE w:val="0"/>
        <w:autoSpaceDN w:val="0"/>
        <w:adjustRightInd w:val="0"/>
        <w:jc w:val="both"/>
      </w:pPr>
    </w:p>
    <w:p w:rsidR="00E005CF" w:rsidRDefault="00687B49" w:rsidP="00E005CF">
      <w:pPr>
        <w:autoSpaceDE w:val="0"/>
        <w:autoSpaceDN w:val="0"/>
        <w:adjustRightInd w:val="0"/>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3.3pt;margin-top:123.7pt;width:482.5pt;height:165.55pt;z-index:251660288">
            <v:textbox style="mso-next-textbox:#_x0000_s1026">
              <w:txbxContent>
                <w:p w:rsidR="00E005CF" w:rsidRPr="006A111C" w:rsidRDefault="00E005CF" w:rsidP="00E005CF">
                  <w:pPr>
                    <w:autoSpaceDE w:val="0"/>
                    <w:autoSpaceDN w:val="0"/>
                    <w:adjustRightInd w:val="0"/>
                    <w:jc w:val="both"/>
                    <w:rPr>
                      <w:b/>
                    </w:rPr>
                  </w:pPr>
                  <w:r w:rsidRPr="006A111C">
                    <w:rPr>
                      <w:b/>
                    </w:rPr>
                    <w:t xml:space="preserve">Encadré </w:t>
                  </w:r>
                  <w:r>
                    <w:rPr>
                      <w:b/>
                    </w:rPr>
                    <w:t>3</w:t>
                  </w:r>
                  <w:r w:rsidRPr="006A111C">
                    <w:rPr>
                      <w:b/>
                    </w:rPr>
                    <w:t>. Certaines améliorations dues à l’élaboration des RONC</w:t>
                  </w:r>
                </w:p>
                <w:p w:rsidR="00E005CF" w:rsidRDefault="00E005CF" w:rsidP="00E005CF">
                  <w:pPr>
                    <w:autoSpaceDE w:val="0"/>
                    <w:autoSpaceDN w:val="0"/>
                    <w:adjustRightInd w:val="0"/>
                    <w:jc w:val="both"/>
                  </w:pPr>
                </w:p>
                <w:p w:rsidR="00E005CF" w:rsidRDefault="00E005CF" w:rsidP="00E005CF">
                  <w:pPr>
                    <w:numPr>
                      <w:ilvl w:val="0"/>
                      <w:numId w:val="1"/>
                    </w:numPr>
                    <w:autoSpaceDE w:val="0"/>
                    <w:autoSpaceDN w:val="0"/>
                    <w:adjustRightInd w:val="0"/>
                    <w:jc w:val="both"/>
                  </w:pPr>
                  <w:r>
                    <w:t>le domaine des classifications budgétaires ;</w:t>
                  </w:r>
                </w:p>
                <w:p w:rsidR="00E005CF" w:rsidRDefault="00E005CF" w:rsidP="00E005CF">
                  <w:pPr>
                    <w:numPr>
                      <w:ilvl w:val="0"/>
                      <w:numId w:val="1"/>
                    </w:numPr>
                    <w:autoSpaceDE w:val="0"/>
                    <w:autoSpaceDN w:val="0"/>
                    <w:adjustRightInd w:val="0"/>
                    <w:jc w:val="both"/>
                  </w:pPr>
                  <w:r>
                    <w:t>la présentation budgétaire ;</w:t>
                  </w:r>
                </w:p>
                <w:p w:rsidR="00E005CF" w:rsidRDefault="00E005CF" w:rsidP="00E005CF">
                  <w:pPr>
                    <w:numPr>
                      <w:ilvl w:val="0"/>
                      <w:numId w:val="1"/>
                    </w:numPr>
                    <w:autoSpaceDE w:val="0"/>
                    <w:autoSpaceDN w:val="0"/>
                    <w:adjustRightInd w:val="0"/>
                    <w:jc w:val="both"/>
                  </w:pPr>
                  <w:r>
                    <w:t>le calendrier de préparation du budget ;</w:t>
                  </w:r>
                </w:p>
                <w:p w:rsidR="00E005CF" w:rsidRDefault="00E005CF" w:rsidP="00E005CF">
                  <w:pPr>
                    <w:numPr>
                      <w:ilvl w:val="0"/>
                      <w:numId w:val="1"/>
                    </w:numPr>
                    <w:autoSpaceDE w:val="0"/>
                    <w:autoSpaceDN w:val="0"/>
                    <w:adjustRightInd w:val="0"/>
                    <w:jc w:val="both"/>
                  </w:pPr>
                  <w:r>
                    <w:t>les situations de suivi de l’exécution budgétaire ;</w:t>
                  </w:r>
                </w:p>
                <w:p w:rsidR="00E005CF" w:rsidRDefault="00E005CF" w:rsidP="00E005CF">
                  <w:pPr>
                    <w:numPr>
                      <w:ilvl w:val="0"/>
                      <w:numId w:val="1"/>
                    </w:numPr>
                    <w:autoSpaceDE w:val="0"/>
                    <w:autoSpaceDN w:val="0"/>
                    <w:adjustRightInd w:val="0"/>
                    <w:jc w:val="both"/>
                  </w:pPr>
                  <w:r>
                    <w:t>la gestion des fonds de l’Etat ;</w:t>
                  </w:r>
                </w:p>
                <w:p w:rsidR="00E005CF" w:rsidRDefault="00E005CF" w:rsidP="00E005CF">
                  <w:pPr>
                    <w:numPr>
                      <w:ilvl w:val="0"/>
                      <w:numId w:val="1"/>
                    </w:numPr>
                    <w:autoSpaceDE w:val="0"/>
                    <w:autoSpaceDN w:val="0"/>
                    <w:adjustRightInd w:val="0"/>
                    <w:jc w:val="both"/>
                  </w:pPr>
                  <w:r>
                    <w:t>le développement des codes de conduite des agents de la fonction publique.</w:t>
                  </w:r>
                </w:p>
                <w:p w:rsidR="00E005CF" w:rsidRDefault="00E005CF" w:rsidP="00E005CF">
                  <w:pPr>
                    <w:autoSpaceDE w:val="0"/>
                    <w:autoSpaceDN w:val="0"/>
                    <w:adjustRightInd w:val="0"/>
                    <w:jc w:val="both"/>
                  </w:pPr>
                </w:p>
                <w:p w:rsidR="00E005CF" w:rsidRPr="00ED08A3" w:rsidRDefault="00E005CF" w:rsidP="00E005CF">
                  <w:pPr>
                    <w:autoSpaceDE w:val="0"/>
                    <w:autoSpaceDN w:val="0"/>
                    <w:adjustRightInd w:val="0"/>
                    <w:jc w:val="both"/>
                    <w:rPr>
                      <w:sz w:val="18"/>
                      <w:szCs w:val="18"/>
                    </w:rPr>
                  </w:pPr>
                  <w:r w:rsidRPr="006A111C">
                    <w:rPr>
                      <w:sz w:val="18"/>
                      <w:szCs w:val="18"/>
                    </w:rPr>
                    <w:t>Extrait de la présentation de Dominique Bouley, économiste principal, Département des Finances Publiques, FMI,  lors du IV</w:t>
                  </w:r>
                  <w:r w:rsidRPr="006A111C">
                    <w:rPr>
                      <w:sz w:val="18"/>
                      <w:szCs w:val="18"/>
                      <w:vertAlign w:val="superscript"/>
                    </w:rPr>
                    <w:t>ème</w:t>
                  </w:r>
                  <w:r w:rsidRPr="006A111C">
                    <w:rPr>
                      <w:sz w:val="18"/>
                      <w:szCs w:val="18"/>
                    </w:rPr>
                    <w:t xml:space="preserve">  de l’Université de Printemps de Finances Publiques qui s’est déroulée les 16 et 17 juin 2008 à Paris, au ministère des Finances à Bercy</w:t>
                  </w:r>
                </w:p>
              </w:txbxContent>
            </v:textbox>
            <w10:wrap type="square"/>
          </v:shape>
        </w:pict>
      </w:r>
      <w:r w:rsidR="00E005CF">
        <w:t xml:space="preserve">Le FMI encourage tous ses pays membres à se soumettre à une évaluation de la transparence des finances publiques (constituant le volet budgétaire d'un </w:t>
      </w:r>
      <w:hyperlink r:id="rId11" w:history="1">
        <w:r w:rsidR="00E005CF" w:rsidRPr="00F9731C">
          <w:t>Rapport sur l'observation des normes et codes</w:t>
        </w:r>
      </w:hyperlink>
      <w:r w:rsidR="00E005CF">
        <w:t xml:space="preserve"> -RONC budgétaire-) qui inventorie les pratiques en vigueur et définit, pour chaque pays, les mesures à prendre en priorité pour améliorer la transparence (l’encadré 3 ci-dessous présente certaines améliorations dues à l’élaboration des RONC). Celle-ci est aussi évaluée de façon générale dans le cadre des activités ordinaires que le FMI mène dans les pays au titre de la surveillance et du suivi des programmes. L’encadré 4 ci-dessous décrit le concept d’évaluation des systèmes de GFP (Gestion des Finances Publiques). </w:t>
      </w:r>
    </w:p>
    <w:p w:rsidR="00E005CF" w:rsidRDefault="00E005CF" w:rsidP="00E005CF">
      <w:pPr>
        <w:autoSpaceDE w:val="0"/>
        <w:autoSpaceDN w:val="0"/>
        <w:adjustRightInd w:val="0"/>
        <w:jc w:val="both"/>
      </w:pPr>
    </w:p>
    <w:p w:rsidR="00E005CF" w:rsidRDefault="00E005CF" w:rsidP="00E005CF">
      <w:pPr>
        <w:autoSpaceDE w:val="0"/>
        <w:autoSpaceDN w:val="0"/>
        <w:adjustRightInd w:val="0"/>
        <w:jc w:val="both"/>
      </w:pPr>
    </w:p>
    <w:p w:rsidR="00E005CF" w:rsidRDefault="00687B49" w:rsidP="00E005CF">
      <w:pPr>
        <w:autoSpaceDE w:val="0"/>
        <w:autoSpaceDN w:val="0"/>
        <w:adjustRightInd w:val="0"/>
        <w:jc w:val="both"/>
      </w:pPr>
      <w:r w:rsidRPr="00687B49">
        <w:rPr>
          <w:noProof/>
          <w:sz w:val="36"/>
          <w:szCs w:val="36"/>
        </w:rPr>
        <w:pict>
          <v:shape id="_x0000_s1027" type="#_x0000_t202" style="position:absolute;left:0;text-align:left;margin-left:-3.3pt;margin-top:17pt;width:482.5pt;height:158.9pt;z-index:251661312">
            <v:textbox style="mso-next-textbox:#_x0000_s1027">
              <w:txbxContent>
                <w:p w:rsidR="00E005CF" w:rsidRPr="001C54F1" w:rsidRDefault="00E005CF" w:rsidP="00E005CF">
                  <w:pPr>
                    <w:autoSpaceDE w:val="0"/>
                    <w:autoSpaceDN w:val="0"/>
                    <w:adjustRightInd w:val="0"/>
                    <w:jc w:val="both"/>
                    <w:rPr>
                      <w:b/>
                    </w:rPr>
                  </w:pPr>
                  <w:r w:rsidRPr="001C54F1">
                    <w:rPr>
                      <w:b/>
                    </w:rPr>
                    <w:t xml:space="preserve">Encadré </w:t>
                  </w:r>
                  <w:r>
                    <w:rPr>
                      <w:b/>
                    </w:rPr>
                    <w:t>4</w:t>
                  </w:r>
                  <w:r w:rsidRPr="001C54F1">
                    <w:rPr>
                      <w:b/>
                    </w:rPr>
                    <w:t>. Qu’est ce qu’une évaluation des systèmes de GFP ?</w:t>
                  </w:r>
                </w:p>
                <w:p w:rsidR="00E005CF" w:rsidRPr="001C54F1" w:rsidRDefault="00E005CF" w:rsidP="00E005CF">
                  <w:pPr>
                    <w:autoSpaceDE w:val="0"/>
                    <w:autoSpaceDN w:val="0"/>
                    <w:adjustRightInd w:val="0"/>
                    <w:jc w:val="both"/>
                    <w:rPr>
                      <w:b/>
                    </w:rPr>
                  </w:pPr>
                </w:p>
                <w:p w:rsidR="00E005CF" w:rsidRPr="001C54F1" w:rsidRDefault="00E005CF" w:rsidP="00E005CF">
                  <w:pPr>
                    <w:autoSpaceDE w:val="0"/>
                    <w:autoSpaceDN w:val="0"/>
                    <w:adjustRightInd w:val="0"/>
                    <w:jc w:val="both"/>
                  </w:pPr>
                  <w:r w:rsidRPr="001C54F1">
                    <w:t>On attend par évaluation d’un système de GFP l’examen du système et des pratiques de GFP d’un pays. Il ne s’agit pas d’un audit et il ne porte pas sur des postes des dépensiers particuliers. Elle ne distribue ni satisfecit ni mauvaises notes au pays concerné sur la capacité de son système à gérer les fonds publics. En revanche, elle fournit aux partenaires techniques et financiers et aux gouvernements des informations concernant :</w:t>
                  </w:r>
                </w:p>
                <w:p w:rsidR="00E005CF" w:rsidRPr="001C54F1" w:rsidRDefault="00E005CF" w:rsidP="00E005CF">
                  <w:pPr>
                    <w:numPr>
                      <w:ilvl w:val="0"/>
                      <w:numId w:val="5"/>
                    </w:numPr>
                    <w:autoSpaceDE w:val="0"/>
                    <w:autoSpaceDN w:val="0"/>
                    <w:adjustRightInd w:val="0"/>
                    <w:jc w:val="both"/>
                  </w:pPr>
                  <w:r w:rsidRPr="001C54F1">
                    <w:t>les points forts et les lacunes des systèmes de GFP.</w:t>
                  </w:r>
                </w:p>
                <w:p w:rsidR="00E005CF" w:rsidRPr="001C54F1" w:rsidRDefault="00E005CF" w:rsidP="00E005CF">
                  <w:pPr>
                    <w:numPr>
                      <w:ilvl w:val="0"/>
                      <w:numId w:val="5"/>
                    </w:numPr>
                    <w:autoSpaceDE w:val="0"/>
                    <w:autoSpaceDN w:val="0"/>
                    <w:adjustRightInd w:val="0"/>
                    <w:jc w:val="both"/>
                  </w:pPr>
                  <w:r w:rsidRPr="001C54F1">
                    <w:t>les risques auxquels pourraient se faire exposés les fonds publics à travers ce système de GFP.</w:t>
                  </w:r>
                </w:p>
                <w:p w:rsidR="00E005CF" w:rsidRDefault="00E005CF" w:rsidP="00E005CF">
                  <w:pPr>
                    <w:numPr>
                      <w:ilvl w:val="0"/>
                      <w:numId w:val="5"/>
                    </w:numPr>
                    <w:autoSpaceDE w:val="0"/>
                    <w:autoSpaceDN w:val="0"/>
                    <w:adjustRightInd w:val="0"/>
                    <w:jc w:val="both"/>
                  </w:pPr>
                  <w:r w:rsidRPr="001C54F1">
                    <w:t>les programmes nationaux visant à améliorer ce système.</w:t>
                  </w:r>
                </w:p>
              </w:txbxContent>
            </v:textbox>
            <w10:wrap type="square"/>
          </v:shape>
        </w:pict>
      </w:r>
    </w:p>
    <w:p w:rsidR="00E005CF" w:rsidRDefault="00E005CF" w:rsidP="00E005CF">
      <w:pPr>
        <w:autoSpaceDE w:val="0"/>
        <w:autoSpaceDN w:val="0"/>
        <w:adjustRightInd w:val="0"/>
        <w:jc w:val="both"/>
      </w:pPr>
    </w:p>
    <w:p w:rsidR="00E005CF" w:rsidRDefault="00E005CF" w:rsidP="00E005CF">
      <w:pPr>
        <w:autoSpaceDE w:val="0"/>
        <w:autoSpaceDN w:val="0"/>
        <w:adjustRightInd w:val="0"/>
        <w:jc w:val="both"/>
      </w:pPr>
    </w:p>
    <w:p w:rsidR="00E005CF" w:rsidRDefault="00E005CF" w:rsidP="00E005CF">
      <w:pPr>
        <w:autoSpaceDE w:val="0"/>
        <w:autoSpaceDN w:val="0"/>
        <w:adjustRightInd w:val="0"/>
        <w:jc w:val="both"/>
      </w:pPr>
      <w:r>
        <w:t xml:space="preserve">La décision d'entreprendre l'élaboration d'un RONC budgétaire et la décision de le rendre public sont volontaires. En janvier 2008, plus de 90 pays de toutes les régions et à tous les niveaux de développent économique avaient rendu public les évaluations les concernant à travers le site internet du FMI consacré aux rapports sur les </w:t>
      </w:r>
      <w:hyperlink r:id="rId12" w:history="1">
        <w:r w:rsidRPr="00F9731C">
          <w:t>normes et codes</w:t>
        </w:r>
      </w:hyperlink>
      <w:r>
        <w:t>. Selon le FMI, les pays dont une grande partie des recettes provient de l'exploitation des ressources naturelles ont manifesté un intérêt particulier pour les RONC budgétaires en complément des évaluations au titre de l'initiative ITIE. Les informations contenues dans les RONC publiés sont actualisées à la demande des autorités et, lorsque les RONC budgétaires commencent à dater, les autorités peuvent choisir de soumettre les finances publiques de leur pays à une nouvelle évaluation exhaustive. En janvier 2008, plus de 40 pays avaient ainsi demandé une mise à jour ou une réévaluation complète.</w:t>
      </w:r>
    </w:p>
    <w:p w:rsidR="00E005CF" w:rsidRPr="00E005CF" w:rsidRDefault="00E005CF" w:rsidP="00E005CF">
      <w:pPr>
        <w:pStyle w:val="Titre1"/>
        <w:rPr>
          <w:rFonts w:ascii="Times New Roman" w:hAnsi="Times New Roman" w:cs="Times New Roman"/>
          <w:sz w:val="24"/>
          <w:szCs w:val="24"/>
        </w:rPr>
      </w:pPr>
      <w:bookmarkStart w:id="2" w:name="_Toc233962985"/>
      <w:r w:rsidRPr="00E005CF">
        <w:rPr>
          <w:rFonts w:ascii="Times New Roman" w:hAnsi="Times New Roman" w:cs="Times New Roman"/>
          <w:sz w:val="24"/>
          <w:szCs w:val="24"/>
        </w:rPr>
        <w:t>La bonne gouvernance des finances publiques selon la Banque Mondiale</w:t>
      </w:r>
      <w:bookmarkEnd w:id="2"/>
    </w:p>
    <w:p w:rsidR="00E005CF" w:rsidRDefault="00E005CF" w:rsidP="00E005CF">
      <w:pPr>
        <w:autoSpaceDE w:val="0"/>
        <w:autoSpaceDN w:val="0"/>
        <w:adjustRightInd w:val="0"/>
        <w:jc w:val="both"/>
      </w:pPr>
    </w:p>
    <w:p w:rsidR="00E005CF" w:rsidRDefault="00E005CF" w:rsidP="00E005CF">
      <w:pPr>
        <w:autoSpaceDE w:val="0"/>
        <w:autoSpaceDN w:val="0"/>
        <w:adjustRightInd w:val="0"/>
        <w:jc w:val="both"/>
      </w:pPr>
      <w:r>
        <w:t>En matière de gestion des finances publiques, la Banque Mondiale s’intéresse à l’ensemble du cycle budgétaire</w:t>
      </w:r>
      <w:r>
        <w:rPr>
          <w:rStyle w:val="Appelnotedebasdep"/>
        </w:rPr>
        <w:footnoteReference w:id="6"/>
      </w:r>
      <w:r>
        <w:t> : préparation et exécution du budget, systèmes d’information et de gestion informatisés, cadres de dépenses à moyen terme, passation des marchés publics, audit interne et externe, enfin suivi et évaluation. Elle s’intéresse également aux institutions de contrôle dont les commissions des finances du Parlement et les institutions supérieures de contrôle.</w:t>
      </w:r>
    </w:p>
    <w:p w:rsidR="00E005CF" w:rsidRDefault="00E005CF" w:rsidP="00E005CF">
      <w:pPr>
        <w:autoSpaceDE w:val="0"/>
        <w:autoSpaceDN w:val="0"/>
        <w:adjustRightInd w:val="0"/>
        <w:jc w:val="both"/>
      </w:pPr>
    </w:p>
    <w:p w:rsidR="00E005CF" w:rsidRDefault="00E005CF" w:rsidP="00E005CF">
      <w:pPr>
        <w:autoSpaceDE w:val="0"/>
        <w:autoSpaceDN w:val="0"/>
        <w:adjustRightInd w:val="0"/>
        <w:jc w:val="both"/>
      </w:pPr>
      <w:r>
        <w:t>Il convient de préciser que la Banque Mondiale a présenté successivement de nombreuses stratégies à son conseil d’administration pour améliorer la gouvernance financière publique des pays. Ces stratégies évoluent et reflètent fidèlement les « courants de pensée de l’heure ». Au départ, la Banque Mondiale ne donnait pas beaucoup d’importance aux institutions locales qui disposaient des capacités très limitées pour mettre en œuvre les réformes attendues. Elle les contournait par la mise en place des structures administratives parallèles</w:t>
      </w:r>
      <w:r>
        <w:rPr>
          <w:rStyle w:val="Appelnotedebasdep"/>
        </w:rPr>
        <w:footnoteReference w:id="7"/>
      </w:r>
      <w:r>
        <w:t xml:space="preserve"> . Ce n’est que très tardivement vers la fin des années</w:t>
      </w:r>
      <w:r w:rsidR="006F411B">
        <w:t xml:space="preserve"> 90</w:t>
      </w:r>
      <w:r>
        <w:t xml:space="preserve">, et particulièrement avec l’effondrement des systèmes politiques communistes, l’échec constaté des programmes d’ajustement et la persistance des échecs des prêts projets (notamment en Afrique), que la Banque commence à placer le développement des institutions au centre des stratégies d’assistance-pays. </w:t>
      </w:r>
    </w:p>
    <w:p w:rsidR="00E005CF" w:rsidRDefault="00E005CF" w:rsidP="00E005CF">
      <w:pPr>
        <w:autoSpaceDE w:val="0"/>
        <w:autoSpaceDN w:val="0"/>
        <w:adjustRightInd w:val="0"/>
        <w:jc w:val="both"/>
      </w:pPr>
    </w:p>
    <w:p w:rsidR="00E005CF" w:rsidRDefault="00E005CF" w:rsidP="00E005CF">
      <w:pPr>
        <w:autoSpaceDE w:val="0"/>
        <w:autoSpaceDN w:val="0"/>
        <w:adjustRightInd w:val="0"/>
        <w:jc w:val="both"/>
      </w:pPr>
      <w:r>
        <w:t xml:space="preserve">A partir de 1997, à la faveur de la fin de la guerre froide, elle formalise son programme pour le secteur public et la gouvernance et intègre un nouveau discours axé sur la responsabilité, la décentralisation, la transparence, la lutte contre la corruption, l’Etat de droit. Ce nouveau paradigme coïncide avec l’Initiative en faveur des Pays Pauvres Très Endettés (PPTE). En 2000, elle propose à son conseil d’administration une </w:t>
      </w:r>
      <w:r w:rsidRPr="00AA1FA9">
        <w:rPr>
          <w:i/>
        </w:rPr>
        <w:t>stratégie de réforme des institutions publiques et de renforcement de la gouvernance</w:t>
      </w:r>
      <w:r>
        <w:rPr>
          <w:i/>
        </w:rPr>
        <w:t xml:space="preserve"> </w:t>
      </w:r>
      <w:r w:rsidRPr="00AA1FA9">
        <w:t>qui peut être</w:t>
      </w:r>
      <w:r>
        <w:rPr>
          <w:i/>
        </w:rPr>
        <w:t xml:space="preserve"> </w:t>
      </w:r>
      <w:r>
        <w:t xml:space="preserve">déclinée en huit axes d’intervention: gestion et analyse des dépenses  publiques ; réforme de l’administration et de la fonction publique ; administration et politique fiscale ; anticorruption ; décentralisation ; réforme juridique et judiciaire ; création d’institutions sectorielles ; réformes des entreprises publiques. Les stratégies </w:t>
      </w:r>
      <w:r>
        <w:lastRenderedPageBreak/>
        <w:t>de la Banque accordent une importance à la demande, c'est-à-dire à la participation des citoyens, leur marge d’expression, leur pouvoir réel sur l’exécutif.</w:t>
      </w:r>
    </w:p>
    <w:p w:rsidR="00E005CF" w:rsidRDefault="00E005CF" w:rsidP="00E005CF">
      <w:pPr>
        <w:autoSpaceDE w:val="0"/>
        <w:autoSpaceDN w:val="0"/>
        <w:adjustRightInd w:val="0"/>
        <w:jc w:val="both"/>
        <w:rPr>
          <w:b/>
          <w:i/>
        </w:rPr>
      </w:pPr>
    </w:p>
    <w:p w:rsidR="00E005CF" w:rsidRDefault="00E005CF" w:rsidP="00E005CF">
      <w:pPr>
        <w:autoSpaceDE w:val="0"/>
        <w:autoSpaceDN w:val="0"/>
        <w:adjustRightInd w:val="0"/>
        <w:jc w:val="both"/>
      </w:pPr>
      <w:r>
        <w:t>Dans le domaine des finances publiques, la Banque utilise de nombreux outils de diagnostic :</w:t>
      </w:r>
    </w:p>
    <w:p w:rsidR="00E005CF" w:rsidRDefault="00E005CF" w:rsidP="00E005CF">
      <w:pPr>
        <w:numPr>
          <w:ilvl w:val="0"/>
          <w:numId w:val="2"/>
        </w:numPr>
        <w:tabs>
          <w:tab w:val="clear" w:pos="720"/>
          <w:tab w:val="num" w:pos="360"/>
        </w:tabs>
        <w:autoSpaceDE w:val="0"/>
        <w:autoSpaceDN w:val="0"/>
        <w:adjustRightInd w:val="0"/>
        <w:ind w:left="360"/>
        <w:jc w:val="both"/>
      </w:pPr>
      <w:r>
        <w:t>les examens (ou revues) des dépenses publiques (EDP</w:t>
      </w:r>
      <w:r>
        <w:rPr>
          <w:rStyle w:val="Appelnotedebasdep"/>
        </w:rPr>
        <w:footnoteReference w:id="8"/>
      </w:r>
      <w:r>
        <w:t xml:space="preserve">) abordent les questions de réformes du secteur public mais aussi des préoccupations macro-économiques globales ou sectorielles. Conçues initialement pour le suivi des activités de la Banque, ces revues intéressent actuellement d’autres bailleurs de fonds et connaissent une participation active des autorités nationales. </w:t>
      </w:r>
    </w:p>
    <w:p w:rsidR="00E005CF" w:rsidRDefault="00E005CF" w:rsidP="00E005CF">
      <w:pPr>
        <w:numPr>
          <w:ilvl w:val="0"/>
          <w:numId w:val="2"/>
        </w:numPr>
        <w:tabs>
          <w:tab w:val="clear" w:pos="720"/>
          <w:tab w:val="num" w:pos="360"/>
        </w:tabs>
        <w:autoSpaceDE w:val="0"/>
        <w:autoSpaceDN w:val="0"/>
        <w:adjustRightInd w:val="0"/>
        <w:ind w:left="360"/>
        <w:jc w:val="both"/>
      </w:pPr>
      <w:r>
        <w:t>les « PETS</w:t>
      </w:r>
      <w:r>
        <w:rPr>
          <w:rStyle w:val="Appelnotedebasdep"/>
        </w:rPr>
        <w:footnoteReference w:id="9"/>
      </w:r>
      <w:r>
        <w:t> » retracent les dépenses publiques à partir de enquêtes quantitatives sur le service rendu et ce, pour améliorer la transparence et lutter contre la corruption.</w:t>
      </w:r>
    </w:p>
    <w:p w:rsidR="00E005CF" w:rsidRDefault="00E005CF" w:rsidP="00E005CF">
      <w:pPr>
        <w:numPr>
          <w:ilvl w:val="0"/>
          <w:numId w:val="2"/>
        </w:numPr>
        <w:tabs>
          <w:tab w:val="clear" w:pos="720"/>
          <w:tab w:val="num" w:pos="360"/>
        </w:tabs>
        <w:autoSpaceDE w:val="0"/>
        <w:autoSpaceDN w:val="0"/>
        <w:adjustRightInd w:val="0"/>
        <w:ind w:left="360"/>
        <w:jc w:val="both"/>
      </w:pPr>
      <w:r>
        <w:t>les analyses fiduciaires CFAA</w:t>
      </w:r>
      <w:r>
        <w:rPr>
          <w:rStyle w:val="Appelnotedebasdep"/>
        </w:rPr>
        <w:footnoteReference w:id="10"/>
      </w:r>
      <w:r>
        <w:t xml:space="preserve"> étudient la gestion des finances publiques et des pratiques comptables au niveau de l’administration centrale et des services déconcentrés.</w:t>
      </w:r>
    </w:p>
    <w:p w:rsidR="00E005CF" w:rsidRDefault="00E005CF" w:rsidP="00E005CF">
      <w:pPr>
        <w:numPr>
          <w:ilvl w:val="0"/>
          <w:numId w:val="2"/>
        </w:numPr>
        <w:tabs>
          <w:tab w:val="clear" w:pos="720"/>
          <w:tab w:val="num" w:pos="360"/>
        </w:tabs>
        <w:autoSpaceDE w:val="0"/>
        <w:autoSpaceDN w:val="0"/>
        <w:adjustRightInd w:val="0"/>
        <w:ind w:left="360"/>
        <w:jc w:val="both"/>
      </w:pPr>
      <w:r>
        <w:t>les analyses CPAR</w:t>
      </w:r>
      <w:r>
        <w:rPr>
          <w:rStyle w:val="Appelnotedebasdep"/>
        </w:rPr>
        <w:footnoteReference w:id="11"/>
      </w:r>
      <w:r>
        <w:t xml:space="preserve"> examinent les méthodes de passation des marchés publics.</w:t>
      </w:r>
    </w:p>
    <w:p w:rsidR="00E005CF" w:rsidRDefault="00E005CF" w:rsidP="00E005CF">
      <w:pPr>
        <w:autoSpaceDE w:val="0"/>
        <w:autoSpaceDN w:val="0"/>
        <w:adjustRightInd w:val="0"/>
        <w:jc w:val="both"/>
      </w:pPr>
    </w:p>
    <w:p w:rsidR="00E005CF" w:rsidRPr="00E005CF" w:rsidRDefault="00E005CF" w:rsidP="00E005CF">
      <w:pPr>
        <w:autoSpaceDE w:val="0"/>
        <w:autoSpaceDN w:val="0"/>
        <w:adjustRightInd w:val="0"/>
        <w:jc w:val="both"/>
      </w:pPr>
      <w:r>
        <w:t>Ces évaluations aboutissent généralement à des propositions des réformes. La Banque Mondiale participe également aux évaluations PEFA (voir infra).</w:t>
      </w:r>
    </w:p>
    <w:p w:rsidR="00E005CF" w:rsidRPr="00E005CF" w:rsidRDefault="00E005CF" w:rsidP="00E005CF">
      <w:pPr>
        <w:pStyle w:val="Titre1"/>
        <w:rPr>
          <w:rFonts w:ascii="Times New Roman" w:hAnsi="Times New Roman" w:cs="Times New Roman"/>
          <w:sz w:val="24"/>
          <w:szCs w:val="24"/>
        </w:rPr>
      </w:pPr>
      <w:bookmarkStart w:id="3" w:name="_Toc233962986"/>
      <w:r w:rsidRPr="00E005CF">
        <w:rPr>
          <w:rFonts w:ascii="Times New Roman" w:hAnsi="Times New Roman" w:cs="Times New Roman"/>
          <w:sz w:val="24"/>
          <w:szCs w:val="24"/>
        </w:rPr>
        <w:t>La bonne gouvernance des finances publiques et l’OCDE</w:t>
      </w:r>
      <w:bookmarkEnd w:id="3"/>
    </w:p>
    <w:p w:rsidR="00E005CF" w:rsidRDefault="00E005CF" w:rsidP="00E005CF">
      <w:pPr>
        <w:autoSpaceDE w:val="0"/>
        <w:autoSpaceDN w:val="0"/>
        <w:adjustRightInd w:val="0"/>
        <w:jc w:val="both"/>
        <w:rPr>
          <w:b/>
          <w:i/>
        </w:rPr>
      </w:pPr>
    </w:p>
    <w:p w:rsidR="00E005CF" w:rsidRDefault="00E005CF" w:rsidP="00E005CF">
      <w:pPr>
        <w:autoSpaceDE w:val="0"/>
        <w:autoSpaceDN w:val="0"/>
        <w:adjustRightInd w:val="0"/>
        <w:jc w:val="both"/>
      </w:pPr>
      <w:r>
        <w:t>L’OCDE a publié de nombreux documents en matière de renforcement de la gouvernance publique. Mais, le document intitulé « Meilleures pratiques budgétaires en matière de transparence budgétaire » a une importance capitale en matière de bonne gouvernance des finances publiques. Publiées en mai 2001, ce document sert d’outil de référence. Il préconise la communication systématique et dans les délais opportuns de l’ensemble des informations budgétaires pertinentes. Il propose également une série de bonnes mesures à appliquer dans les domaines de la préparation des principaux rapports budgétaires, de la divulgation d’informations particulières, ainsi que de la qualité et de l’intégrité des informations. L’encadré 5 ci-dessous résume les principales lignes directrices de ce document.</w:t>
      </w:r>
    </w:p>
    <w:p w:rsidR="00CC2A2B" w:rsidRDefault="00CC2A2B" w:rsidP="00E005CF">
      <w:pPr>
        <w:autoSpaceDE w:val="0"/>
        <w:autoSpaceDN w:val="0"/>
        <w:adjustRightInd w:val="0"/>
        <w:jc w:val="both"/>
      </w:pPr>
    </w:p>
    <w:p w:rsidR="00E005CF" w:rsidRDefault="00E005CF" w:rsidP="00E005CF">
      <w:pPr>
        <w:autoSpaceDE w:val="0"/>
        <w:autoSpaceDN w:val="0"/>
        <w:adjustRightInd w:val="0"/>
        <w:jc w:val="both"/>
      </w:pPr>
    </w:p>
    <w:p w:rsidR="00E005CF" w:rsidRPr="00A261DA" w:rsidRDefault="00E005CF" w:rsidP="00E005CF">
      <w:pPr>
        <w:pBdr>
          <w:top w:val="single" w:sz="4" w:space="1" w:color="auto"/>
          <w:left w:val="single" w:sz="4" w:space="4" w:color="auto"/>
          <w:bottom w:val="single" w:sz="4" w:space="1" w:color="auto"/>
          <w:right w:val="single" w:sz="4" w:space="4" w:color="auto"/>
        </w:pBdr>
        <w:autoSpaceDE w:val="0"/>
        <w:autoSpaceDN w:val="0"/>
        <w:adjustRightInd w:val="0"/>
        <w:jc w:val="both"/>
        <w:rPr>
          <w:b/>
        </w:rPr>
      </w:pPr>
      <w:r w:rsidRPr="00A261DA">
        <w:rPr>
          <w:b/>
        </w:rPr>
        <w:t xml:space="preserve">Encadré </w:t>
      </w:r>
      <w:r>
        <w:rPr>
          <w:b/>
        </w:rPr>
        <w:t>5</w:t>
      </w:r>
      <w:r w:rsidRPr="00A261DA">
        <w:rPr>
          <w:b/>
        </w:rPr>
        <w:t>. Transparence budgétaire – les meilleures pratiques de l’OCDE</w:t>
      </w:r>
    </w:p>
    <w:p w:rsidR="00E005CF" w:rsidRDefault="00E005CF" w:rsidP="00E005CF">
      <w:pPr>
        <w:pBdr>
          <w:top w:val="single" w:sz="4" w:space="1" w:color="auto"/>
          <w:left w:val="single" w:sz="4" w:space="4" w:color="auto"/>
          <w:bottom w:val="single" w:sz="4" w:space="1" w:color="auto"/>
          <w:right w:val="single" w:sz="4" w:space="4" w:color="auto"/>
        </w:pBdr>
        <w:autoSpaceDE w:val="0"/>
        <w:autoSpaceDN w:val="0"/>
        <w:adjustRightInd w:val="0"/>
        <w:jc w:val="both"/>
      </w:pPr>
    </w:p>
    <w:p w:rsidR="00E005CF" w:rsidRPr="00545DBF" w:rsidRDefault="00E005CF" w:rsidP="00E005CF">
      <w:pPr>
        <w:pBdr>
          <w:top w:val="single" w:sz="4" w:space="1" w:color="auto"/>
          <w:left w:val="single" w:sz="4" w:space="4" w:color="auto"/>
          <w:bottom w:val="single" w:sz="4" w:space="1" w:color="auto"/>
          <w:right w:val="single" w:sz="4" w:space="4" w:color="auto"/>
        </w:pBdr>
        <w:autoSpaceDE w:val="0"/>
        <w:autoSpaceDN w:val="0"/>
        <w:adjustRightInd w:val="0"/>
        <w:jc w:val="both"/>
        <w:rPr>
          <w:b/>
        </w:rPr>
      </w:pPr>
      <w:r w:rsidRPr="00545DBF">
        <w:rPr>
          <w:b/>
        </w:rPr>
        <w:t>Rapports budgétaires</w:t>
      </w:r>
    </w:p>
    <w:p w:rsidR="00E005CF" w:rsidRPr="00545DBF" w:rsidRDefault="00E005CF" w:rsidP="00E005CF">
      <w:pPr>
        <w:pStyle w:val="Paragraphedeliste"/>
        <w:numPr>
          <w:ilvl w:val="0"/>
          <w:numId w:val="6"/>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t>Le budget.</w:t>
      </w:r>
    </w:p>
    <w:p w:rsidR="00E005CF" w:rsidRPr="00545DBF" w:rsidRDefault="00E005CF" w:rsidP="00E005CF">
      <w:pPr>
        <w:pStyle w:val="Paragraphedeliste"/>
        <w:numPr>
          <w:ilvl w:val="0"/>
          <w:numId w:val="6"/>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t>Rapport préalable au budget</w:t>
      </w:r>
    </w:p>
    <w:p w:rsidR="00E005CF" w:rsidRPr="00545DBF" w:rsidRDefault="00E005CF" w:rsidP="00E005CF">
      <w:pPr>
        <w:pStyle w:val="Paragraphedeliste"/>
        <w:numPr>
          <w:ilvl w:val="0"/>
          <w:numId w:val="6"/>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t>Rapports mensuels (ou trimestriels)</w:t>
      </w:r>
    </w:p>
    <w:p w:rsidR="00E005CF" w:rsidRPr="00545DBF" w:rsidRDefault="00E005CF" w:rsidP="00E005CF">
      <w:pPr>
        <w:pStyle w:val="Paragraphedeliste"/>
        <w:numPr>
          <w:ilvl w:val="0"/>
          <w:numId w:val="6"/>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t>Rapport en milieu d’année</w:t>
      </w:r>
    </w:p>
    <w:p w:rsidR="00E005CF" w:rsidRPr="00545DBF" w:rsidRDefault="00E005CF" w:rsidP="00E005CF">
      <w:pPr>
        <w:pStyle w:val="Paragraphedeliste"/>
        <w:numPr>
          <w:ilvl w:val="0"/>
          <w:numId w:val="6"/>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t>Rapport en fin d’année</w:t>
      </w:r>
    </w:p>
    <w:p w:rsidR="00E005CF" w:rsidRPr="00545DBF" w:rsidRDefault="00E005CF" w:rsidP="00E005CF">
      <w:pPr>
        <w:pStyle w:val="Paragraphedeliste"/>
        <w:numPr>
          <w:ilvl w:val="0"/>
          <w:numId w:val="6"/>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t>Rapport préalable à des élections</w:t>
      </w:r>
    </w:p>
    <w:p w:rsidR="00E005CF" w:rsidRPr="00545DBF" w:rsidRDefault="00E005CF" w:rsidP="00E005CF">
      <w:pPr>
        <w:pStyle w:val="Paragraphedeliste"/>
        <w:numPr>
          <w:ilvl w:val="0"/>
          <w:numId w:val="6"/>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t>Rapport sur le long terme</w:t>
      </w:r>
    </w:p>
    <w:p w:rsidR="00E005CF" w:rsidRPr="00545DBF" w:rsidRDefault="00E005CF" w:rsidP="00E005CF">
      <w:pPr>
        <w:pBdr>
          <w:top w:val="single" w:sz="4" w:space="1" w:color="auto"/>
          <w:left w:val="single" w:sz="4" w:space="4" w:color="auto"/>
          <w:bottom w:val="single" w:sz="4" w:space="1" w:color="auto"/>
          <w:right w:val="single" w:sz="4" w:space="4" w:color="auto"/>
        </w:pBdr>
        <w:autoSpaceDE w:val="0"/>
        <w:autoSpaceDN w:val="0"/>
        <w:adjustRightInd w:val="0"/>
        <w:jc w:val="both"/>
      </w:pPr>
    </w:p>
    <w:p w:rsidR="00E005CF" w:rsidRPr="00545DBF" w:rsidRDefault="00E005CF" w:rsidP="00E005CF">
      <w:pPr>
        <w:pBdr>
          <w:top w:val="single" w:sz="4" w:space="1" w:color="auto"/>
          <w:left w:val="single" w:sz="4" w:space="4" w:color="auto"/>
          <w:bottom w:val="single" w:sz="4" w:space="1" w:color="auto"/>
          <w:right w:val="single" w:sz="4" w:space="4" w:color="auto"/>
        </w:pBdr>
        <w:autoSpaceDE w:val="0"/>
        <w:autoSpaceDN w:val="0"/>
        <w:adjustRightInd w:val="0"/>
        <w:jc w:val="both"/>
        <w:rPr>
          <w:b/>
        </w:rPr>
      </w:pPr>
      <w:r w:rsidRPr="00545DBF">
        <w:rPr>
          <w:b/>
        </w:rPr>
        <w:t>Indications particulières</w:t>
      </w:r>
    </w:p>
    <w:p w:rsidR="00E005CF" w:rsidRPr="00545DBF" w:rsidRDefault="00E005CF" w:rsidP="00E005CF">
      <w:pPr>
        <w:pStyle w:val="Paragraphedeliste"/>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lastRenderedPageBreak/>
        <w:t>Hypothèses économiques</w:t>
      </w:r>
    </w:p>
    <w:p w:rsidR="00E005CF" w:rsidRPr="00545DBF" w:rsidRDefault="00E005CF" w:rsidP="00E005CF">
      <w:pPr>
        <w:pStyle w:val="Paragraphedeliste"/>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t>Dépenses fiscales</w:t>
      </w:r>
    </w:p>
    <w:p w:rsidR="00E005CF" w:rsidRPr="00545DBF" w:rsidRDefault="00E005CF" w:rsidP="00E005CF">
      <w:pPr>
        <w:pStyle w:val="Paragraphedeliste"/>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t>Créances et engagements</w:t>
      </w:r>
    </w:p>
    <w:p w:rsidR="00E005CF" w:rsidRPr="00545DBF" w:rsidRDefault="00E005CF" w:rsidP="00E005CF">
      <w:pPr>
        <w:pStyle w:val="Paragraphedeliste"/>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t>Actifs non financiers</w:t>
      </w:r>
    </w:p>
    <w:p w:rsidR="00E005CF" w:rsidRPr="00545DBF" w:rsidRDefault="00E005CF" w:rsidP="00E005CF">
      <w:pPr>
        <w:pStyle w:val="Paragraphedeliste"/>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t>Obligations liées aux pensions des agents publics</w:t>
      </w:r>
    </w:p>
    <w:p w:rsidR="00E005CF" w:rsidRPr="00545DBF" w:rsidRDefault="00E005CF" w:rsidP="00E005CF">
      <w:pPr>
        <w:pStyle w:val="Paragraphedeliste"/>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t>Engagements conditionnels</w:t>
      </w:r>
    </w:p>
    <w:p w:rsidR="00E005CF" w:rsidRDefault="00E005CF" w:rsidP="00E005CF">
      <w:pPr>
        <w:pStyle w:val="Paragraphedeliste"/>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pPr>
      <w:r w:rsidRPr="00545DBF">
        <w:t>Politique en matière de comptabilité publique</w:t>
      </w:r>
    </w:p>
    <w:p w:rsidR="00E005CF" w:rsidRDefault="00E005CF" w:rsidP="00E005CF">
      <w:pPr>
        <w:pBdr>
          <w:top w:val="single" w:sz="4" w:space="1" w:color="auto"/>
          <w:left w:val="single" w:sz="4" w:space="4" w:color="auto"/>
          <w:bottom w:val="single" w:sz="4" w:space="1" w:color="auto"/>
          <w:right w:val="single" w:sz="4" w:space="4" w:color="auto"/>
        </w:pBdr>
        <w:autoSpaceDE w:val="0"/>
        <w:autoSpaceDN w:val="0"/>
        <w:adjustRightInd w:val="0"/>
        <w:jc w:val="both"/>
      </w:pPr>
    </w:p>
    <w:p w:rsidR="00E005CF" w:rsidRPr="00D078B9" w:rsidRDefault="00E005CF" w:rsidP="00E005CF">
      <w:pPr>
        <w:pBdr>
          <w:top w:val="single" w:sz="4" w:space="1" w:color="auto"/>
          <w:left w:val="single" w:sz="4" w:space="4" w:color="auto"/>
          <w:bottom w:val="single" w:sz="4" w:space="1" w:color="auto"/>
          <w:right w:val="single" w:sz="4" w:space="4" w:color="auto"/>
        </w:pBdr>
        <w:autoSpaceDE w:val="0"/>
        <w:autoSpaceDN w:val="0"/>
        <w:adjustRightInd w:val="0"/>
        <w:jc w:val="both"/>
        <w:rPr>
          <w:b/>
        </w:rPr>
      </w:pPr>
      <w:r w:rsidRPr="00D078B9">
        <w:rPr>
          <w:b/>
        </w:rPr>
        <w:t>Sincérité, contrôle et responsabilité</w:t>
      </w:r>
    </w:p>
    <w:p w:rsidR="00E005CF" w:rsidRPr="00D078B9" w:rsidRDefault="00E005CF" w:rsidP="00E005CF">
      <w:pPr>
        <w:pStyle w:val="Paragraphedeliste"/>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pPr>
      <w:r w:rsidRPr="00D078B9">
        <w:t>La politique suivie en comptabilité</w:t>
      </w:r>
    </w:p>
    <w:p w:rsidR="00E005CF" w:rsidRPr="00D078B9" w:rsidRDefault="00E005CF" w:rsidP="00E005CF">
      <w:pPr>
        <w:pStyle w:val="Paragraphedeliste"/>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pPr>
      <w:r w:rsidRPr="00D078B9">
        <w:t>Systèmes et responsabilité</w:t>
      </w:r>
    </w:p>
    <w:p w:rsidR="00E005CF" w:rsidRPr="00D078B9" w:rsidRDefault="00E005CF" w:rsidP="00E005CF">
      <w:pPr>
        <w:pStyle w:val="Paragraphedeliste"/>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pPr>
      <w:r w:rsidRPr="00D078B9">
        <w:t xml:space="preserve">Audit </w:t>
      </w:r>
    </w:p>
    <w:p w:rsidR="00E005CF" w:rsidRPr="00545DBF" w:rsidRDefault="00E005CF" w:rsidP="00E005CF">
      <w:pPr>
        <w:pStyle w:val="Paragraphedeliste"/>
        <w:numPr>
          <w:ilvl w:val="0"/>
          <w:numId w:val="7"/>
        </w:numPr>
        <w:pBdr>
          <w:top w:val="single" w:sz="4" w:space="1" w:color="auto"/>
          <w:left w:val="single" w:sz="4" w:space="4" w:color="auto"/>
          <w:bottom w:val="single" w:sz="4" w:space="1" w:color="auto"/>
          <w:right w:val="single" w:sz="4" w:space="4" w:color="auto"/>
        </w:pBdr>
        <w:autoSpaceDE w:val="0"/>
        <w:autoSpaceDN w:val="0"/>
        <w:adjustRightInd w:val="0"/>
        <w:jc w:val="both"/>
      </w:pPr>
      <w:r w:rsidRPr="00D078B9">
        <w:t>Le contrôle du public et celui du Parlement</w:t>
      </w:r>
    </w:p>
    <w:p w:rsidR="00E005CF" w:rsidRDefault="00E005CF" w:rsidP="00E005CF">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p>
    <w:p w:rsidR="00E005CF" w:rsidRPr="00545DBF" w:rsidRDefault="00E005CF" w:rsidP="00E005CF">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Pr>
          <w:sz w:val="22"/>
          <w:szCs w:val="22"/>
        </w:rPr>
        <w:t>Source : OCDE. « Transparence budgétaire – les meilleures pratiques de l’OCDE » Revue de l’OCDE sur la gestion budgétaire, Vol. 1, n°3.</w:t>
      </w:r>
    </w:p>
    <w:p w:rsidR="00E005CF" w:rsidRDefault="00E005CF" w:rsidP="00E005CF">
      <w:pPr>
        <w:autoSpaceDE w:val="0"/>
        <w:autoSpaceDN w:val="0"/>
        <w:adjustRightInd w:val="0"/>
        <w:jc w:val="both"/>
      </w:pPr>
    </w:p>
    <w:p w:rsidR="00E005CF" w:rsidRDefault="00E005CF" w:rsidP="00E005CF">
      <w:pPr>
        <w:autoSpaceDE w:val="0"/>
        <w:autoSpaceDN w:val="0"/>
        <w:adjustRightInd w:val="0"/>
        <w:jc w:val="both"/>
        <w:rPr>
          <w:b/>
          <w:i/>
        </w:rPr>
      </w:pPr>
    </w:p>
    <w:p w:rsidR="00E005CF" w:rsidRPr="00E005CF" w:rsidRDefault="00E005CF" w:rsidP="00E005CF">
      <w:pPr>
        <w:pStyle w:val="Titre1"/>
        <w:rPr>
          <w:rFonts w:ascii="Times New Roman" w:eastAsia="Times New Roman" w:hAnsi="Times New Roman" w:cs="Times New Roman"/>
          <w:sz w:val="24"/>
          <w:szCs w:val="24"/>
        </w:rPr>
      </w:pPr>
      <w:r w:rsidRPr="00E005CF">
        <w:rPr>
          <w:rFonts w:ascii="Times New Roman" w:eastAsia="Times New Roman" w:hAnsi="Times New Roman" w:cs="Times New Roman"/>
          <w:sz w:val="24"/>
          <w:szCs w:val="24"/>
        </w:rPr>
        <w:t>L’évaluation PEFA</w:t>
      </w:r>
    </w:p>
    <w:p w:rsidR="00E005CF" w:rsidRDefault="00E005CF" w:rsidP="00E005CF">
      <w:pPr>
        <w:pStyle w:val="NormalWeb"/>
        <w:jc w:val="both"/>
      </w:pPr>
      <w:r w:rsidRPr="004A4D93">
        <w:t xml:space="preserve">Le PEFA (Public Expenditure and Financial Accountability – Dépenses publiques et responsabilité financière) est un programme de partenariat </w:t>
      </w:r>
      <w:r w:rsidRPr="00A2098E">
        <w:t xml:space="preserve">entre plusieurs bailleurs de fonds dont les initiateurs sont la Banque mondiale, le Fonds monétaire international, la Commission européenne, le Département pour le développement international </w:t>
      </w:r>
      <w:r>
        <w:t>du Royaume-Uni, l</w:t>
      </w:r>
      <w:r w:rsidRPr="004A4D93">
        <w:t xml:space="preserve">e Ministère français des Affaires étrangères, </w:t>
      </w:r>
      <w:r w:rsidRPr="00A2098E">
        <w:t xml:space="preserve">le Ministère des Affaires étrangères du Royaume de </w:t>
      </w:r>
      <w:r>
        <w:t>Norvège et</w:t>
      </w:r>
      <w:r w:rsidRPr="004A4D93">
        <w:t xml:space="preserve"> </w:t>
      </w:r>
      <w:r w:rsidRPr="00A2098E">
        <w:t xml:space="preserve">le Secrétariat d’État aux Affaires économiques de </w:t>
      </w:r>
      <w:r>
        <w:t>la Suisse</w:t>
      </w:r>
      <w:r w:rsidRPr="004A4D93">
        <w:t>.</w:t>
      </w:r>
      <w:r>
        <w:t xml:space="preserve"> Son secrétariat est assuré par la Banque Mondiale.</w:t>
      </w:r>
    </w:p>
    <w:p w:rsidR="00E005CF" w:rsidRPr="00A2098E" w:rsidRDefault="00E005CF" w:rsidP="00E005CF">
      <w:pPr>
        <w:pStyle w:val="NormalWeb"/>
        <w:jc w:val="both"/>
      </w:pPr>
      <w:r w:rsidRPr="00A2098E">
        <w:t>Ce programme a mis en place 31 indicateurs dont les 28 principaux  sont centrés essentiellement sur la gestion des finances publiques. Les 3 derniers évaluent les pratiques des bailleurs de fonds et la prédictibilité de leurs financements. Les 28 premiers indicateurs sont répartis en trois groupes. Parmi eux, les quatre premiers évaluent la crédibilité du budget, c’est-à-dire si le budget exécuté par le gouvernement est conforme à celui autorisé par le Parlement. On compare le montant des dépenses et des recettes exécutées ainsi que la  composition des dépenses exécutées par rapport au budget initial. Les six indicateurs suivants permettent de vérifier la transparence budgétaire, c’est à dire la qualité de la classification budgétaire, la qualité et la quantité de l’information mise à la disposition du public ainsi que la part des opérations extrabudgétaires. Les  18 derniers  couvrent l’ensemble du cycle budgétaire (voir section les étapes du cycle budgétaire) et sont réparties en quatre composantes: la phase de préparation (2 indicateurs), la phase d’exécution et de contrôle interne (9 indicateurs), la qualité du suivi budgétaire (4 indicateurs) et les contrôles internes (3 indicateurs).</w:t>
      </w:r>
    </w:p>
    <w:p w:rsidR="00E005CF" w:rsidRPr="00A2098E" w:rsidRDefault="00E005CF" w:rsidP="00E005CF">
      <w:pPr>
        <w:pStyle w:val="NormalWeb"/>
        <w:jc w:val="both"/>
      </w:pPr>
      <w:r w:rsidRPr="00A2098E">
        <w:t xml:space="preserve">Nombre de gouvernements ainsi que des partenaires techniques et financiers utilisent cette évaluation pour tracer les pistes des réformes. Le PEFA vise à promouvoir le rôle prépondérant des pays dans les réformes de la gestion des finances publiques, en vue d’un meilleur alignement et d’une harmonisation avec les procédures des bailleurs de fonds qui appuient les programmes </w:t>
      </w:r>
      <w:r w:rsidRPr="00A2098E">
        <w:lastRenderedPageBreak/>
        <w:t>de réforme nationaux, ainsi que le suivi des progrès enregistrés au moyen du Cadre de mesure de la performance en GFP</w:t>
      </w:r>
      <w:r>
        <w:t xml:space="preserve"> – Gestion des Finances Publiques -</w:t>
      </w:r>
      <w:r w:rsidRPr="00A2098E">
        <w:t xml:space="preserve"> (encadré 6). En effet, la multiplication des outils d’évaluation et l’absence de coordination dans leur application conduisent à des duplications inutiles et à des coûts de transactions élevés.  Le PEFA vise à corriger cette défaillance. La liste des principaux outils d’évaluation figure dans l’encadré 7, avec une brève description de leurs caractéristiques respectives.</w:t>
      </w:r>
    </w:p>
    <w:p w:rsidR="00E005CF" w:rsidRPr="00F63C04" w:rsidRDefault="00E005CF" w:rsidP="00E005CF">
      <w:pPr>
        <w:jc w:val="both"/>
      </w:pPr>
    </w:p>
    <w:p w:rsidR="00E005CF" w:rsidRPr="0026563C" w:rsidRDefault="00E005CF" w:rsidP="00E005CF">
      <w:pPr>
        <w:pStyle w:val="Notedebasdepage"/>
        <w:pBdr>
          <w:top w:val="single" w:sz="4" w:space="1" w:color="auto"/>
          <w:left w:val="single" w:sz="4" w:space="4" w:color="auto"/>
          <w:bottom w:val="single" w:sz="4" w:space="1" w:color="auto"/>
          <w:right w:val="single" w:sz="4" w:space="4" w:color="auto"/>
        </w:pBdr>
        <w:jc w:val="both"/>
        <w:rPr>
          <w:b/>
          <w:sz w:val="24"/>
          <w:szCs w:val="24"/>
        </w:rPr>
      </w:pPr>
      <w:r>
        <w:rPr>
          <w:b/>
          <w:sz w:val="24"/>
          <w:szCs w:val="24"/>
        </w:rPr>
        <w:t xml:space="preserve">Encadré 6. </w:t>
      </w:r>
      <w:r w:rsidRPr="0026563C">
        <w:rPr>
          <w:b/>
          <w:sz w:val="24"/>
          <w:szCs w:val="24"/>
        </w:rPr>
        <w:t>Qu’est ce que le cadre de mesure de la performance de la GFP ?</w:t>
      </w:r>
    </w:p>
    <w:p w:rsidR="00E005CF" w:rsidRDefault="00E005CF" w:rsidP="00E005CF">
      <w:pPr>
        <w:pStyle w:val="Notedebasdepage"/>
        <w:pBdr>
          <w:top w:val="single" w:sz="4" w:space="1" w:color="auto"/>
          <w:left w:val="single" w:sz="4" w:space="4" w:color="auto"/>
          <w:bottom w:val="single" w:sz="4" w:space="1" w:color="auto"/>
          <w:right w:val="single" w:sz="4" w:space="4" w:color="auto"/>
        </w:pBdr>
        <w:jc w:val="both"/>
        <w:rPr>
          <w:sz w:val="24"/>
          <w:szCs w:val="24"/>
        </w:rPr>
      </w:pPr>
    </w:p>
    <w:p w:rsidR="00E005CF" w:rsidRDefault="00E005CF" w:rsidP="00E005CF">
      <w:pPr>
        <w:pStyle w:val="Notedebasdepage"/>
        <w:pBdr>
          <w:top w:val="single" w:sz="4" w:space="1" w:color="auto"/>
          <w:left w:val="single" w:sz="4" w:space="4" w:color="auto"/>
          <w:bottom w:val="single" w:sz="4" w:space="1" w:color="auto"/>
          <w:right w:val="single" w:sz="4" w:space="4" w:color="auto"/>
        </w:pBdr>
        <w:jc w:val="both"/>
        <w:rPr>
          <w:sz w:val="24"/>
          <w:szCs w:val="24"/>
        </w:rPr>
      </w:pPr>
      <w:r>
        <w:rPr>
          <w:sz w:val="24"/>
          <w:szCs w:val="24"/>
        </w:rPr>
        <w:t>C’</w:t>
      </w:r>
      <w:r w:rsidRPr="0026563C">
        <w:rPr>
          <w:sz w:val="24"/>
          <w:szCs w:val="24"/>
        </w:rPr>
        <w:t>est un cadre de suivi intégré qui permet de mesurer la performance de la GFP et son évolution dans le temps. Il est mis au point par les partenaires du Programme PEFA en collaboration avec le groupe sur la GFP du CAD/OCDE afin de disposer d’un outil permettant de fournir des données fiables sur la performance des systèmes, des procédures et des institutions des finances publiques au fil du temps. Il est l’un des éléments de l’Approche Renforcée visant à soutenir les réformes de la GFP. L’Approche Renforcée comporte trois éléments: (i) une stratégie de réforme des systèmes de GFP et un plan d’action élaborés sous la direction d’un pays, (ii) un programme de travail pluriannuel intégré, coordonnée pour les IFI et les bailleurs de fonds, qui soutient la stratégie de réforme des systèmes de GFP et qui est alignée sur cette stratégie, et (iii) un fonds d’information commun. Le cadre de performance de la GFP est un outil conçu pour atteindre ce troisième objectif.</w:t>
      </w:r>
    </w:p>
    <w:p w:rsidR="00E005CF" w:rsidRDefault="00E005CF" w:rsidP="00E005CF">
      <w:pPr>
        <w:pStyle w:val="Notedebasdepage"/>
        <w:pBdr>
          <w:top w:val="single" w:sz="4" w:space="1" w:color="auto"/>
          <w:left w:val="single" w:sz="4" w:space="4" w:color="auto"/>
          <w:bottom w:val="single" w:sz="4" w:space="1" w:color="auto"/>
          <w:right w:val="single" w:sz="4" w:space="4" w:color="auto"/>
        </w:pBdr>
        <w:jc w:val="both"/>
        <w:rPr>
          <w:sz w:val="24"/>
          <w:szCs w:val="24"/>
        </w:rPr>
      </w:pPr>
    </w:p>
    <w:p w:rsidR="00E005CF" w:rsidRPr="00C771C2" w:rsidRDefault="00E005CF" w:rsidP="00E005CF">
      <w:pPr>
        <w:pStyle w:val="Notedebasdepage"/>
        <w:pBdr>
          <w:top w:val="single" w:sz="4" w:space="1" w:color="auto"/>
          <w:left w:val="single" w:sz="4" w:space="4" w:color="auto"/>
          <w:bottom w:val="single" w:sz="4" w:space="1" w:color="auto"/>
          <w:right w:val="single" w:sz="4" w:space="4" w:color="auto"/>
        </w:pBdr>
        <w:jc w:val="both"/>
        <w:rPr>
          <w:i/>
        </w:rPr>
      </w:pPr>
      <w:r w:rsidRPr="00C771C2">
        <w:rPr>
          <w:i/>
        </w:rPr>
        <w:t>Source : www.pefa.org</w:t>
      </w:r>
    </w:p>
    <w:p w:rsidR="00E005CF" w:rsidRDefault="00E005CF" w:rsidP="00E005CF">
      <w:pPr>
        <w:jc w:val="both"/>
        <w:rPr>
          <w:b/>
          <w:i/>
        </w:rPr>
      </w:pPr>
    </w:p>
    <w:p w:rsidR="00CC2A2B" w:rsidRDefault="00CC2A2B" w:rsidP="00CC2A2B">
      <w:pPr>
        <w:jc w:val="both"/>
        <w:rPr>
          <w:b/>
          <w:spacing w:val="-11"/>
        </w:rPr>
      </w:pPr>
    </w:p>
    <w:p w:rsidR="00CC2A2B" w:rsidRPr="00CC2A2B" w:rsidRDefault="00CC2A2B" w:rsidP="00CC2A2B">
      <w:pPr>
        <w:pBdr>
          <w:top w:val="single" w:sz="4" w:space="1" w:color="auto"/>
          <w:left w:val="single" w:sz="4" w:space="4" w:color="auto"/>
          <w:bottom w:val="single" w:sz="4" w:space="1" w:color="auto"/>
          <w:right w:val="single" w:sz="4" w:space="4" w:color="auto"/>
        </w:pBdr>
        <w:jc w:val="both"/>
        <w:rPr>
          <w:b/>
          <w:spacing w:val="-11"/>
        </w:rPr>
      </w:pPr>
      <w:r w:rsidRPr="00CC2A2B">
        <w:rPr>
          <w:b/>
          <w:spacing w:val="-11"/>
        </w:rPr>
        <w:t>Encadré  7. Principaux outils d’évaluation des systèmes de GFP, en dehors du PEFA.</w:t>
      </w:r>
    </w:p>
    <w:p w:rsidR="00CC2A2B" w:rsidRPr="00CC2A2B" w:rsidRDefault="00CC2A2B" w:rsidP="00CC2A2B">
      <w:pPr>
        <w:pBdr>
          <w:top w:val="single" w:sz="4" w:space="1" w:color="auto"/>
          <w:left w:val="single" w:sz="4" w:space="4" w:color="auto"/>
          <w:bottom w:val="single" w:sz="4" w:space="1" w:color="auto"/>
          <w:right w:val="single" w:sz="4" w:space="4" w:color="auto"/>
        </w:pBdr>
        <w:jc w:val="both"/>
        <w:rPr>
          <w:b/>
          <w:spacing w:val="-11"/>
        </w:rPr>
      </w:pPr>
    </w:p>
    <w:p w:rsidR="00CC2A2B" w:rsidRPr="00CC2A2B" w:rsidRDefault="00CC2A2B" w:rsidP="00CC2A2B">
      <w:pPr>
        <w:pStyle w:val="CM70"/>
        <w:pBdr>
          <w:top w:val="single" w:sz="4" w:space="1" w:color="auto"/>
          <w:left w:val="single" w:sz="4" w:space="4" w:color="auto"/>
          <w:bottom w:val="single" w:sz="4" w:space="1" w:color="auto"/>
          <w:right w:val="single" w:sz="4" w:space="4" w:color="auto"/>
        </w:pBdr>
        <w:spacing w:line="251" w:lineRule="atLeast"/>
        <w:jc w:val="both"/>
        <w:rPr>
          <w:rFonts w:ascii="Times New Roman"/>
          <w:color w:val="000000"/>
        </w:rPr>
      </w:pPr>
      <w:r w:rsidRPr="00CC2A2B">
        <w:rPr>
          <w:rFonts w:ascii="Times New Roman"/>
          <w:b/>
          <w:color w:val="000000"/>
        </w:rPr>
        <w:t>Evaluation de la redevabilité financière dans les pays (CFAA – Banque mondiale) –Cet outil vise à une meilleure connaissance des dispositions en vigueur dans les pays clients en</w:t>
      </w:r>
      <w:r w:rsidRPr="00CC2A2B">
        <w:rPr>
          <w:rFonts w:ascii="Times New Roman"/>
          <w:color w:val="000000"/>
        </w:rPr>
        <w:t xml:space="preserve"> matière de gestion des finances publiques et de redevabilité financière. </w:t>
      </w:r>
    </w:p>
    <w:p w:rsidR="00CC2A2B" w:rsidRPr="00CC2A2B" w:rsidRDefault="00CC2A2B" w:rsidP="00CC2A2B">
      <w:pPr>
        <w:pStyle w:val="CM70"/>
        <w:pBdr>
          <w:top w:val="single" w:sz="4" w:space="1" w:color="auto"/>
          <w:left w:val="single" w:sz="4" w:space="4" w:color="auto"/>
          <w:bottom w:val="single" w:sz="4" w:space="1" w:color="auto"/>
          <w:right w:val="single" w:sz="4" w:space="4" w:color="auto"/>
        </w:pBdr>
        <w:spacing w:line="251" w:lineRule="atLeast"/>
        <w:jc w:val="both"/>
        <w:rPr>
          <w:rFonts w:ascii="Times New Roman"/>
          <w:color w:val="000000"/>
        </w:rPr>
      </w:pPr>
      <w:r w:rsidRPr="00CC2A2B">
        <w:rPr>
          <w:rFonts w:ascii="Times New Roman"/>
          <w:b/>
          <w:color w:val="000000"/>
        </w:rPr>
        <w:t>Examen des dépenses publiques (PER – Banque mondiale)</w:t>
      </w:r>
      <w:r w:rsidRPr="00CC2A2B">
        <w:rPr>
          <w:rFonts w:ascii="Times New Roman"/>
          <w:color w:val="000000"/>
        </w:rPr>
        <w:t xml:space="preserve"> – Cet examen permet d’analyser la situation budgétaire des pays bénéficiaires, leurs politiques de dépenses – en déterminant notamment dans quelle mesure ces politiques sont favorables aux pauvres – ainsi que leurs systèmes de gestion des dépenses publiques. </w:t>
      </w:r>
    </w:p>
    <w:p w:rsidR="00CC2A2B" w:rsidRPr="00CC2A2B" w:rsidRDefault="00CC2A2B" w:rsidP="00CC2A2B">
      <w:pPr>
        <w:pStyle w:val="CM70"/>
        <w:pBdr>
          <w:top w:val="single" w:sz="4" w:space="1" w:color="auto"/>
          <w:left w:val="single" w:sz="4" w:space="4" w:color="auto"/>
          <w:bottom w:val="single" w:sz="4" w:space="1" w:color="auto"/>
          <w:right w:val="single" w:sz="4" w:space="4" w:color="auto"/>
        </w:pBdr>
        <w:spacing w:line="251" w:lineRule="atLeast"/>
        <w:jc w:val="both"/>
        <w:rPr>
          <w:rFonts w:ascii="Times New Roman"/>
          <w:color w:val="000000"/>
        </w:rPr>
      </w:pPr>
      <w:r w:rsidRPr="00CC2A2B">
        <w:rPr>
          <w:rFonts w:ascii="Times New Roman"/>
          <w:b/>
          <w:color w:val="000000"/>
        </w:rPr>
        <w:t>Rapports analytiques sur la passation des marchés dans un pays (CPAR – Banque mondiale)</w:t>
      </w:r>
      <w:r w:rsidRPr="00CC2A2B">
        <w:rPr>
          <w:rFonts w:ascii="Times New Roman"/>
          <w:color w:val="000000"/>
        </w:rPr>
        <w:t xml:space="preserve"> – Les CPAR portent sur les institutions chargées des marchés publics et sur les pratiques en vigueur en la matière dans les pays emprunteurs. </w:t>
      </w:r>
    </w:p>
    <w:p w:rsidR="00CC2A2B" w:rsidRPr="00CC2A2B" w:rsidRDefault="00CC2A2B" w:rsidP="00CC2A2B">
      <w:pPr>
        <w:pStyle w:val="CM70"/>
        <w:pBdr>
          <w:top w:val="single" w:sz="4" w:space="1" w:color="auto"/>
          <w:left w:val="single" w:sz="4" w:space="4" w:color="auto"/>
          <w:bottom w:val="single" w:sz="4" w:space="1" w:color="auto"/>
          <w:right w:val="single" w:sz="4" w:space="4" w:color="auto"/>
        </w:pBdr>
        <w:spacing w:line="251" w:lineRule="atLeast"/>
        <w:jc w:val="both"/>
        <w:rPr>
          <w:rFonts w:ascii="Times New Roman"/>
          <w:color w:val="000000"/>
        </w:rPr>
      </w:pPr>
      <w:r w:rsidRPr="00CC2A2B">
        <w:rPr>
          <w:rFonts w:ascii="Times New Roman"/>
          <w:b/>
          <w:color w:val="000000"/>
        </w:rPr>
        <w:t xml:space="preserve">Suivi et évaluation des dépenses dans les pays pauvres très endettés (PPTE – Banque mondiale et FMI) </w:t>
      </w:r>
      <w:r w:rsidRPr="00CC2A2B">
        <w:rPr>
          <w:rFonts w:ascii="Times New Roman"/>
          <w:color w:val="000000"/>
        </w:rPr>
        <w:t xml:space="preserve">– Cet outil permet d’évaluer, au moyen de 16 étalons, la capacité des systèmes de gestion des finances publiques des PPTE à assurer le suivi des dépenses visant à réduire la pauvreté. </w:t>
      </w:r>
    </w:p>
    <w:p w:rsidR="00CC2A2B" w:rsidRPr="00CC2A2B" w:rsidRDefault="00CC2A2B" w:rsidP="00CC2A2B">
      <w:pPr>
        <w:pStyle w:val="CM70"/>
        <w:pBdr>
          <w:top w:val="single" w:sz="4" w:space="1" w:color="auto"/>
          <w:left w:val="single" w:sz="4" w:space="4" w:color="auto"/>
          <w:bottom w:val="single" w:sz="4" w:space="1" w:color="auto"/>
          <w:right w:val="single" w:sz="4" w:space="4" w:color="auto"/>
        </w:pBdr>
        <w:spacing w:line="251" w:lineRule="atLeast"/>
        <w:jc w:val="both"/>
        <w:rPr>
          <w:rFonts w:ascii="Times New Roman"/>
          <w:color w:val="000000"/>
        </w:rPr>
      </w:pPr>
      <w:r w:rsidRPr="00CC2A2B">
        <w:rPr>
          <w:rFonts w:ascii="Times New Roman"/>
          <w:b/>
          <w:color w:val="000000"/>
        </w:rPr>
        <w:t>Vérification</w:t>
      </w:r>
      <w:r>
        <w:rPr>
          <w:rFonts w:ascii="Times New Roman"/>
          <w:b/>
          <w:color w:val="000000"/>
        </w:rPr>
        <w:t xml:space="preserve"> de la transparence fiscale (RON</w:t>
      </w:r>
      <w:r w:rsidRPr="00CC2A2B">
        <w:rPr>
          <w:rFonts w:ascii="Times New Roman"/>
          <w:b/>
          <w:color w:val="000000"/>
        </w:rPr>
        <w:t>C – FMI)</w:t>
      </w:r>
      <w:r w:rsidRPr="00CC2A2B">
        <w:rPr>
          <w:rFonts w:ascii="Times New Roman"/>
          <w:color w:val="000000"/>
        </w:rPr>
        <w:t xml:space="preserve"> – Il s’agit d’un élément des Rapports sur le respect des normes et des codes, qui s’inspire du Code des bonnes pratiques sur la transparence fiscale adopté par le FMI en 1998 et révisé en 2007. </w:t>
      </w:r>
    </w:p>
    <w:p w:rsidR="00CC2A2B" w:rsidRPr="00CC2A2B" w:rsidRDefault="00CC2A2B" w:rsidP="00CC2A2B">
      <w:pPr>
        <w:pStyle w:val="CM70"/>
        <w:pBdr>
          <w:top w:val="single" w:sz="4" w:space="1" w:color="auto"/>
          <w:left w:val="single" w:sz="4" w:space="4" w:color="auto"/>
          <w:bottom w:val="single" w:sz="4" w:space="1" w:color="auto"/>
          <w:right w:val="single" w:sz="4" w:space="4" w:color="auto"/>
        </w:pBdr>
        <w:spacing w:line="251" w:lineRule="atLeast"/>
        <w:jc w:val="both"/>
        <w:rPr>
          <w:rFonts w:ascii="Times New Roman"/>
          <w:color w:val="000000"/>
        </w:rPr>
      </w:pPr>
      <w:r w:rsidRPr="00CC2A2B">
        <w:rPr>
          <w:rFonts w:ascii="Times New Roman"/>
          <w:b/>
          <w:color w:val="000000"/>
        </w:rPr>
        <w:t xml:space="preserve">Évaluations </w:t>
      </w:r>
      <w:r w:rsidRPr="00CC2A2B">
        <w:rPr>
          <w:rFonts w:ascii="Times New Roman"/>
          <w:b/>
          <w:i/>
          <w:iCs/>
          <w:color w:val="000000"/>
        </w:rPr>
        <w:t>ex ante</w:t>
      </w:r>
      <w:r w:rsidRPr="00CC2A2B">
        <w:rPr>
          <w:rFonts w:ascii="Times New Roman"/>
          <w:b/>
          <w:color w:val="000000"/>
        </w:rPr>
        <w:t xml:space="preserve"> de la gestion financière des pays (Commission européenne)</w:t>
      </w:r>
      <w:r w:rsidRPr="00CC2A2B">
        <w:rPr>
          <w:rFonts w:ascii="Times New Roman"/>
          <w:color w:val="000000"/>
        </w:rPr>
        <w:t xml:space="preserve"> –En règle générale, la CE effectue des audits de son appui budgétaire « ciblé » en vue de déterminer les dépenses « admissibles » et « non admissibles ». S’agissant de l’appui budgétaire qui sera </w:t>
      </w:r>
      <w:r w:rsidRPr="00CC2A2B">
        <w:rPr>
          <w:rFonts w:ascii="Times New Roman"/>
          <w:color w:val="000000"/>
        </w:rPr>
        <w:lastRenderedPageBreak/>
        <w:t xml:space="preserve">accordé dans l’avenir, toutefois, elle met actuellement au point une approche nouvelle, qui consiste à recourir à des évaluations </w:t>
      </w:r>
      <w:r w:rsidRPr="00CC2A2B">
        <w:rPr>
          <w:rFonts w:ascii="Times New Roman"/>
          <w:i/>
          <w:iCs/>
          <w:color w:val="000000"/>
        </w:rPr>
        <w:t xml:space="preserve">ex ante </w:t>
      </w:r>
      <w:r w:rsidRPr="00CC2A2B">
        <w:rPr>
          <w:rFonts w:ascii="Times New Roman"/>
          <w:color w:val="000000"/>
        </w:rPr>
        <w:t xml:space="preserve">de la gestion des finances publiques, en s’appuyant à la fois sur des diagnostics menés par d’autres donneurs/ gouvernements et sur un « test de conformité » permettant de disposer d’observations sur les performances des systèmes de gestion des finances publiques. </w:t>
      </w:r>
    </w:p>
    <w:p w:rsidR="00CC2A2B" w:rsidRPr="00D04430" w:rsidRDefault="00CC2A2B" w:rsidP="00CC2A2B">
      <w:pPr>
        <w:pStyle w:val="CM70"/>
        <w:pBdr>
          <w:top w:val="single" w:sz="4" w:space="1" w:color="auto"/>
          <w:left w:val="single" w:sz="4" w:space="4" w:color="auto"/>
          <w:bottom w:val="single" w:sz="4" w:space="1" w:color="auto"/>
          <w:right w:val="single" w:sz="4" w:space="4" w:color="auto"/>
        </w:pBdr>
        <w:spacing w:line="251" w:lineRule="atLeast"/>
        <w:jc w:val="both"/>
        <w:rPr>
          <w:rFonts w:ascii="Times New Roman"/>
          <w:b/>
          <w:color w:val="000000"/>
          <w:sz w:val="22"/>
          <w:szCs w:val="22"/>
        </w:rPr>
      </w:pPr>
      <w:r w:rsidRPr="00CC2A2B">
        <w:rPr>
          <w:rFonts w:ascii="Times New Roman"/>
          <w:b/>
          <w:color w:val="000000"/>
        </w:rPr>
        <w:t>Rapports de mise en œuvre des plans d’action de réforme de la gestion des finances publiques mis en œuvre par le gouvernement du pays partenaire.</w:t>
      </w:r>
    </w:p>
    <w:p w:rsidR="00CC2A2B" w:rsidRPr="00464557" w:rsidRDefault="00CC2A2B" w:rsidP="00E005CF">
      <w:pPr>
        <w:jc w:val="both"/>
        <w:rPr>
          <w:b/>
          <w:i/>
        </w:rPr>
      </w:pPr>
    </w:p>
    <w:p w:rsidR="00E005CF" w:rsidRDefault="00E005CF" w:rsidP="00E005CF">
      <w:pPr>
        <w:jc w:val="both"/>
        <w:rPr>
          <w:b/>
          <w:i/>
        </w:rPr>
      </w:pPr>
    </w:p>
    <w:p w:rsidR="00E005CF" w:rsidRPr="00E005CF" w:rsidRDefault="00E005CF" w:rsidP="00E005CF">
      <w:pPr>
        <w:pStyle w:val="Titre1"/>
        <w:rPr>
          <w:rFonts w:ascii="Times New Roman" w:eastAsia="Times New Roman" w:hAnsi="Times New Roman" w:cs="Times New Roman"/>
          <w:sz w:val="24"/>
          <w:szCs w:val="24"/>
        </w:rPr>
      </w:pPr>
      <w:bookmarkStart w:id="4" w:name="_Toc233962987"/>
      <w:r w:rsidRPr="00E005CF">
        <w:rPr>
          <w:rFonts w:ascii="Times New Roman" w:eastAsia="Times New Roman" w:hAnsi="Times New Roman" w:cs="Times New Roman"/>
          <w:sz w:val="24"/>
          <w:szCs w:val="24"/>
        </w:rPr>
        <w:t xml:space="preserve">Initiative sur la transparence des industries extractives (EITI) </w:t>
      </w:r>
      <w:bookmarkEnd w:id="4"/>
    </w:p>
    <w:p w:rsidR="00E005CF" w:rsidRDefault="00E005CF" w:rsidP="00E005CF">
      <w:pPr>
        <w:pStyle w:val="NormalWeb"/>
        <w:jc w:val="both"/>
      </w:pPr>
      <w:bookmarkStart w:id="5" w:name="_Toc233962988"/>
      <w:r w:rsidRPr="00A901A1">
        <w:t>Le pétrole, le gaz et les richesses minérales contribuent pour une part importante aux recettes fiscales et aux exportations d’un certain nombre de pays en développement (entre 40 et 50</w:t>
      </w:r>
      <w:r>
        <w:t>%</w:t>
      </w:r>
      <w:r w:rsidRPr="00A901A1">
        <w:t xml:space="preserve">). Gérer ces ressources représente un défi majeur en termes de gestion économique et de gouvernance. </w:t>
      </w:r>
      <w:r>
        <w:t>L’ITIE (</w:t>
      </w:r>
      <w:r w:rsidRPr="00BE1AE3">
        <w:rPr>
          <w:i/>
        </w:rPr>
        <w:t>Initiative sur la transparence des industries extractives</w:t>
      </w:r>
      <w:r>
        <w:rPr>
          <w:i/>
        </w:rPr>
        <w:t xml:space="preserve">) ou EITI (en anglais, pour </w:t>
      </w:r>
      <w:r w:rsidRPr="00A45746">
        <w:rPr>
          <w:b/>
          <w:i/>
        </w:rPr>
        <w:t>Extractives Industries</w:t>
      </w:r>
      <w:r w:rsidRPr="00A45746">
        <w:rPr>
          <w:b/>
        </w:rPr>
        <w:t xml:space="preserve"> </w:t>
      </w:r>
      <w:r w:rsidRPr="00A45746">
        <w:rPr>
          <w:b/>
          <w:i/>
        </w:rPr>
        <w:t>Transparency Initiative</w:t>
      </w:r>
      <w:r>
        <w:t>) est une initiative lancée en 2002 par le Royaume-Uni au Sommet de Johannesbourg</w:t>
      </w:r>
      <w:r>
        <w:rPr>
          <w:rStyle w:val="Appelnotedebasdep"/>
        </w:rPr>
        <w:footnoteReference w:id="12"/>
      </w:r>
      <w:r>
        <w:t xml:space="preserve"> et soutenue par le G8 et </w:t>
      </w:r>
      <w:smartTag w:uri="urn:schemas-microsoft-com:office:smarttags" w:element="PersonName">
        <w:smartTagPr>
          <w:attr w:name="ProductID" w:val="la Banque Mondiale"/>
        </w:smartTagPr>
        <w:r>
          <w:t>la Banque Mondiale</w:t>
        </w:r>
      </w:smartTag>
      <w:r>
        <w:t xml:space="preserve"> pour encourager la publication des rapports réguliers sur les recettes perçues par l’Etat et les montants versés par les industries extractives au titre de l’exploitation des ressources naturelles dans l’objectif d’améliorer la gouvernance des ressources minières et garantir que ces recettes serviront à promouvoir le développement durable et la réduction de la pauvreté. L’initiative réunit des gouvernements des pays producteurs des ressources minières, la société civile de ces pays, des partenaires au développement et des industries extractives.</w:t>
      </w:r>
      <w:r>
        <w:rPr>
          <w:color w:val="1A1D22"/>
        </w:rPr>
        <w:t xml:space="preserve"> </w:t>
      </w:r>
      <w:r>
        <w:t xml:space="preserve">C’est en 2003 que  les pays, les entreprises et les </w:t>
      </w:r>
      <w:r w:rsidRPr="00DC77F7">
        <w:rPr>
          <w:color w:val="1A1D22"/>
        </w:rPr>
        <w:t>organisations de la société civile</w:t>
      </w:r>
      <w:r>
        <w:rPr>
          <w:color w:val="1A1D22"/>
        </w:rPr>
        <w:t xml:space="preserve"> présents </w:t>
      </w:r>
      <w:r w:rsidRPr="00DC77F7">
        <w:rPr>
          <w:color w:val="1A1D22"/>
        </w:rPr>
        <w:t xml:space="preserve">à </w:t>
      </w:r>
      <w:smartTag w:uri="urn:schemas-microsoft-com:office:smarttags" w:element="PersonName">
        <w:smartTagPr>
          <w:attr w:name="ProductID" w:val="la Conf￩rence"/>
        </w:smartTagPr>
        <w:r w:rsidRPr="00DC77F7">
          <w:rPr>
            <w:color w:val="1A1D22"/>
          </w:rPr>
          <w:t>la Conférence</w:t>
        </w:r>
      </w:smartTag>
      <w:r w:rsidRPr="00DC77F7">
        <w:rPr>
          <w:color w:val="1A1D22"/>
        </w:rPr>
        <w:t xml:space="preserve"> de Lancaster House à Londres organisée par le gouvernement britanniqu</w:t>
      </w:r>
      <w:r>
        <w:rPr>
          <w:color w:val="1A1D22"/>
        </w:rPr>
        <w:t>e ont déclaré 12 principes</w:t>
      </w:r>
      <w:r>
        <w:rPr>
          <w:rStyle w:val="Appelnotedebasdep"/>
          <w:color w:val="1A1D22"/>
        </w:rPr>
        <w:footnoteReference w:id="13"/>
      </w:r>
      <w:r>
        <w:rPr>
          <w:color w:val="1A1D22"/>
        </w:rPr>
        <w:t xml:space="preserve">  (</w:t>
      </w:r>
      <w:r w:rsidRPr="00B079F7">
        <w:rPr>
          <w:i/>
          <w:color w:val="1A1D22"/>
        </w:rPr>
        <w:t xml:space="preserve">cf. encadré </w:t>
      </w:r>
      <w:r>
        <w:rPr>
          <w:i/>
          <w:color w:val="1A1D22"/>
        </w:rPr>
        <w:t>8</w:t>
      </w:r>
      <w:r>
        <w:rPr>
          <w:color w:val="1A1D22"/>
        </w:rPr>
        <w:t xml:space="preserve">) </w:t>
      </w:r>
      <w:r w:rsidRPr="00DC77F7">
        <w:rPr>
          <w:color w:val="1A1D22"/>
        </w:rPr>
        <w:t xml:space="preserve">connus sous </w:t>
      </w:r>
      <w:r>
        <w:rPr>
          <w:color w:val="1A1D22"/>
        </w:rPr>
        <w:t>le nom de Principes de l’ITIE.</w:t>
      </w:r>
      <w:r w:rsidRPr="00B079F7">
        <w:t xml:space="preserve"> </w:t>
      </w:r>
      <w:r>
        <w:t>Elle a également établi des critères (</w:t>
      </w:r>
      <w:r w:rsidRPr="00B079F7">
        <w:rPr>
          <w:i/>
        </w:rPr>
        <w:t xml:space="preserve">cf. encadré </w:t>
      </w:r>
      <w:r>
        <w:rPr>
          <w:i/>
        </w:rPr>
        <w:t>8</w:t>
      </w:r>
      <w:r>
        <w:t>) servant à vérifier les respects de ces principes comprenant la publication régulière des paiements que les industries versent aux gouvernements et le contrôle de ces paiements par des organismes indépendants et satisfaisant aux normes internationales.</w:t>
      </w:r>
    </w:p>
    <w:p w:rsidR="00E005CF" w:rsidRDefault="00E005CF" w:rsidP="00CC2A2B">
      <w:pPr>
        <w:pStyle w:val="NormalWeb"/>
        <w:jc w:val="both"/>
      </w:pPr>
      <w:r>
        <w:t>Les gouvernements et leurs</w:t>
      </w:r>
      <w:r w:rsidRPr="00A901A1">
        <w:t xml:space="preserve"> partenaires </w:t>
      </w:r>
      <w:r>
        <w:t xml:space="preserve">travaillent </w:t>
      </w:r>
      <w:r w:rsidRPr="00A901A1">
        <w:t>pour élargir l’approche de cette initiative dans le cadre de EITI++, dont le but consiste à renforcer la transparence à toutes les étapes de la chaîne de valeur, qu’il s’agisse de l’attribution de contrat, du suivi des opérations, de la perception des impôts et redevances</w:t>
      </w:r>
      <w:r>
        <w:t xml:space="preserve">, même si l’étape de l’attribution du contrat est la plus risquée </w:t>
      </w:r>
      <w:r>
        <w:lastRenderedPageBreak/>
        <w:t xml:space="preserve">tenant compte des coûts élevés des installations de tout projet industriel d’extraction et de la concurrence restreinte des industriels dans le domaine. </w:t>
      </w:r>
    </w:p>
    <w:p w:rsidR="00CC2A2B" w:rsidRDefault="00CC2A2B" w:rsidP="00CC2A2B">
      <w:pPr>
        <w:pStyle w:val="NormalWeb"/>
        <w:jc w:val="both"/>
      </w:pPr>
    </w:p>
    <w:p w:rsidR="00E005CF" w:rsidRPr="00DC77F7" w:rsidRDefault="00E005CF" w:rsidP="00E005CF">
      <w:pPr>
        <w:pStyle w:val="NormalWeb"/>
        <w:pBdr>
          <w:top w:val="single" w:sz="4" w:space="1" w:color="auto"/>
          <w:left w:val="single" w:sz="4" w:space="4" w:color="auto"/>
          <w:bottom w:val="single" w:sz="4" w:space="1" w:color="auto"/>
          <w:right w:val="single" w:sz="4" w:space="4" w:color="auto"/>
        </w:pBdr>
        <w:rPr>
          <w:b/>
          <w:color w:val="1A1D22"/>
        </w:rPr>
      </w:pPr>
      <w:r>
        <w:rPr>
          <w:b/>
          <w:color w:val="1A1D22"/>
        </w:rPr>
        <w:t>Encadré 8</w:t>
      </w:r>
      <w:r w:rsidRPr="00DC77F7">
        <w:rPr>
          <w:b/>
          <w:color w:val="1A1D22"/>
        </w:rPr>
        <w:t>. Principes</w:t>
      </w:r>
      <w:r>
        <w:rPr>
          <w:b/>
          <w:color w:val="1A1D22"/>
        </w:rPr>
        <w:t>,</w:t>
      </w:r>
      <w:r w:rsidRPr="00DC77F7">
        <w:rPr>
          <w:b/>
          <w:color w:val="1A1D22"/>
        </w:rPr>
        <w:t xml:space="preserve"> critères</w:t>
      </w:r>
      <w:r>
        <w:rPr>
          <w:b/>
          <w:color w:val="1A1D22"/>
        </w:rPr>
        <w:t xml:space="preserve"> et avantages de l’</w:t>
      </w:r>
      <w:r w:rsidRPr="00DC77F7">
        <w:rPr>
          <w:b/>
          <w:color w:val="1A1D22"/>
        </w:rPr>
        <w:t>ITIE</w:t>
      </w:r>
    </w:p>
    <w:p w:rsidR="00E005CF" w:rsidRPr="00DC77F7" w:rsidRDefault="00E005CF" w:rsidP="00E005CF">
      <w:pPr>
        <w:pBdr>
          <w:top w:val="single" w:sz="4" w:space="1" w:color="auto"/>
          <w:left w:val="single" w:sz="4" w:space="4" w:color="auto"/>
          <w:bottom w:val="single" w:sz="4" w:space="1" w:color="auto"/>
          <w:right w:val="single" w:sz="4" w:space="4" w:color="auto"/>
        </w:pBdr>
        <w:spacing w:before="100" w:beforeAutospacing="1" w:after="100" w:afterAutospacing="1"/>
        <w:jc w:val="both"/>
        <w:rPr>
          <w:b/>
          <w:color w:val="1A1D22"/>
        </w:rPr>
      </w:pPr>
      <w:r w:rsidRPr="00DC77F7">
        <w:rPr>
          <w:b/>
          <w:color w:val="1A1D22"/>
        </w:rPr>
        <w:t>Les Principes</w:t>
      </w:r>
    </w:p>
    <w:p w:rsidR="00E005CF" w:rsidRPr="00DC77F7" w:rsidRDefault="00E005CF" w:rsidP="00E005CF">
      <w:pPr>
        <w:numPr>
          <w:ilvl w:val="0"/>
          <w:numId w:val="8"/>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Nous partageons la même conviction que l'exploitation prudente des richesses en ressources naturelles devrait constituer un moteur important pour la croissance économique durable qui contribue au développement durable et à la réduction de la pauvreté mais qui, faute d'une bonne gestion, peut avoir des répercussions défavorables sur le plan économique et social. </w:t>
      </w:r>
    </w:p>
    <w:p w:rsidR="00E005CF" w:rsidRPr="00DC77F7" w:rsidRDefault="00E005CF" w:rsidP="00E005CF">
      <w:pPr>
        <w:numPr>
          <w:ilvl w:val="0"/>
          <w:numId w:val="8"/>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Nous affirmons que la gestion des richesses en ressources naturelles au profit des citoyens d'un pays relève de la compétence des gouvernements souverains, qui s'en chargent dans l'intérêt de leur développement national. </w:t>
      </w:r>
    </w:p>
    <w:p w:rsidR="00E005CF" w:rsidRPr="00DC77F7" w:rsidRDefault="00E005CF" w:rsidP="00E005CF">
      <w:pPr>
        <w:numPr>
          <w:ilvl w:val="0"/>
          <w:numId w:val="8"/>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Nous reconnaissons que les avantages de l'extraction des ressources se manifestent sous la forme de flux de recettes s'étalant sur un grand nombre d'années et peuvent dépendre fortement des prix. </w:t>
      </w:r>
    </w:p>
    <w:p w:rsidR="00E005CF" w:rsidRPr="00DC77F7" w:rsidRDefault="00E005CF" w:rsidP="00E005CF">
      <w:pPr>
        <w:numPr>
          <w:ilvl w:val="0"/>
          <w:numId w:val="8"/>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Nous reconnaissons que la compréhension du public des recettes et des dépenses des gouvernements dans la durée est susceptible de contribuer au débat public et de faciliter le choix d'options appropriées et réalistes favorisant le développement durable. </w:t>
      </w:r>
    </w:p>
    <w:p w:rsidR="00E005CF" w:rsidRPr="00DC77F7" w:rsidRDefault="00E005CF" w:rsidP="00E005CF">
      <w:pPr>
        <w:numPr>
          <w:ilvl w:val="0"/>
          <w:numId w:val="8"/>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Nous soulignons l'importance, pour les gouvernements et les industries extractives, d'assurer la transparence, ainsi que la nécessité de renforcer la gestion des finances publiques et faire respecter l'obligation de rendre des comptes. </w:t>
      </w:r>
    </w:p>
    <w:p w:rsidR="00E005CF" w:rsidRPr="00DC77F7" w:rsidRDefault="00E005CF" w:rsidP="00E005CF">
      <w:pPr>
        <w:numPr>
          <w:ilvl w:val="0"/>
          <w:numId w:val="8"/>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Nous reconnaissons qu'il convient de situer les efforts pour parvenir à une plus grande transparence dans un contexte de respect des contrats et des lois. </w:t>
      </w:r>
    </w:p>
    <w:p w:rsidR="00E005CF" w:rsidRPr="00DC77F7" w:rsidRDefault="00E005CF" w:rsidP="00E005CF">
      <w:pPr>
        <w:numPr>
          <w:ilvl w:val="0"/>
          <w:numId w:val="8"/>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Nous reconnaissons que la transparence financière est un moyen susceptible de contribuer à l'amélioration du climat pour l'investissement direct intérieur et étranger. </w:t>
      </w:r>
    </w:p>
    <w:p w:rsidR="00E005CF" w:rsidRPr="00DC77F7" w:rsidRDefault="00E005CF" w:rsidP="00E005CF">
      <w:pPr>
        <w:numPr>
          <w:ilvl w:val="0"/>
          <w:numId w:val="8"/>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Nos croyons au principe et à la pratique de la responsabilité du gouvernement devant tous les citoyens en ce qui concerne l'intendance des flux de recettes et des dépenses publiques. </w:t>
      </w:r>
    </w:p>
    <w:p w:rsidR="00E005CF" w:rsidRPr="00DC77F7" w:rsidRDefault="00E005CF" w:rsidP="00E005CF">
      <w:pPr>
        <w:numPr>
          <w:ilvl w:val="0"/>
          <w:numId w:val="8"/>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Nous nous engageons à encourager le respect de hauts niveaux de transparence et de responsabilité dans la vie publique, le fonctionnement de l'etat et le monde du commerce. </w:t>
      </w:r>
    </w:p>
    <w:p w:rsidR="00E005CF" w:rsidRPr="00DC77F7" w:rsidRDefault="00E005CF" w:rsidP="00E005CF">
      <w:pPr>
        <w:numPr>
          <w:ilvl w:val="0"/>
          <w:numId w:val="8"/>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Nous croyons à la nécessité d'une approche cohérente et réalisable de la divulgation des paiements et des recettes, cette approche devant être simple à adopter et à mettre en application. </w:t>
      </w:r>
    </w:p>
    <w:p w:rsidR="00E005CF" w:rsidRPr="00DC77F7" w:rsidRDefault="00E005CF" w:rsidP="00E005CF">
      <w:pPr>
        <w:numPr>
          <w:ilvl w:val="0"/>
          <w:numId w:val="8"/>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Nous sommes d'avis que la divulgation des paiements dans un pays donné devrait impliquer toutes les entreprises extractives présentes dans ce pays-là. </w:t>
      </w:r>
    </w:p>
    <w:p w:rsidR="00E005CF" w:rsidRPr="00DC77F7" w:rsidRDefault="00E005CF" w:rsidP="00E005CF">
      <w:pPr>
        <w:numPr>
          <w:ilvl w:val="0"/>
          <w:numId w:val="8"/>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Lorsqu'il s'agit de trouver des solutions, nous considérons que toutes les parties prenantes - les gouvernements et leurs agences, les entreprises extractives, les sociétés de service, les organisations multilatérales, les organisations financières, les investisseurs et les organisations non gouvernementales - ont des contributions importantes et pertinentes à apporter.</w:t>
      </w:r>
    </w:p>
    <w:p w:rsidR="00E005CF" w:rsidRPr="000965B2" w:rsidRDefault="00E005CF" w:rsidP="00E005CF">
      <w:pPr>
        <w:pBdr>
          <w:top w:val="single" w:sz="4" w:space="1" w:color="auto"/>
          <w:left w:val="single" w:sz="4" w:space="4" w:color="auto"/>
          <w:bottom w:val="single" w:sz="4" w:space="1" w:color="auto"/>
          <w:right w:val="single" w:sz="4" w:space="4" w:color="auto"/>
        </w:pBdr>
        <w:spacing w:before="100" w:beforeAutospacing="1" w:after="100" w:afterAutospacing="1"/>
        <w:jc w:val="both"/>
        <w:rPr>
          <w:b/>
          <w:color w:val="1A1D22"/>
        </w:rPr>
      </w:pPr>
      <w:r w:rsidRPr="000965B2">
        <w:rPr>
          <w:b/>
          <w:color w:val="1A1D22"/>
        </w:rPr>
        <w:t>Les critères de l’ITIE</w:t>
      </w:r>
    </w:p>
    <w:p w:rsidR="00E005CF" w:rsidRPr="00DC77F7" w:rsidRDefault="00E005CF" w:rsidP="00E005CF">
      <w:pPr>
        <w:numPr>
          <w:ilvl w:val="0"/>
          <w:numId w:val="9"/>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Tous les paiements matériels, versés par les entreprises aux gouvernements, au titre de l'exploitation pétrolière, gazière et minière (« les paiements ») et toutes les recettes </w:t>
      </w:r>
      <w:r w:rsidRPr="00DC77F7">
        <w:rPr>
          <w:color w:val="1A1D22"/>
        </w:rPr>
        <w:lastRenderedPageBreak/>
        <w:t xml:space="preserve">matérielles, reçues par les gouvernements de la part des entreprises pétrolières, gazières et minières (« les recettes »), sont publiés et diffusés régulièrement au grand public sous une forme accessible, complète et compréhensible. </w:t>
      </w:r>
    </w:p>
    <w:p w:rsidR="00E005CF" w:rsidRPr="00DC77F7" w:rsidRDefault="00E005CF" w:rsidP="00E005CF">
      <w:pPr>
        <w:numPr>
          <w:ilvl w:val="0"/>
          <w:numId w:val="9"/>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Lorsque de tels audits n'existent pas, les paiements et recettes font l'objet d'un audit indépendant crédible, conformément aux normes internationales en matière d'audit. </w:t>
      </w:r>
    </w:p>
    <w:p w:rsidR="00E005CF" w:rsidRPr="00DC77F7" w:rsidRDefault="00E005CF" w:rsidP="00E005CF">
      <w:pPr>
        <w:numPr>
          <w:ilvl w:val="0"/>
          <w:numId w:val="9"/>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Les paiements et recettes sont rapprochés, conformément aux normes internationales en matière d'audit, par un administrateur indépendant digne de confiance, qui publie son opinion sur ce rapprochement de comptes et sur d'éventuelles discordances. </w:t>
      </w:r>
    </w:p>
    <w:p w:rsidR="00E005CF" w:rsidRPr="00DC77F7" w:rsidRDefault="00E005CF" w:rsidP="00E005CF">
      <w:pPr>
        <w:numPr>
          <w:ilvl w:val="0"/>
          <w:numId w:val="9"/>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Cette démarche s'étend à l'ensemble des </w:t>
      </w:r>
      <w:r>
        <w:rPr>
          <w:color w:val="1A1D22"/>
        </w:rPr>
        <w:t>entreprises, y compris les entreprises d'é</w:t>
      </w:r>
      <w:r w:rsidRPr="00DC77F7">
        <w:rPr>
          <w:color w:val="1A1D22"/>
        </w:rPr>
        <w:t xml:space="preserve">tat. </w:t>
      </w:r>
    </w:p>
    <w:p w:rsidR="00E005CF" w:rsidRPr="00DC77F7" w:rsidRDefault="00E005CF" w:rsidP="00E005CF">
      <w:pPr>
        <w:numPr>
          <w:ilvl w:val="0"/>
          <w:numId w:val="9"/>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jc w:val="both"/>
        <w:rPr>
          <w:color w:val="1A1D22"/>
        </w:rPr>
      </w:pPr>
      <w:r w:rsidRPr="00DC77F7">
        <w:rPr>
          <w:color w:val="1A1D22"/>
        </w:rPr>
        <w:t xml:space="preserve">La société civile participe activement à la conception, au suivi et à l'évaluation de ce processus et apporte sa contribution au débat public. </w:t>
      </w:r>
    </w:p>
    <w:p w:rsidR="00E005CF" w:rsidRDefault="00E005CF" w:rsidP="00E005CF">
      <w:pPr>
        <w:numPr>
          <w:ilvl w:val="0"/>
          <w:numId w:val="9"/>
        </w:numPr>
        <w:pBdr>
          <w:top w:val="single" w:sz="4" w:space="1" w:color="auto"/>
          <w:left w:val="single" w:sz="4" w:space="4" w:color="auto"/>
          <w:bottom w:val="single" w:sz="4" w:space="1" w:color="auto"/>
          <w:right w:val="single" w:sz="4" w:space="4" w:color="auto"/>
        </w:pBdr>
        <w:tabs>
          <w:tab w:val="clear" w:pos="720"/>
          <w:tab w:val="num" w:pos="360"/>
        </w:tabs>
        <w:spacing w:before="100" w:beforeAutospacing="1" w:after="100" w:afterAutospacing="1"/>
        <w:ind w:left="360"/>
        <w:rPr>
          <w:color w:val="1A1D22"/>
        </w:rPr>
      </w:pPr>
      <w:r w:rsidRPr="00DC77F7">
        <w:rPr>
          <w:color w:val="1A1D22"/>
        </w:rPr>
        <w:t>Le gouvernement d'accueil élabore un plan de travail public, financièrement viable, relatif aux éléments ci-dessus, avec le concours des institutions financiers internationales le cas échéant, ce plan étant assorti de cibles mesurables, d'un calendrier de mise en œuvre et d'une évaluation des contraintes éventuelles sur le plan des capacités.</w:t>
      </w:r>
    </w:p>
    <w:p w:rsidR="00E005CF" w:rsidRPr="000965B2" w:rsidRDefault="00E005CF" w:rsidP="00E005CF">
      <w:pPr>
        <w:pBdr>
          <w:top w:val="single" w:sz="4" w:space="1" w:color="auto"/>
          <w:left w:val="single" w:sz="4" w:space="4" w:color="auto"/>
          <w:bottom w:val="single" w:sz="4" w:space="1" w:color="auto"/>
          <w:right w:val="single" w:sz="4" w:space="4" w:color="auto"/>
        </w:pBdr>
        <w:spacing w:before="100" w:beforeAutospacing="1" w:after="100" w:afterAutospacing="1"/>
        <w:jc w:val="both"/>
        <w:rPr>
          <w:b/>
          <w:color w:val="1A1D22"/>
        </w:rPr>
      </w:pPr>
      <w:r w:rsidRPr="000965B2">
        <w:rPr>
          <w:b/>
          <w:color w:val="1A1D22"/>
        </w:rPr>
        <w:t>Principaux avantages</w:t>
      </w:r>
    </w:p>
    <w:p w:rsidR="00E005CF" w:rsidRPr="00F819CB" w:rsidRDefault="00E005CF" w:rsidP="00E005CF">
      <w:pPr>
        <w:pStyle w:val="NormalWeb"/>
        <w:numPr>
          <w:ilvl w:val="0"/>
          <w:numId w:val="10"/>
        </w:numPr>
        <w:pBdr>
          <w:top w:val="single" w:sz="4" w:space="1" w:color="auto"/>
          <w:left w:val="single" w:sz="4" w:space="4" w:color="auto"/>
          <w:bottom w:val="single" w:sz="4" w:space="1" w:color="auto"/>
          <w:right w:val="single" w:sz="4" w:space="4" w:color="auto"/>
        </w:pBdr>
        <w:jc w:val="both"/>
        <w:rPr>
          <w:color w:val="1A1D22"/>
        </w:rPr>
      </w:pPr>
      <w:r w:rsidRPr="00F819CB">
        <w:rPr>
          <w:rStyle w:val="lev"/>
          <w:color w:val="1A1D22"/>
        </w:rPr>
        <w:t>Les gouvernements</w:t>
      </w:r>
      <w:r w:rsidRPr="00F819CB">
        <w:rPr>
          <w:color w:val="1A1D22"/>
        </w:rPr>
        <w:t xml:space="preserve"> bénéficient de la mise en œuvre d'une procédure standardisée et reconnue internationalement pour la transparence dans la gestion des ressources naturelles. Avec des revenus pétroliers, gaziers et miniers grimpants, les attentes des citoyens sont à la hausse. La mise en œuvre de l'ITIE développe la capacité de gouvernance, améliore la crédibilité internationale, et affirme que le gouvernement est engagé à combattre la corruption.</w:t>
      </w:r>
    </w:p>
    <w:p w:rsidR="00E005CF" w:rsidRPr="00F819CB" w:rsidRDefault="00E005CF" w:rsidP="00E005CF">
      <w:pPr>
        <w:pStyle w:val="NormalWeb"/>
        <w:numPr>
          <w:ilvl w:val="0"/>
          <w:numId w:val="10"/>
        </w:numPr>
        <w:pBdr>
          <w:top w:val="single" w:sz="4" w:space="1" w:color="auto"/>
          <w:left w:val="single" w:sz="4" w:space="4" w:color="auto"/>
          <w:bottom w:val="single" w:sz="4" w:space="1" w:color="auto"/>
          <w:right w:val="single" w:sz="4" w:space="4" w:color="auto"/>
        </w:pBdr>
        <w:jc w:val="both"/>
        <w:rPr>
          <w:color w:val="1A1D22"/>
        </w:rPr>
      </w:pPr>
      <w:r w:rsidRPr="00F819CB">
        <w:rPr>
          <w:rStyle w:val="lev"/>
          <w:color w:val="1A1D22"/>
        </w:rPr>
        <w:t>Le climat d'investissement</w:t>
      </w:r>
      <w:r w:rsidRPr="00F819CB">
        <w:rPr>
          <w:color w:val="1A1D22"/>
        </w:rPr>
        <w:t xml:space="preserve"> est amélioré par la mise en œuvre de l'ITIE. L'engagement à rapprocher les paiements des entreprises et les revenus des gouvernements suivant un procédé multipartite indique un engagement à la bonne gouvernance.</w:t>
      </w:r>
    </w:p>
    <w:p w:rsidR="00E005CF" w:rsidRPr="00F819CB" w:rsidRDefault="00E005CF" w:rsidP="00E005CF">
      <w:pPr>
        <w:pStyle w:val="NormalWeb"/>
        <w:numPr>
          <w:ilvl w:val="0"/>
          <w:numId w:val="10"/>
        </w:numPr>
        <w:pBdr>
          <w:top w:val="single" w:sz="4" w:space="1" w:color="auto"/>
          <w:left w:val="single" w:sz="4" w:space="4" w:color="auto"/>
          <w:bottom w:val="single" w:sz="4" w:space="1" w:color="auto"/>
          <w:right w:val="single" w:sz="4" w:space="4" w:color="auto"/>
        </w:pBdr>
        <w:jc w:val="both"/>
        <w:rPr>
          <w:color w:val="1A1D22"/>
        </w:rPr>
      </w:pPr>
      <w:r w:rsidRPr="00F819CB">
        <w:rPr>
          <w:rStyle w:val="lev"/>
          <w:color w:val="1A1D22"/>
        </w:rPr>
        <w:t>Les entreprises</w:t>
      </w:r>
      <w:r w:rsidRPr="00F819CB">
        <w:rPr>
          <w:color w:val="1A1D22"/>
        </w:rPr>
        <w:t xml:space="preserve"> profitent du climat d'investissement amélioré résultant de la transparence et d'une bonne gouvernance.</w:t>
      </w:r>
    </w:p>
    <w:p w:rsidR="00E005CF" w:rsidRPr="00F819CB" w:rsidRDefault="00E005CF" w:rsidP="00E005CF">
      <w:pPr>
        <w:pStyle w:val="NormalWeb"/>
        <w:numPr>
          <w:ilvl w:val="0"/>
          <w:numId w:val="10"/>
        </w:numPr>
        <w:pBdr>
          <w:top w:val="single" w:sz="4" w:space="1" w:color="auto"/>
          <w:left w:val="single" w:sz="4" w:space="4" w:color="auto"/>
          <w:bottom w:val="single" w:sz="4" w:space="1" w:color="auto"/>
          <w:right w:val="single" w:sz="4" w:space="4" w:color="auto"/>
        </w:pBdr>
        <w:jc w:val="both"/>
        <w:rPr>
          <w:color w:val="1A1D22"/>
        </w:rPr>
      </w:pPr>
      <w:r w:rsidRPr="00F819CB">
        <w:rPr>
          <w:rStyle w:val="lev"/>
          <w:color w:val="1A1D22"/>
        </w:rPr>
        <w:t>La sécurité énergétique</w:t>
      </w:r>
      <w:r w:rsidRPr="00F819CB">
        <w:rPr>
          <w:color w:val="1A1D22"/>
        </w:rPr>
        <w:t xml:space="preserve"> est améliorée sur un pied d'égalité plus transparent. Les pays importateurs d'énergie bénéficient d'une meilleure stabilité dans les pays fournisseurs. Cette stabilité augmentée encourage les investissements à long terme dans la production - et assure ainsi un approvisionnement plus stable. </w:t>
      </w:r>
    </w:p>
    <w:p w:rsidR="00E005CF" w:rsidRPr="00DC77F7" w:rsidRDefault="00E005CF" w:rsidP="00E005CF">
      <w:pPr>
        <w:pBdr>
          <w:top w:val="single" w:sz="4" w:space="1" w:color="auto"/>
          <w:left w:val="single" w:sz="4" w:space="4" w:color="auto"/>
          <w:bottom w:val="single" w:sz="4" w:space="1" w:color="auto"/>
          <w:right w:val="single" w:sz="4" w:space="4" w:color="auto"/>
        </w:pBdr>
        <w:spacing w:before="100" w:beforeAutospacing="1" w:after="100" w:afterAutospacing="1"/>
        <w:rPr>
          <w:i/>
          <w:color w:val="1A1D22"/>
        </w:rPr>
      </w:pPr>
      <w:r w:rsidRPr="00DC77F7">
        <w:rPr>
          <w:i/>
          <w:color w:val="1A1D22"/>
        </w:rPr>
        <w:t>Source : www.eiti.org</w:t>
      </w:r>
    </w:p>
    <w:p w:rsidR="00E005CF" w:rsidRPr="00E005CF" w:rsidRDefault="00E005CF" w:rsidP="00E005CF">
      <w:pPr>
        <w:pStyle w:val="Titre1"/>
        <w:rPr>
          <w:rFonts w:ascii="Times New Roman" w:eastAsia="Times New Roman" w:hAnsi="Times New Roman" w:cs="Times New Roman"/>
          <w:sz w:val="24"/>
          <w:szCs w:val="24"/>
        </w:rPr>
      </w:pPr>
      <w:r w:rsidRPr="00E005CF">
        <w:rPr>
          <w:rFonts w:ascii="Times New Roman" w:eastAsia="Times New Roman" w:hAnsi="Times New Roman" w:cs="Times New Roman"/>
          <w:sz w:val="24"/>
          <w:szCs w:val="24"/>
        </w:rPr>
        <w:t>Le rôle de l’INTOSAI</w:t>
      </w:r>
      <w:bookmarkEnd w:id="5"/>
      <w:r w:rsidRPr="00E005CF">
        <w:rPr>
          <w:rFonts w:ascii="Times New Roman" w:eastAsia="Times New Roman" w:hAnsi="Times New Roman" w:cs="Times New Roman"/>
          <w:sz w:val="24"/>
          <w:szCs w:val="24"/>
        </w:rPr>
        <w:t xml:space="preserve"> </w:t>
      </w:r>
    </w:p>
    <w:p w:rsidR="00E005CF" w:rsidRDefault="00E005CF" w:rsidP="00E005CF">
      <w:pPr>
        <w:autoSpaceDE w:val="0"/>
        <w:autoSpaceDN w:val="0"/>
        <w:adjustRightInd w:val="0"/>
        <w:jc w:val="both"/>
        <w:rPr>
          <w:bCs/>
          <w:lang w:eastAsia="en-GB"/>
        </w:rPr>
      </w:pPr>
    </w:p>
    <w:p w:rsidR="00E005CF" w:rsidRDefault="00E005CF" w:rsidP="00E005CF">
      <w:pPr>
        <w:autoSpaceDE w:val="0"/>
        <w:autoSpaceDN w:val="0"/>
        <w:adjustRightInd w:val="0"/>
        <w:jc w:val="both"/>
        <w:rPr>
          <w:bCs/>
          <w:lang w:eastAsia="en-GB"/>
        </w:rPr>
      </w:pPr>
      <w:r w:rsidRPr="00887075">
        <w:rPr>
          <w:bCs/>
          <w:lang w:eastAsia="en-GB"/>
        </w:rPr>
        <w:t xml:space="preserve">L'Organisation Internationale des Institutions Supérieures de Contrôle des Finances Publiques (INTOSAI) est l'organisation parapluie du contrôle externe des finances publiques. Elle assure un cadre institutionnel depuis plus de 50 ans aux Institutions supérieures de contrôle des finances publiques (ISC), pour le transfert des connaissances et la multiplication des connaissances afin d'améliorer à l'échelle internationale le contrôle externe des finances publiques et accroître, par conséquent, la compétence professionnelle, l'image et l'influence des ISC dans les pays respectifs. </w:t>
      </w:r>
    </w:p>
    <w:p w:rsidR="00E005CF" w:rsidRDefault="00E005CF" w:rsidP="00E005CF">
      <w:pPr>
        <w:autoSpaceDE w:val="0"/>
        <w:autoSpaceDN w:val="0"/>
        <w:adjustRightInd w:val="0"/>
        <w:jc w:val="both"/>
        <w:rPr>
          <w:bCs/>
          <w:lang w:eastAsia="en-GB"/>
        </w:rPr>
      </w:pPr>
    </w:p>
    <w:p w:rsidR="00E005CF" w:rsidRDefault="00E005CF" w:rsidP="00E005CF">
      <w:pPr>
        <w:jc w:val="both"/>
      </w:pPr>
      <w:r>
        <w:rPr>
          <w:bCs/>
          <w:lang w:eastAsia="en-GB"/>
        </w:rPr>
        <w:t xml:space="preserve">L’INTOSAI contribue à l’amélioration de la gouvernance des finances publique par, entre autres, l’instauration des principes de base de l’audit externe auxquels tous ses membres doivent adhérer.  </w:t>
      </w:r>
      <w:r>
        <w:lastRenderedPageBreak/>
        <w:t>Ces principes puisent dans la déclaration de Lima d’octobre 1977 qui est résumée par l’encadré 9 suivant.</w:t>
      </w:r>
    </w:p>
    <w:p w:rsidR="00E005CF" w:rsidRDefault="00687B49" w:rsidP="00E005CF">
      <w:pPr>
        <w:jc w:val="both"/>
      </w:pPr>
      <w:r>
        <w:rPr>
          <w:noProof/>
        </w:rPr>
        <w:pict>
          <v:shape id="_x0000_s1029" type="#_x0000_t202" style="position:absolute;left:0;text-align:left;margin-left:-5.4pt;margin-top:20.05pt;width:477.05pt;height:221.2pt;z-index:251663360">
            <v:textbox style="mso-next-textbox:#_x0000_s1029">
              <w:txbxContent>
                <w:p w:rsidR="00E005CF" w:rsidRPr="00426966" w:rsidRDefault="00E005CF" w:rsidP="00E005CF">
                  <w:pPr>
                    <w:jc w:val="both"/>
                    <w:rPr>
                      <w:b/>
                      <w:i/>
                      <w:sz w:val="22"/>
                      <w:szCs w:val="22"/>
                    </w:rPr>
                  </w:pPr>
                  <w:r>
                    <w:rPr>
                      <w:b/>
                      <w:i/>
                      <w:sz w:val="22"/>
                      <w:szCs w:val="22"/>
                    </w:rPr>
                    <w:t>Encadré 9</w:t>
                  </w:r>
                  <w:r w:rsidRPr="00426966">
                    <w:rPr>
                      <w:b/>
                      <w:i/>
                      <w:sz w:val="22"/>
                      <w:szCs w:val="22"/>
                    </w:rPr>
                    <w:t>. Déclaration de Lima sur les lignes directrices du contrôle des finances publiques</w:t>
                  </w:r>
                </w:p>
                <w:p w:rsidR="00E005CF" w:rsidRDefault="00E005CF" w:rsidP="00E005CF">
                  <w:pPr>
                    <w:jc w:val="both"/>
                  </w:pPr>
                </w:p>
                <w:p w:rsidR="00E005CF" w:rsidRPr="00426966" w:rsidRDefault="00E005CF" w:rsidP="00E005CF">
                  <w:pPr>
                    <w:jc w:val="both"/>
                    <w:rPr>
                      <w:sz w:val="22"/>
                      <w:szCs w:val="22"/>
                    </w:rPr>
                  </w:pPr>
                  <w:r>
                    <w:rPr>
                      <w:sz w:val="22"/>
                      <w:szCs w:val="22"/>
                    </w:rPr>
                    <w:t>L</w:t>
                  </w:r>
                  <w:r w:rsidRPr="00426966">
                    <w:rPr>
                      <w:sz w:val="22"/>
                      <w:szCs w:val="22"/>
                    </w:rPr>
                    <w:t>a déclaration de Lima définit comme suit les caractéristiques essentielles des pouvoirs et attributions d’un</w:t>
                  </w:r>
                  <w:r>
                    <w:rPr>
                      <w:sz w:val="22"/>
                      <w:szCs w:val="22"/>
                    </w:rPr>
                    <w:t>e ISC :</w:t>
                  </w:r>
                </w:p>
                <w:p w:rsidR="00E005CF" w:rsidRPr="00426966" w:rsidRDefault="00E005CF" w:rsidP="00E005CF">
                  <w:pPr>
                    <w:numPr>
                      <w:ilvl w:val="0"/>
                      <w:numId w:val="3"/>
                    </w:numPr>
                    <w:jc w:val="both"/>
                    <w:rPr>
                      <w:sz w:val="22"/>
                      <w:szCs w:val="22"/>
                    </w:rPr>
                  </w:pPr>
                  <w:r w:rsidRPr="00426966">
                    <w:rPr>
                      <w:b/>
                      <w:i/>
                      <w:sz w:val="22"/>
                      <w:szCs w:val="22"/>
                    </w:rPr>
                    <w:t xml:space="preserve">L’indépendance </w:t>
                  </w:r>
                  <w:r w:rsidRPr="00426966">
                    <w:rPr>
                      <w:sz w:val="22"/>
                      <w:szCs w:val="22"/>
                    </w:rPr>
                    <w:t>de l’ISC et de ses membres (notamment en ce qui concerne le financement de ses activités) doit être garantie par la Constitution.</w:t>
                  </w:r>
                </w:p>
                <w:p w:rsidR="00E005CF" w:rsidRPr="00426966" w:rsidRDefault="00E005CF" w:rsidP="00E005CF">
                  <w:pPr>
                    <w:numPr>
                      <w:ilvl w:val="0"/>
                      <w:numId w:val="3"/>
                    </w:numPr>
                    <w:jc w:val="both"/>
                    <w:rPr>
                      <w:sz w:val="22"/>
                      <w:szCs w:val="22"/>
                    </w:rPr>
                  </w:pPr>
                  <w:r w:rsidRPr="00426966">
                    <w:rPr>
                      <w:b/>
                      <w:i/>
                      <w:sz w:val="22"/>
                      <w:szCs w:val="22"/>
                    </w:rPr>
                    <w:t>Les rapports qu’elle entretient avec le Parlement, les administrations publiques et le gouvernement</w:t>
                  </w:r>
                  <w:r w:rsidRPr="00426966">
                    <w:rPr>
                      <w:sz w:val="22"/>
                      <w:szCs w:val="22"/>
                    </w:rPr>
                    <w:t xml:space="preserve"> doivent être clairement établis par la constitution.</w:t>
                  </w:r>
                </w:p>
                <w:p w:rsidR="00E005CF" w:rsidRPr="00426966" w:rsidRDefault="00E005CF" w:rsidP="00E005CF">
                  <w:pPr>
                    <w:numPr>
                      <w:ilvl w:val="0"/>
                      <w:numId w:val="3"/>
                    </w:numPr>
                    <w:jc w:val="both"/>
                    <w:rPr>
                      <w:sz w:val="22"/>
                      <w:szCs w:val="22"/>
                    </w:rPr>
                  </w:pPr>
                  <w:r w:rsidRPr="00426966">
                    <w:rPr>
                      <w:b/>
                      <w:i/>
                      <w:sz w:val="22"/>
                      <w:szCs w:val="22"/>
                    </w:rPr>
                    <w:t>Elle jouit des pouvoirs suivants</w:t>
                  </w:r>
                  <w:r w:rsidRPr="00426966">
                    <w:rPr>
                      <w:sz w:val="22"/>
                      <w:szCs w:val="22"/>
                    </w:rPr>
                    <w:t> : pouvoir d’enquête, d’exécution de ses recommandations et d’utilisation des avis de ses experts ; pouvoirs d’approbation de la réglementation de la réglementation des procédures comptables.</w:t>
                  </w:r>
                </w:p>
                <w:p w:rsidR="00E005CF" w:rsidRPr="00426966" w:rsidRDefault="00E005CF" w:rsidP="00E005CF">
                  <w:pPr>
                    <w:numPr>
                      <w:ilvl w:val="0"/>
                      <w:numId w:val="3"/>
                    </w:numPr>
                    <w:jc w:val="both"/>
                    <w:rPr>
                      <w:sz w:val="22"/>
                      <w:szCs w:val="22"/>
                    </w:rPr>
                  </w:pPr>
                  <w:r w:rsidRPr="00426966">
                    <w:rPr>
                      <w:b/>
                      <w:i/>
                      <w:sz w:val="22"/>
                      <w:szCs w:val="22"/>
                    </w:rPr>
                    <w:t>Méthodes d’audit, auditeurs et liberté d’échange d’expérience au plan international :</w:t>
                  </w:r>
                  <w:r w:rsidRPr="00426966">
                    <w:rPr>
                      <w:sz w:val="22"/>
                      <w:szCs w:val="22"/>
                    </w:rPr>
                    <w:t xml:space="preserve"> l’ISC doit avoir les moyens et jouir de l’indépendance nécessaire pour fixer elle-même les modalités de son programme de travail et de ses méthodes de recrutement et de formation du personnel.</w:t>
                  </w:r>
                </w:p>
                <w:p w:rsidR="00E005CF" w:rsidRPr="00C63E37" w:rsidRDefault="00E005CF" w:rsidP="00E005CF">
                  <w:pPr>
                    <w:numPr>
                      <w:ilvl w:val="0"/>
                      <w:numId w:val="3"/>
                    </w:numPr>
                    <w:jc w:val="both"/>
                    <w:rPr>
                      <w:b/>
                      <w:i/>
                      <w:sz w:val="22"/>
                      <w:szCs w:val="22"/>
                    </w:rPr>
                  </w:pPr>
                  <w:r w:rsidRPr="00426966">
                    <w:rPr>
                      <w:b/>
                      <w:i/>
                      <w:sz w:val="22"/>
                      <w:szCs w:val="22"/>
                    </w:rPr>
                    <w:t>Communications :</w:t>
                  </w:r>
                  <w:r w:rsidRPr="00426966">
                    <w:rPr>
                      <w:sz w:val="22"/>
                      <w:szCs w:val="22"/>
                    </w:rPr>
                    <w:t xml:space="preserve"> l’ISC doit être habilitée à transmettre les résultats de ses travaux au Parlement et au public. </w:t>
                  </w:r>
                </w:p>
                <w:p w:rsidR="00E005CF" w:rsidRPr="00426966" w:rsidRDefault="00E005CF" w:rsidP="00E005CF">
                  <w:pPr>
                    <w:ind w:left="720"/>
                    <w:jc w:val="both"/>
                    <w:rPr>
                      <w:b/>
                      <w:i/>
                      <w:sz w:val="22"/>
                      <w:szCs w:val="22"/>
                    </w:rPr>
                  </w:pPr>
                </w:p>
                <w:p w:rsidR="00E005CF" w:rsidRPr="00C63E37" w:rsidRDefault="00E005CF" w:rsidP="00E005CF">
                  <w:pPr>
                    <w:jc w:val="both"/>
                    <w:rPr>
                      <w:sz w:val="20"/>
                      <w:szCs w:val="20"/>
                    </w:rPr>
                  </w:pPr>
                  <w:r w:rsidRPr="00C63E37">
                    <w:rPr>
                      <w:sz w:val="20"/>
                      <w:szCs w:val="20"/>
                    </w:rPr>
                    <w:t>Source : INTOSAI, 1977</w:t>
                  </w:r>
                </w:p>
                <w:p w:rsidR="00E005CF" w:rsidRDefault="00E005CF" w:rsidP="00E005CF">
                  <w:pPr>
                    <w:jc w:val="both"/>
                  </w:pPr>
                </w:p>
              </w:txbxContent>
            </v:textbox>
            <w10:wrap type="square"/>
          </v:shape>
        </w:pict>
      </w:r>
    </w:p>
    <w:p w:rsidR="00E005CF" w:rsidRDefault="00E005CF" w:rsidP="00E005CF">
      <w:pPr>
        <w:jc w:val="both"/>
      </w:pPr>
    </w:p>
    <w:p w:rsidR="00E005CF" w:rsidRPr="00E005CF" w:rsidRDefault="00E005CF" w:rsidP="00E005CF">
      <w:pPr>
        <w:pStyle w:val="Titre1"/>
        <w:rPr>
          <w:rFonts w:ascii="Times New Roman" w:eastAsia="Times New Roman" w:hAnsi="Times New Roman" w:cs="Times New Roman"/>
          <w:sz w:val="24"/>
          <w:szCs w:val="24"/>
        </w:rPr>
      </w:pPr>
      <w:r w:rsidRPr="00E005CF">
        <w:rPr>
          <w:rFonts w:ascii="Times New Roman" w:eastAsia="Times New Roman" w:hAnsi="Times New Roman" w:cs="Times New Roman"/>
          <w:sz w:val="24"/>
          <w:szCs w:val="24"/>
        </w:rPr>
        <w:t>L’International Budget Partnership (IBP) et l’Indice sur le budget ouvert (IBO)</w:t>
      </w:r>
    </w:p>
    <w:p w:rsidR="00E005CF" w:rsidRPr="00E93F76" w:rsidRDefault="00E005CF" w:rsidP="00E005CF">
      <w:pPr>
        <w:autoSpaceDE w:val="0"/>
        <w:autoSpaceDN w:val="0"/>
        <w:adjustRightInd w:val="0"/>
        <w:jc w:val="both"/>
        <w:rPr>
          <w:rFonts w:ascii="Verdana" w:hAnsi="Verdana"/>
          <w:sz w:val="20"/>
          <w:szCs w:val="20"/>
        </w:rPr>
      </w:pPr>
    </w:p>
    <w:p w:rsidR="00E005CF" w:rsidRDefault="00E005CF" w:rsidP="00E005CF">
      <w:pPr>
        <w:pStyle w:val="Default"/>
        <w:jc w:val="both"/>
      </w:pPr>
      <w:r w:rsidRPr="00820F55">
        <w:rPr>
          <w:rFonts w:ascii="Times New Roman" w:hAnsi="Times New Roman" w:cs="Times New Roman"/>
          <w:bCs/>
          <w:lang w:eastAsia="en-GB"/>
        </w:rPr>
        <w:t xml:space="preserve">L’International Budget Partnership (IBP) vient de remplacer  l’International Budget Project en 1997 </w:t>
      </w:r>
      <w:r w:rsidRPr="00820F55">
        <w:rPr>
          <w:rFonts w:ascii="Times New Roman" w:hAnsi="Times New Roman" w:cs="Times New Roman"/>
        </w:rPr>
        <w:t>pour promouvoir l’engagement budgétaire de la société civile afin de rendre les systèmes budgétaires plus transparents, responsables et réceptifs aux besoins des personnes pauvres et à faibles revenus</w:t>
      </w:r>
      <w:r w:rsidRPr="00820F55">
        <w:rPr>
          <w:rFonts w:ascii="Times New Roman" w:hAnsi="Times New Roman" w:cs="Times New Roman"/>
          <w:bCs/>
          <w:lang w:eastAsia="en-GB"/>
        </w:rPr>
        <w:t>. Ce dernier réunit les organisations de la société civile engagées dans le plaidoyer relatif aux politiques budgétaires pour améliorer la situation des pauvres. Il avait organisé sa première conférence globale en 1997 pour rassembler des praticiens du plaidoyer budgétaire, seuls 15 pays étaient représentés. En 2003, la quatrième conférence globale de l’IBP a été suivie par des activistes de 40 pays. Actuellement, l’IBP est en contact avec des organisations de plaidoyer budgétaire dans plus de 85 pays  et le nombre des organisations ne cesse d’augmenter. L</w:t>
      </w:r>
      <w:r w:rsidRPr="00820F55">
        <w:rPr>
          <w:rFonts w:ascii="Times New Roman" w:hAnsi="Times New Roman" w:cs="Times New Roman"/>
        </w:rPr>
        <w:t xml:space="preserve">’IBP a développé l’Enquête sur le budget ouvert, première enquête indépendante et comparative sur la transparence budgétaire et la responsabilisation dans le monde et rapport  En outre, il en établit un rapport qui fournit </w:t>
      </w:r>
      <w:r w:rsidRPr="00820F55">
        <w:rPr>
          <w:rFonts w:ascii="Times New Roman" w:hAnsi="Times New Roman" w:cs="Times New Roman"/>
          <w:bCs/>
          <w:lang w:eastAsia="en-GB"/>
        </w:rPr>
        <w:t>aux fonctionnaires gouvernementaux, aux parlementaires, aux professionnels du développement, aux organisations de la société civile, aux journalistes et aux chercheurs une mesure indépendante et comparative de la transparence budgétaire dans les pays engagés dans le processus. Ce rapport suggère également des réformes que les pays peuvent mettre en œuvre pour améliorer la transparence budgétaire, augmenter la participation du public et renforcer les institutions de contrôle.</w:t>
      </w:r>
      <w:r w:rsidRPr="00820F55">
        <w:rPr>
          <w:rFonts w:ascii="Times New Roman" w:hAnsi="Times New Roman" w:cs="Times New Roman"/>
        </w:rPr>
        <w:t xml:space="preserve"> Afin de mesurer facilement l’engagement général dans la transparence des pays enquêtés et pour permettre les comparaisons entre pays, l’IBP a introduit l’Indice sur le budget ouvert (IBO) à partir de l’Enquête. L’IBO assigne un résultat à chaque pays, calculé à partir d’une évaluation de la quantité et de la qualité d’informations fournies par les </w:t>
      </w:r>
      <w:r w:rsidRPr="00820F55">
        <w:rPr>
          <w:rFonts w:ascii="Times New Roman" w:hAnsi="Times New Roman" w:cs="Times New Roman"/>
          <w:bCs/>
          <w:lang w:eastAsia="en-GB"/>
        </w:rPr>
        <w:t>documents budgétaires clés que tous les pays doivent mettre à la disposition du public (</w:t>
      </w:r>
      <w:r w:rsidRPr="00820F55">
        <w:rPr>
          <w:rFonts w:ascii="Times New Roman" w:hAnsi="Times New Roman" w:cs="Times New Roman"/>
          <w:bCs/>
          <w:i/>
          <w:lang w:eastAsia="en-GB"/>
        </w:rPr>
        <w:t xml:space="preserve">le </w:t>
      </w:r>
      <w:r w:rsidRPr="00820F55">
        <w:rPr>
          <w:rFonts w:ascii="Times New Roman" w:hAnsi="Times New Roman" w:cs="Times New Roman"/>
          <w:bCs/>
          <w:i/>
          <w:lang w:eastAsia="en-GB"/>
        </w:rPr>
        <w:lastRenderedPageBreak/>
        <w:t>rapport préalable au budget, le budget proposé par le gouvernement, le budget des citoyens</w:t>
      </w:r>
      <w:r w:rsidRPr="00820F55">
        <w:rPr>
          <w:rStyle w:val="Appelnotedebasdep"/>
          <w:rFonts w:ascii="Times New Roman" w:hAnsi="Times New Roman" w:cs="Times New Roman"/>
          <w:bCs/>
          <w:i/>
          <w:lang w:eastAsia="en-GB"/>
        </w:rPr>
        <w:footnoteReference w:id="14"/>
      </w:r>
      <w:r w:rsidRPr="00820F55">
        <w:rPr>
          <w:rFonts w:ascii="Times New Roman" w:hAnsi="Times New Roman" w:cs="Times New Roman"/>
          <w:bCs/>
          <w:i/>
          <w:lang w:eastAsia="en-GB"/>
        </w:rPr>
        <w:t>, les rapports mensuels ou trimestriels, le rapport semestriel, le rapport de fin d’année et le rapport d’audit</w:t>
      </w:r>
      <w:r w:rsidRPr="00820F55">
        <w:rPr>
          <w:rFonts w:ascii="Times New Roman" w:hAnsi="Times New Roman" w:cs="Times New Roman"/>
          <w:bCs/>
          <w:lang w:eastAsia="en-GB"/>
        </w:rPr>
        <w:t xml:space="preserve">). Le placement d’un pays dans une catégorie de résultats a été déterminé par la moyenne des réponses aux 91 questions du Questionnaire sur le budget ouvert liées aux informations (cf. </w:t>
      </w:r>
      <w:hyperlink r:id="rId13" w:history="1">
        <w:r w:rsidRPr="00F15ADB">
          <w:rPr>
            <w:rStyle w:val="Lienhypertexte"/>
            <w:rFonts w:ascii="Times New Roman" w:hAnsi="Times New Roman" w:cs="Times New Roman"/>
            <w:i/>
            <w:iCs/>
          </w:rPr>
          <w:t>http://www.openbudgetindex.org</w:t>
        </w:r>
      </w:hyperlink>
      <w:r w:rsidRPr="00820F55">
        <w:rPr>
          <w:rFonts w:ascii="Times New Roman" w:hAnsi="Times New Roman" w:cs="Times New Roman"/>
          <w:bCs/>
          <w:lang w:eastAsia="en-GB"/>
        </w:rPr>
        <w:t>)</w:t>
      </w:r>
      <w:r w:rsidRPr="00820F55">
        <w:rPr>
          <w:rFonts w:ascii="Times New Roman" w:hAnsi="Times New Roman" w:cs="Times New Roman"/>
        </w:rPr>
        <w:t>.</w:t>
      </w:r>
      <w:r>
        <w:rPr>
          <w:rFonts w:cstheme="minorBidi"/>
        </w:rPr>
        <w:t xml:space="preserve"> Le questionnaire comprend 123 questions au total. Les 32 questions restantes traitent des thèmes liés aux opportunités pour la participation du public dans le processus budgétaire et à la capacité  des principales institutions de contrôle du gouvernement à exiger que le gouvernement rende des comptes. </w:t>
      </w:r>
      <w:r w:rsidR="00687B49">
        <w:rPr>
          <w:noProof/>
        </w:rPr>
        <w:pict>
          <v:rect id="_x0000_s1030" style="position:absolute;left:0;text-align:left;margin-left:0;margin-top:0;width:612pt;height:118pt;z-index:-251652096;mso-position-horizontal-relative:page;mso-position-vertical-relative:page" filled="f" stroked="f">
            <v:textbox style="mso-next-textbox:#_x0000_s1030" inset="0,0,0,0">
              <w:txbxContent>
                <w:p w:rsidR="00E005CF" w:rsidRDefault="00E005CF" w:rsidP="00E005CF">
                  <w:pPr>
                    <w:spacing w:line="2360" w:lineRule="atLeast"/>
                  </w:pPr>
                </w:p>
                <w:p w:rsidR="00E005CF" w:rsidRDefault="00E005CF" w:rsidP="00E005CF">
                  <w:pPr>
                    <w:widowControl w:val="0"/>
                    <w:autoSpaceDE w:val="0"/>
                    <w:autoSpaceDN w:val="0"/>
                    <w:adjustRightInd w:val="0"/>
                  </w:pPr>
                </w:p>
              </w:txbxContent>
            </v:textbox>
            <w10:wrap anchorx="page" anchory="page"/>
          </v:rect>
        </w:pict>
      </w:r>
      <w:r>
        <w:t xml:space="preserve"> Il se compose de quest</w:t>
      </w:r>
      <w:r>
        <w:rPr>
          <w:spacing w:val="1"/>
        </w:rPr>
        <w:t>i</w:t>
      </w:r>
      <w:r>
        <w:t>ons à choix</w:t>
      </w:r>
      <w:r>
        <w:rPr>
          <w:spacing w:val="-1"/>
        </w:rPr>
        <w:t xml:space="preserve"> </w:t>
      </w:r>
      <w:r>
        <w:t xml:space="preserve">multiples et ouvertes/fermées sur la diffusion des documents </w:t>
      </w:r>
      <w:r>
        <w:rPr>
          <w:spacing w:val="1"/>
        </w:rPr>
        <w:t>b</w:t>
      </w:r>
      <w:r>
        <w:t>udgétaires. Il regroupe les questions en trois sectio</w:t>
      </w:r>
      <w:r>
        <w:rPr>
          <w:spacing w:val="1"/>
        </w:rPr>
        <w:t>n</w:t>
      </w:r>
      <w:r>
        <w:t>s : 1) la diffusion des informations budgétaires, 2) le Projet de budget an</w:t>
      </w:r>
      <w:r>
        <w:rPr>
          <w:spacing w:val="1"/>
        </w:rPr>
        <w:t>n</w:t>
      </w:r>
      <w:r>
        <w:t>uel de l’e</w:t>
      </w:r>
      <w:r>
        <w:rPr>
          <w:spacing w:val="-1"/>
        </w:rPr>
        <w:t>x</w:t>
      </w:r>
      <w:r>
        <w:t>écutif à la législature (Quest</w:t>
      </w:r>
      <w:r>
        <w:rPr>
          <w:spacing w:val="1"/>
        </w:rPr>
        <w:t>i</w:t>
      </w:r>
      <w:r>
        <w:t>ons 1 à 55) et  la disponibilité d’autres informations qui peuvent contribuer à l’analyse des pol</w:t>
      </w:r>
      <w:r>
        <w:rPr>
          <w:spacing w:val="1"/>
        </w:rPr>
        <w:t>i</w:t>
      </w:r>
      <w:r>
        <w:t>tiques et pratiques budgétaires (Questions 56 à 65), et 3) les quatre p</w:t>
      </w:r>
      <w:r>
        <w:rPr>
          <w:spacing w:val="-1"/>
        </w:rPr>
        <w:t>h</w:t>
      </w:r>
      <w:r>
        <w:t>ases du processus budgétaire (Questions 66 à 123). L’encadré 11 synthétise le contenu du Questionnaire sur le budgétaire, les questions inclues dans l’IBO et les questions liées à l’évaluation des parlements et des institutions supérieures de contrôle (ISC) ainsi que la méthode de détermination de l’IBO.</w:t>
      </w:r>
    </w:p>
    <w:p w:rsidR="00E005CF" w:rsidRDefault="00E005CF" w:rsidP="00E005CF">
      <w:pPr>
        <w:pStyle w:val="Default"/>
        <w:jc w:val="both"/>
      </w:pPr>
    </w:p>
    <w:p w:rsidR="00E005CF" w:rsidRDefault="00E005CF" w:rsidP="00E005CF">
      <w:pPr>
        <w:pStyle w:val="Default"/>
        <w:jc w:val="both"/>
      </w:pPr>
    </w:p>
    <w:p w:rsidR="00E005CF" w:rsidRPr="009C5C9A" w:rsidRDefault="00E005CF" w:rsidP="00E005CF">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b/>
        </w:rPr>
      </w:pPr>
      <w:r w:rsidRPr="009C5C9A">
        <w:rPr>
          <w:rFonts w:ascii="Times New Roman" w:hAnsi="Times New Roman" w:cs="Times New Roman"/>
          <w:b/>
        </w:rPr>
        <w:t>Encadré 1</w:t>
      </w:r>
      <w:r>
        <w:rPr>
          <w:rFonts w:ascii="Times New Roman" w:hAnsi="Times New Roman" w:cs="Times New Roman"/>
          <w:b/>
        </w:rPr>
        <w:t>0</w:t>
      </w:r>
      <w:r w:rsidRPr="009C5C9A">
        <w:rPr>
          <w:rFonts w:ascii="Times New Roman" w:hAnsi="Times New Roman" w:cs="Times New Roman"/>
          <w:b/>
        </w:rPr>
        <w:t xml:space="preserve">. </w:t>
      </w:r>
      <w:r w:rsidRPr="009C5C9A">
        <w:rPr>
          <w:rFonts w:ascii="Times New Roman" w:hAnsi="Times New Roman" w:cs="Times New Roman"/>
          <w:b/>
        </w:rPr>
        <w:tab/>
        <w:t>Méthodologie de l’Enquête sur le budget ouvert</w:t>
      </w:r>
    </w:p>
    <w:p w:rsidR="00E005CF" w:rsidRDefault="00E005CF" w:rsidP="00E005CF">
      <w:pPr>
        <w:pStyle w:val="Default"/>
        <w:pBdr>
          <w:top w:val="single" w:sz="4" w:space="1" w:color="auto"/>
          <w:left w:val="single" w:sz="4" w:space="4" w:color="auto"/>
          <w:bottom w:val="single" w:sz="4" w:space="1" w:color="auto"/>
          <w:right w:val="single" w:sz="4" w:space="4" w:color="auto"/>
        </w:pBdr>
        <w:jc w:val="both"/>
        <w:rPr>
          <w:b/>
        </w:rPr>
      </w:pPr>
    </w:p>
    <w:p w:rsidR="00E005CF" w:rsidRDefault="00E005CF" w:rsidP="00E005CF">
      <w:pPr>
        <w:pStyle w:val="Default"/>
        <w:pBdr>
          <w:top w:val="single" w:sz="4" w:space="1" w:color="auto"/>
          <w:left w:val="single" w:sz="4" w:space="4" w:color="auto"/>
          <w:bottom w:val="single" w:sz="4" w:space="1" w:color="auto"/>
          <w:right w:val="single" w:sz="4" w:space="4" w:color="auto"/>
        </w:pBdr>
        <w:jc w:val="both"/>
        <w:rPr>
          <w:b/>
        </w:rPr>
      </w:pPr>
      <w:r>
        <w:rPr>
          <w:b/>
        </w:rPr>
        <w:t xml:space="preserve">A.       </w:t>
      </w:r>
      <w:r w:rsidRPr="009C5C9A">
        <w:rPr>
          <w:b/>
        </w:rPr>
        <w:t>Le questionnaire sur le budget ouvert</w:t>
      </w:r>
    </w:p>
    <w:p w:rsidR="00E005CF" w:rsidRDefault="00E005CF" w:rsidP="00E005CF">
      <w:pPr>
        <w:widowControl w:val="0"/>
        <w:pBdr>
          <w:top w:val="single" w:sz="4" w:space="1" w:color="auto"/>
          <w:left w:val="single" w:sz="4" w:space="4" w:color="auto"/>
          <w:bottom w:val="single" w:sz="4" w:space="1" w:color="auto"/>
          <w:right w:val="single" w:sz="4" w:space="4" w:color="auto"/>
        </w:pBdr>
        <w:autoSpaceDE w:val="0"/>
        <w:autoSpaceDN w:val="0"/>
        <w:adjustRightInd w:val="0"/>
        <w:ind w:right="-20"/>
        <w:rPr>
          <w:b/>
          <w:bCs/>
          <w:color w:val="000000"/>
          <w:w w:val="98"/>
          <w:sz w:val="22"/>
          <w:szCs w:val="22"/>
        </w:rPr>
      </w:pPr>
    </w:p>
    <w:p w:rsidR="00E005CF" w:rsidRPr="009C5C9A" w:rsidRDefault="00E005CF" w:rsidP="00E005CF">
      <w:pPr>
        <w:widowControl w:val="0"/>
        <w:pBdr>
          <w:top w:val="single" w:sz="4" w:space="1" w:color="auto"/>
          <w:left w:val="single" w:sz="4" w:space="4" w:color="auto"/>
          <w:bottom w:val="single" w:sz="4" w:space="1" w:color="auto"/>
          <w:right w:val="single" w:sz="4" w:space="4" w:color="auto"/>
        </w:pBdr>
        <w:autoSpaceDE w:val="0"/>
        <w:autoSpaceDN w:val="0"/>
        <w:adjustRightInd w:val="0"/>
        <w:ind w:right="-20"/>
        <w:rPr>
          <w:b/>
          <w:bCs/>
          <w:color w:val="000000"/>
          <w:w w:val="98"/>
          <w:sz w:val="22"/>
          <w:szCs w:val="22"/>
        </w:rPr>
      </w:pPr>
      <w:r w:rsidRPr="00681501">
        <w:rPr>
          <w:b/>
          <w:bCs/>
          <w:color w:val="000000"/>
          <w:w w:val="98"/>
          <w:sz w:val="22"/>
          <w:szCs w:val="22"/>
        </w:rPr>
        <w:t>Section</w:t>
      </w:r>
      <w:r w:rsidRPr="009C5C9A">
        <w:rPr>
          <w:b/>
          <w:bCs/>
          <w:color w:val="000000"/>
          <w:w w:val="98"/>
          <w:sz w:val="22"/>
          <w:szCs w:val="22"/>
        </w:rPr>
        <w:t xml:space="preserve"> </w:t>
      </w:r>
      <w:r w:rsidRPr="00681501">
        <w:rPr>
          <w:b/>
          <w:bCs/>
          <w:color w:val="000000"/>
          <w:w w:val="98"/>
          <w:sz w:val="22"/>
          <w:szCs w:val="22"/>
        </w:rPr>
        <w:t>Un:</w:t>
      </w:r>
      <w:r w:rsidRPr="009C5C9A">
        <w:rPr>
          <w:b/>
          <w:bCs/>
          <w:color w:val="000000"/>
          <w:w w:val="98"/>
          <w:sz w:val="22"/>
          <w:szCs w:val="22"/>
        </w:rPr>
        <w:t xml:space="preserve"> </w:t>
      </w:r>
      <w:r w:rsidRPr="00681501">
        <w:rPr>
          <w:b/>
          <w:bCs/>
          <w:color w:val="000000"/>
          <w:w w:val="98"/>
          <w:sz w:val="22"/>
          <w:szCs w:val="22"/>
        </w:rPr>
        <w:t>La</w:t>
      </w:r>
      <w:r w:rsidRPr="009C5C9A">
        <w:rPr>
          <w:b/>
          <w:bCs/>
          <w:color w:val="000000"/>
          <w:w w:val="98"/>
          <w:sz w:val="22"/>
          <w:szCs w:val="22"/>
        </w:rPr>
        <w:t xml:space="preserve"> </w:t>
      </w:r>
      <w:r w:rsidRPr="00681501">
        <w:rPr>
          <w:b/>
          <w:bCs/>
          <w:color w:val="000000"/>
          <w:w w:val="98"/>
          <w:sz w:val="22"/>
          <w:szCs w:val="22"/>
        </w:rPr>
        <w:t>dispo</w:t>
      </w:r>
      <w:r w:rsidRPr="009C5C9A">
        <w:rPr>
          <w:b/>
          <w:bCs/>
          <w:color w:val="000000"/>
          <w:w w:val="98"/>
          <w:sz w:val="22"/>
          <w:szCs w:val="22"/>
        </w:rPr>
        <w:t>n</w:t>
      </w:r>
      <w:r w:rsidRPr="00681501">
        <w:rPr>
          <w:b/>
          <w:bCs/>
          <w:color w:val="000000"/>
          <w:w w:val="98"/>
          <w:sz w:val="22"/>
          <w:szCs w:val="22"/>
        </w:rPr>
        <w:t>i</w:t>
      </w:r>
      <w:r w:rsidRPr="009C5C9A">
        <w:rPr>
          <w:b/>
          <w:bCs/>
          <w:color w:val="000000"/>
          <w:w w:val="98"/>
          <w:sz w:val="22"/>
          <w:szCs w:val="22"/>
        </w:rPr>
        <w:t>b</w:t>
      </w:r>
      <w:r w:rsidRPr="00681501">
        <w:rPr>
          <w:b/>
          <w:bCs/>
          <w:color w:val="000000"/>
          <w:w w:val="98"/>
          <w:sz w:val="22"/>
          <w:szCs w:val="22"/>
        </w:rPr>
        <w:t>ilité</w:t>
      </w:r>
      <w:r w:rsidRPr="009C5C9A">
        <w:rPr>
          <w:b/>
          <w:bCs/>
          <w:color w:val="000000"/>
          <w:w w:val="98"/>
          <w:sz w:val="22"/>
          <w:szCs w:val="22"/>
        </w:rPr>
        <w:t xml:space="preserve"> </w:t>
      </w:r>
      <w:r w:rsidRPr="00681501">
        <w:rPr>
          <w:b/>
          <w:bCs/>
          <w:color w:val="000000"/>
          <w:w w:val="98"/>
          <w:sz w:val="22"/>
          <w:szCs w:val="22"/>
        </w:rPr>
        <w:t>des</w:t>
      </w:r>
      <w:r w:rsidRPr="009C5C9A">
        <w:rPr>
          <w:b/>
          <w:bCs/>
          <w:color w:val="000000"/>
          <w:w w:val="98"/>
          <w:sz w:val="22"/>
          <w:szCs w:val="22"/>
        </w:rPr>
        <w:t xml:space="preserve"> </w:t>
      </w:r>
      <w:r w:rsidRPr="00681501">
        <w:rPr>
          <w:b/>
          <w:bCs/>
          <w:color w:val="000000"/>
          <w:w w:val="98"/>
          <w:sz w:val="22"/>
          <w:szCs w:val="22"/>
        </w:rPr>
        <w:t>do</w:t>
      </w:r>
      <w:r w:rsidRPr="009C5C9A">
        <w:rPr>
          <w:b/>
          <w:bCs/>
          <w:color w:val="000000"/>
          <w:w w:val="98"/>
          <w:sz w:val="22"/>
          <w:szCs w:val="22"/>
        </w:rPr>
        <w:t>cu</w:t>
      </w:r>
      <w:r w:rsidRPr="00681501">
        <w:rPr>
          <w:b/>
          <w:bCs/>
          <w:color w:val="000000"/>
          <w:w w:val="98"/>
          <w:sz w:val="22"/>
          <w:szCs w:val="22"/>
        </w:rPr>
        <w:t>ments</w:t>
      </w:r>
      <w:r w:rsidRPr="009C5C9A">
        <w:rPr>
          <w:b/>
          <w:bCs/>
          <w:color w:val="000000"/>
          <w:w w:val="98"/>
          <w:sz w:val="22"/>
          <w:szCs w:val="22"/>
        </w:rPr>
        <w:t xml:space="preserve"> </w:t>
      </w:r>
      <w:r w:rsidRPr="00681501">
        <w:rPr>
          <w:b/>
          <w:bCs/>
          <w:color w:val="000000"/>
          <w:w w:val="98"/>
          <w:sz w:val="22"/>
          <w:szCs w:val="22"/>
        </w:rPr>
        <w:t>budg</w:t>
      </w:r>
      <w:r w:rsidRPr="009C5C9A">
        <w:rPr>
          <w:b/>
          <w:bCs/>
          <w:color w:val="000000"/>
          <w:w w:val="98"/>
          <w:sz w:val="22"/>
          <w:szCs w:val="22"/>
        </w:rPr>
        <w:t>é</w:t>
      </w:r>
      <w:r w:rsidRPr="00681501">
        <w:rPr>
          <w:b/>
          <w:bCs/>
          <w:color w:val="000000"/>
          <w:w w:val="98"/>
          <w:sz w:val="22"/>
          <w:szCs w:val="22"/>
        </w:rPr>
        <w:t>taires</w:t>
      </w:r>
    </w:p>
    <w:p w:rsidR="00E005CF" w:rsidRPr="009C5C9A"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751E98">
        <w:rPr>
          <w:color w:val="000000"/>
          <w:sz w:val="22"/>
          <w:szCs w:val="22"/>
        </w:rPr>
        <w:t>Tableau 1.  Année budgétaire des documents utilisés pour remplir le Questionnaire</w:t>
      </w:r>
    </w:p>
    <w:p w:rsidR="00E005CF" w:rsidRPr="00681501"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751E98">
        <w:rPr>
          <w:color w:val="000000"/>
          <w:sz w:val="22"/>
          <w:szCs w:val="22"/>
        </w:rPr>
        <w:t>Tableau 2.  Principaux documents budgétaires utilisés: titres complets et liens Internet</w:t>
      </w:r>
    </w:p>
    <w:p w:rsidR="00E005CF" w:rsidRPr="00681501"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751E98">
        <w:rPr>
          <w:color w:val="000000"/>
          <w:sz w:val="22"/>
          <w:szCs w:val="22"/>
        </w:rPr>
        <w:t>Tableau 3.  Distribution des documents liés au Projet de budget de l’exécutif</w:t>
      </w:r>
    </w:p>
    <w:p w:rsidR="00E005CF" w:rsidRPr="009C5C9A"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751E98">
        <w:rPr>
          <w:color w:val="000000"/>
          <w:sz w:val="22"/>
          <w:szCs w:val="22"/>
        </w:rPr>
        <w:t>Tableau</w:t>
      </w:r>
      <w:r w:rsidRPr="00681501">
        <w:rPr>
          <w:color w:val="000000"/>
          <w:sz w:val="22"/>
          <w:szCs w:val="22"/>
        </w:rPr>
        <w:t xml:space="preserve"> </w:t>
      </w:r>
      <w:r w:rsidRPr="00751E98">
        <w:rPr>
          <w:color w:val="000000"/>
          <w:sz w:val="22"/>
          <w:szCs w:val="22"/>
        </w:rPr>
        <w:t>4.</w:t>
      </w:r>
      <w:r w:rsidRPr="00681501">
        <w:rPr>
          <w:color w:val="000000"/>
          <w:sz w:val="22"/>
          <w:szCs w:val="22"/>
        </w:rPr>
        <w:t xml:space="preserve">  </w:t>
      </w:r>
      <w:r w:rsidRPr="00751E98">
        <w:rPr>
          <w:color w:val="000000"/>
          <w:sz w:val="22"/>
          <w:szCs w:val="22"/>
        </w:rPr>
        <w:t>Distribution</w:t>
      </w:r>
      <w:r w:rsidRPr="00681501">
        <w:rPr>
          <w:color w:val="000000"/>
          <w:sz w:val="22"/>
          <w:szCs w:val="22"/>
        </w:rPr>
        <w:t xml:space="preserve"> </w:t>
      </w:r>
      <w:r w:rsidRPr="00751E98">
        <w:rPr>
          <w:color w:val="000000"/>
          <w:sz w:val="22"/>
          <w:szCs w:val="22"/>
        </w:rPr>
        <w:t>du</w:t>
      </w:r>
      <w:r w:rsidRPr="00681501">
        <w:rPr>
          <w:color w:val="000000"/>
          <w:sz w:val="22"/>
          <w:szCs w:val="22"/>
        </w:rPr>
        <w:t xml:space="preserve"> </w:t>
      </w:r>
      <w:r w:rsidRPr="00751E98">
        <w:rPr>
          <w:color w:val="000000"/>
          <w:sz w:val="22"/>
          <w:szCs w:val="22"/>
        </w:rPr>
        <w:t>Budget</w:t>
      </w:r>
      <w:r w:rsidRPr="00681501">
        <w:rPr>
          <w:color w:val="000000"/>
          <w:sz w:val="22"/>
          <w:szCs w:val="22"/>
        </w:rPr>
        <w:t xml:space="preserve"> </w:t>
      </w:r>
      <w:r w:rsidRPr="00751E98">
        <w:rPr>
          <w:color w:val="000000"/>
          <w:sz w:val="22"/>
          <w:szCs w:val="22"/>
        </w:rPr>
        <w:t>adopté</w:t>
      </w:r>
      <w:r w:rsidRPr="00681501">
        <w:rPr>
          <w:color w:val="000000"/>
          <w:sz w:val="22"/>
          <w:szCs w:val="22"/>
        </w:rPr>
        <w:t xml:space="preserve"> </w:t>
      </w:r>
      <w:r w:rsidRPr="00751E98">
        <w:rPr>
          <w:color w:val="000000"/>
          <w:sz w:val="22"/>
          <w:szCs w:val="22"/>
        </w:rPr>
        <w:t>et</w:t>
      </w:r>
      <w:r w:rsidRPr="00681501">
        <w:rPr>
          <w:color w:val="000000"/>
          <w:sz w:val="22"/>
          <w:szCs w:val="22"/>
        </w:rPr>
        <w:t xml:space="preserve"> </w:t>
      </w:r>
      <w:r w:rsidRPr="00751E98">
        <w:rPr>
          <w:color w:val="000000"/>
          <w:sz w:val="22"/>
          <w:szCs w:val="22"/>
        </w:rPr>
        <w:t>autres</w:t>
      </w:r>
      <w:r w:rsidRPr="00681501">
        <w:rPr>
          <w:color w:val="000000"/>
          <w:sz w:val="22"/>
          <w:szCs w:val="22"/>
        </w:rPr>
        <w:t xml:space="preserve"> </w:t>
      </w:r>
      <w:r w:rsidRPr="00751E98">
        <w:rPr>
          <w:color w:val="000000"/>
          <w:sz w:val="22"/>
          <w:szCs w:val="22"/>
        </w:rPr>
        <w:t>rapports</w:t>
      </w:r>
    </w:p>
    <w:p w:rsidR="00E005CF" w:rsidRPr="009C5C9A" w:rsidRDefault="00E005CF" w:rsidP="00E005C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
        <w:ind w:right="-20"/>
        <w:rPr>
          <w:color w:val="000000"/>
          <w:sz w:val="22"/>
          <w:szCs w:val="22"/>
        </w:rPr>
      </w:pPr>
    </w:p>
    <w:p w:rsidR="00E005CF" w:rsidRPr="00681501" w:rsidRDefault="00E005CF" w:rsidP="00E005CF">
      <w:pPr>
        <w:widowControl w:val="0"/>
        <w:pBdr>
          <w:top w:val="single" w:sz="4" w:space="1" w:color="auto"/>
          <w:left w:val="single" w:sz="4" w:space="4" w:color="auto"/>
          <w:bottom w:val="single" w:sz="4" w:space="1" w:color="auto"/>
          <w:right w:val="single" w:sz="4" w:space="4" w:color="auto"/>
        </w:pBdr>
        <w:autoSpaceDE w:val="0"/>
        <w:autoSpaceDN w:val="0"/>
        <w:adjustRightInd w:val="0"/>
        <w:ind w:right="-20"/>
        <w:rPr>
          <w:color w:val="000000"/>
          <w:sz w:val="22"/>
          <w:szCs w:val="22"/>
        </w:rPr>
      </w:pPr>
      <w:r w:rsidRPr="00681501">
        <w:rPr>
          <w:b/>
          <w:bCs/>
          <w:color w:val="000000"/>
          <w:w w:val="98"/>
          <w:sz w:val="22"/>
          <w:szCs w:val="22"/>
        </w:rPr>
        <w:t>Section</w:t>
      </w:r>
      <w:r w:rsidRPr="00681501">
        <w:rPr>
          <w:b/>
          <w:bCs/>
          <w:color w:val="000000"/>
          <w:sz w:val="22"/>
          <w:szCs w:val="22"/>
        </w:rPr>
        <w:t xml:space="preserve"> </w:t>
      </w:r>
      <w:r w:rsidRPr="00681501">
        <w:rPr>
          <w:b/>
          <w:bCs/>
          <w:color w:val="000000"/>
          <w:w w:val="98"/>
          <w:sz w:val="22"/>
          <w:szCs w:val="22"/>
        </w:rPr>
        <w:t>De</w:t>
      </w:r>
      <w:r w:rsidRPr="00681501">
        <w:rPr>
          <w:b/>
          <w:bCs/>
          <w:color w:val="000000"/>
          <w:spacing w:val="1"/>
          <w:w w:val="98"/>
          <w:sz w:val="22"/>
          <w:szCs w:val="22"/>
        </w:rPr>
        <w:t>ux</w:t>
      </w:r>
      <w:r w:rsidRPr="00681501">
        <w:rPr>
          <w:b/>
          <w:bCs/>
          <w:color w:val="000000"/>
          <w:w w:val="98"/>
          <w:sz w:val="22"/>
          <w:szCs w:val="22"/>
        </w:rPr>
        <w:t>:</w:t>
      </w:r>
      <w:r w:rsidRPr="00681501">
        <w:rPr>
          <w:b/>
          <w:bCs/>
          <w:color w:val="000000"/>
          <w:sz w:val="22"/>
          <w:szCs w:val="22"/>
        </w:rPr>
        <w:t xml:space="preserve"> </w:t>
      </w:r>
      <w:r w:rsidRPr="00681501">
        <w:rPr>
          <w:b/>
          <w:bCs/>
          <w:color w:val="000000"/>
          <w:w w:val="98"/>
          <w:sz w:val="22"/>
          <w:szCs w:val="22"/>
        </w:rPr>
        <w:t>Le</w:t>
      </w:r>
      <w:r w:rsidRPr="00681501">
        <w:rPr>
          <w:b/>
          <w:bCs/>
          <w:color w:val="000000"/>
          <w:sz w:val="22"/>
          <w:szCs w:val="22"/>
        </w:rPr>
        <w:t xml:space="preserve"> </w:t>
      </w:r>
      <w:r w:rsidRPr="00681501">
        <w:rPr>
          <w:b/>
          <w:bCs/>
          <w:color w:val="000000"/>
          <w:w w:val="98"/>
          <w:sz w:val="22"/>
          <w:szCs w:val="22"/>
        </w:rPr>
        <w:t>projet</w:t>
      </w:r>
      <w:r w:rsidRPr="00681501">
        <w:rPr>
          <w:b/>
          <w:bCs/>
          <w:color w:val="000000"/>
          <w:sz w:val="22"/>
          <w:szCs w:val="22"/>
        </w:rPr>
        <w:t xml:space="preserve"> </w:t>
      </w:r>
      <w:r w:rsidRPr="00681501">
        <w:rPr>
          <w:b/>
          <w:bCs/>
          <w:color w:val="000000"/>
          <w:w w:val="98"/>
          <w:sz w:val="22"/>
          <w:szCs w:val="22"/>
        </w:rPr>
        <w:t>de</w:t>
      </w:r>
      <w:r w:rsidRPr="00681501">
        <w:rPr>
          <w:b/>
          <w:bCs/>
          <w:color w:val="000000"/>
          <w:sz w:val="22"/>
          <w:szCs w:val="22"/>
        </w:rPr>
        <w:t xml:space="preserve"> </w:t>
      </w:r>
      <w:r w:rsidRPr="00681501">
        <w:rPr>
          <w:b/>
          <w:bCs/>
          <w:color w:val="000000"/>
          <w:w w:val="98"/>
          <w:sz w:val="22"/>
          <w:szCs w:val="22"/>
        </w:rPr>
        <w:t>budget</w:t>
      </w:r>
      <w:r w:rsidRPr="00681501">
        <w:rPr>
          <w:b/>
          <w:bCs/>
          <w:color w:val="000000"/>
          <w:sz w:val="22"/>
          <w:szCs w:val="22"/>
        </w:rPr>
        <w:t xml:space="preserve"> </w:t>
      </w:r>
      <w:r w:rsidRPr="00681501">
        <w:rPr>
          <w:b/>
          <w:bCs/>
          <w:color w:val="000000"/>
          <w:w w:val="98"/>
          <w:sz w:val="22"/>
          <w:szCs w:val="22"/>
        </w:rPr>
        <w:t>de</w:t>
      </w:r>
      <w:r w:rsidRPr="00681501">
        <w:rPr>
          <w:b/>
          <w:bCs/>
          <w:color w:val="000000"/>
          <w:spacing w:val="2"/>
          <w:sz w:val="22"/>
          <w:szCs w:val="22"/>
        </w:rPr>
        <w:t xml:space="preserve"> </w:t>
      </w:r>
      <w:r w:rsidRPr="00681501">
        <w:rPr>
          <w:b/>
          <w:bCs/>
          <w:color w:val="000000"/>
          <w:w w:val="98"/>
          <w:sz w:val="22"/>
          <w:szCs w:val="22"/>
        </w:rPr>
        <w:t>l’exécutif</w:t>
      </w:r>
    </w:p>
    <w:p w:rsidR="00E005CF" w:rsidRPr="00681501"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D47D5B">
        <w:rPr>
          <w:color w:val="000000"/>
          <w:sz w:val="22"/>
          <w:szCs w:val="22"/>
        </w:rPr>
        <w:t>Estimations pour l’année budgétaire et au-delà</w:t>
      </w:r>
    </w:p>
    <w:p w:rsidR="00E005CF" w:rsidRPr="00681501"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D47D5B">
        <w:rPr>
          <w:color w:val="000000"/>
          <w:sz w:val="22"/>
          <w:szCs w:val="22"/>
        </w:rPr>
        <w:t>Estimations</w:t>
      </w:r>
      <w:r w:rsidRPr="00681501">
        <w:rPr>
          <w:color w:val="000000"/>
          <w:sz w:val="22"/>
          <w:szCs w:val="22"/>
        </w:rPr>
        <w:t xml:space="preserve"> </w:t>
      </w:r>
      <w:r w:rsidRPr="00D47D5B">
        <w:rPr>
          <w:color w:val="000000"/>
          <w:sz w:val="22"/>
          <w:szCs w:val="22"/>
        </w:rPr>
        <w:t>pour</w:t>
      </w:r>
      <w:r w:rsidRPr="00681501">
        <w:rPr>
          <w:color w:val="000000"/>
          <w:sz w:val="22"/>
          <w:szCs w:val="22"/>
        </w:rPr>
        <w:t xml:space="preserve"> </w:t>
      </w:r>
      <w:r w:rsidRPr="00D47D5B">
        <w:rPr>
          <w:color w:val="000000"/>
          <w:sz w:val="22"/>
          <w:szCs w:val="22"/>
        </w:rPr>
        <w:t>les</w:t>
      </w:r>
      <w:r w:rsidRPr="00681501">
        <w:rPr>
          <w:color w:val="000000"/>
          <w:sz w:val="22"/>
          <w:szCs w:val="22"/>
        </w:rPr>
        <w:t xml:space="preserve"> </w:t>
      </w:r>
      <w:r w:rsidRPr="00D47D5B">
        <w:rPr>
          <w:color w:val="000000"/>
          <w:sz w:val="22"/>
          <w:szCs w:val="22"/>
        </w:rPr>
        <w:t>années</w:t>
      </w:r>
      <w:r w:rsidRPr="00681501">
        <w:rPr>
          <w:color w:val="000000"/>
          <w:sz w:val="22"/>
          <w:szCs w:val="22"/>
        </w:rPr>
        <w:t xml:space="preserve"> </w:t>
      </w:r>
      <w:r w:rsidRPr="00D47D5B">
        <w:rPr>
          <w:color w:val="000000"/>
          <w:sz w:val="22"/>
          <w:szCs w:val="22"/>
        </w:rPr>
        <w:t>antérieures à</w:t>
      </w:r>
      <w:r w:rsidRPr="00681501">
        <w:rPr>
          <w:color w:val="000000"/>
          <w:sz w:val="22"/>
          <w:szCs w:val="22"/>
        </w:rPr>
        <w:t xml:space="preserve"> </w:t>
      </w:r>
      <w:r w:rsidRPr="00D47D5B">
        <w:rPr>
          <w:color w:val="000000"/>
          <w:sz w:val="22"/>
          <w:szCs w:val="22"/>
        </w:rPr>
        <w:t>l’année budgétaire</w:t>
      </w:r>
    </w:p>
    <w:p w:rsidR="00E005CF" w:rsidRPr="00681501"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D47D5B">
        <w:rPr>
          <w:color w:val="000000"/>
          <w:sz w:val="22"/>
          <w:szCs w:val="22"/>
        </w:rPr>
        <w:t>Exhaustivité</w:t>
      </w:r>
    </w:p>
    <w:p w:rsidR="00E005CF" w:rsidRPr="00681501"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D47D5B">
        <w:rPr>
          <w:color w:val="000000"/>
          <w:sz w:val="22"/>
          <w:szCs w:val="22"/>
        </w:rPr>
        <w:t>Le texte budgétaire et le suivi des résultats</w:t>
      </w:r>
    </w:p>
    <w:p w:rsidR="00E005CF" w:rsidRPr="00681501"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D47D5B">
        <w:rPr>
          <w:color w:val="000000"/>
          <w:sz w:val="22"/>
          <w:szCs w:val="22"/>
        </w:rPr>
        <w:t>Principales informations additionnelles pour l’analyse et le suivi budgétaires</w:t>
      </w:r>
    </w:p>
    <w:p w:rsidR="00E005CF" w:rsidRPr="00F7230F" w:rsidRDefault="00E005CF" w:rsidP="00E005CF">
      <w:pPr>
        <w:widowControl w:val="0"/>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p>
    <w:p w:rsidR="00E005CF" w:rsidRPr="00681501" w:rsidRDefault="00E005CF" w:rsidP="00E005CF">
      <w:pPr>
        <w:widowControl w:val="0"/>
        <w:pBdr>
          <w:top w:val="single" w:sz="4" w:space="1" w:color="auto"/>
          <w:left w:val="single" w:sz="4" w:space="4" w:color="auto"/>
          <w:bottom w:val="single" w:sz="4" w:space="1" w:color="auto"/>
          <w:right w:val="single" w:sz="4" w:space="4" w:color="auto"/>
        </w:pBdr>
        <w:autoSpaceDE w:val="0"/>
        <w:autoSpaceDN w:val="0"/>
        <w:adjustRightInd w:val="0"/>
        <w:ind w:right="-20"/>
        <w:rPr>
          <w:color w:val="000000"/>
          <w:sz w:val="22"/>
          <w:szCs w:val="22"/>
        </w:rPr>
      </w:pPr>
      <w:r w:rsidRPr="00681501">
        <w:rPr>
          <w:b/>
          <w:bCs/>
          <w:color w:val="000000"/>
          <w:w w:val="98"/>
          <w:sz w:val="22"/>
          <w:szCs w:val="22"/>
        </w:rPr>
        <w:t>Section</w:t>
      </w:r>
      <w:r w:rsidRPr="00681501">
        <w:rPr>
          <w:b/>
          <w:bCs/>
          <w:color w:val="000000"/>
          <w:sz w:val="22"/>
          <w:szCs w:val="22"/>
        </w:rPr>
        <w:t xml:space="preserve"> </w:t>
      </w:r>
      <w:r w:rsidRPr="00681501">
        <w:rPr>
          <w:b/>
          <w:bCs/>
          <w:color w:val="000000"/>
          <w:w w:val="98"/>
          <w:sz w:val="22"/>
          <w:szCs w:val="22"/>
        </w:rPr>
        <w:t>Trois:</w:t>
      </w:r>
      <w:r w:rsidRPr="00681501">
        <w:rPr>
          <w:b/>
          <w:bCs/>
          <w:color w:val="000000"/>
          <w:sz w:val="22"/>
          <w:szCs w:val="22"/>
        </w:rPr>
        <w:t xml:space="preserve"> </w:t>
      </w:r>
      <w:r w:rsidRPr="00681501">
        <w:rPr>
          <w:b/>
          <w:bCs/>
          <w:color w:val="000000"/>
          <w:w w:val="98"/>
          <w:sz w:val="22"/>
          <w:szCs w:val="22"/>
        </w:rPr>
        <w:t>Le</w:t>
      </w:r>
      <w:r w:rsidRPr="00681501">
        <w:rPr>
          <w:b/>
          <w:bCs/>
          <w:color w:val="000000"/>
          <w:sz w:val="22"/>
          <w:szCs w:val="22"/>
        </w:rPr>
        <w:t xml:space="preserve"> </w:t>
      </w:r>
      <w:r w:rsidRPr="00681501">
        <w:rPr>
          <w:b/>
          <w:bCs/>
          <w:color w:val="000000"/>
          <w:w w:val="98"/>
          <w:sz w:val="22"/>
          <w:szCs w:val="22"/>
        </w:rPr>
        <w:t>processus</w:t>
      </w:r>
      <w:r w:rsidRPr="00681501">
        <w:rPr>
          <w:b/>
          <w:bCs/>
          <w:color w:val="000000"/>
          <w:sz w:val="22"/>
          <w:szCs w:val="22"/>
        </w:rPr>
        <w:t xml:space="preserve"> </w:t>
      </w:r>
      <w:r w:rsidRPr="00681501">
        <w:rPr>
          <w:b/>
          <w:bCs/>
          <w:color w:val="000000"/>
          <w:w w:val="98"/>
          <w:sz w:val="22"/>
          <w:szCs w:val="22"/>
        </w:rPr>
        <w:t>budg</w:t>
      </w:r>
      <w:r w:rsidRPr="00681501">
        <w:rPr>
          <w:b/>
          <w:bCs/>
          <w:color w:val="000000"/>
          <w:spacing w:val="1"/>
          <w:w w:val="98"/>
          <w:sz w:val="22"/>
          <w:szCs w:val="22"/>
        </w:rPr>
        <w:t>é</w:t>
      </w:r>
      <w:r w:rsidRPr="00681501">
        <w:rPr>
          <w:b/>
          <w:bCs/>
          <w:color w:val="000000"/>
          <w:w w:val="98"/>
          <w:sz w:val="22"/>
          <w:szCs w:val="22"/>
        </w:rPr>
        <w:t>tai</w:t>
      </w:r>
      <w:r w:rsidRPr="00681501">
        <w:rPr>
          <w:b/>
          <w:bCs/>
          <w:color w:val="000000"/>
          <w:spacing w:val="1"/>
          <w:w w:val="98"/>
          <w:sz w:val="22"/>
          <w:szCs w:val="22"/>
        </w:rPr>
        <w:t>r</w:t>
      </w:r>
      <w:r w:rsidRPr="00681501">
        <w:rPr>
          <w:b/>
          <w:bCs/>
          <w:color w:val="000000"/>
          <w:w w:val="98"/>
          <w:sz w:val="22"/>
          <w:szCs w:val="22"/>
        </w:rPr>
        <w:t>e</w:t>
      </w:r>
    </w:p>
    <w:p w:rsidR="00E005CF" w:rsidRPr="00681501"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D47D5B">
        <w:rPr>
          <w:color w:val="000000"/>
          <w:sz w:val="22"/>
          <w:szCs w:val="22"/>
        </w:rPr>
        <w:t>Formulation du budget par l’exécutif</w:t>
      </w:r>
    </w:p>
    <w:p w:rsidR="00E005CF" w:rsidRPr="00681501"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D47D5B">
        <w:rPr>
          <w:color w:val="000000"/>
          <w:sz w:val="22"/>
          <w:szCs w:val="22"/>
        </w:rPr>
        <w:t>Approbation législative du budget</w:t>
      </w:r>
    </w:p>
    <w:p w:rsidR="00E005CF" w:rsidRPr="00681501"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D47D5B">
        <w:rPr>
          <w:color w:val="000000"/>
          <w:sz w:val="22"/>
          <w:szCs w:val="22"/>
        </w:rPr>
        <w:t>Implantation du</w:t>
      </w:r>
      <w:r w:rsidRPr="00681501">
        <w:rPr>
          <w:color w:val="000000"/>
          <w:sz w:val="22"/>
          <w:szCs w:val="22"/>
        </w:rPr>
        <w:t xml:space="preserve"> </w:t>
      </w:r>
      <w:r w:rsidRPr="00D47D5B">
        <w:rPr>
          <w:color w:val="000000"/>
          <w:sz w:val="22"/>
          <w:szCs w:val="22"/>
        </w:rPr>
        <w:t>budget</w:t>
      </w:r>
      <w:r w:rsidRPr="00681501">
        <w:rPr>
          <w:color w:val="000000"/>
          <w:sz w:val="22"/>
          <w:szCs w:val="22"/>
        </w:rPr>
        <w:t xml:space="preserve"> </w:t>
      </w:r>
      <w:r w:rsidRPr="00D47D5B">
        <w:rPr>
          <w:color w:val="000000"/>
          <w:sz w:val="22"/>
          <w:szCs w:val="22"/>
        </w:rPr>
        <w:t>par l’exécutif</w:t>
      </w:r>
    </w:p>
    <w:p w:rsidR="00E005CF"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D47D5B">
        <w:rPr>
          <w:color w:val="000000"/>
          <w:sz w:val="22"/>
          <w:szCs w:val="22"/>
        </w:rPr>
        <w:t>Rapport de fin d’année et Institution supérieure de contrôle</w:t>
      </w:r>
    </w:p>
    <w:p w:rsidR="00CC2A2B" w:rsidRPr="00CC2A2B" w:rsidRDefault="00CC2A2B" w:rsidP="00CC2A2B">
      <w:pPr>
        <w:widowControl w:val="0"/>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p>
    <w:p w:rsidR="00E005CF" w:rsidRPr="00751E98" w:rsidRDefault="00E005CF" w:rsidP="00E005CF">
      <w:pPr>
        <w:pStyle w:val="Default"/>
        <w:pBdr>
          <w:top w:val="single" w:sz="4" w:space="1" w:color="auto"/>
          <w:left w:val="single" w:sz="4" w:space="4" w:color="auto"/>
          <w:bottom w:val="single" w:sz="4" w:space="1" w:color="auto"/>
          <w:right w:val="single" w:sz="4" w:space="4" w:color="auto"/>
        </w:pBdr>
        <w:jc w:val="both"/>
        <w:rPr>
          <w:b/>
        </w:rPr>
      </w:pPr>
      <w:r>
        <w:rPr>
          <w:b/>
        </w:rPr>
        <w:t xml:space="preserve">B.        </w:t>
      </w:r>
      <w:r w:rsidRPr="00751E98">
        <w:rPr>
          <w:b/>
        </w:rPr>
        <w:t>Questions inclues dans l’Indice sur le budget ouvert</w:t>
      </w:r>
    </w:p>
    <w:p w:rsidR="00E005CF" w:rsidRPr="009C5C9A"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9C5C9A">
        <w:rPr>
          <w:color w:val="000000"/>
          <w:sz w:val="22"/>
          <w:szCs w:val="22"/>
        </w:rPr>
        <w:t>Projet de budget de l’exécutif</w:t>
      </w:r>
      <w:r w:rsidRPr="009C5C9A">
        <w:rPr>
          <w:color w:val="000000"/>
          <w:sz w:val="22"/>
          <w:szCs w:val="22"/>
        </w:rPr>
        <w:tab/>
        <w:t>Questions 1-55, 66-68</w:t>
      </w:r>
    </w:p>
    <w:p w:rsidR="00E005CF" w:rsidRPr="009C5C9A"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9C5C9A">
        <w:rPr>
          <w:color w:val="000000"/>
          <w:sz w:val="22"/>
          <w:szCs w:val="22"/>
        </w:rPr>
        <w:t>Budget des citoyens</w:t>
      </w:r>
      <w:r w:rsidRPr="009C5C9A">
        <w:rPr>
          <w:color w:val="000000"/>
          <w:sz w:val="22"/>
          <w:szCs w:val="22"/>
        </w:rPr>
        <w:tab/>
        <w:t>Question 61</w:t>
      </w:r>
    </w:p>
    <w:p w:rsidR="00E005CF" w:rsidRPr="009C5C9A"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9C5C9A">
        <w:rPr>
          <w:color w:val="000000"/>
          <w:sz w:val="22"/>
          <w:szCs w:val="22"/>
        </w:rPr>
        <w:t>Rapport préalable au budget</w:t>
      </w:r>
      <w:r w:rsidRPr="009C5C9A">
        <w:rPr>
          <w:color w:val="000000"/>
          <w:sz w:val="22"/>
          <w:szCs w:val="22"/>
        </w:rPr>
        <w:tab/>
        <w:t>Questions 71, 72, 73</w:t>
      </w:r>
    </w:p>
    <w:p w:rsidR="00E005CF" w:rsidRPr="009C5C9A"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9C5C9A">
        <w:rPr>
          <w:color w:val="000000"/>
          <w:sz w:val="22"/>
          <w:szCs w:val="22"/>
        </w:rPr>
        <w:t>Rapports en cours d’année</w:t>
      </w:r>
      <w:r w:rsidRPr="009C5C9A">
        <w:rPr>
          <w:color w:val="000000"/>
          <w:sz w:val="22"/>
          <w:szCs w:val="22"/>
        </w:rPr>
        <w:tab/>
        <w:t>Questions 82, 83, 85-90</w:t>
      </w:r>
    </w:p>
    <w:p w:rsidR="00E005CF" w:rsidRPr="009C5C9A"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9C5C9A">
        <w:rPr>
          <w:color w:val="000000"/>
          <w:sz w:val="22"/>
          <w:szCs w:val="22"/>
        </w:rPr>
        <w:lastRenderedPageBreak/>
        <w:t>Revue de milieu d’année</w:t>
      </w:r>
      <w:r w:rsidRPr="009C5C9A">
        <w:rPr>
          <w:color w:val="000000"/>
          <w:sz w:val="22"/>
          <w:szCs w:val="22"/>
        </w:rPr>
        <w:tab/>
        <w:t>Questions 92-95</w:t>
      </w:r>
    </w:p>
    <w:p w:rsidR="00E005CF" w:rsidRPr="009C5C9A"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ind w:right="-20"/>
        <w:rPr>
          <w:color w:val="000000"/>
          <w:sz w:val="22"/>
          <w:szCs w:val="22"/>
        </w:rPr>
      </w:pPr>
      <w:r w:rsidRPr="009C5C9A">
        <w:rPr>
          <w:color w:val="000000"/>
          <w:sz w:val="22"/>
          <w:szCs w:val="22"/>
        </w:rPr>
        <w:t>Rapport de fin d’année</w:t>
      </w:r>
      <w:r w:rsidRPr="009C5C9A">
        <w:rPr>
          <w:color w:val="000000"/>
          <w:sz w:val="22"/>
          <w:szCs w:val="22"/>
        </w:rPr>
        <w:tab/>
        <w:t>Questions 101-110</w:t>
      </w:r>
    </w:p>
    <w:p w:rsidR="00E005CF" w:rsidRPr="00751E98" w:rsidRDefault="00E005CF"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spacing w:line="270" w:lineRule="exact"/>
        <w:ind w:right="-20"/>
        <w:rPr>
          <w:color w:val="000000"/>
          <w:sz w:val="22"/>
          <w:szCs w:val="22"/>
        </w:rPr>
      </w:pPr>
      <w:r w:rsidRPr="009C5C9A">
        <w:rPr>
          <w:color w:val="000000"/>
          <w:position w:val="1"/>
          <w:sz w:val="22"/>
          <w:szCs w:val="22"/>
        </w:rPr>
        <w:t>Rapport d’audit</w:t>
      </w:r>
      <w:r w:rsidRPr="009C5C9A">
        <w:rPr>
          <w:color w:val="000000"/>
          <w:position w:val="1"/>
          <w:sz w:val="22"/>
          <w:szCs w:val="22"/>
        </w:rPr>
        <w:tab/>
        <w:t>Questions 111-113, 115, 121-123</w:t>
      </w:r>
    </w:p>
    <w:p w:rsidR="00E005CF" w:rsidRPr="00751E98" w:rsidRDefault="00E005CF" w:rsidP="00E005CF">
      <w:pPr>
        <w:widowControl w:val="0"/>
        <w:pBdr>
          <w:top w:val="single" w:sz="4" w:space="1" w:color="auto"/>
          <w:left w:val="single" w:sz="4" w:space="4" w:color="auto"/>
          <w:bottom w:val="single" w:sz="4" w:space="1" w:color="auto"/>
          <w:right w:val="single" w:sz="4" w:space="4" w:color="auto"/>
        </w:pBdr>
        <w:tabs>
          <w:tab w:val="left" w:pos="5300"/>
        </w:tabs>
        <w:autoSpaceDE w:val="0"/>
        <w:autoSpaceDN w:val="0"/>
        <w:adjustRightInd w:val="0"/>
        <w:spacing w:line="270" w:lineRule="exact"/>
        <w:ind w:right="-20"/>
        <w:rPr>
          <w:color w:val="000000"/>
          <w:sz w:val="22"/>
          <w:szCs w:val="22"/>
        </w:rPr>
      </w:pPr>
    </w:p>
    <w:p w:rsidR="00E005CF" w:rsidRPr="00751E98" w:rsidRDefault="00E005CF" w:rsidP="00E005CF">
      <w:pPr>
        <w:pStyle w:val="Default"/>
        <w:pBdr>
          <w:top w:val="single" w:sz="4" w:space="1" w:color="auto"/>
          <w:left w:val="single" w:sz="4" w:space="4" w:color="auto"/>
          <w:bottom w:val="single" w:sz="4" w:space="1" w:color="auto"/>
          <w:right w:val="single" w:sz="4" w:space="4" w:color="auto"/>
        </w:pBdr>
        <w:jc w:val="both"/>
        <w:rPr>
          <w:b/>
        </w:rPr>
      </w:pPr>
      <w:r w:rsidRPr="00751E98">
        <w:rPr>
          <w:b/>
        </w:rPr>
        <w:t>C.</w:t>
      </w:r>
      <w:r w:rsidRPr="00751E98">
        <w:rPr>
          <w:b/>
        </w:rPr>
        <w:tab/>
        <w:t>Questions utilisée</w:t>
      </w:r>
      <w:r w:rsidR="00CC2A2B">
        <w:rPr>
          <w:b/>
        </w:rPr>
        <w:t>s pour évaluer les parlements et les institutions supérieures de contrôle</w:t>
      </w:r>
    </w:p>
    <w:p w:rsidR="00E005CF" w:rsidRPr="009C5C9A" w:rsidRDefault="00CC2A2B"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spacing w:line="270" w:lineRule="exact"/>
        <w:ind w:right="-20"/>
        <w:rPr>
          <w:color w:val="000000"/>
          <w:position w:val="1"/>
          <w:sz w:val="22"/>
          <w:szCs w:val="22"/>
        </w:rPr>
      </w:pPr>
      <w:r>
        <w:rPr>
          <w:color w:val="000000"/>
          <w:position w:val="1"/>
          <w:sz w:val="22"/>
          <w:szCs w:val="22"/>
        </w:rPr>
        <w:t>Parlements</w:t>
      </w:r>
      <w:r w:rsidR="00E005CF" w:rsidRPr="009C5C9A">
        <w:rPr>
          <w:color w:val="000000"/>
          <w:position w:val="1"/>
          <w:sz w:val="22"/>
          <w:szCs w:val="22"/>
        </w:rPr>
        <w:tab/>
        <w:t>Questions 69, 74-81, 96, 98, 100</w:t>
      </w:r>
    </w:p>
    <w:p w:rsidR="00E005CF" w:rsidRDefault="00CC2A2B" w:rsidP="00E005CF">
      <w:pPr>
        <w:pStyle w:val="Paragraphedeliste"/>
        <w:widowControl w:val="0"/>
        <w:numPr>
          <w:ilvl w:val="0"/>
          <w:numId w:val="13"/>
        </w:numPr>
        <w:pBdr>
          <w:top w:val="single" w:sz="4" w:space="1" w:color="auto"/>
          <w:left w:val="single" w:sz="4" w:space="4" w:color="auto"/>
          <w:bottom w:val="single" w:sz="4" w:space="1" w:color="auto"/>
          <w:right w:val="single" w:sz="4" w:space="4" w:color="auto"/>
        </w:pBdr>
        <w:tabs>
          <w:tab w:val="left" w:pos="5300"/>
        </w:tabs>
        <w:autoSpaceDE w:val="0"/>
        <w:autoSpaceDN w:val="0"/>
        <w:adjustRightInd w:val="0"/>
        <w:spacing w:line="270" w:lineRule="exact"/>
        <w:ind w:right="-20"/>
        <w:rPr>
          <w:color w:val="000000"/>
          <w:position w:val="1"/>
          <w:sz w:val="22"/>
          <w:szCs w:val="22"/>
        </w:rPr>
      </w:pPr>
      <w:r>
        <w:rPr>
          <w:color w:val="000000"/>
          <w:position w:val="1"/>
          <w:sz w:val="22"/>
          <w:szCs w:val="22"/>
        </w:rPr>
        <w:t>Institutions supérieures de contrôle</w:t>
      </w:r>
      <w:r w:rsidR="00E005CF" w:rsidRPr="009C5C9A">
        <w:rPr>
          <w:color w:val="000000"/>
          <w:position w:val="1"/>
          <w:sz w:val="22"/>
          <w:szCs w:val="22"/>
        </w:rPr>
        <w:tab/>
        <w:t>Questions 111, 114, 116-123</w:t>
      </w:r>
    </w:p>
    <w:p w:rsidR="00E005CF" w:rsidRDefault="00E005CF" w:rsidP="00E005CF">
      <w:pPr>
        <w:widowControl w:val="0"/>
        <w:pBdr>
          <w:top w:val="single" w:sz="4" w:space="1" w:color="auto"/>
          <w:left w:val="single" w:sz="4" w:space="4" w:color="auto"/>
          <w:bottom w:val="single" w:sz="4" w:space="1" w:color="auto"/>
          <w:right w:val="single" w:sz="4" w:space="4" w:color="auto"/>
        </w:pBdr>
        <w:tabs>
          <w:tab w:val="left" w:pos="5300"/>
        </w:tabs>
        <w:autoSpaceDE w:val="0"/>
        <w:autoSpaceDN w:val="0"/>
        <w:adjustRightInd w:val="0"/>
        <w:spacing w:line="270" w:lineRule="exact"/>
        <w:ind w:right="-20"/>
        <w:rPr>
          <w:color w:val="000000"/>
          <w:position w:val="1"/>
          <w:sz w:val="22"/>
          <w:szCs w:val="22"/>
        </w:rPr>
      </w:pPr>
    </w:p>
    <w:p w:rsidR="00E005CF" w:rsidRDefault="00E005CF" w:rsidP="00E005CF">
      <w:pPr>
        <w:widowControl w:val="0"/>
        <w:pBdr>
          <w:top w:val="single" w:sz="4" w:space="1" w:color="auto"/>
          <w:left w:val="single" w:sz="4" w:space="4" w:color="auto"/>
          <w:bottom w:val="single" w:sz="4" w:space="1" w:color="auto"/>
          <w:right w:val="single" w:sz="4" w:space="4" w:color="auto"/>
        </w:pBdr>
        <w:tabs>
          <w:tab w:val="left" w:pos="5300"/>
        </w:tabs>
        <w:autoSpaceDE w:val="0"/>
        <w:autoSpaceDN w:val="0"/>
        <w:adjustRightInd w:val="0"/>
        <w:spacing w:line="270" w:lineRule="exact"/>
        <w:ind w:right="-20"/>
        <w:rPr>
          <w:b/>
          <w:color w:val="000000"/>
          <w:position w:val="1"/>
          <w:sz w:val="22"/>
          <w:szCs w:val="22"/>
        </w:rPr>
      </w:pPr>
      <w:r w:rsidRPr="00751E98">
        <w:rPr>
          <w:b/>
          <w:color w:val="000000"/>
          <w:position w:val="1"/>
          <w:sz w:val="22"/>
          <w:szCs w:val="22"/>
        </w:rPr>
        <w:t>D.         Que mesure l’IBO ?</w:t>
      </w:r>
    </w:p>
    <w:p w:rsidR="00E005CF" w:rsidRPr="00751E98" w:rsidRDefault="00E005CF" w:rsidP="00E005CF">
      <w:pPr>
        <w:widowControl w:val="0"/>
        <w:pBdr>
          <w:top w:val="single" w:sz="4" w:space="1" w:color="auto"/>
          <w:left w:val="single" w:sz="4" w:space="4" w:color="auto"/>
          <w:bottom w:val="single" w:sz="4" w:space="1" w:color="auto"/>
          <w:right w:val="single" w:sz="4" w:space="4" w:color="auto"/>
        </w:pBdr>
        <w:tabs>
          <w:tab w:val="left" w:pos="5300"/>
        </w:tabs>
        <w:autoSpaceDE w:val="0"/>
        <w:autoSpaceDN w:val="0"/>
        <w:adjustRightInd w:val="0"/>
        <w:spacing w:line="270" w:lineRule="exact"/>
        <w:ind w:right="-20"/>
        <w:rPr>
          <w:b/>
          <w:color w:val="000000"/>
          <w:position w:val="1"/>
          <w:sz w:val="22"/>
          <w:szCs w:val="22"/>
        </w:rPr>
      </w:pPr>
    </w:p>
    <w:p w:rsidR="00E005CF" w:rsidRPr="00751E98" w:rsidRDefault="00E005CF" w:rsidP="00E005CF">
      <w:pPr>
        <w:widowControl w:val="0"/>
        <w:pBdr>
          <w:top w:val="single" w:sz="4" w:space="1" w:color="auto"/>
          <w:left w:val="single" w:sz="4" w:space="4" w:color="auto"/>
          <w:bottom w:val="single" w:sz="4" w:space="1" w:color="auto"/>
          <w:right w:val="single" w:sz="4" w:space="4" w:color="auto"/>
        </w:pBdr>
        <w:tabs>
          <w:tab w:val="left" w:pos="5300"/>
        </w:tabs>
        <w:autoSpaceDE w:val="0"/>
        <w:autoSpaceDN w:val="0"/>
        <w:adjustRightInd w:val="0"/>
        <w:spacing w:line="270" w:lineRule="exact"/>
        <w:ind w:right="-20"/>
        <w:jc w:val="both"/>
        <w:rPr>
          <w:color w:val="000000"/>
          <w:position w:val="1"/>
          <w:sz w:val="22"/>
          <w:szCs w:val="22"/>
        </w:rPr>
      </w:pPr>
      <w:r w:rsidRPr="00B14FBA">
        <w:rPr>
          <w:bCs/>
          <w:lang w:eastAsia="en-GB"/>
        </w:rPr>
        <w:t xml:space="preserve">L’Indice sur le budget </w:t>
      </w:r>
      <w:r>
        <w:rPr>
          <w:bCs/>
          <w:lang w:eastAsia="en-GB"/>
        </w:rPr>
        <w:t xml:space="preserve">ouvert </w:t>
      </w:r>
      <w:r w:rsidRPr="00B14FBA">
        <w:rPr>
          <w:bCs/>
          <w:lang w:eastAsia="en-GB"/>
        </w:rPr>
        <w:t>note les pays de zéro à 100, en se fondant sur un sous-ensemble de 91 questions du questionnaire.</w:t>
      </w:r>
      <w:r>
        <w:rPr>
          <w:bCs/>
          <w:lang w:eastAsia="en-GB"/>
        </w:rPr>
        <w:t xml:space="preserve"> </w:t>
      </w:r>
      <w:r w:rsidRPr="00B14FBA">
        <w:rPr>
          <w:bCs/>
          <w:lang w:eastAsia="en-GB"/>
        </w:rPr>
        <w:t>Ces questions se concentrent sur la mise à la disposition du public des huit documents budgétaires clé (avec une attention particulière portée au Projet de budget de l’exécutif), et sur les informations qu’ils contiennent. Un résultat compris entre 81 et 100 indique qu’un pays fournit des informations approfondies dans ces documents budgétaires, un résultat entre 61 et 80 indique des informations significatives, entre 41 et 60 indique quelques informations, entre 21et 40 indique des informations minimales, et de zéro à 20 indique peu ou pas d’informations</w:t>
      </w:r>
    </w:p>
    <w:p w:rsidR="00E005CF" w:rsidRDefault="00E005CF" w:rsidP="00E005C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71"/>
        <w:ind w:right="-20"/>
        <w:rPr>
          <w:b/>
          <w:bCs/>
          <w:color w:val="000000"/>
        </w:rPr>
      </w:pPr>
    </w:p>
    <w:p w:rsidR="00E005CF" w:rsidRPr="00681501" w:rsidRDefault="00E005CF" w:rsidP="00E005C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71"/>
        <w:ind w:right="-20"/>
        <w:rPr>
          <w:b/>
          <w:bCs/>
          <w:color w:val="000000"/>
        </w:rPr>
        <w:sectPr w:rsidR="00E005CF" w:rsidRPr="00681501" w:rsidSect="00CC2A2B">
          <w:pgSz w:w="12240" w:h="16340"/>
          <w:pgMar w:top="1417" w:right="1417" w:bottom="1417" w:left="1417" w:header="720" w:footer="720" w:gutter="0"/>
          <w:cols w:space="720"/>
          <w:noEndnote/>
          <w:docGrid w:linePitch="326"/>
        </w:sectPr>
      </w:pPr>
      <w:r>
        <w:rPr>
          <w:b/>
          <w:bCs/>
          <w:color w:val="000000"/>
        </w:rPr>
        <w:t>Source : www.</w:t>
      </w:r>
      <w:r w:rsidRPr="009C5C9A">
        <w:rPr>
          <w:i/>
          <w:iCs/>
        </w:rPr>
        <w:t xml:space="preserve"> </w:t>
      </w:r>
      <w:hyperlink r:id="rId14" w:history="1">
        <w:r w:rsidRPr="00F15ADB">
          <w:rPr>
            <w:rStyle w:val="Lienhypertexte"/>
            <w:i/>
            <w:iCs/>
          </w:rPr>
          <w:t>http://www.openbudgetindex.org</w:t>
        </w:r>
      </w:hyperlink>
    </w:p>
    <w:p w:rsidR="00E005CF" w:rsidRPr="00286467" w:rsidRDefault="00E005CF" w:rsidP="00E005CF">
      <w:pPr>
        <w:autoSpaceDE w:val="0"/>
        <w:autoSpaceDN w:val="0"/>
        <w:adjustRightInd w:val="0"/>
        <w:jc w:val="both"/>
        <w:rPr>
          <w:b/>
          <w:bCs/>
          <w:lang w:eastAsia="en-GB"/>
        </w:rPr>
      </w:pPr>
      <w:r>
        <w:rPr>
          <w:b/>
          <w:bCs/>
          <w:lang w:eastAsia="en-GB"/>
        </w:rPr>
        <w:lastRenderedPageBreak/>
        <w:t xml:space="preserve">Références </w:t>
      </w:r>
    </w:p>
    <w:p w:rsidR="00E005CF" w:rsidRDefault="00E005CF" w:rsidP="00E005CF">
      <w:pPr>
        <w:autoSpaceDE w:val="0"/>
        <w:autoSpaceDN w:val="0"/>
        <w:adjustRightInd w:val="0"/>
        <w:jc w:val="both"/>
        <w:rPr>
          <w:bCs/>
          <w:lang w:eastAsia="en-GB"/>
        </w:rPr>
      </w:pPr>
    </w:p>
    <w:p w:rsidR="00E005CF" w:rsidRPr="00CB288D" w:rsidRDefault="00E005CF" w:rsidP="00E005CF">
      <w:pPr>
        <w:autoSpaceDE w:val="0"/>
        <w:autoSpaceDN w:val="0"/>
        <w:adjustRightInd w:val="0"/>
        <w:jc w:val="both"/>
        <w:rPr>
          <w:b/>
          <w:bCs/>
          <w:i/>
          <w:lang w:eastAsia="en-GB"/>
        </w:rPr>
      </w:pPr>
      <w:r w:rsidRPr="00CB288D">
        <w:rPr>
          <w:b/>
          <w:bCs/>
          <w:i/>
          <w:lang w:eastAsia="en-GB"/>
        </w:rPr>
        <w:t>Sites internet utiles</w:t>
      </w:r>
    </w:p>
    <w:p w:rsidR="00E005CF" w:rsidRDefault="00E005CF" w:rsidP="00E005CF">
      <w:pPr>
        <w:autoSpaceDE w:val="0"/>
        <w:autoSpaceDN w:val="0"/>
        <w:adjustRightInd w:val="0"/>
        <w:jc w:val="both"/>
        <w:rPr>
          <w:bCs/>
          <w:lang w:eastAsia="en-GB"/>
        </w:rPr>
      </w:pPr>
    </w:p>
    <w:p w:rsidR="00E005CF" w:rsidRDefault="00E005CF" w:rsidP="00E005CF">
      <w:pPr>
        <w:autoSpaceDE w:val="0"/>
        <w:autoSpaceDN w:val="0"/>
        <w:adjustRightInd w:val="0"/>
        <w:jc w:val="both"/>
      </w:pPr>
      <w:r>
        <w:t xml:space="preserve">Banque Mondiale, </w:t>
      </w:r>
      <w:hyperlink r:id="rId15" w:history="1">
        <w:r w:rsidRPr="004C1FFF">
          <w:rPr>
            <w:rStyle w:val="Lienhypertexte"/>
          </w:rPr>
          <w:t>http://www.worldbank.org</w:t>
        </w:r>
      </w:hyperlink>
    </w:p>
    <w:p w:rsidR="00E005CF" w:rsidRPr="00CB288D" w:rsidRDefault="00E005CF" w:rsidP="00E005CF">
      <w:pPr>
        <w:autoSpaceDE w:val="0"/>
        <w:autoSpaceDN w:val="0"/>
        <w:adjustRightInd w:val="0"/>
        <w:jc w:val="both"/>
        <w:rPr>
          <w:lang w:val="en-US"/>
        </w:rPr>
      </w:pPr>
      <w:r w:rsidRPr="00CB288D">
        <w:rPr>
          <w:lang w:val="en-US"/>
        </w:rPr>
        <w:t xml:space="preserve">FMI, </w:t>
      </w:r>
      <w:hyperlink r:id="rId16" w:history="1">
        <w:r w:rsidRPr="00CB288D">
          <w:rPr>
            <w:rStyle w:val="Lienhypertexte"/>
            <w:lang w:val="en-US"/>
          </w:rPr>
          <w:t>http://www.imf.org</w:t>
        </w:r>
      </w:hyperlink>
    </w:p>
    <w:p w:rsidR="00E005CF" w:rsidRPr="00CB288D" w:rsidRDefault="00E005CF" w:rsidP="00E005CF">
      <w:pPr>
        <w:autoSpaceDE w:val="0"/>
        <w:autoSpaceDN w:val="0"/>
        <w:adjustRightInd w:val="0"/>
        <w:jc w:val="both"/>
        <w:rPr>
          <w:lang w:val="en-US"/>
        </w:rPr>
      </w:pPr>
      <w:r w:rsidRPr="00CB288D">
        <w:rPr>
          <w:i/>
          <w:lang w:val="en-US"/>
        </w:rPr>
        <w:t xml:space="preserve">International Budget Partnership </w:t>
      </w:r>
      <w:hyperlink r:id="rId17" w:history="1">
        <w:r w:rsidRPr="00CB288D">
          <w:rPr>
            <w:rStyle w:val="Lienhypertexte"/>
            <w:i/>
            <w:iCs/>
            <w:lang w:val="en-US"/>
          </w:rPr>
          <w:t>http://www.openbudgetindex.org</w:t>
        </w:r>
      </w:hyperlink>
    </w:p>
    <w:p w:rsidR="00E005CF" w:rsidRPr="00CB288D" w:rsidRDefault="00E005CF" w:rsidP="00E005CF">
      <w:pPr>
        <w:autoSpaceDE w:val="0"/>
        <w:autoSpaceDN w:val="0"/>
        <w:adjustRightInd w:val="0"/>
        <w:jc w:val="both"/>
        <w:rPr>
          <w:bCs/>
          <w:lang w:val="en-US" w:eastAsia="en-GB"/>
        </w:rPr>
      </w:pPr>
      <w:r w:rsidRPr="00CB288D">
        <w:rPr>
          <w:bCs/>
          <w:lang w:val="en-US" w:eastAsia="en-GB"/>
        </w:rPr>
        <w:t>INTOSAI, http://www.intosai.org</w:t>
      </w:r>
    </w:p>
    <w:p w:rsidR="00E005CF" w:rsidRPr="00DF3B79" w:rsidRDefault="00E005CF" w:rsidP="00E005CF">
      <w:pPr>
        <w:autoSpaceDE w:val="0"/>
        <w:autoSpaceDN w:val="0"/>
        <w:adjustRightInd w:val="0"/>
        <w:jc w:val="both"/>
        <w:rPr>
          <w:bCs/>
          <w:lang w:val="en-US" w:eastAsia="en-GB"/>
        </w:rPr>
      </w:pPr>
      <w:r w:rsidRPr="00DF3B79">
        <w:rPr>
          <w:bCs/>
          <w:lang w:val="en-US" w:eastAsia="en-GB"/>
        </w:rPr>
        <w:t xml:space="preserve">ITIE, </w:t>
      </w:r>
      <w:r w:rsidRPr="00A2098E">
        <w:rPr>
          <w:rFonts w:eastAsiaTheme="minorHAnsi"/>
          <w:color w:val="000000"/>
          <w:lang w:val="en-US" w:eastAsia="en-US"/>
        </w:rPr>
        <w:t>http://</w:t>
      </w:r>
      <w:r w:rsidRPr="00A2098E">
        <w:rPr>
          <w:rFonts w:eastAsiaTheme="minorHAnsi"/>
          <w:i/>
          <w:iCs/>
          <w:color w:val="0000FF"/>
          <w:lang w:val="en-US" w:eastAsia="en-US"/>
        </w:rPr>
        <w:t>www.eitransparency.org</w:t>
      </w:r>
    </w:p>
    <w:p w:rsidR="00E005CF" w:rsidRPr="00CB288D" w:rsidRDefault="00E005CF" w:rsidP="00E005CF">
      <w:pPr>
        <w:autoSpaceDE w:val="0"/>
        <w:autoSpaceDN w:val="0"/>
        <w:adjustRightInd w:val="0"/>
        <w:jc w:val="both"/>
        <w:rPr>
          <w:lang w:val="en-US"/>
        </w:rPr>
      </w:pPr>
      <w:r w:rsidRPr="00CB288D">
        <w:rPr>
          <w:lang w:val="en-US"/>
        </w:rPr>
        <w:t xml:space="preserve">OCDE, </w:t>
      </w:r>
      <w:hyperlink r:id="rId18" w:history="1">
        <w:r w:rsidRPr="00CB288D">
          <w:rPr>
            <w:rStyle w:val="Lienhypertexte"/>
            <w:lang w:val="en-US"/>
          </w:rPr>
          <w:t>http://www/ocde.org</w:t>
        </w:r>
      </w:hyperlink>
    </w:p>
    <w:p w:rsidR="00E005CF" w:rsidRPr="00CB288D" w:rsidRDefault="00E005CF" w:rsidP="00E005CF">
      <w:pPr>
        <w:autoSpaceDE w:val="0"/>
        <w:autoSpaceDN w:val="0"/>
        <w:adjustRightInd w:val="0"/>
        <w:jc w:val="both"/>
        <w:rPr>
          <w:bCs/>
          <w:lang w:val="en-US" w:eastAsia="en-GB"/>
        </w:rPr>
      </w:pPr>
      <w:r w:rsidRPr="00CB288D">
        <w:rPr>
          <w:bCs/>
          <w:lang w:val="en-US" w:eastAsia="en-GB"/>
        </w:rPr>
        <w:t xml:space="preserve">PEFA, </w:t>
      </w:r>
      <w:hyperlink r:id="rId19" w:history="1">
        <w:r w:rsidRPr="00CB288D">
          <w:rPr>
            <w:rStyle w:val="Lienhypertexte"/>
            <w:bCs/>
            <w:lang w:val="en-US" w:eastAsia="en-GB"/>
          </w:rPr>
          <w:t>http://www.pefa.org</w:t>
        </w:r>
      </w:hyperlink>
    </w:p>
    <w:p w:rsidR="00E005CF" w:rsidRPr="00CB288D" w:rsidRDefault="00E005CF" w:rsidP="00E005CF">
      <w:pPr>
        <w:autoSpaceDE w:val="0"/>
        <w:autoSpaceDN w:val="0"/>
        <w:adjustRightInd w:val="0"/>
        <w:jc w:val="both"/>
        <w:rPr>
          <w:bCs/>
          <w:lang w:val="en-US" w:eastAsia="en-GB"/>
        </w:rPr>
      </w:pPr>
    </w:p>
    <w:p w:rsidR="00E005CF" w:rsidRPr="00CB288D" w:rsidRDefault="00E005CF" w:rsidP="00E005CF">
      <w:pPr>
        <w:autoSpaceDE w:val="0"/>
        <w:autoSpaceDN w:val="0"/>
        <w:adjustRightInd w:val="0"/>
        <w:jc w:val="both"/>
        <w:rPr>
          <w:b/>
          <w:bCs/>
          <w:i/>
          <w:lang w:val="en-US" w:eastAsia="en-GB"/>
        </w:rPr>
      </w:pPr>
      <w:r w:rsidRPr="00CB288D">
        <w:rPr>
          <w:b/>
          <w:bCs/>
          <w:i/>
          <w:lang w:val="en-US" w:eastAsia="en-GB"/>
        </w:rPr>
        <w:t>Bibliographie</w:t>
      </w:r>
    </w:p>
    <w:p w:rsidR="00E005CF" w:rsidRPr="00CB288D" w:rsidRDefault="00E005CF" w:rsidP="00E005CF">
      <w:pPr>
        <w:autoSpaceDE w:val="0"/>
        <w:autoSpaceDN w:val="0"/>
        <w:adjustRightInd w:val="0"/>
        <w:jc w:val="both"/>
        <w:rPr>
          <w:bCs/>
          <w:lang w:val="en-US" w:eastAsia="en-GB"/>
        </w:rPr>
      </w:pPr>
    </w:p>
    <w:p w:rsidR="00E005CF" w:rsidRPr="00217FEC" w:rsidRDefault="00E005CF" w:rsidP="00E005CF">
      <w:pPr>
        <w:pStyle w:val="CM1"/>
        <w:ind w:left="170" w:hanging="170"/>
        <w:jc w:val="both"/>
        <w:rPr>
          <w:rFonts w:ascii="Times New Roman" w:hAnsi="Times New Roman"/>
          <w:color w:val="000000"/>
          <w:sz w:val="22"/>
          <w:szCs w:val="22"/>
          <w:lang w:val="it-IT"/>
        </w:rPr>
      </w:pPr>
      <w:r w:rsidRPr="00217FEC">
        <w:rPr>
          <w:rFonts w:ascii="Times New Roman" w:hAnsi="Times New Roman"/>
          <w:color w:val="000000"/>
          <w:sz w:val="22"/>
          <w:szCs w:val="22"/>
          <w:lang w:val="it-IT"/>
        </w:rPr>
        <w:t>Al. Kacou &amp; L. J. Grégoire, Les dimensions centrales de la gouvernance et les priorités pour l’atteinte des Objectifs du Millénaire pour le Développement, dans l’Afrique et les défis de la gouvernance, ouvrage du PNUD (2008).</w:t>
      </w:r>
    </w:p>
    <w:p w:rsidR="00E005CF" w:rsidRPr="00217FEC" w:rsidRDefault="00E005CF" w:rsidP="00E005CF">
      <w:pPr>
        <w:pStyle w:val="CM1"/>
        <w:ind w:left="170" w:hanging="170"/>
        <w:jc w:val="both"/>
        <w:rPr>
          <w:rFonts w:ascii="Times New Roman" w:hAnsi="Times New Roman"/>
          <w:color w:val="000000"/>
          <w:sz w:val="22"/>
          <w:szCs w:val="22"/>
          <w:lang w:val="it-IT"/>
        </w:rPr>
      </w:pPr>
      <w:r w:rsidRPr="00217FEC">
        <w:rPr>
          <w:rFonts w:ascii="Times New Roman" w:hAnsi="Times New Roman"/>
          <w:color w:val="000000"/>
          <w:sz w:val="22"/>
          <w:szCs w:val="22"/>
          <w:lang w:val="it-IT"/>
        </w:rPr>
        <w:t xml:space="preserve">FMI, (2007) Manuel </w:t>
      </w:r>
    </w:p>
    <w:p w:rsidR="00E005CF" w:rsidRPr="00217FEC" w:rsidRDefault="00E005CF" w:rsidP="00E005CF">
      <w:pPr>
        <w:pStyle w:val="CM1"/>
        <w:ind w:left="170" w:hanging="170"/>
        <w:jc w:val="both"/>
        <w:rPr>
          <w:rFonts w:ascii="Times New Roman" w:hAnsi="Times New Roman"/>
          <w:color w:val="000000"/>
          <w:sz w:val="22"/>
          <w:szCs w:val="22"/>
          <w:lang w:val="it-IT"/>
        </w:rPr>
      </w:pPr>
      <w:r w:rsidRPr="00217FEC">
        <w:rPr>
          <w:rFonts w:ascii="Times New Roman" w:hAnsi="Times New Roman"/>
          <w:color w:val="000000"/>
          <w:sz w:val="22"/>
          <w:szCs w:val="22"/>
          <w:lang w:val="it-IT"/>
        </w:rPr>
        <w:t>FMI (2007). Code de bonnes pratiques en matière de transparence des finances publiques</w:t>
      </w:r>
    </w:p>
    <w:p w:rsidR="00E005CF" w:rsidRPr="00217FEC" w:rsidRDefault="00E005CF" w:rsidP="00E005CF">
      <w:pPr>
        <w:pStyle w:val="CM1"/>
        <w:ind w:left="170" w:hanging="170"/>
        <w:jc w:val="both"/>
        <w:rPr>
          <w:rFonts w:ascii="Times New Roman" w:hAnsi="Times New Roman"/>
          <w:color w:val="000000"/>
          <w:sz w:val="22"/>
          <w:szCs w:val="22"/>
          <w:lang w:val="it-IT"/>
        </w:rPr>
      </w:pPr>
      <w:r w:rsidRPr="00217FEC">
        <w:rPr>
          <w:rFonts w:ascii="Times New Roman" w:hAnsi="Times New Roman"/>
          <w:color w:val="000000"/>
          <w:sz w:val="22"/>
          <w:szCs w:val="22"/>
          <w:lang w:val="it-IT"/>
        </w:rPr>
        <w:t>FMI (2007)  Manuel sur la transparence des finances publiques.</w:t>
      </w:r>
    </w:p>
    <w:p w:rsidR="00E005CF" w:rsidRPr="00217FEC" w:rsidRDefault="00E005CF" w:rsidP="00E005CF">
      <w:pPr>
        <w:pStyle w:val="CM1"/>
        <w:ind w:left="170" w:hanging="170"/>
        <w:jc w:val="both"/>
        <w:rPr>
          <w:rFonts w:ascii="Times New Roman" w:hAnsi="Times New Roman"/>
          <w:color w:val="000000"/>
          <w:sz w:val="22"/>
          <w:szCs w:val="22"/>
          <w:lang w:val="it-IT"/>
        </w:rPr>
      </w:pPr>
      <w:r w:rsidRPr="00217FEC">
        <w:rPr>
          <w:rFonts w:ascii="Times New Roman" w:hAnsi="Times New Roman"/>
          <w:color w:val="000000"/>
          <w:sz w:val="22"/>
          <w:szCs w:val="22"/>
          <w:lang w:val="it-IT"/>
        </w:rPr>
        <w:t>FMI (2007). Guide pour la transparence des ressources naturelles</w:t>
      </w:r>
    </w:p>
    <w:p w:rsidR="00E005CF" w:rsidRPr="00217FEC" w:rsidRDefault="00E005CF" w:rsidP="00E005CF">
      <w:pPr>
        <w:pStyle w:val="CM1"/>
        <w:ind w:left="170" w:hanging="170"/>
        <w:jc w:val="both"/>
        <w:rPr>
          <w:rFonts w:ascii="Times New Roman" w:hAnsi="Times New Roman"/>
          <w:color w:val="000000"/>
          <w:sz w:val="22"/>
          <w:szCs w:val="22"/>
          <w:lang w:val="it-IT"/>
        </w:rPr>
      </w:pPr>
      <w:r w:rsidRPr="00217FEC">
        <w:rPr>
          <w:rFonts w:ascii="Times New Roman" w:hAnsi="Times New Roman"/>
          <w:color w:val="000000"/>
          <w:sz w:val="22"/>
          <w:szCs w:val="22"/>
          <w:lang w:val="it-IT"/>
        </w:rPr>
        <w:t>FMI (2001). Statistiques des finances publiques</w:t>
      </w:r>
    </w:p>
    <w:p w:rsidR="00E005CF" w:rsidRPr="00217FEC" w:rsidRDefault="00E005CF" w:rsidP="00E005CF">
      <w:pPr>
        <w:pStyle w:val="CM1"/>
        <w:ind w:left="170" w:hanging="170"/>
        <w:jc w:val="both"/>
        <w:rPr>
          <w:rFonts w:ascii="Times New Roman" w:hAnsi="Times New Roman"/>
          <w:color w:val="000000"/>
          <w:sz w:val="22"/>
          <w:szCs w:val="22"/>
          <w:lang w:val="it-IT"/>
        </w:rPr>
      </w:pPr>
      <w:r w:rsidRPr="00217FEC">
        <w:rPr>
          <w:rFonts w:ascii="Times New Roman" w:hAnsi="Times New Roman"/>
          <w:color w:val="000000"/>
          <w:sz w:val="22"/>
          <w:szCs w:val="22"/>
          <w:lang w:val="it-IT"/>
        </w:rPr>
        <w:t>G. Kopits &amp; J. Graig, 1998, Transparency in Government Operations, IMF Occasional Paper N° 158</w:t>
      </w:r>
    </w:p>
    <w:p w:rsidR="00E005CF" w:rsidRPr="00217FEC" w:rsidRDefault="00E005CF" w:rsidP="00E005CF">
      <w:pPr>
        <w:pStyle w:val="CM1"/>
        <w:ind w:left="170" w:hanging="170"/>
        <w:jc w:val="both"/>
        <w:rPr>
          <w:rFonts w:ascii="Times New Roman" w:hAnsi="Times New Roman"/>
          <w:color w:val="000000"/>
          <w:sz w:val="22"/>
          <w:szCs w:val="22"/>
          <w:lang w:val="it-IT"/>
        </w:rPr>
      </w:pPr>
      <w:r w:rsidRPr="00217FEC">
        <w:rPr>
          <w:rFonts w:ascii="Times New Roman" w:hAnsi="Times New Roman"/>
          <w:color w:val="000000"/>
          <w:sz w:val="22"/>
          <w:szCs w:val="22"/>
          <w:lang w:val="it-IT"/>
        </w:rPr>
        <w:t>GERFIP (2009). La bonne gouvernance des finances publiques dans le monde. Actes de la 4ème université de printemps des finances publiques</w:t>
      </w:r>
    </w:p>
    <w:p w:rsidR="00E005CF" w:rsidRPr="00217FEC" w:rsidRDefault="00E005CF" w:rsidP="00E005CF">
      <w:pPr>
        <w:pStyle w:val="CM1"/>
        <w:ind w:left="170" w:hanging="170"/>
        <w:jc w:val="both"/>
        <w:rPr>
          <w:rFonts w:ascii="Times New Roman" w:hAnsi="Times New Roman"/>
          <w:color w:val="000000"/>
          <w:sz w:val="22"/>
          <w:szCs w:val="22"/>
          <w:lang w:val="it-IT"/>
        </w:rPr>
      </w:pPr>
      <w:r w:rsidRPr="00217FEC">
        <w:rPr>
          <w:rFonts w:ascii="Times New Roman" w:hAnsi="Times New Roman"/>
          <w:color w:val="000000"/>
          <w:sz w:val="22"/>
          <w:szCs w:val="22"/>
          <w:lang w:val="it-IT"/>
        </w:rPr>
        <w:t>International Budget Partenership « Ouvrir les budgets, changez les vies, enquête sur le budget ouvert 2008 ».</w:t>
      </w:r>
    </w:p>
    <w:p w:rsidR="00E005CF" w:rsidRPr="00217FEC" w:rsidRDefault="00E005CF" w:rsidP="00E005CF">
      <w:pPr>
        <w:pStyle w:val="CM1"/>
        <w:ind w:left="170" w:hanging="170"/>
        <w:jc w:val="both"/>
        <w:rPr>
          <w:rFonts w:ascii="Times New Roman" w:hAnsi="Times New Roman"/>
          <w:color w:val="000000"/>
          <w:sz w:val="22"/>
          <w:szCs w:val="22"/>
          <w:lang w:val="it-IT"/>
        </w:rPr>
      </w:pPr>
      <w:r w:rsidRPr="00217FEC">
        <w:rPr>
          <w:rFonts w:ascii="Times New Roman" w:hAnsi="Times New Roman"/>
          <w:color w:val="000000"/>
          <w:sz w:val="22"/>
          <w:szCs w:val="22"/>
          <w:lang w:val="it-IT"/>
        </w:rPr>
        <w:t>OCDE (2001). Transparence budgétaire – les meilleures pratiques de l’OCDE » Revue de l’OCDE sur la gestion budgétaire, Vol. 1, n°3.</w:t>
      </w:r>
    </w:p>
    <w:p w:rsidR="00E005CF" w:rsidRPr="00217FEC" w:rsidRDefault="00E005CF" w:rsidP="00E005CF">
      <w:pPr>
        <w:pStyle w:val="CM1"/>
        <w:ind w:left="170" w:hanging="170"/>
        <w:jc w:val="both"/>
        <w:rPr>
          <w:rFonts w:ascii="Times New Roman" w:hAnsi="Times New Roman"/>
          <w:color w:val="000000"/>
          <w:sz w:val="22"/>
          <w:szCs w:val="22"/>
          <w:lang w:val="it-IT"/>
        </w:rPr>
      </w:pPr>
      <w:r w:rsidRPr="00217FEC">
        <w:rPr>
          <w:rFonts w:ascii="Times New Roman" w:hAnsi="Times New Roman"/>
          <w:color w:val="000000"/>
          <w:sz w:val="22"/>
          <w:szCs w:val="22"/>
          <w:lang w:val="it-IT"/>
        </w:rPr>
        <w:t xml:space="preserve">PEFA (2005). </w:t>
      </w:r>
      <w:r w:rsidRPr="00352E0F">
        <w:rPr>
          <w:rFonts w:ascii="Times New Roman" w:hAnsi="Times New Roman"/>
          <w:color w:val="000000"/>
          <w:sz w:val="22"/>
          <w:szCs w:val="22"/>
          <w:lang w:val="it-IT"/>
        </w:rPr>
        <w:t xml:space="preserve">Cadre de mesure de la performance </w:t>
      </w:r>
      <w:r w:rsidRPr="00217FEC">
        <w:rPr>
          <w:rFonts w:ascii="Times New Roman" w:hAnsi="Times New Roman"/>
          <w:color w:val="000000"/>
          <w:sz w:val="22"/>
          <w:szCs w:val="22"/>
          <w:lang w:val="it-IT"/>
        </w:rPr>
        <w:t xml:space="preserve"> de la gestion des finances publiques</w:t>
      </w:r>
    </w:p>
    <w:p w:rsidR="00E005CF" w:rsidRPr="00217FEC" w:rsidRDefault="00E005CF" w:rsidP="00E005CF">
      <w:pPr>
        <w:pStyle w:val="CM1"/>
        <w:ind w:left="170" w:hanging="170"/>
        <w:jc w:val="both"/>
        <w:rPr>
          <w:rFonts w:ascii="Times New Roman" w:hAnsi="Times New Roman"/>
          <w:color w:val="000000"/>
          <w:sz w:val="22"/>
          <w:szCs w:val="22"/>
          <w:lang w:val="it-IT"/>
        </w:rPr>
      </w:pPr>
      <w:r w:rsidRPr="00217FEC">
        <w:rPr>
          <w:rFonts w:ascii="Times New Roman" w:hAnsi="Times New Roman"/>
          <w:color w:val="000000"/>
          <w:sz w:val="22"/>
          <w:szCs w:val="22"/>
          <w:lang w:val="it-IT"/>
        </w:rPr>
        <w:t>PNUD (2008). L’Afrique et les défis de la gouvernance</w:t>
      </w:r>
    </w:p>
    <w:p w:rsidR="00D779AC" w:rsidRPr="00E005CF" w:rsidRDefault="00D779AC">
      <w:pPr>
        <w:rPr>
          <w:lang w:val="it-IT"/>
        </w:rPr>
      </w:pPr>
    </w:p>
    <w:sectPr w:rsidR="00D779AC" w:rsidRPr="00E005CF" w:rsidSect="00D779A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51E" w:rsidRDefault="0011651E" w:rsidP="00E005CF">
      <w:r>
        <w:separator/>
      </w:r>
    </w:p>
  </w:endnote>
  <w:endnote w:type="continuationSeparator" w:id="0">
    <w:p w:rsidR="0011651E" w:rsidRDefault="0011651E" w:rsidP="00E00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ydi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EJGEP I+ Helvetica Neue">
    <w:altName w:val="MS Gothic"/>
    <w:panose1 w:val="00000000000000000000"/>
    <w:charset w:val="80"/>
    <w:family w:val="swiss"/>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Times New Roman Gras">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Times-Roman">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51E" w:rsidRDefault="0011651E" w:rsidP="00E005CF">
      <w:r>
        <w:separator/>
      </w:r>
    </w:p>
  </w:footnote>
  <w:footnote w:type="continuationSeparator" w:id="0">
    <w:p w:rsidR="0011651E" w:rsidRDefault="0011651E" w:rsidP="00E005CF">
      <w:r>
        <w:continuationSeparator/>
      </w:r>
    </w:p>
  </w:footnote>
  <w:footnote w:id="1">
    <w:p w:rsidR="00E005CF" w:rsidRDefault="00E005CF" w:rsidP="00E005CF">
      <w:pPr>
        <w:pStyle w:val="Notedebasdepage"/>
      </w:pPr>
      <w:r>
        <w:rPr>
          <w:rStyle w:val="Appelnotedebasdep"/>
        </w:rPr>
        <w:footnoteRef/>
      </w:r>
      <w:r>
        <w:t xml:space="preserve"> Cf. Al. Kacou &amp; L. J. Grégoire, </w:t>
      </w:r>
      <w:r w:rsidRPr="005C6EA8">
        <w:rPr>
          <w:i/>
        </w:rPr>
        <w:t>Les dimensions centrales de la gouvernance et les priorités pour l’atteinte des Objectifs du Millénaire pour le Développement</w:t>
      </w:r>
      <w:r>
        <w:t>, dans l’Afrique et les défis de la gouvernance, ouvrage du PNUD (2008).</w:t>
      </w:r>
    </w:p>
  </w:footnote>
  <w:footnote w:id="2">
    <w:p w:rsidR="00E005CF" w:rsidRPr="005C6EA8" w:rsidRDefault="00E005CF" w:rsidP="00E005CF">
      <w:pPr>
        <w:pStyle w:val="Notedebasdepage"/>
        <w:rPr>
          <w:i/>
          <w:lang w:val="en-US"/>
        </w:rPr>
      </w:pPr>
      <w:r>
        <w:rPr>
          <w:rStyle w:val="Appelnotedebasdep"/>
        </w:rPr>
        <w:footnoteRef/>
      </w:r>
      <w:r w:rsidRPr="005C6EA8">
        <w:rPr>
          <w:lang w:val="en-US"/>
        </w:rPr>
        <w:t xml:space="preserve"> G. Kopits &amp; J. Graig, 1998, </w:t>
      </w:r>
      <w:r w:rsidRPr="005C6EA8">
        <w:rPr>
          <w:i/>
          <w:lang w:val="en-US"/>
        </w:rPr>
        <w:t>Transparency in Government O</w:t>
      </w:r>
      <w:r>
        <w:rPr>
          <w:i/>
          <w:lang w:val="en-US"/>
        </w:rPr>
        <w:t>pe</w:t>
      </w:r>
      <w:r w:rsidRPr="005C6EA8">
        <w:rPr>
          <w:i/>
          <w:lang w:val="en-US"/>
        </w:rPr>
        <w:t>rations</w:t>
      </w:r>
      <w:r>
        <w:rPr>
          <w:lang w:val="en-US"/>
        </w:rPr>
        <w:t>, IMF Occasional Paper N° 158</w:t>
      </w:r>
    </w:p>
  </w:footnote>
  <w:footnote w:id="3">
    <w:p w:rsidR="00E005CF" w:rsidRDefault="00E005CF" w:rsidP="00E005CF">
      <w:pPr>
        <w:pStyle w:val="Notedebasdepage"/>
      </w:pPr>
      <w:r>
        <w:rPr>
          <w:rStyle w:val="Appelnotedebasdep"/>
        </w:rPr>
        <w:footnoteRef/>
      </w:r>
      <w:r>
        <w:t xml:space="preserve"> Mexique (1994-1995), crise asiatique (Indonésie, Corée du Sud, Malaisie, Thaïlande, Philippines), 1998, Crise russe, Crise brésilienne, 1998, Crise turque (2000), Crise argentine (2001).</w:t>
      </w:r>
    </w:p>
  </w:footnote>
  <w:footnote w:id="4">
    <w:p w:rsidR="00E005CF" w:rsidRPr="004B5CB9" w:rsidRDefault="00E005CF" w:rsidP="00E005CF">
      <w:pPr>
        <w:pStyle w:val="Notedebasdepage"/>
        <w:rPr>
          <w:lang w:val="en-US"/>
        </w:rPr>
      </w:pPr>
      <w:r>
        <w:rPr>
          <w:rStyle w:val="Appelnotedebasdep"/>
        </w:rPr>
        <w:footnoteRef/>
      </w:r>
      <w:r w:rsidRPr="004B5CB9">
        <w:rPr>
          <w:lang w:val="en-US"/>
        </w:rPr>
        <w:t xml:space="preserve"> </w:t>
      </w:r>
      <w:r w:rsidRPr="004B5CB9">
        <w:rPr>
          <w:i/>
          <w:lang w:val="en-US"/>
        </w:rPr>
        <w:t xml:space="preserve">Cf. </w:t>
      </w:r>
      <w:r w:rsidRPr="004B5CB9">
        <w:rPr>
          <w:rStyle w:val="CitationHTML"/>
          <w:color w:val="000000"/>
          <w:lang w:val="en-US"/>
        </w:rPr>
        <w:t>www.imf.org/external/np/fad/trans/fre/manualf.pdf</w:t>
      </w:r>
    </w:p>
  </w:footnote>
  <w:footnote w:id="5">
    <w:p w:rsidR="00E005CF" w:rsidRPr="004B5CB9" w:rsidRDefault="00E005CF" w:rsidP="00E005CF">
      <w:pPr>
        <w:pStyle w:val="Notedebasdepage"/>
        <w:rPr>
          <w:rStyle w:val="CitationHTML"/>
          <w:color w:val="000000"/>
          <w:lang w:val="en-US"/>
        </w:rPr>
      </w:pPr>
      <w:r>
        <w:rPr>
          <w:rStyle w:val="Appelnotedebasdep"/>
        </w:rPr>
        <w:footnoteRef/>
      </w:r>
      <w:r w:rsidRPr="004B5CB9">
        <w:rPr>
          <w:lang w:val="en-US"/>
        </w:rPr>
        <w:t xml:space="preserve"> Cf. </w:t>
      </w:r>
      <w:r w:rsidRPr="004B5CB9">
        <w:rPr>
          <w:rStyle w:val="CitationHTML"/>
          <w:color w:val="000000"/>
          <w:lang w:val="en-US"/>
        </w:rPr>
        <w:t>www.imf.org/external/np/fad/trans/fre/guidef.pdf</w:t>
      </w:r>
    </w:p>
  </w:footnote>
  <w:footnote w:id="6">
    <w:p w:rsidR="00E005CF" w:rsidRDefault="00E005CF" w:rsidP="00E005CF">
      <w:pPr>
        <w:pStyle w:val="Notedebasdepage"/>
      </w:pPr>
      <w:r>
        <w:rPr>
          <w:rStyle w:val="Appelnotedebasdep"/>
        </w:rPr>
        <w:footnoteRef/>
      </w:r>
      <w:r>
        <w:t xml:space="preserve"> Voir présentation de Catherine LAURENT, Senior Public Sector  Management Specialist, Banque Mondiale, lors du IV</w:t>
      </w:r>
      <w:r w:rsidRPr="00357918">
        <w:rPr>
          <w:vertAlign w:val="superscript"/>
        </w:rPr>
        <w:t>ème</w:t>
      </w:r>
      <w:r>
        <w:t xml:space="preserve">  de l’Université de Printemps de Finances Publiques qui s’est déroulée les 16 et 17 juin 2008 à Paris, au ministère des Finances à Bercy.</w:t>
      </w:r>
    </w:p>
  </w:footnote>
  <w:footnote w:id="7">
    <w:p w:rsidR="00E005CF" w:rsidRDefault="00E005CF" w:rsidP="00E005CF">
      <w:pPr>
        <w:pStyle w:val="Notedebasdepage"/>
      </w:pPr>
      <w:r>
        <w:rPr>
          <w:rStyle w:val="Appelnotedebasdep"/>
        </w:rPr>
        <w:footnoteRef/>
      </w:r>
      <w:r>
        <w:t xml:space="preserve"> À l’image des Comités Techniques chargés du PAS.</w:t>
      </w:r>
    </w:p>
  </w:footnote>
  <w:footnote w:id="8">
    <w:p w:rsidR="00E005CF" w:rsidRPr="00560F9C" w:rsidRDefault="00E005CF" w:rsidP="00E005CF">
      <w:pPr>
        <w:pStyle w:val="Notedebasdepage"/>
        <w:rPr>
          <w:lang w:val="en-GB"/>
        </w:rPr>
      </w:pPr>
      <w:r>
        <w:rPr>
          <w:rStyle w:val="Appelnotedebasdep"/>
        </w:rPr>
        <w:footnoteRef/>
      </w:r>
      <w:r w:rsidRPr="00560F9C">
        <w:rPr>
          <w:lang w:val="en-GB"/>
        </w:rPr>
        <w:t xml:space="preserve"> Public Expenditure Review (PER)</w:t>
      </w:r>
    </w:p>
  </w:footnote>
  <w:footnote w:id="9">
    <w:p w:rsidR="00E005CF" w:rsidRPr="00560F9C" w:rsidRDefault="00E005CF" w:rsidP="00E005CF">
      <w:pPr>
        <w:pStyle w:val="Notedebasdepage"/>
        <w:rPr>
          <w:lang w:val="en-GB"/>
        </w:rPr>
      </w:pPr>
      <w:r>
        <w:rPr>
          <w:rStyle w:val="Appelnotedebasdep"/>
        </w:rPr>
        <w:footnoteRef/>
      </w:r>
      <w:r w:rsidRPr="00560F9C">
        <w:rPr>
          <w:lang w:val="en-GB"/>
        </w:rPr>
        <w:t xml:space="preserve"> </w:t>
      </w:r>
      <w:r>
        <w:rPr>
          <w:lang w:val="en-GB"/>
        </w:rPr>
        <w:t>Public Financial Tracking Survey</w:t>
      </w:r>
    </w:p>
  </w:footnote>
  <w:footnote w:id="10">
    <w:p w:rsidR="00E005CF" w:rsidRPr="00560F9C" w:rsidRDefault="00E005CF" w:rsidP="00E005CF">
      <w:pPr>
        <w:pStyle w:val="Notedebasdepage"/>
        <w:rPr>
          <w:lang w:val="en-GB"/>
        </w:rPr>
      </w:pPr>
      <w:r>
        <w:rPr>
          <w:rStyle w:val="Appelnotedebasdep"/>
        </w:rPr>
        <w:footnoteRef/>
      </w:r>
      <w:r w:rsidRPr="00560F9C">
        <w:rPr>
          <w:lang w:val="en-GB"/>
        </w:rPr>
        <w:t xml:space="preserve"> Country Financial Accountability Assessment</w:t>
      </w:r>
    </w:p>
  </w:footnote>
  <w:footnote w:id="11">
    <w:p w:rsidR="00E005CF" w:rsidRPr="00560F9C" w:rsidRDefault="00E005CF" w:rsidP="00E005CF">
      <w:pPr>
        <w:pStyle w:val="Notedebasdepage"/>
        <w:rPr>
          <w:lang w:val="en-GB"/>
        </w:rPr>
      </w:pPr>
      <w:r>
        <w:rPr>
          <w:rStyle w:val="Appelnotedebasdep"/>
        </w:rPr>
        <w:footnoteRef/>
      </w:r>
      <w:r w:rsidRPr="00560F9C">
        <w:rPr>
          <w:lang w:val="en-GB"/>
        </w:rPr>
        <w:t xml:space="preserve"> Country Procurement Assessment Review</w:t>
      </w:r>
    </w:p>
  </w:footnote>
  <w:footnote w:id="12">
    <w:p w:rsidR="00E005CF" w:rsidRPr="00583F53" w:rsidRDefault="00E005CF" w:rsidP="00E005CF">
      <w:pPr>
        <w:pStyle w:val="NormalWeb"/>
        <w:jc w:val="both"/>
        <w:rPr>
          <w:sz w:val="20"/>
          <w:szCs w:val="20"/>
        </w:rPr>
      </w:pPr>
      <w:r>
        <w:rPr>
          <w:rStyle w:val="Appelnotedebasdep"/>
        </w:rPr>
        <w:footnoteRef/>
      </w:r>
      <w:r>
        <w:t xml:space="preserve"> </w:t>
      </w:r>
      <w:r w:rsidRPr="00583F53">
        <w:rPr>
          <w:sz w:val="20"/>
          <w:szCs w:val="20"/>
        </w:rPr>
        <w:t xml:space="preserve">Ce sommet est organisé par les Nations Unies et s'est tenu du </w:t>
      </w:r>
      <w:hyperlink r:id="rId1" w:tooltip="26 août" w:history="1">
        <w:r w:rsidRPr="00583F53">
          <w:rPr>
            <w:sz w:val="20"/>
            <w:szCs w:val="20"/>
          </w:rPr>
          <w:t>26 août</w:t>
        </w:r>
      </w:hyperlink>
      <w:r w:rsidRPr="00583F53">
        <w:rPr>
          <w:sz w:val="20"/>
          <w:szCs w:val="20"/>
        </w:rPr>
        <w:t xml:space="preserve"> au </w:t>
      </w:r>
      <w:hyperlink r:id="rId2" w:tooltip="4 septembre" w:history="1">
        <w:r w:rsidRPr="00583F53">
          <w:rPr>
            <w:sz w:val="20"/>
            <w:szCs w:val="20"/>
          </w:rPr>
          <w:t>4 septembre</w:t>
        </w:r>
      </w:hyperlink>
      <w:r w:rsidRPr="00583F53">
        <w:rPr>
          <w:sz w:val="20"/>
          <w:szCs w:val="20"/>
        </w:rPr>
        <w:t xml:space="preserve"> </w:t>
      </w:r>
      <w:hyperlink r:id="rId3" w:tooltip="2002" w:history="1">
        <w:r w:rsidRPr="00583F53">
          <w:rPr>
            <w:sz w:val="20"/>
            <w:szCs w:val="20"/>
          </w:rPr>
          <w:t>2002</w:t>
        </w:r>
      </w:hyperlink>
      <w:r w:rsidRPr="00583F53">
        <w:rPr>
          <w:sz w:val="20"/>
          <w:szCs w:val="20"/>
        </w:rPr>
        <w:t xml:space="preserve">, à </w:t>
      </w:r>
      <w:hyperlink r:id="rId4" w:tooltip="Johannesbourg" w:history="1">
        <w:r w:rsidRPr="00583F53">
          <w:rPr>
            <w:sz w:val="20"/>
            <w:szCs w:val="20"/>
          </w:rPr>
          <w:t>Johannesbourg</w:t>
        </w:r>
      </w:hyperlink>
      <w:r w:rsidRPr="00583F53">
        <w:rPr>
          <w:sz w:val="20"/>
          <w:szCs w:val="20"/>
        </w:rPr>
        <w:t xml:space="preserve"> en </w:t>
      </w:r>
      <w:hyperlink r:id="rId5" w:tooltip="Afrique du Sud" w:history="1">
        <w:r w:rsidRPr="00583F53">
          <w:rPr>
            <w:sz w:val="20"/>
            <w:szCs w:val="20"/>
          </w:rPr>
          <w:t>Afrique du Sud</w:t>
        </w:r>
      </w:hyperlink>
      <w:r w:rsidRPr="00583F53">
        <w:rPr>
          <w:sz w:val="20"/>
          <w:szCs w:val="20"/>
        </w:rPr>
        <w:t xml:space="preserve">.. Il  porte également le nom de « Sommet de </w:t>
      </w:r>
      <w:smartTag w:uri="urn:schemas-microsoft-com:office:smarttags" w:element="PersonName">
        <w:smartTagPr>
          <w:attr w:name="ProductID" w:val="la Terre"/>
        </w:smartTagPr>
        <w:r w:rsidRPr="00583F53">
          <w:rPr>
            <w:sz w:val="20"/>
            <w:szCs w:val="20"/>
          </w:rPr>
          <w:t>la Terre</w:t>
        </w:r>
      </w:smartTag>
      <w:r w:rsidRPr="00583F53">
        <w:rPr>
          <w:sz w:val="20"/>
          <w:szCs w:val="20"/>
        </w:rPr>
        <w:t xml:space="preserve"> » ou de « Sommet mondial du </w:t>
      </w:r>
      <w:hyperlink r:id="rId6" w:tooltip="Développement durable" w:history="1">
        <w:r w:rsidRPr="00583F53">
          <w:rPr>
            <w:sz w:val="20"/>
            <w:szCs w:val="20"/>
          </w:rPr>
          <w:t>développement durable</w:t>
        </w:r>
      </w:hyperlink>
      <w:r w:rsidRPr="00583F53">
        <w:rPr>
          <w:sz w:val="20"/>
          <w:szCs w:val="20"/>
        </w:rPr>
        <w:t> ». Il a réuni plus de cent chefs d'État et de Gouvernements et environ 60 000 personnes, parmi lesquelles des délégués, des représentants d'</w:t>
      </w:r>
      <w:hyperlink r:id="rId7" w:tooltip="Organisation non gouvernementale" w:history="1">
        <w:r w:rsidRPr="00583F53">
          <w:rPr>
            <w:sz w:val="20"/>
            <w:szCs w:val="20"/>
          </w:rPr>
          <w:t>ONG</w:t>
        </w:r>
      </w:hyperlink>
      <w:r w:rsidRPr="00583F53">
        <w:rPr>
          <w:sz w:val="20"/>
          <w:szCs w:val="20"/>
        </w:rPr>
        <w:t xml:space="preserve">, des journalistes et des entreprises.. Il visait à faire le bilan du </w:t>
      </w:r>
      <w:hyperlink r:id="rId8" w:anchor="Rio_de_Janeiro_1992" w:tooltip="Sommet de la Terre" w:history="1">
        <w:r w:rsidRPr="00583F53">
          <w:rPr>
            <w:sz w:val="20"/>
            <w:szCs w:val="20"/>
          </w:rPr>
          <w:t>Sommet de la Terre</w:t>
        </w:r>
      </w:hyperlink>
      <w:r w:rsidRPr="00583F53">
        <w:rPr>
          <w:sz w:val="20"/>
          <w:szCs w:val="20"/>
        </w:rPr>
        <w:t xml:space="preserve">, tenu à </w:t>
      </w:r>
      <w:hyperlink r:id="rId9" w:tooltip="Rio de Janeiro" w:history="1">
        <w:r w:rsidRPr="00583F53">
          <w:rPr>
            <w:sz w:val="20"/>
            <w:szCs w:val="20"/>
          </w:rPr>
          <w:t>Rio de Janeiro</w:t>
        </w:r>
      </w:hyperlink>
      <w:r w:rsidRPr="00583F53">
        <w:rPr>
          <w:sz w:val="20"/>
          <w:szCs w:val="20"/>
        </w:rPr>
        <w:t xml:space="preserve"> en </w:t>
      </w:r>
      <w:hyperlink r:id="rId10" w:tooltip="1992" w:history="1">
        <w:r w:rsidRPr="00583F53">
          <w:rPr>
            <w:sz w:val="20"/>
            <w:szCs w:val="20"/>
          </w:rPr>
          <w:t>1992</w:t>
        </w:r>
      </w:hyperlink>
      <w:r w:rsidRPr="00583F53">
        <w:rPr>
          <w:sz w:val="20"/>
          <w:szCs w:val="20"/>
        </w:rPr>
        <w:t xml:space="preserve">. Centré sur le </w:t>
      </w:r>
      <w:hyperlink r:id="rId11" w:tooltip="Développement durable" w:history="1">
        <w:r w:rsidRPr="00583F53">
          <w:rPr>
            <w:sz w:val="20"/>
            <w:szCs w:val="20"/>
          </w:rPr>
          <w:t>développement durable</w:t>
        </w:r>
      </w:hyperlink>
      <w:r w:rsidRPr="00583F53">
        <w:rPr>
          <w:sz w:val="20"/>
          <w:szCs w:val="20"/>
        </w:rPr>
        <w:t xml:space="preserve">, sa finalité résidait dans l'adoption d'un plan d'action en 153 articles décomposés en 615 alinéas sur de nombreux sujets : </w:t>
      </w:r>
      <w:hyperlink r:id="rId12" w:tooltip="Pauvreté" w:history="1">
        <w:r w:rsidRPr="00583F53">
          <w:rPr>
            <w:sz w:val="20"/>
            <w:szCs w:val="20"/>
          </w:rPr>
          <w:t>pauvreté</w:t>
        </w:r>
      </w:hyperlink>
      <w:r w:rsidRPr="00583F53">
        <w:rPr>
          <w:sz w:val="20"/>
          <w:szCs w:val="20"/>
        </w:rPr>
        <w:t xml:space="preserve"> et paupérisation, </w:t>
      </w:r>
      <w:hyperlink r:id="rId13" w:tooltip="Consommation" w:history="1">
        <w:r w:rsidRPr="00583F53">
          <w:rPr>
            <w:sz w:val="20"/>
            <w:szCs w:val="20"/>
          </w:rPr>
          <w:t>consommation</w:t>
        </w:r>
      </w:hyperlink>
      <w:r w:rsidRPr="00583F53">
        <w:rPr>
          <w:sz w:val="20"/>
          <w:szCs w:val="20"/>
        </w:rPr>
        <w:t xml:space="preserve">, les </w:t>
      </w:r>
      <w:hyperlink r:id="rId14" w:tooltip="Ressources naturelles" w:history="1">
        <w:r w:rsidRPr="00583F53">
          <w:rPr>
            <w:sz w:val="20"/>
            <w:szCs w:val="20"/>
          </w:rPr>
          <w:t>ressources naturelles</w:t>
        </w:r>
      </w:hyperlink>
      <w:r w:rsidRPr="00583F53">
        <w:rPr>
          <w:sz w:val="20"/>
          <w:szCs w:val="20"/>
        </w:rPr>
        <w:t xml:space="preserve"> et leur </w:t>
      </w:r>
      <w:hyperlink r:id="rId15" w:tooltip="Gestion" w:history="1">
        <w:r w:rsidRPr="00583F53">
          <w:rPr>
            <w:sz w:val="20"/>
            <w:szCs w:val="20"/>
          </w:rPr>
          <w:t>gestion</w:t>
        </w:r>
      </w:hyperlink>
      <w:r w:rsidRPr="00583F53">
        <w:rPr>
          <w:sz w:val="20"/>
          <w:szCs w:val="20"/>
        </w:rPr>
        <w:t xml:space="preserve">, </w:t>
      </w:r>
      <w:hyperlink r:id="rId16" w:tooltip="Globalisation" w:history="1">
        <w:r w:rsidRPr="00583F53">
          <w:rPr>
            <w:sz w:val="20"/>
            <w:szCs w:val="20"/>
          </w:rPr>
          <w:t>globalisation</w:t>
        </w:r>
      </w:hyperlink>
      <w:r w:rsidRPr="00583F53">
        <w:rPr>
          <w:sz w:val="20"/>
          <w:szCs w:val="20"/>
        </w:rPr>
        <w:t xml:space="preserve">, respect des </w:t>
      </w:r>
      <w:hyperlink r:id="rId17" w:tooltip="Droits de l'homme" w:history="1">
        <w:r w:rsidRPr="00583F53">
          <w:rPr>
            <w:sz w:val="20"/>
            <w:szCs w:val="20"/>
          </w:rPr>
          <w:t>Droits de l'homme</w:t>
        </w:r>
      </w:hyperlink>
      <w:r w:rsidRPr="00583F53">
        <w:rPr>
          <w:sz w:val="20"/>
          <w:szCs w:val="20"/>
        </w:rPr>
        <w:t>, etc…</w:t>
      </w:r>
    </w:p>
    <w:p w:rsidR="00E005CF" w:rsidRDefault="00E005CF" w:rsidP="00E005CF">
      <w:pPr>
        <w:pStyle w:val="Notedebasdepage"/>
      </w:pPr>
    </w:p>
  </w:footnote>
  <w:footnote w:id="13">
    <w:p w:rsidR="00E005CF" w:rsidRDefault="00E005CF" w:rsidP="00E005CF">
      <w:pPr>
        <w:pStyle w:val="Notedebasdepage"/>
      </w:pPr>
      <w:r>
        <w:rPr>
          <w:rStyle w:val="Appelnotedebasdep"/>
        </w:rPr>
        <w:footnoteRef/>
      </w:r>
      <w:r>
        <w:t xml:space="preserve"> Ce sont les principes fondateurs de l’ITIE</w:t>
      </w:r>
    </w:p>
  </w:footnote>
  <w:footnote w:id="14">
    <w:p w:rsidR="00E005CF" w:rsidRDefault="00E005CF" w:rsidP="00E005CF">
      <w:pPr>
        <w:pStyle w:val="Notedebasdepage"/>
      </w:pPr>
      <w:r>
        <w:rPr>
          <w:rStyle w:val="Appelnotedebasdep"/>
        </w:rPr>
        <w:footnoteRef/>
      </w:r>
      <w:r>
        <w:t xml:space="preserve"> </w:t>
      </w:r>
      <w:r>
        <w:rPr>
          <w:rFonts w:ascii="Garamond" w:hAnsi="Garamond" w:cs="Garamond"/>
          <w:color w:val="000000"/>
          <w:spacing w:val="1"/>
          <w:sz w:val="24"/>
          <w:szCs w:val="24"/>
        </w:rPr>
        <w:t>U</w:t>
      </w:r>
      <w:r>
        <w:rPr>
          <w:rFonts w:ascii="Garamond" w:hAnsi="Garamond" w:cs="Garamond"/>
          <w:color w:val="000000"/>
          <w:sz w:val="24"/>
          <w:szCs w:val="24"/>
        </w:rPr>
        <w:t>ne version simple, non technique et accessible du budget visant à dével</w:t>
      </w:r>
      <w:r>
        <w:rPr>
          <w:rFonts w:ascii="Garamond" w:hAnsi="Garamond" w:cs="Garamond"/>
          <w:color w:val="000000"/>
          <w:spacing w:val="1"/>
          <w:sz w:val="24"/>
          <w:szCs w:val="24"/>
        </w:rPr>
        <w:t>o</w:t>
      </w:r>
      <w:r>
        <w:rPr>
          <w:rFonts w:ascii="Garamond" w:hAnsi="Garamond" w:cs="Garamond"/>
          <w:color w:val="000000"/>
          <w:sz w:val="24"/>
          <w:szCs w:val="24"/>
        </w:rPr>
        <w:t>pper la com</w:t>
      </w:r>
      <w:r>
        <w:rPr>
          <w:rFonts w:ascii="Garamond" w:hAnsi="Garamond" w:cs="Garamond"/>
          <w:color w:val="000000"/>
          <w:spacing w:val="1"/>
          <w:sz w:val="24"/>
          <w:szCs w:val="24"/>
        </w:rPr>
        <w:t>p</w:t>
      </w:r>
      <w:r>
        <w:rPr>
          <w:rFonts w:ascii="Garamond" w:hAnsi="Garamond" w:cs="Garamond"/>
          <w:color w:val="000000"/>
          <w:sz w:val="24"/>
          <w:szCs w:val="24"/>
        </w:rPr>
        <w:t>réhension du public la politique et les techniques budgétaires et fiscales. Elle peut contenir, par exemple, un glossaire.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29FD"/>
    <w:multiLevelType w:val="multilevel"/>
    <w:tmpl w:val="D774147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D72422"/>
    <w:multiLevelType w:val="hybridMultilevel"/>
    <w:tmpl w:val="DE8AF7F0"/>
    <w:lvl w:ilvl="0" w:tplc="3386FE02">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20CE3D29"/>
    <w:multiLevelType w:val="hybridMultilevel"/>
    <w:tmpl w:val="39781A1A"/>
    <w:lvl w:ilvl="0" w:tplc="4C188AAC">
      <w:start w:val="1"/>
      <w:numFmt w:val="bullet"/>
      <w:lvlText w:val="•"/>
      <w:lvlJc w:val="left"/>
      <w:pPr>
        <w:tabs>
          <w:tab w:val="num" w:pos="720"/>
        </w:tabs>
        <w:ind w:left="720" w:hanging="360"/>
      </w:pPr>
      <w:rPr>
        <w:rFonts w:ascii="Lydian" w:hAnsi="Lydi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D4C6D54"/>
    <w:multiLevelType w:val="hybridMultilevel"/>
    <w:tmpl w:val="DF4AA442"/>
    <w:lvl w:ilvl="0" w:tplc="C19AE0E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27C4142"/>
    <w:multiLevelType w:val="hybridMultilevel"/>
    <w:tmpl w:val="98707B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41C3569"/>
    <w:multiLevelType w:val="hybridMultilevel"/>
    <w:tmpl w:val="6A082F92"/>
    <w:lvl w:ilvl="0" w:tplc="C19AE0E4">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45CD7C61"/>
    <w:multiLevelType w:val="hybridMultilevel"/>
    <w:tmpl w:val="BA12B9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ACE143B"/>
    <w:multiLevelType w:val="hybridMultilevel"/>
    <w:tmpl w:val="7C541C94"/>
    <w:lvl w:ilvl="0" w:tplc="C19AE0E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FAD53BB"/>
    <w:multiLevelType w:val="hybridMultilevel"/>
    <w:tmpl w:val="76F6476C"/>
    <w:lvl w:ilvl="0" w:tplc="4C188AAC">
      <w:start w:val="1"/>
      <w:numFmt w:val="bullet"/>
      <w:lvlText w:val="•"/>
      <w:lvlJc w:val="left"/>
      <w:pPr>
        <w:tabs>
          <w:tab w:val="num" w:pos="720"/>
        </w:tabs>
        <w:ind w:left="720" w:hanging="360"/>
      </w:pPr>
      <w:rPr>
        <w:rFonts w:ascii="Lydian" w:hAnsi="Lydi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3A10DBF"/>
    <w:multiLevelType w:val="hybridMultilevel"/>
    <w:tmpl w:val="F99808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54D40621"/>
    <w:multiLevelType w:val="multilevel"/>
    <w:tmpl w:val="B74C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7B0711"/>
    <w:multiLevelType w:val="hybridMultilevel"/>
    <w:tmpl w:val="9CAE4876"/>
    <w:lvl w:ilvl="0" w:tplc="C19AE0E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F2F2329"/>
    <w:multiLevelType w:val="hybridMultilevel"/>
    <w:tmpl w:val="162E53F8"/>
    <w:lvl w:ilvl="0" w:tplc="C19AE0E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3"/>
  </w:num>
  <w:num w:numId="4">
    <w:abstractNumId w:val="5"/>
  </w:num>
  <w:num w:numId="5">
    <w:abstractNumId w:val="11"/>
  </w:num>
  <w:num w:numId="6">
    <w:abstractNumId w:val="4"/>
  </w:num>
  <w:num w:numId="7">
    <w:abstractNumId w:val="6"/>
  </w:num>
  <w:num w:numId="8">
    <w:abstractNumId w:val="10"/>
  </w:num>
  <w:num w:numId="9">
    <w:abstractNumId w:val="0"/>
  </w:num>
  <w:num w:numId="10">
    <w:abstractNumId w:val="1"/>
  </w:num>
  <w:num w:numId="11">
    <w:abstractNumId w:val="8"/>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005CF"/>
    <w:rsid w:val="000C4AD3"/>
    <w:rsid w:val="0011651E"/>
    <w:rsid w:val="00206749"/>
    <w:rsid w:val="004B1121"/>
    <w:rsid w:val="006448C8"/>
    <w:rsid w:val="00687B49"/>
    <w:rsid w:val="006F411B"/>
    <w:rsid w:val="00902F20"/>
    <w:rsid w:val="00C719BB"/>
    <w:rsid w:val="00CC2A2B"/>
    <w:rsid w:val="00D779AC"/>
    <w:rsid w:val="00E005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C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E00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qFormat/>
    <w:rsid w:val="00E005CF"/>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005CF"/>
    <w:rPr>
      <w:rFonts w:ascii="Times New Roman" w:eastAsia="Times New Roman" w:hAnsi="Times New Roman" w:cs="Times New Roman"/>
      <w:b/>
      <w:bCs/>
      <w:sz w:val="36"/>
      <w:szCs w:val="36"/>
      <w:lang w:eastAsia="fr-FR"/>
    </w:rPr>
  </w:style>
  <w:style w:type="paragraph" w:styleId="NormalWeb">
    <w:name w:val="Normal (Web)"/>
    <w:basedOn w:val="Normal"/>
    <w:uiPriority w:val="99"/>
    <w:rsid w:val="00E005CF"/>
    <w:pPr>
      <w:spacing w:before="100" w:beforeAutospacing="1" w:after="100" w:afterAutospacing="1"/>
    </w:pPr>
  </w:style>
  <w:style w:type="paragraph" w:styleId="Notedebasdepage">
    <w:name w:val="footnote text"/>
    <w:aliases w:val="single space,FOOTNOTES,fn,Footnote Text Char Char Char Char,Footnote Text Char Char Char,footnote text,ADB,Footnote Text Char,Footnote Text Char Char Char Char Char,Footnote Text Char Char1,ALTS FOOTNOTE,ft,Footnote Text Char1,fn1,AD"/>
    <w:basedOn w:val="Normal"/>
    <w:link w:val="NotedebasdepageCar"/>
    <w:rsid w:val="00E005CF"/>
    <w:rPr>
      <w:sz w:val="20"/>
      <w:szCs w:val="20"/>
    </w:rPr>
  </w:style>
  <w:style w:type="character" w:customStyle="1" w:styleId="NotedebasdepageCar">
    <w:name w:val="Note de bas de page Car"/>
    <w:aliases w:val="single space Car,FOOTNOTES Car,fn Car,Footnote Text Char Char Char Char Car,Footnote Text Char Char Char Car,footnote text Car,ADB Car,Footnote Text Char Car,Footnote Text Char Char Char Char Char Car,Footnote Text Char Char1 Car"/>
    <w:basedOn w:val="Policepardfaut"/>
    <w:link w:val="Notedebasdepage"/>
    <w:rsid w:val="00E005CF"/>
    <w:rPr>
      <w:rFonts w:ascii="Times New Roman" w:eastAsia="Times New Roman" w:hAnsi="Times New Roman" w:cs="Times New Roman"/>
      <w:sz w:val="20"/>
      <w:szCs w:val="20"/>
      <w:lang w:eastAsia="fr-FR"/>
    </w:rPr>
  </w:style>
  <w:style w:type="character" w:styleId="Appelnotedebasdep">
    <w:name w:val="footnote reference"/>
    <w:aliases w:val="ftref,Error-Fußnotenzeichen5,Error-Fußnotenzeichen6,Error-Fußnotenzeichen3,16 Point,Superscript 6 Point"/>
    <w:basedOn w:val="Policepardfaut"/>
    <w:semiHidden/>
    <w:rsid w:val="00E005CF"/>
    <w:rPr>
      <w:vertAlign w:val="superscript"/>
    </w:rPr>
  </w:style>
  <w:style w:type="paragraph" w:customStyle="1" w:styleId="CM70">
    <w:name w:val="CM70"/>
    <w:basedOn w:val="Normal"/>
    <w:next w:val="Normal"/>
    <w:rsid w:val="00E005CF"/>
    <w:pPr>
      <w:widowControl w:val="0"/>
      <w:autoSpaceDE w:val="0"/>
      <w:autoSpaceDN w:val="0"/>
      <w:adjustRightInd w:val="0"/>
      <w:spacing w:after="80"/>
    </w:pPr>
    <w:rPr>
      <w:rFonts w:ascii="EJGEP I+ Helvetica Neue" w:eastAsia="EJGEP I+ Helvetica Neue"/>
    </w:rPr>
  </w:style>
  <w:style w:type="paragraph" w:styleId="Paragraphedeliste">
    <w:name w:val="List Paragraph"/>
    <w:basedOn w:val="Normal"/>
    <w:uiPriority w:val="34"/>
    <w:qFormat/>
    <w:rsid w:val="00E005CF"/>
    <w:pPr>
      <w:ind w:left="720"/>
      <w:contextualSpacing/>
    </w:pPr>
  </w:style>
  <w:style w:type="character" w:styleId="lev">
    <w:name w:val="Strong"/>
    <w:basedOn w:val="Policepardfaut"/>
    <w:uiPriority w:val="22"/>
    <w:qFormat/>
    <w:rsid w:val="00E005CF"/>
    <w:rPr>
      <w:b/>
      <w:bCs/>
    </w:rPr>
  </w:style>
  <w:style w:type="paragraph" w:customStyle="1" w:styleId="Default">
    <w:name w:val="Default"/>
    <w:rsid w:val="00E005CF"/>
    <w:pPr>
      <w:autoSpaceDE w:val="0"/>
      <w:autoSpaceDN w:val="0"/>
      <w:adjustRightInd w:val="0"/>
      <w:spacing w:after="0" w:line="240" w:lineRule="auto"/>
    </w:pPr>
    <w:rPr>
      <w:rFonts w:ascii="Garamond" w:hAnsi="Garamond" w:cs="Garamond"/>
      <w:color w:val="000000"/>
      <w:sz w:val="24"/>
      <w:szCs w:val="24"/>
    </w:rPr>
  </w:style>
  <w:style w:type="character" w:styleId="Lienhypertexte">
    <w:name w:val="Hyperlink"/>
    <w:basedOn w:val="Policepardfaut"/>
    <w:uiPriority w:val="99"/>
    <w:unhideWhenUsed/>
    <w:rsid w:val="00E005CF"/>
    <w:rPr>
      <w:color w:val="0000FF" w:themeColor="hyperlink"/>
      <w:u w:val="single"/>
    </w:rPr>
  </w:style>
  <w:style w:type="character" w:styleId="CitationHTML">
    <w:name w:val="HTML Cite"/>
    <w:basedOn w:val="Policepardfaut"/>
    <w:uiPriority w:val="99"/>
    <w:semiHidden/>
    <w:unhideWhenUsed/>
    <w:rsid w:val="00E005CF"/>
    <w:rPr>
      <w:i/>
      <w:iCs/>
    </w:rPr>
  </w:style>
  <w:style w:type="paragraph" w:customStyle="1" w:styleId="CM1">
    <w:name w:val="CM1"/>
    <w:basedOn w:val="Default"/>
    <w:next w:val="Default"/>
    <w:rsid w:val="00E005CF"/>
    <w:pPr>
      <w:widowControl w:val="0"/>
      <w:spacing w:line="240" w:lineRule="atLeast"/>
    </w:pPr>
    <w:rPr>
      <w:rFonts w:ascii="Arial" w:eastAsia="Times New Roman" w:hAnsi="Arial" w:cs="Times New Roman"/>
      <w:color w:val="auto"/>
      <w:lang w:eastAsia="fr-FR"/>
    </w:rPr>
  </w:style>
  <w:style w:type="character" w:customStyle="1" w:styleId="Titre1Car">
    <w:name w:val="Titre 1 Car"/>
    <w:basedOn w:val="Policepardfaut"/>
    <w:link w:val="Titre1"/>
    <w:uiPriority w:val="9"/>
    <w:rsid w:val="00E005CF"/>
    <w:rPr>
      <w:rFonts w:asciiTheme="majorHAnsi" w:eastAsiaTheme="majorEastAsia" w:hAnsiTheme="majorHAnsi" w:cstheme="majorBidi"/>
      <w:b/>
      <w:bCs/>
      <w:color w:val="365F91" w:themeColor="accent1" w:themeShade="BF"/>
      <w:sz w:val="28"/>
      <w:szCs w:val="28"/>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f.org/external/np/fad/trans/fre/manualf.pdf" TargetMode="External"/><Relationship Id="rId13" Type="http://schemas.openxmlformats.org/officeDocument/2006/relationships/hyperlink" Target="http://www.openbudgetindex.org" TargetMode="External"/><Relationship Id="rId18" Type="http://schemas.openxmlformats.org/officeDocument/2006/relationships/hyperlink" Target="http://www/ocde.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mf.org/external/np/rosc/rosc.asp" TargetMode="External"/><Relationship Id="rId17" Type="http://schemas.openxmlformats.org/officeDocument/2006/relationships/hyperlink" Target="http://www.openbudgetindex.org" TargetMode="External"/><Relationship Id="rId2" Type="http://schemas.openxmlformats.org/officeDocument/2006/relationships/numbering" Target="numbering.xml"/><Relationship Id="rId16" Type="http://schemas.openxmlformats.org/officeDocument/2006/relationships/hyperlink" Target="http://www.imf.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rosc/rosc.asp" TargetMode="External"/><Relationship Id="rId5" Type="http://schemas.openxmlformats.org/officeDocument/2006/relationships/webSettings" Target="webSettings.xml"/><Relationship Id="rId15" Type="http://schemas.openxmlformats.org/officeDocument/2006/relationships/hyperlink" Target="http://www.worldbank.org" TargetMode="External"/><Relationship Id="rId10" Type="http://schemas.openxmlformats.org/officeDocument/2006/relationships/hyperlink" Target="http://www.imf.org/external/np/exr/facts/fre/techf.htm" TargetMode="External"/><Relationship Id="rId19" Type="http://schemas.openxmlformats.org/officeDocument/2006/relationships/hyperlink" Target="http://www.pefa.org" TargetMode="External"/><Relationship Id="rId4" Type="http://schemas.openxmlformats.org/officeDocument/2006/relationships/settings" Target="settings.xml"/><Relationship Id="rId9" Type="http://schemas.openxmlformats.org/officeDocument/2006/relationships/hyperlink" Target="http://imf.org/external/np/pp/2007/eng/101907g.pdf" TargetMode="External"/><Relationship Id="rId14" Type="http://schemas.openxmlformats.org/officeDocument/2006/relationships/hyperlink" Target="http://www.openbudgetindex.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fr.wikipedia.org/wiki/Sommet_de_la_Terre" TargetMode="External"/><Relationship Id="rId13" Type="http://schemas.openxmlformats.org/officeDocument/2006/relationships/hyperlink" Target="http://fr.wikipedia.org/wiki/Consommation" TargetMode="External"/><Relationship Id="rId3" Type="http://schemas.openxmlformats.org/officeDocument/2006/relationships/hyperlink" Target="http://fr.wikipedia.org/wiki/2002" TargetMode="External"/><Relationship Id="rId7" Type="http://schemas.openxmlformats.org/officeDocument/2006/relationships/hyperlink" Target="http://fr.wikipedia.org/wiki/Organisation_non_gouvernementale" TargetMode="External"/><Relationship Id="rId12" Type="http://schemas.openxmlformats.org/officeDocument/2006/relationships/hyperlink" Target="http://fr.wikipedia.org/wiki/Pauvret%C3%A9" TargetMode="External"/><Relationship Id="rId17" Type="http://schemas.openxmlformats.org/officeDocument/2006/relationships/hyperlink" Target="http://fr.wikipedia.org/wiki/Droits_de_l%27homme" TargetMode="External"/><Relationship Id="rId2" Type="http://schemas.openxmlformats.org/officeDocument/2006/relationships/hyperlink" Target="http://fr.wikipedia.org/wiki/4_septembre" TargetMode="External"/><Relationship Id="rId16" Type="http://schemas.openxmlformats.org/officeDocument/2006/relationships/hyperlink" Target="http://fr.wikipedia.org/wiki/Globalisation" TargetMode="External"/><Relationship Id="rId1" Type="http://schemas.openxmlformats.org/officeDocument/2006/relationships/hyperlink" Target="http://fr.wikipedia.org/wiki/26_ao%C3%BBt" TargetMode="External"/><Relationship Id="rId6" Type="http://schemas.openxmlformats.org/officeDocument/2006/relationships/hyperlink" Target="http://fr.wikipedia.org/wiki/D%C3%A9veloppement_durable" TargetMode="External"/><Relationship Id="rId11" Type="http://schemas.openxmlformats.org/officeDocument/2006/relationships/hyperlink" Target="http://fr.wikipedia.org/wiki/D%C3%A9veloppement_durable" TargetMode="External"/><Relationship Id="rId5" Type="http://schemas.openxmlformats.org/officeDocument/2006/relationships/hyperlink" Target="http://fr.wikipedia.org/wiki/Afrique_du_Sud" TargetMode="External"/><Relationship Id="rId15" Type="http://schemas.openxmlformats.org/officeDocument/2006/relationships/hyperlink" Target="http://fr.wikipedia.org/wiki/Gestion" TargetMode="External"/><Relationship Id="rId10" Type="http://schemas.openxmlformats.org/officeDocument/2006/relationships/hyperlink" Target="http://fr.wikipedia.org/wiki/1992" TargetMode="External"/><Relationship Id="rId4" Type="http://schemas.openxmlformats.org/officeDocument/2006/relationships/hyperlink" Target="http://fr.wikipedia.org/wiki/Johannesbourg" TargetMode="External"/><Relationship Id="rId9" Type="http://schemas.openxmlformats.org/officeDocument/2006/relationships/hyperlink" Target="http://fr.wikipedia.org/wiki/Rio_de_Janeiro" TargetMode="External"/><Relationship Id="rId14" Type="http://schemas.openxmlformats.org/officeDocument/2006/relationships/hyperlink" Target="http://fr.wikipedia.org/wiki/Ressources_naturel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E3BAC-EF65-4A16-89DB-E80DE013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7304</Words>
  <Characters>40174</Characters>
  <Application>Microsoft Office Word</Application>
  <DocSecurity>0</DocSecurity>
  <Lines>334</Lines>
  <Paragraphs>94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2010-08-24T08:27:00Z</dcterms:created>
  <dcterms:modified xsi:type="dcterms:W3CDTF">2010-08-24T09:19:00Z</dcterms:modified>
</cp:coreProperties>
</file>