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47" w:rsidRDefault="00361703">
      <w:pPr>
        <w:rPr>
          <w:lang w:val="fr-BE"/>
        </w:rPr>
      </w:pPr>
      <w:r w:rsidRPr="00361703">
        <w:rPr>
          <w:noProof/>
        </w:rPr>
        <w:pict>
          <v:shapetype id="_x0000_t202" coordsize="21600,21600" o:spt="202" path="m,l,21600r21600,l21600,xe">
            <v:stroke joinstyle="miter"/>
            <v:path gradientshapeok="t" o:connecttype="rect"/>
          </v:shapetype>
          <v:shape id="Text Box 3" o:spid="_x0000_s1026" type="#_x0000_t202" style="position:absolute;margin-left:435.6pt;margin-top:-156.25pt;width:181.2pt;height:177.95pt;z-index:25166233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" filled="f" stroked="f">
            <v:textbox style="mso-fit-shape-to-text:t">
              <w:txbxContent>
                <w:p w:rsidR="0078186C" w:rsidRDefault="00F23447">
                  <w:pPr>
                    <w:rPr>
                      <w:color w:val="FFFFFF" w:themeColor="background1"/>
                      <w:sz w:val="36"/>
                      <w:szCs w:val="36"/>
                      <w:lang w:val="fr-BE"/>
                    </w:rPr>
                  </w:pPr>
                  <w:r w:rsidRPr="00F23447">
                    <w:rPr>
                      <w:color w:val="FFFFFF" w:themeColor="background1"/>
                      <w:sz w:val="36"/>
                      <w:szCs w:val="36"/>
                      <w:lang w:val="fr-BE"/>
                    </w:rPr>
                    <w:t>A</w:t>
                  </w:r>
                </w:p>
                <w:p w:rsidR="0078186C" w:rsidRDefault="0078186C">
                  <w:pPr>
                    <w:rPr>
                      <w:color w:val="FFFFFF" w:themeColor="background1"/>
                      <w:sz w:val="36"/>
                      <w:szCs w:val="36"/>
                      <w:lang w:val="fr-BE"/>
                    </w:rPr>
                  </w:pPr>
                </w:p>
                <w:p w:rsidR="0078186C" w:rsidRDefault="0078186C">
                  <w:pPr>
                    <w:rPr>
                      <w:color w:val="FFFFFF" w:themeColor="background1"/>
                      <w:sz w:val="36"/>
                      <w:szCs w:val="36"/>
                      <w:lang w:val="fr-BE"/>
                    </w:rPr>
                  </w:pPr>
                </w:p>
                <w:p w:rsidR="0078186C" w:rsidRDefault="0078186C">
                  <w:pPr>
                    <w:rPr>
                      <w:color w:val="FFFFFF" w:themeColor="background1"/>
                      <w:sz w:val="36"/>
                      <w:szCs w:val="36"/>
                      <w:lang w:val="fr-BE"/>
                    </w:rPr>
                  </w:pPr>
                </w:p>
                <w:p w:rsidR="00F23447" w:rsidRPr="0078186C" w:rsidRDefault="0078186C">
                  <w:pPr>
                    <w:rPr>
                      <w:b/>
                      <w:color w:val="FFFFFF" w:themeColor="background1"/>
                      <w:sz w:val="28"/>
                      <w:szCs w:val="28"/>
                      <w:lang w:val="fr-BE"/>
                    </w:rPr>
                  </w:pPr>
                  <w:r w:rsidRPr="0078186C">
                    <w:rPr>
                      <w:b/>
                      <w:color w:val="FFFFFF" w:themeColor="background1"/>
                      <w:sz w:val="28"/>
                      <w:szCs w:val="28"/>
                      <w:lang w:val="fr-BE"/>
                    </w:rPr>
                    <w:t>A</w:t>
                  </w:r>
                  <w:r w:rsidR="00F23447" w:rsidRPr="0078186C">
                    <w:rPr>
                      <w:b/>
                      <w:color w:val="FFFFFF" w:themeColor="background1"/>
                      <w:sz w:val="28"/>
                      <w:szCs w:val="28"/>
                      <w:lang w:val="fr-BE"/>
                    </w:rPr>
                    <w:t>vril 2012</w:t>
                  </w:r>
                </w:p>
              </w:txbxContent>
            </v:textbox>
          </v:shape>
        </w:pict>
      </w:r>
      <w:r w:rsidR="0089140B">
        <w:rPr>
          <w:noProof/>
          <w:lang w:val="fr-BE" w:eastAsia="fr-BE"/>
        </w:rPr>
        <w:drawing>
          <wp:anchor distT="0" distB="0" distL="114300" distR="114300" simplePos="0" relativeHeight="251657215" behindDoc="1" locked="0" layoutInCell="1" allowOverlap="1">
            <wp:simplePos x="0" y="0"/>
            <wp:positionH relativeFrom="column">
              <wp:posOffset>-800735</wp:posOffset>
            </wp:positionH>
            <wp:positionV relativeFrom="paragraph">
              <wp:posOffset>146050</wp:posOffset>
            </wp:positionV>
            <wp:extent cx="291465" cy="9849485"/>
            <wp:effectExtent l="19050" t="0" r="0" b="0"/>
            <wp:wrapNone/>
            <wp:docPr id="2" name="Image 1" descr="b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s.jpg"/>
                    <pic:cNvPicPr/>
                  </pic:nvPicPr>
                  <pic:blipFill>
                    <a:blip r:embed="rId4" cstate="print">
                      <a:lum/>
                    </a:blip>
                    <a:stretch>
                      <a:fillRect/>
                    </a:stretch>
                  </pic:blipFill>
                  <pic:spPr>
                    <a:xfrm>
                      <a:off x="0" y="0"/>
                      <a:ext cx="291465" cy="9849485"/>
                    </a:xfrm>
                    <a:prstGeom prst="rect">
                      <a:avLst/>
                    </a:prstGeom>
                  </pic:spPr>
                </pic:pic>
              </a:graphicData>
            </a:graphic>
          </wp:anchor>
        </w:drawing>
      </w:r>
      <w:r w:rsidR="0089140B">
        <w:rPr>
          <w:noProof/>
          <w:lang w:val="fr-BE" w:eastAsia="fr-BE"/>
        </w:rPr>
        <w:drawing>
          <wp:anchor distT="0" distB="0" distL="114300" distR="114300" simplePos="0" relativeHeight="251661312" behindDoc="0" locked="0" layoutInCell="1" allowOverlap="1">
            <wp:simplePos x="0" y="0"/>
            <wp:positionH relativeFrom="column">
              <wp:posOffset>-800735</wp:posOffset>
            </wp:positionH>
            <wp:positionV relativeFrom="paragraph">
              <wp:posOffset>-852805</wp:posOffset>
            </wp:positionV>
            <wp:extent cx="7366000" cy="998220"/>
            <wp:effectExtent l="19050" t="0" r="6350" b="0"/>
            <wp:wrapNone/>
            <wp:docPr id="3" name="Image 2" descr="Logo FLEGT m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LEGT merde.jpg"/>
                    <pic:cNvPicPr/>
                  </pic:nvPicPr>
                  <pic:blipFill>
                    <a:blip r:embed="rId5" cstate="print"/>
                    <a:stretch>
                      <a:fillRect/>
                    </a:stretch>
                  </pic:blipFill>
                  <pic:spPr>
                    <a:xfrm>
                      <a:off x="0" y="0"/>
                      <a:ext cx="7366000" cy="998220"/>
                    </a:xfrm>
                    <a:prstGeom prst="rect">
                      <a:avLst/>
                    </a:prstGeom>
                  </pic:spPr>
                </pic:pic>
              </a:graphicData>
            </a:graphic>
          </wp:anchor>
        </w:drawing>
      </w:r>
    </w:p>
    <w:p w:rsidR="00060384" w:rsidRPr="00060384" w:rsidRDefault="00060384" w:rsidP="00D32707">
      <w:pPr>
        <w:spacing w:after="120"/>
        <w:ind w:left="-284" w:right="-709"/>
        <w:jc w:val="center"/>
        <w:rPr>
          <w:spacing w:val="-20"/>
          <w:sz w:val="24"/>
          <w:szCs w:val="24"/>
          <w:lang w:val="fr-BE"/>
        </w:rPr>
      </w:pPr>
    </w:p>
    <w:p w:rsidR="00F23447" w:rsidRPr="0078186C" w:rsidRDefault="00F23447" w:rsidP="00D32707">
      <w:pPr>
        <w:spacing w:after="120"/>
        <w:ind w:left="-284" w:right="-709"/>
        <w:jc w:val="center"/>
        <w:rPr>
          <w:spacing w:val="-20"/>
          <w:sz w:val="44"/>
          <w:szCs w:val="44"/>
          <w:lang w:val="fr-BE"/>
        </w:rPr>
      </w:pPr>
      <w:r w:rsidRPr="0078186C">
        <w:rPr>
          <w:spacing w:val="-20"/>
          <w:sz w:val="44"/>
          <w:szCs w:val="44"/>
          <w:lang w:val="fr-BE"/>
        </w:rPr>
        <w:t>République Démocratique du  Congo – Union européenne</w:t>
      </w:r>
    </w:p>
    <w:p w:rsidR="00F23447" w:rsidRPr="00F23447" w:rsidRDefault="00F23447" w:rsidP="00D32707">
      <w:pPr>
        <w:spacing w:after="0"/>
        <w:ind w:left="-284" w:right="-709"/>
        <w:jc w:val="center"/>
        <w:rPr>
          <w:i/>
          <w:sz w:val="32"/>
          <w:szCs w:val="32"/>
          <w:lang w:val="fr-BE"/>
        </w:rPr>
      </w:pPr>
      <w:r w:rsidRPr="00F23447">
        <w:rPr>
          <w:i/>
          <w:sz w:val="32"/>
          <w:szCs w:val="32"/>
          <w:lang w:val="fr-BE"/>
        </w:rPr>
        <w:t>L’impact de la relance des négociations de l’APV FLEGT</w:t>
      </w:r>
    </w:p>
    <w:p w:rsidR="00F23447" w:rsidRPr="00F23447" w:rsidRDefault="00F23447" w:rsidP="00D32707">
      <w:pPr>
        <w:ind w:left="-284" w:right="-709"/>
        <w:jc w:val="center"/>
        <w:rPr>
          <w:i/>
          <w:sz w:val="32"/>
          <w:szCs w:val="32"/>
          <w:lang w:val="fr-BE"/>
        </w:rPr>
      </w:pPr>
      <w:proofErr w:type="gramStart"/>
      <w:r w:rsidRPr="00F23447">
        <w:rPr>
          <w:i/>
          <w:sz w:val="32"/>
          <w:szCs w:val="32"/>
          <w:lang w:val="fr-BE"/>
        </w:rPr>
        <w:t>sur</w:t>
      </w:r>
      <w:proofErr w:type="gramEnd"/>
      <w:r w:rsidRPr="00F23447">
        <w:rPr>
          <w:i/>
          <w:sz w:val="32"/>
          <w:szCs w:val="32"/>
          <w:lang w:val="fr-BE"/>
        </w:rPr>
        <w:t xml:space="preserve"> l’amélioration de la gouvernance de l’exploitation forestière en RDC</w:t>
      </w:r>
    </w:p>
    <w:p w:rsidR="00F23447" w:rsidRDefault="00F23447" w:rsidP="00D32707">
      <w:pPr>
        <w:ind w:left="-284" w:right="-709"/>
        <w:rPr>
          <w:lang w:val="fr-BE"/>
        </w:rPr>
      </w:pPr>
    </w:p>
    <w:p w:rsidR="00F23447" w:rsidRPr="00FB2658" w:rsidRDefault="00D32707" w:rsidP="00D32707">
      <w:pPr>
        <w:ind w:left="-284" w:right="-567"/>
        <w:jc w:val="both"/>
        <w:rPr>
          <w:lang w:val="fr-BE"/>
        </w:rPr>
      </w:pPr>
      <w:r w:rsidRPr="00FB2658">
        <w:rPr>
          <w:lang w:val="fr-BE"/>
        </w:rPr>
        <w:t>Entamées en février 2011, l</w:t>
      </w:r>
      <w:r w:rsidR="0089140B" w:rsidRPr="00FB2658">
        <w:rPr>
          <w:lang w:val="fr-BE"/>
        </w:rPr>
        <w:t>es négociations de l’APV FLEGT</w:t>
      </w:r>
      <w:r w:rsidRPr="00FB2658">
        <w:rPr>
          <w:lang w:val="fr-BE"/>
        </w:rPr>
        <w:t xml:space="preserve"> entre la RDC et l’Union européenne se sont pour le moment limitées à l’élaboration, en septembre 2011, d’une grille de définition provisoire de la légalité pour les bois issus des concessions forestières industrielles. </w:t>
      </w:r>
      <w:r w:rsidR="00FB2658" w:rsidRPr="00FB2658">
        <w:rPr>
          <w:lang w:val="fr-BE"/>
        </w:rPr>
        <w:t>Après avoir été suspendus pendant plusieurs mois, les</w:t>
      </w:r>
      <w:r w:rsidRPr="00FB2658">
        <w:rPr>
          <w:lang w:val="fr-BE"/>
        </w:rPr>
        <w:t xml:space="preserve"> travaux de la Commission technique congolaise en charge de</w:t>
      </w:r>
      <w:r w:rsidR="00FB2658" w:rsidRPr="00FB2658">
        <w:rPr>
          <w:lang w:val="fr-BE"/>
        </w:rPr>
        <w:t xml:space="preserve">s négociations devraient reprendre prochainement et permettre la relance du processus de négociation. </w:t>
      </w:r>
      <w:r w:rsidRPr="00FB2658">
        <w:rPr>
          <w:lang w:val="fr-BE"/>
        </w:rPr>
        <w:t xml:space="preserve"> </w:t>
      </w:r>
    </w:p>
    <w:p w:rsidR="00FB2658" w:rsidRPr="00377306" w:rsidRDefault="00FB2658" w:rsidP="00D32707">
      <w:pPr>
        <w:ind w:left="-284" w:right="-567"/>
        <w:jc w:val="both"/>
        <w:rPr>
          <w:noProof/>
          <w:lang w:val="fr-BE"/>
        </w:rPr>
      </w:pPr>
      <w:r w:rsidRPr="00377306">
        <w:rPr>
          <w:noProof/>
          <w:lang w:val="fr-BE"/>
        </w:rPr>
        <w:t xml:space="preserve">Si elles sont relancées dans un cadre efficace mobilisant à la fois la volonté politique nationale et l’action concertée des </w:t>
      </w:r>
      <w:r w:rsidR="00526AA4" w:rsidRPr="00377306">
        <w:rPr>
          <w:noProof/>
          <w:lang w:val="fr-BE"/>
        </w:rPr>
        <w:t xml:space="preserve">partenaires </w:t>
      </w:r>
      <w:r w:rsidRPr="00377306">
        <w:rPr>
          <w:noProof/>
          <w:lang w:val="fr-BE"/>
        </w:rPr>
        <w:t xml:space="preserve">internationaux du secteur, ces negociations peuvent constituer un cadre structurant pour </w:t>
      </w:r>
      <w:r w:rsidRPr="00FB2658">
        <w:rPr>
          <w:noProof/>
          <w:lang w:val="fr-BE"/>
        </w:rPr>
        <w:t xml:space="preserve">« catalyser » </w:t>
      </w:r>
      <w:r w:rsidRPr="00377306">
        <w:rPr>
          <w:noProof/>
          <w:lang w:val="fr-BE"/>
        </w:rPr>
        <w:t xml:space="preserve">une progression positive de plusieurs </w:t>
      </w:r>
      <w:r w:rsidR="00526AA4" w:rsidRPr="00377306">
        <w:rPr>
          <w:noProof/>
          <w:lang w:val="fr-BE"/>
        </w:rPr>
        <w:t>dossiers de la gouvernance forestière dans le pays.</w:t>
      </w:r>
    </w:p>
    <w:p w:rsidR="00FB018B" w:rsidRPr="00377306" w:rsidRDefault="004C0353" w:rsidP="00377306">
      <w:pPr>
        <w:ind w:left="-284" w:right="-567"/>
        <w:jc w:val="both"/>
        <w:rPr>
          <w:noProof/>
          <w:lang w:val="fr-BE"/>
        </w:rPr>
      </w:pPr>
      <w:r w:rsidRPr="00377306">
        <w:rPr>
          <w:noProof/>
          <w:lang w:val="fr-BE"/>
        </w:rPr>
        <w:t>Pour être pleinement efficace,</w:t>
      </w:r>
      <w:r w:rsidR="00526AA4" w:rsidRPr="00377306">
        <w:rPr>
          <w:noProof/>
          <w:lang w:val="fr-BE"/>
        </w:rPr>
        <w:t xml:space="preserve"> la relance des négociations </w:t>
      </w:r>
      <w:r w:rsidRPr="00377306">
        <w:rPr>
          <w:noProof/>
          <w:lang w:val="fr-BE"/>
        </w:rPr>
        <w:t xml:space="preserve">de l’APV FLEGT devrait se faire dans un cadre mieux </w:t>
      </w:r>
      <w:r w:rsidRPr="000E0D5A">
        <w:rPr>
          <w:b/>
          <w:noProof/>
          <w:color w:val="E36C0A" w:themeColor="accent6" w:themeShade="BF"/>
          <w:lang w:val="fr-BE"/>
        </w:rPr>
        <w:t>articulé au processus REDD+</w:t>
      </w:r>
      <w:r w:rsidRPr="000E0D5A">
        <w:rPr>
          <w:noProof/>
          <w:lang w:val="fr-BE"/>
        </w:rPr>
        <w:t>,</w:t>
      </w:r>
      <w:r w:rsidRPr="00377306">
        <w:rPr>
          <w:noProof/>
          <w:lang w:val="fr-BE"/>
        </w:rPr>
        <w:t xml:space="preserve"> qui constitue </w:t>
      </w:r>
      <w:r w:rsidR="005B53E8" w:rsidRPr="00377306">
        <w:rPr>
          <w:noProof/>
          <w:lang w:val="fr-BE"/>
        </w:rPr>
        <w:t>l’autre</w:t>
      </w:r>
      <w:r w:rsidRPr="00377306">
        <w:rPr>
          <w:noProof/>
          <w:lang w:val="fr-BE"/>
        </w:rPr>
        <w:t xml:space="preserve"> cadre structurant </w:t>
      </w:r>
      <w:r w:rsidR="005B53E8" w:rsidRPr="00377306">
        <w:rPr>
          <w:noProof/>
          <w:lang w:val="fr-BE"/>
        </w:rPr>
        <w:t xml:space="preserve">international majeur </w:t>
      </w:r>
      <w:r w:rsidRPr="00377306">
        <w:rPr>
          <w:noProof/>
          <w:lang w:val="fr-BE"/>
        </w:rPr>
        <w:t xml:space="preserve">pour l’avenir du secteur forestier congolais. </w:t>
      </w:r>
      <w:r w:rsidR="005B53E8" w:rsidRPr="00377306">
        <w:rPr>
          <w:noProof/>
          <w:lang w:val="fr-BE"/>
        </w:rPr>
        <w:t>Les deux processus sont interdépendants. La maîtrise de l’exploitation du patrimoine forestier, dont le contrôle de la légalité est au coeur du processus FLEGT et des négociations de l’APV, constitue par exemple un élément essentiel du</w:t>
      </w:r>
      <w:r w:rsidR="00753A43" w:rsidRPr="00377306">
        <w:rPr>
          <w:noProof/>
          <w:lang w:val="fr-BE"/>
        </w:rPr>
        <w:t xml:space="preserve"> programme de réduction des émissions de carbone et dans la stratégie nationale REDD+ en cours de finalisation (l’objectif est qu’elle soit adoptée à la fin de l’année 2012)</w:t>
      </w:r>
      <w:r w:rsidR="005B53E8" w:rsidRPr="00377306">
        <w:rPr>
          <w:noProof/>
          <w:lang w:val="fr-BE"/>
        </w:rPr>
        <w:t xml:space="preserve">. </w:t>
      </w:r>
      <w:r w:rsidR="00377306">
        <w:rPr>
          <w:noProof/>
          <w:lang w:val="fr-BE"/>
        </w:rPr>
        <w:t>Aussi, l</w:t>
      </w:r>
      <w:r w:rsidR="00C3558F" w:rsidRPr="00377306">
        <w:rPr>
          <w:noProof/>
          <w:lang w:val="fr-BE"/>
        </w:rPr>
        <w:t>a</w:t>
      </w:r>
      <w:r w:rsidR="005B53E8" w:rsidRPr="00377306">
        <w:rPr>
          <w:noProof/>
          <w:lang w:val="fr-BE"/>
        </w:rPr>
        <w:t xml:space="preserve"> Commission technique de l’APV </w:t>
      </w:r>
      <w:r w:rsidR="00377306">
        <w:rPr>
          <w:noProof/>
          <w:lang w:val="fr-BE"/>
        </w:rPr>
        <w:t xml:space="preserve">pourrait </w:t>
      </w:r>
      <w:r w:rsidR="00C3558F" w:rsidRPr="00377306">
        <w:rPr>
          <w:noProof/>
          <w:lang w:val="fr-BE"/>
        </w:rPr>
        <w:t xml:space="preserve">se rapprocher </w:t>
      </w:r>
      <w:r w:rsidR="005B53E8" w:rsidRPr="00377306">
        <w:rPr>
          <w:noProof/>
          <w:lang w:val="fr-BE"/>
        </w:rPr>
        <w:t xml:space="preserve">des Coordinations thématiques REDD </w:t>
      </w:r>
      <w:r w:rsidR="00C3558F" w:rsidRPr="00377306">
        <w:rPr>
          <w:noProof/>
          <w:lang w:val="fr-BE"/>
        </w:rPr>
        <w:t>dès la reprise de ses travaux.</w:t>
      </w:r>
    </w:p>
    <w:p w:rsidR="00C3558F" w:rsidRPr="002763DF" w:rsidRDefault="00C3558F" w:rsidP="00C3558F">
      <w:pPr>
        <w:tabs>
          <w:tab w:val="left" w:pos="3828"/>
        </w:tabs>
        <w:ind w:left="-284" w:right="-567"/>
        <w:jc w:val="both"/>
        <w:rPr>
          <w:rFonts w:cs="Arial"/>
          <w:noProof/>
          <w:lang w:val="fr-BE"/>
        </w:rPr>
      </w:pPr>
      <w:r w:rsidRPr="002763DF">
        <w:rPr>
          <w:rFonts w:cs="Arial"/>
          <w:b/>
          <w:noProof/>
          <w:color w:val="E36C0A" w:themeColor="accent6" w:themeShade="BF"/>
          <w:lang w:val="fr-BE"/>
        </w:rPr>
        <w:t>L’élaboration de la politique forestière</w:t>
      </w:r>
      <w:r w:rsidRPr="002763DF">
        <w:rPr>
          <w:rFonts w:cs="Arial"/>
          <w:noProof/>
          <w:lang w:val="fr-BE"/>
        </w:rPr>
        <w:t xml:space="preserve">, attendue depuis l’adoption du code forestier de 2002, pourrait également être favorisée par la relance des négociations de l’APV FLEGT. Même si elle ne s’y confine évidemment pas, la politique forestière a notamment pour vocation de préciser les préférences et les grandes orientations nationales en matière d’exploitation forestière pour la production de bois d’œuvre. A ce titre, elle est intimement liée à la dynamique APV FLEGT : la politique forestière qui sera adoptée et les négociations de l’APV FLEGT devront aller dans le même sens et refléter les mêmes options politiques. </w:t>
      </w:r>
      <w:r w:rsidR="00060384" w:rsidRPr="002763DF">
        <w:rPr>
          <w:rFonts w:cs="Arial"/>
          <w:noProof/>
          <w:lang w:val="fr-BE"/>
        </w:rPr>
        <w:t xml:space="preserve">Le renforcement de la </w:t>
      </w:r>
      <w:r w:rsidRPr="002763DF">
        <w:rPr>
          <w:rFonts w:cs="Arial"/>
          <w:noProof/>
          <w:lang w:val="fr-BE"/>
        </w:rPr>
        <w:t xml:space="preserve"> dynamique dans les négociations pourrait contribuer à « catalyser » le bouclage </w:t>
      </w:r>
      <w:r w:rsidR="00060384" w:rsidRPr="002763DF">
        <w:rPr>
          <w:rFonts w:cs="Arial"/>
          <w:noProof/>
          <w:lang w:val="fr-BE"/>
        </w:rPr>
        <w:t>des travaux portant sur l’adoption de la politique forestière.</w:t>
      </w:r>
    </w:p>
    <w:p w:rsidR="00060384" w:rsidRPr="002763DF" w:rsidRDefault="00060384" w:rsidP="00060384">
      <w:pPr>
        <w:tabs>
          <w:tab w:val="left" w:pos="3828"/>
        </w:tabs>
        <w:ind w:left="-284" w:right="-567"/>
        <w:jc w:val="both"/>
        <w:rPr>
          <w:rFonts w:cs="Arial"/>
          <w:noProof/>
          <w:lang w:val="fr-BE"/>
        </w:rPr>
      </w:pPr>
      <w:r w:rsidRPr="002763DF">
        <w:rPr>
          <w:rFonts w:cs="Arial"/>
          <w:noProof/>
          <w:lang w:val="fr-BE"/>
        </w:rPr>
        <w:t xml:space="preserve">Il en va de même pour les </w:t>
      </w:r>
      <w:r w:rsidRPr="002763DF">
        <w:rPr>
          <w:rFonts w:cs="Arial"/>
          <w:b/>
          <w:noProof/>
          <w:color w:val="E36C0A" w:themeColor="accent6" w:themeShade="BF"/>
          <w:lang w:val="fr-BE"/>
        </w:rPr>
        <w:t>efforts de planification sectorielle</w:t>
      </w:r>
      <w:r w:rsidRPr="002763DF">
        <w:rPr>
          <w:rFonts w:cs="Arial"/>
          <w:noProof/>
          <w:lang w:val="fr-BE"/>
        </w:rPr>
        <w:t xml:space="preserve"> au sein du Ministère de l’Environnement (MECNT). </w:t>
      </w:r>
      <w:r w:rsidRPr="00986226">
        <w:rPr>
          <w:lang w:val="fr-BE"/>
        </w:rPr>
        <w:t xml:space="preserve">L’exercice de planification devrait en effet constituer la suite logique, le début de la mise en œuvre sur le terrain de la politique officielle du gouvernement en la matière. </w:t>
      </w:r>
      <w:r w:rsidRPr="00986226">
        <w:rPr>
          <w:rFonts w:cs="Arial"/>
          <w:noProof/>
          <w:lang w:val="fr-BE"/>
        </w:rPr>
        <w:t>L’APV pourrait constituer une composante</w:t>
      </w:r>
      <w:r w:rsidRPr="002763DF">
        <w:rPr>
          <w:rFonts w:cs="Arial"/>
          <w:noProof/>
          <w:lang w:val="fr-BE"/>
        </w:rPr>
        <w:t xml:space="preserve"> essentielle de la programmation forestière sectorielle pour la RDC – principalement au niveau du secteur de l’exploitation forestière et de la commercialisation du bois. L’accord déterminera explicitement l’ensemble des composantes de la stratégie nationale de planification, de suivi et de contrôle de l’exploitation forestière. Il contiendra une annexe VIII qui énumère l’ensemble des mesures pertinentes à mettre en œuvre pour que le système de contrôle et de suivi du secteur puisse être pleinement opérationnel.</w:t>
      </w:r>
    </w:p>
    <w:p w:rsidR="00253745" w:rsidRPr="002763DF" w:rsidRDefault="00CB5BCB" w:rsidP="00CB5BCB">
      <w:pPr>
        <w:tabs>
          <w:tab w:val="left" w:pos="3828"/>
        </w:tabs>
        <w:ind w:left="-284" w:right="-567"/>
        <w:jc w:val="both"/>
        <w:rPr>
          <w:rFonts w:cs="Arial"/>
          <w:noProof/>
          <w:lang w:val="fr-BE"/>
        </w:rPr>
      </w:pPr>
      <w:r w:rsidRPr="00CB5BCB">
        <w:rPr>
          <w:rFonts w:cs="Arial"/>
          <w:noProof/>
          <w:lang w:val="fr-BE" w:eastAsia="fr-BE"/>
        </w:rPr>
        <w:lastRenderedPageBreak/>
        <w:drawing>
          <wp:anchor distT="0" distB="0" distL="114300" distR="114300" simplePos="0" relativeHeight="251664384" behindDoc="1" locked="0" layoutInCell="1" allowOverlap="1">
            <wp:simplePos x="0" y="0"/>
            <wp:positionH relativeFrom="column">
              <wp:posOffset>-803905</wp:posOffset>
            </wp:positionH>
            <wp:positionV relativeFrom="paragraph">
              <wp:posOffset>-907479</wp:posOffset>
            </wp:positionV>
            <wp:extent cx="288311" cy="10711543"/>
            <wp:effectExtent l="19050" t="0" r="0" b="0"/>
            <wp:wrapNone/>
            <wp:docPr id="4" name="Image 1" descr="b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s.jpg"/>
                    <pic:cNvPicPr/>
                  </pic:nvPicPr>
                  <pic:blipFill>
                    <a:blip r:embed="rId6" cstate="print">
                      <a:lum/>
                    </a:blip>
                    <a:stretch>
                      <a:fillRect/>
                    </a:stretch>
                  </pic:blipFill>
                  <pic:spPr>
                    <a:xfrm>
                      <a:off x="0" y="0"/>
                      <a:ext cx="288311" cy="10711543"/>
                    </a:xfrm>
                    <a:prstGeom prst="rect">
                      <a:avLst/>
                    </a:prstGeom>
                  </pic:spPr>
                </pic:pic>
              </a:graphicData>
            </a:graphic>
          </wp:anchor>
        </w:drawing>
      </w:r>
      <w:r w:rsidRPr="002763DF">
        <w:rPr>
          <w:rFonts w:cs="Arial"/>
          <w:noProof/>
          <w:lang w:val="fr-BE"/>
        </w:rPr>
        <w:t>L</w:t>
      </w:r>
      <w:r w:rsidR="00377306" w:rsidRPr="002763DF">
        <w:rPr>
          <w:rFonts w:cs="Arial"/>
          <w:noProof/>
          <w:lang w:val="fr-BE"/>
        </w:rPr>
        <w:t xml:space="preserve">a redynamisation du </w:t>
      </w:r>
      <w:r w:rsidRPr="002763DF">
        <w:rPr>
          <w:rFonts w:cs="Arial"/>
          <w:noProof/>
          <w:lang w:val="fr-BE"/>
        </w:rPr>
        <w:t xml:space="preserve">dossier sur le </w:t>
      </w:r>
      <w:r w:rsidRPr="002763DF">
        <w:rPr>
          <w:rFonts w:cs="Arial"/>
          <w:b/>
          <w:noProof/>
          <w:color w:val="E36C0A" w:themeColor="accent6" w:themeShade="BF"/>
          <w:lang w:val="fr-BE"/>
        </w:rPr>
        <w:t>zonage forestier</w:t>
      </w:r>
      <w:r w:rsidRPr="002763DF">
        <w:rPr>
          <w:rFonts w:cs="Arial"/>
          <w:noProof/>
          <w:lang w:val="fr-BE"/>
        </w:rPr>
        <w:t xml:space="preserve"> </w:t>
      </w:r>
      <w:r w:rsidR="00377306" w:rsidRPr="002763DF">
        <w:rPr>
          <w:rFonts w:cs="Arial"/>
          <w:noProof/>
          <w:lang w:val="fr-BE"/>
        </w:rPr>
        <w:t xml:space="preserve">est </w:t>
      </w:r>
      <w:r w:rsidRPr="002763DF">
        <w:rPr>
          <w:rFonts w:cs="Arial"/>
          <w:noProof/>
          <w:lang w:val="fr-BE"/>
        </w:rPr>
        <w:t xml:space="preserve">également </w:t>
      </w:r>
      <w:r w:rsidR="00377306" w:rsidRPr="002763DF">
        <w:rPr>
          <w:rFonts w:cs="Arial"/>
          <w:noProof/>
          <w:lang w:val="fr-BE"/>
        </w:rPr>
        <w:t>nécessaire</w:t>
      </w:r>
      <w:r w:rsidRPr="002763DF">
        <w:rPr>
          <w:rFonts w:cs="Arial"/>
          <w:noProof/>
          <w:lang w:val="fr-BE"/>
        </w:rPr>
        <w:t xml:space="preserve"> dans le sillage de la relance des négociations de l’APV FLEGT. Le lien entre les négociations de l’APV FLEGT et le zonage est en effet clair et direct : le code forestier prévoit qu’aucune nouvelle attribution de concession forestière n’est légale – que ce soit en adjudication ou de gré a gré – sans qu’un processus de zonage intégrant au moins en partie le consentement libre, informé et préalable (CLIP) des populations riveraines n’ait eu lieu au préalable dans la zone concernée (articles 23 et 84 du code forestier). </w:t>
      </w:r>
    </w:p>
    <w:p w:rsidR="00CB5BCB" w:rsidRPr="002763DF" w:rsidRDefault="00253745" w:rsidP="00CB5BCB">
      <w:pPr>
        <w:tabs>
          <w:tab w:val="left" w:pos="3828"/>
        </w:tabs>
        <w:ind w:left="-284" w:right="-567"/>
        <w:jc w:val="both"/>
        <w:rPr>
          <w:rFonts w:cs="Arial"/>
          <w:noProof/>
          <w:lang w:val="fr-BE"/>
        </w:rPr>
      </w:pPr>
      <w:r w:rsidRPr="002763DF">
        <w:rPr>
          <w:rFonts w:cs="Arial"/>
          <w:noProof/>
          <w:lang w:val="fr-BE"/>
        </w:rPr>
        <w:t xml:space="preserve">Les négociations de  l’APV amèneront par ailleurs le gouvernement congolais à </w:t>
      </w:r>
      <w:r w:rsidRPr="002763DF">
        <w:rPr>
          <w:rFonts w:cs="Arial"/>
          <w:b/>
          <w:noProof/>
          <w:color w:val="E36C0A" w:themeColor="accent6" w:themeShade="BF"/>
          <w:lang w:val="fr-BE"/>
        </w:rPr>
        <w:t>faire aboutir le processus de conversion</w:t>
      </w:r>
      <w:r w:rsidRPr="002763DF">
        <w:rPr>
          <w:rFonts w:cs="Arial"/>
          <w:b/>
          <w:noProof/>
          <w:lang w:val="fr-BE"/>
        </w:rPr>
        <w:t xml:space="preserve"> </w:t>
      </w:r>
      <w:r w:rsidRPr="002763DF">
        <w:rPr>
          <w:rFonts w:cs="Arial"/>
          <w:noProof/>
          <w:lang w:val="fr-BE"/>
        </w:rPr>
        <w:t>de manière aussi complète et aussi rigoureuse que possible. S’il se montre trop tolérant et offre à des exploitants forestiers dont les titres sont convertibles des contrats « de courtoisie », il court le risque que les bois issus de ces titres soient déclarés non conformes lorsqu’ils seront confrontés au système de vérification de légalité (SVL) qui sera mis en place dans le cadre des négociations, et que ces bois ne puissent dès lors pas bénéficier des autorisations FLEGT indispensables à leur exportation sur les marchés européens une fois que celles-ci seront devenues obligatoires.</w:t>
      </w:r>
    </w:p>
    <w:p w:rsidR="00FC45F9" w:rsidRPr="002763DF" w:rsidRDefault="00FC45F9" w:rsidP="00FC45F9">
      <w:pPr>
        <w:tabs>
          <w:tab w:val="left" w:pos="3828"/>
        </w:tabs>
        <w:ind w:left="-284" w:right="-567"/>
        <w:jc w:val="both"/>
        <w:rPr>
          <w:rFonts w:cs="Arial"/>
          <w:noProof/>
          <w:lang w:val="fr-BE"/>
        </w:rPr>
      </w:pPr>
      <w:r w:rsidRPr="002763DF">
        <w:rPr>
          <w:rFonts w:cs="Arial"/>
          <w:noProof/>
          <w:lang w:val="fr-BE"/>
        </w:rPr>
        <w:t>L</w:t>
      </w:r>
      <w:r w:rsidR="006B1A41" w:rsidRPr="002763DF">
        <w:rPr>
          <w:rFonts w:cs="Arial"/>
          <w:noProof/>
          <w:lang w:val="fr-BE"/>
        </w:rPr>
        <w:t>a reprise des négociations de l’APV pourrait directement contribuer à ce que l</w:t>
      </w:r>
      <w:r w:rsidRPr="002763DF">
        <w:rPr>
          <w:rFonts w:cs="Arial"/>
          <w:noProof/>
          <w:lang w:val="fr-BE"/>
        </w:rPr>
        <w:t xml:space="preserve">e </w:t>
      </w:r>
      <w:r w:rsidRPr="002763DF">
        <w:rPr>
          <w:rFonts w:cs="Arial"/>
          <w:b/>
          <w:noProof/>
          <w:color w:val="E36C0A" w:themeColor="accent6" w:themeShade="BF"/>
          <w:lang w:val="fr-BE"/>
        </w:rPr>
        <w:t>secteur de l’exploitation forestière artisanale</w:t>
      </w:r>
      <w:r w:rsidR="006B1A41" w:rsidRPr="002763DF">
        <w:rPr>
          <w:rFonts w:cs="Arial"/>
          <w:noProof/>
          <w:lang w:val="fr-BE"/>
        </w:rPr>
        <w:t>, parent pauvre des réformes forestières en cours depuis 2002,</w:t>
      </w:r>
      <w:r w:rsidRPr="002763DF">
        <w:rPr>
          <w:rFonts w:cs="Arial"/>
          <w:noProof/>
          <w:lang w:val="fr-BE"/>
        </w:rPr>
        <w:t xml:space="preserve"> </w:t>
      </w:r>
      <w:r w:rsidR="006B1A41" w:rsidRPr="002763DF">
        <w:rPr>
          <w:rFonts w:cs="Arial"/>
          <w:noProof/>
          <w:lang w:val="fr-BE"/>
        </w:rPr>
        <w:t xml:space="preserve">sorte enfin de l’ombre. </w:t>
      </w:r>
      <w:r w:rsidRPr="002763DF">
        <w:rPr>
          <w:rFonts w:cs="Arial"/>
          <w:noProof/>
          <w:lang w:val="fr-BE"/>
        </w:rPr>
        <w:t xml:space="preserve">L’élaboration de la grille de définition de la légalité relative à l’exploitation forestière artisanale, prévue dans la feuille de route indicative des négociations adoptées par la RDC et la CE en février 2011, pourrait </w:t>
      </w:r>
      <w:r w:rsidR="006B1A41" w:rsidRPr="002763DF">
        <w:rPr>
          <w:rFonts w:cs="Arial"/>
          <w:noProof/>
          <w:lang w:val="fr-BE"/>
        </w:rPr>
        <w:t xml:space="preserve">en effet </w:t>
      </w:r>
      <w:r w:rsidRPr="002763DF">
        <w:rPr>
          <w:rFonts w:cs="Arial"/>
          <w:noProof/>
          <w:lang w:val="fr-BE"/>
        </w:rPr>
        <w:t>servir de déclencheur pour que démarre enfin un débat sérieux sur le caractère obsolete et inapproprié du cadre réglementaire existant et sur la manière dont les autorités du pays entendent encadrer le secteur.</w:t>
      </w:r>
    </w:p>
    <w:p w:rsidR="00690E05" w:rsidRPr="002763DF" w:rsidRDefault="00690E05" w:rsidP="006B1A41">
      <w:pPr>
        <w:tabs>
          <w:tab w:val="left" w:pos="3828"/>
        </w:tabs>
        <w:ind w:left="-284" w:right="-567"/>
        <w:jc w:val="both"/>
        <w:rPr>
          <w:rFonts w:cs="Arial"/>
          <w:noProof/>
          <w:lang w:val="fr-BE"/>
        </w:rPr>
      </w:pPr>
      <w:r w:rsidRPr="002763DF">
        <w:rPr>
          <w:rFonts w:cs="Arial"/>
          <w:noProof/>
          <w:lang w:val="fr-BE"/>
        </w:rPr>
        <w:t xml:space="preserve">L’article 22 du code forestier de 2002 prévoit la possibilité que des concessions forestières soient attribuées directement aux communautés locales dans le cadre de la </w:t>
      </w:r>
      <w:r w:rsidRPr="002763DF">
        <w:rPr>
          <w:rFonts w:cs="Arial"/>
          <w:b/>
          <w:noProof/>
          <w:color w:val="E36C0A" w:themeColor="accent6" w:themeShade="BF"/>
          <w:lang w:val="fr-BE"/>
        </w:rPr>
        <w:t>foresterie communautaire</w:t>
      </w:r>
      <w:r w:rsidRPr="002763DF">
        <w:rPr>
          <w:rFonts w:cs="Arial"/>
          <w:noProof/>
          <w:lang w:val="fr-BE"/>
        </w:rPr>
        <w:t>, en vue notamment de leur permettre d’exploiter ces concessions pour la production de bois d’œuvre. A ce titre, les négociations de l’APV devront évidemment également porter sur les dispositions réglementaires qui seront prises en la matière. Bien que différentes propositions d’encadrement juridique aient été élaborées par différents projets d’appui de communauté internationale pour rendre l’option de la foresterie communautaire opérationnelle sur le terrain, aucun texte juridique ou réglementaire d’application n’a encore été pris en la matière par le gouvernement congolais.</w:t>
      </w:r>
      <w:r w:rsidR="00377306" w:rsidRPr="002763DF">
        <w:rPr>
          <w:rFonts w:cs="Arial"/>
          <w:noProof/>
          <w:lang w:val="fr-BE"/>
        </w:rPr>
        <w:t xml:space="preserve"> </w:t>
      </w:r>
    </w:p>
    <w:p w:rsidR="006B1A41" w:rsidRPr="002763DF" w:rsidRDefault="00377306" w:rsidP="006B1A41">
      <w:pPr>
        <w:tabs>
          <w:tab w:val="left" w:pos="3828"/>
        </w:tabs>
        <w:ind w:left="-284" w:right="-567"/>
        <w:jc w:val="both"/>
        <w:rPr>
          <w:rFonts w:cs="Arial"/>
          <w:noProof/>
          <w:lang w:val="fr-BE"/>
        </w:rPr>
      </w:pPr>
      <w:r w:rsidRPr="002763DF">
        <w:rPr>
          <w:rFonts w:cs="Arial"/>
          <w:noProof/>
          <w:lang w:val="fr-BE"/>
        </w:rPr>
        <w:t>L</w:t>
      </w:r>
      <w:r w:rsidR="006B1A41" w:rsidRPr="002763DF">
        <w:rPr>
          <w:rFonts w:cs="Arial"/>
          <w:noProof/>
          <w:lang w:val="fr-BE"/>
        </w:rPr>
        <w:t>a progression de cette option politique</w:t>
      </w:r>
      <w:r w:rsidRPr="002763DF">
        <w:rPr>
          <w:rFonts w:cs="Arial"/>
          <w:noProof/>
          <w:lang w:val="fr-BE"/>
        </w:rPr>
        <w:t xml:space="preserve"> représenter</w:t>
      </w:r>
      <w:r w:rsidR="00986226" w:rsidRPr="002763DF">
        <w:rPr>
          <w:rFonts w:cs="Arial"/>
          <w:noProof/>
          <w:lang w:val="fr-BE"/>
        </w:rPr>
        <w:t>a</w:t>
      </w:r>
      <w:r w:rsidRPr="002763DF">
        <w:rPr>
          <w:rFonts w:cs="Arial"/>
          <w:noProof/>
          <w:lang w:val="fr-BE"/>
        </w:rPr>
        <w:t>it une avancée importante pour la négociation d'un bon accord</w:t>
      </w:r>
      <w:r w:rsidR="00986226" w:rsidRPr="002763DF">
        <w:rPr>
          <w:rFonts w:cs="Arial"/>
          <w:noProof/>
          <w:lang w:val="fr-BE"/>
        </w:rPr>
        <w:t xml:space="preserve"> de partenariat volontaire</w:t>
      </w:r>
      <w:r w:rsidRPr="002763DF">
        <w:rPr>
          <w:rFonts w:cs="Arial"/>
          <w:noProof/>
          <w:lang w:val="fr-BE"/>
        </w:rPr>
        <w:t xml:space="preserve">, acceptable et reconnu comme tel par tous. En effet, </w:t>
      </w:r>
      <w:r w:rsidR="006B1A41" w:rsidRPr="002763DF">
        <w:rPr>
          <w:rFonts w:cs="Arial"/>
          <w:noProof/>
          <w:lang w:val="fr-BE"/>
        </w:rPr>
        <w:t xml:space="preserve"> l’on peut considérer qu’au sein de l’opinion publique européenne ainsi qu’au niveau de la société civile congolaise</w:t>
      </w:r>
      <w:r w:rsidRPr="002763DF">
        <w:rPr>
          <w:rFonts w:cs="Arial"/>
          <w:noProof/>
          <w:lang w:val="fr-BE"/>
        </w:rPr>
        <w:t>,</w:t>
      </w:r>
      <w:r w:rsidR="006B1A41" w:rsidRPr="002763DF">
        <w:rPr>
          <w:rFonts w:cs="Arial"/>
          <w:noProof/>
          <w:lang w:val="fr-BE"/>
        </w:rPr>
        <w:t xml:space="preserve"> de nombreuses parties prenantes n’accepteront sans doute pas de progresser sur la voie d’un APV qui se concentrerait uniquement sur l’exploitation forestière privée de type classique (fût-elle industrielle ou à échelle réduite dans le cadre d’une exploitation forestière artisanale réformée), et laisserait « lettre morte » l’option légale de  permettre aux communautés </w:t>
      </w:r>
      <w:r w:rsidR="00240DE7" w:rsidRPr="002763DF">
        <w:rPr>
          <w:rFonts w:cs="Arial"/>
          <w:noProof/>
          <w:lang w:val="fr-BE"/>
        </w:rPr>
        <w:t xml:space="preserve">locales </w:t>
      </w:r>
      <w:r w:rsidR="006B1A41" w:rsidRPr="002763DF">
        <w:rPr>
          <w:rFonts w:cs="Arial"/>
          <w:noProof/>
          <w:lang w:val="fr-BE"/>
        </w:rPr>
        <w:t xml:space="preserve">d’être également associées au processus </w:t>
      </w:r>
      <w:r w:rsidR="00690E05" w:rsidRPr="002763DF">
        <w:rPr>
          <w:rFonts w:cs="Arial"/>
          <w:noProof/>
          <w:lang w:val="fr-BE"/>
        </w:rPr>
        <w:t xml:space="preserve">d’exploitation </w:t>
      </w:r>
      <w:r w:rsidR="006B1A41" w:rsidRPr="002763DF">
        <w:rPr>
          <w:rFonts w:cs="Arial"/>
          <w:noProof/>
          <w:lang w:val="fr-BE"/>
        </w:rPr>
        <w:t>en tant qu’opérateurs à part entière.</w:t>
      </w:r>
    </w:p>
    <w:p w:rsidR="00FC45F9" w:rsidRPr="002763DF" w:rsidRDefault="00FC45F9" w:rsidP="00986226">
      <w:pPr>
        <w:tabs>
          <w:tab w:val="left" w:pos="3828"/>
        </w:tabs>
        <w:ind w:right="-567"/>
        <w:jc w:val="both"/>
        <w:rPr>
          <w:rFonts w:cs="Arial"/>
          <w:noProof/>
          <w:sz w:val="10"/>
          <w:szCs w:val="10"/>
          <w:lang w:val="fr-BE"/>
        </w:rPr>
      </w:pPr>
    </w:p>
    <w:p w:rsidR="00253745" w:rsidRPr="002763DF" w:rsidRDefault="00253745" w:rsidP="00690E05">
      <w:pPr>
        <w:pBdr>
          <w:top w:val="single" w:sz="4" w:space="1" w:color="auto"/>
          <w:left w:val="single" w:sz="4" w:space="4" w:color="auto"/>
          <w:bottom w:val="single" w:sz="4" w:space="1" w:color="auto"/>
          <w:right w:val="single" w:sz="4" w:space="4" w:color="auto"/>
        </w:pBdr>
        <w:shd w:val="clear" w:color="auto" w:fill="FFCC66"/>
        <w:tabs>
          <w:tab w:val="left" w:pos="3828"/>
        </w:tabs>
        <w:ind w:left="-284" w:right="-567"/>
        <w:jc w:val="both"/>
        <w:rPr>
          <w:rFonts w:cs="Arial"/>
          <w:noProof/>
          <w:lang w:val="fr-BE"/>
        </w:rPr>
      </w:pPr>
      <w:r w:rsidRPr="002763DF">
        <w:rPr>
          <w:rFonts w:cs="Arial"/>
          <w:noProof/>
          <w:lang w:val="fr-BE"/>
        </w:rPr>
        <w:t>Les négociations de l’APV FLEGT peuvent constituer, dès la phase des négociations, une « boussole » de l’action du gouvernement à court et à moyen terme. En précisant les éléments de légalité auxquels elle est attachée, la partie congolaise (commission technique multipartite regroupant des représentants du secteur privé et de la société civile aux côtés de l’administration) balise en effet l’action de son propre gouvernement</w:t>
      </w:r>
      <w:r w:rsidR="00377306" w:rsidRPr="002763DF">
        <w:rPr>
          <w:rFonts w:cs="Arial"/>
          <w:noProof/>
          <w:lang w:val="fr-BE"/>
        </w:rPr>
        <w:t xml:space="preserve"> et prépare la mise en œuvre de la politique forestière sur le moyen et long terme</w:t>
      </w:r>
      <w:r w:rsidRPr="002763DF">
        <w:rPr>
          <w:rFonts w:cs="Arial"/>
          <w:noProof/>
          <w:lang w:val="fr-BE"/>
        </w:rPr>
        <w:t xml:space="preserve">. </w:t>
      </w:r>
      <w:r w:rsidR="00377306" w:rsidRPr="002763DF">
        <w:rPr>
          <w:rFonts w:cs="Arial"/>
          <w:noProof/>
          <w:lang w:val="fr-BE"/>
        </w:rPr>
        <w:t xml:space="preserve">L'accord FLEGT </w:t>
      </w:r>
      <w:bookmarkStart w:id="0" w:name="_GoBack"/>
      <w:bookmarkEnd w:id="0"/>
      <w:r w:rsidR="00377306" w:rsidRPr="002763DF">
        <w:rPr>
          <w:rFonts w:cs="Arial"/>
          <w:noProof/>
          <w:lang w:val="fr-BE"/>
        </w:rPr>
        <w:t>qui est négocié devient un accord international entre le Gouvernement de la RDC et l'UE, et engage les deux parties à mettre en œuvre ce qui a été convenu dans l'accord.</w:t>
      </w:r>
    </w:p>
    <w:sectPr w:rsidR="00253745" w:rsidRPr="002763DF" w:rsidSect="00986226">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docVars>
    <w:docVar w:name="LW_DocType" w:val="NORMAL"/>
  </w:docVars>
  <w:rsids>
    <w:rsidRoot w:val="00F23447"/>
    <w:rsid w:val="00060384"/>
    <w:rsid w:val="00094B2A"/>
    <w:rsid w:val="000E0D5A"/>
    <w:rsid w:val="001A2F8E"/>
    <w:rsid w:val="00240DE7"/>
    <w:rsid w:val="00253745"/>
    <w:rsid w:val="002763DF"/>
    <w:rsid w:val="0029190E"/>
    <w:rsid w:val="00361703"/>
    <w:rsid w:val="00377306"/>
    <w:rsid w:val="004C0353"/>
    <w:rsid w:val="005039CE"/>
    <w:rsid w:val="00526AA4"/>
    <w:rsid w:val="005B53E8"/>
    <w:rsid w:val="00674284"/>
    <w:rsid w:val="00690E05"/>
    <w:rsid w:val="006A2A07"/>
    <w:rsid w:val="006B1A41"/>
    <w:rsid w:val="00753A43"/>
    <w:rsid w:val="0078186C"/>
    <w:rsid w:val="0089140B"/>
    <w:rsid w:val="008A604F"/>
    <w:rsid w:val="00986226"/>
    <w:rsid w:val="00C1354F"/>
    <w:rsid w:val="00C3558F"/>
    <w:rsid w:val="00C75DD4"/>
    <w:rsid w:val="00CB5BCB"/>
    <w:rsid w:val="00D32707"/>
    <w:rsid w:val="00F23447"/>
    <w:rsid w:val="00FB018B"/>
    <w:rsid w:val="00FB2658"/>
    <w:rsid w:val="00FC45F9"/>
    <w:rsid w:val="00FE1628"/>
    <w:rsid w:val="00FF59E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34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447"/>
    <w:rPr>
      <w:rFonts w:ascii="Tahoma" w:hAnsi="Tahoma" w:cs="Tahoma"/>
      <w:sz w:val="16"/>
      <w:szCs w:val="16"/>
    </w:rPr>
  </w:style>
  <w:style w:type="paragraph" w:styleId="Rvision">
    <w:name w:val="Revision"/>
    <w:hidden/>
    <w:uiPriority w:val="99"/>
    <w:semiHidden/>
    <w:rsid w:val="009862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1178</Words>
  <Characters>6482</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HEUSE</dc:creator>
  <cp:lastModifiedBy>Emmanuel HEUSE</cp:lastModifiedBy>
  <cp:revision>3</cp:revision>
  <dcterms:created xsi:type="dcterms:W3CDTF">2012-04-21T08:49:00Z</dcterms:created>
  <dcterms:modified xsi:type="dcterms:W3CDTF">2012-05-11T10:12:00Z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2143436597</vt:i4>
  </property>
  <property fmtid="{D5CDD505-2E9C-101B-9397-08002B2CF9AE}" pid="3" name="_NewReviewCycle">
    <vt:lpwstr/>
  </property>
  <property fmtid="{D5CDD505-2E9C-101B-9397-08002B2CF9AE}" pid="4" name="_EmailSubject">
    <vt:lpwstr>Summary State of Play</vt:lpwstr>
  </property>
  <property fmtid="{D5CDD505-2E9C-101B-9397-08002B2CF9AE}" pid="5" name="_AuthorEmail">
    <vt:lpwstr>Mathieu.BOUSQUET@ec.europa.eu</vt:lpwstr>
  </property>
  <property fmtid="{D5CDD505-2E9C-101B-9397-08002B2CF9AE}" pid="6" name="_AuthorEmailDisplayName">
    <vt:lpwstr>BOUSQUET Mathieu (DEVCO)</vt:lpwstr>
  </property>
  <property fmtid="{D5CDD505-2E9C-101B-9397-08002B2CF9AE}" pid="7" name="_ReviewingToolsShownOnce">
    <vt:lpwstr/>
  </property>
</Properties>
</file>