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ACC" w:rsidRDefault="00610ACC">
      <w:pPr>
        <w:rPr>
          <w:lang w:val="en-GB"/>
        </w:rPr>
      </w:pPr>
      <w:r>
        <w:rPr>
          <w:b/>
          <w:noProof/>
        </w:rPr>
        <w:drawing>
          <wp:anchor distT="0" distB="0" distL="114300" distR="114300" simplePos="0" relativeHeight="251658240" behindDoc="0" locked="0" layoutInCell="1" allowOverlap="1">
            <wp:simplePos x="0" y="0"/>
            <wp:positionH relativeFrom="column">
              <wp:posOffset>-438150</wp:posOffset>
            </wp:positionH>
            <wp:positionV relativeFrom="paragraph">
              <wp:posOffset>-504825</wp:posOffset>
            </wp:positionV>
            <wp:extent cx="6659880" cy="1266825"/>
            <wp:effectExtent l="19050" t="0" r="7620" b="0"/>
            <wp:wrapSquare wrapText="bothSides"/>
            <wp:docPr id="1" name="Picture 0" descr="Coun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ry.jpg"/>
                    <pic:cNvPicPr/>
                  </pic:nvPicPr>
                  <pic:blipFill>
                    <a:blip r:embed="rId7" cstate="print"/>
                    <a:stretch>
                      <a:fillRect/>
                    </a:stretch>
                  </pic:blipFill>
                  <pic:spPr>
                    <a:xfrm>
                      <a:off x="0" y="0"/>
                      <a:ext cx="6659880" cy="1266825"/>
                    </a:xfrm>
                    <a:prstGeom prst="rect">
                      <a:avLst/>
                    </a:prstGeom>
                  </pic:spPr>
                </pic:pic>
              </a:graphicData>
            </a:graphic>
          </wp:anchor>
        </w:drawing>
      </w:r>
      <w:r w:rsidR="00F10C56" w:rsidRPr="00F10C56">
        <w:rPr>
          <w:b/>
          <w:noProof/>
          <w:lang w:val="en-GB" w:eastAsia="zh-TW"/>
        </w:rPr>
        <w:pict>
          <v:shapetype id="_x0000_t202" coordsize="21600,21600" o:spt="202" path="m,l,21600r21600,l21600,xe">
            <v:stroke joinstyle="miter"/>
            <v:path gradientshapeok="t" o:connecttype="rect"/>
          </v:shapetype>
          <v:shape id="_x0000_s1027" type="#_x0000_t202" style="position:absolute;margin-left:-24.95pt;margin-top:-34.4pt;width:490.25pt;height:101.45pt;z-index:251660288;mso-height-percent:200;mso-position-horizontal-relative:text;mso-position-vertical-relative:text;mso-height-percent:200;mso-width-relative:margin;mso-height-relative:margin" filled="f" stroked="f">
            <v:textbox style="mso-fit-shape-to-text:t">
              <w:txbxContent>
                <w:p w:rsidR="00D74816" w:rsidRPr="00610ACC" w:rsidRDefault="00D74816" w:rsidP="00D74816">
                  <w:pPr>
                    <w:rPr>
                      <w:color w:val="FFFFFF" w:themeColor="background1"/>
                      <w:sz w:val="40"/>
                      <w:szCs w:val="40"/>
                    </w:rPr>
                  </w:pPr>
                  <w:r w:rsidRPr="00610ACC">
                    <w:rPr>
                      <w:b/>
                      <w:color w:val="FFFFFF" w:themeColor="background1"/>
                      <w:sz w:val="40"/>
                      <w:szCs w:val="40"/>
                      <w:lang w:val="en-GB"/>
                    </w:rPr>
                    <w:t xml:space="preserve">Effective Institutions Building Block </w:t>
                  </w:r>
                  <w:proofErr w:type="gramStart"/>
                  <w:r w:rsidRPr="00610ACC">
                    <w:rPr>
                      <w:b/>
                      <w:color w:val="FFFFFF" w:themeColor="background1"/>
                      <w:sz w:val="40"/>
                      <w:szCs w:val="40"/>
                      <w:lang w:val="en-GB"/>
                    </w:rPr>
                    <w:t>Meeting</w:t>
                  </w:r>
                  <w:proofErr w:type="gramEnd"/>
                  <w:r w:rsidR="00610ACC" w:rsidRPr="00610ACC">
                    <w:rPr>
                      <w:b/>
                      <w:color w:val="FFFFFF" w:themeColor="background1"/>
                      <w:sz w:val="40"/>
                      <w:szCs w:val="40"/>
                      <w:lang w:val="en-GB"/>
                    </w:rPr>
                    <w:br/>
                  </w:r>
                  <w:r w:rsidRPr="00610ACC">
                    <w:rPr>
                      <w:color w:val="FFFFFF" w:themeColor="background1"/>
                      <w:sz w:val="40"/>
                      <w:szCs w:val="40"/>
                      <w:lang w:val="en-GB"/>
                    </w:rPr>
                    <w:t>(26 June 2012)</w:t>
                  </w:r>
                  <w:r w:rsidR="00610ACC" w:rsidRPr="00610ACC">
                    <w:rPr>
                      <w:b/>
                      <w:color w:val="FFFFFF" w:themeColor="background1"/>
                      <w:sz w:val="40"/>
                      <w:szCs w:val="40"/>
                      <w:lang w:val="en-GB"/>
                    </w:rPr>
                    <w:br/>
                  </w:r>
                  <w:r w:rsidRPr="00610ACC">
                    <w:rPr>
                      <w:b/>
                      <w:caps/>
                      <w:color w:val="FFFFFF" w:themeColor="background1"/>
                      <w:sz w:val="40"/>
                      <w:szCs w:val="40"/>
                      <w:lang w:val="en-GB"/>
                    </w:rPr>
                    <w:t>Agenda</w:t>
                  </w:r>
                </w:p>
              </w:txbxContent>
            </v:textbox>
          </v:shape>
        </w:pict>
      </w:r>
      <w:r w:rsidR="00F10C56" w:rsidRPr="00F10C56">
        <w:rPr>
          <w:noProof/>
          <w:lang w:val="en-GB" w:eastAsia="zh-TW"/>
        </w:rPr>
        <w:pict>
          <v:shape id="_x0000_s1028" type="#_x0000_t202" style="position:absolute;margin-left:-21.2pt;margin-top:66.75pt;width:502.7pt;height:210pt;z-index:251662336;mso-position-horizontal-relative:text;mso-position-vertical-relative:text;mso-width-relative:margin;mso-height-relative:margin" fillcolor="#dbe5f1 [660]" stroked="f">
            <v:textbox inset=",2.5mm,,2.5mm">
              <w:txbxContent>
                <w:p w:rsidR="00610ACC" w:rsidRPr="00260637" w:rsidRDefault="00610ACC" w:rsidP="00260637">
                  <w:pPr>
                    <w:shd w:val="clear" w:color="auto" w:fill="DBE5F1" w:themeFill="accent1" w:themeFillTint="33"/>
                    <w:ind w:left="142"/>
                    <w:jc w:val="both"/>
                    <w:rPr>
                      <w:b/>
                      <w:color w:val="0070C0"/>
                      <w:lang w:val="sv-SE"/>
                    </w:rPr>
                  </w:pPr>
                  <w:r w:rsidRPr="00260637">
                    <w:rPr>
                      <w:b/>
                      <w:color w:val="0070C0"/>
                    </w:rPr>
                    <w:t xml:space="preserve">The main objectives of this meeting are to: </w:t>
                  </w:r>
                </w:p>
                <w:p w:rsidR="00610ACC" w:rsidRDefault="00610ACC" w:rsidP="00260637">
                  <w:pPr>
                    <w:shd w:val="clear" w:color="auto" w:fill="DBE5F1" w:themeFill="accent1" w:themeFillTint="33"/>
                    <w:ind w:left="142"/>
                    <w:jc w:val="both"/>
                    <w:rPr>
                      <w:lang w:val="sv-SE"/>
                    </w:rPr>
                  </w:pPr>
                  <w:r w:rsidRPr="00610ACC">
                    <w:rPr>
                      <w:b/>
                    </w:rPr>
                    <w:t> 1)</w:t>
                  </w:r>
                  <w:r>
                    <w:t xml:space="preserve"> </w:t>
                  </w:r>
                  <w:proofErr w:type="gramStart"/>
                  <w:r>
                    <w:t>review</w:t>
                  </w:r>
                  <w:proofErr w:type="gramEnd"/>
                  <w:r>
                    <w:t xml:space="preserve"> feedback from consultations in meeting the commitments agreed under the </w:t>
                  </w:r>
                  <w:proofErr w:type="spellStart"/>
                  <w:r>
                    <w:t>Busan</w:t>
                  </w:r>
                  <w:proofErr w:type="spellEnd"/>
                  <w:r>
                    <w:t xml:space="preserve"> Global Partnership Agreement and New Consensus on Effective Institutions; </w:t>
                  </w:r>
                </w:p>
                <w:p w:rsidR="00610ACC" w:rsidRDefault="00610ACC" w:rsidP="00260637">
                  <w:pPr>
                    <w:shd w:val="clear" w:color="auto" w:fill="DBE5F1" w:themeFill="accent1" w:themeFillTint="33"/>
                    <w:ind w:left="142"/>
                    <w:jc w:val="both"/>
                  </w:pPr>
                  <w:r w:rsidRPr="00610ACC">
                    <w:rPr>
                      <w:b/>
                    </w:rPr>
                    <w:t>2)</w:t>
                  </w:r>
                  <w:r>
                    <w:t xml:space="preserve"> </w:t>
                  </w:r>
                  <w:proofErr w:type="gramStart"/>
                  <w:r>
                    <w:t>based</w:t>
                  </w:r>
                  <w:proofErr w:type="gramEnd"/>
                  <w:r>
                    <w:t xml:space="preserve"> on an initial mapping, discuss findings and </w:t>
                  </w:r>
                  <w:r w:rsidR="00A15C3D">
                    <w:t>emerging substantive priorities</w:t>
                  </w:r>
                  <w:r>
                    <w:t>; </w:t>
                  </w:r>
                </w:p>
                <w:p w:rsidR="00610ACC" w:rsidRDefault="00610ACC" w:rsidP="00260637">
                  <w:pPr>
                    <w:shd w:val="clear" w:color="auto" w:fill="DBE5F1" w:themeFill="accent1" w:themeFillTint="33"/>
                    <w:ind w:left="142"/>
                    <w:jc w:val="both"/>
                    <w:rPr>
                      <w:lang w:val="sv-SE"/>
                    </w:rPr>
                  </w:pPr>
                  <w:r w:rsidRPr="00610ACC">
                    <w:rPr>
                      <w:b/>
                    </w:rPr>
                    <w:t>3)</w:t>
                  </w:r>
                  <w:r>
                    <w:t xml:space="preserve"> discuss continuing challenges and potential future opportunities in reaching commitments relating to making reform and capacity development happen; partner led assessments of country institutions; partner led evidence gathering; and systematic regional and global knowledge sharing; and</w:t>
                  </w:r>
                </w:p>
                <w:p w:rsidR="00610ACC" w:rsidRPr="00610ACC" w:rsidRDefault="00610ACC" w:rsidP="00260637">
                  <w:pPr>
                    <w:shd w:val="clear" w:color="auto" w:fill="DBE5F1" w:themeFill="accent1" w:themeFillTint="33"/>
                    <w:ind w:left="142"/>
                    <w:jc w:val="both"/>
                  </w:pPr>
                  <w:r w:rsidRPr="00610ACC">
                    <w:rPr>
                      <w:b/>
                    </w:rPr>
                    <w:t> 4)</w:t>
                  </w:r>
                  <w:r>
                    <w:t xml:space="preserve"> </w:t>
                  </w:r>
                  <w:proofErr w:type="gramStart"/>
                  <w:r>
                    <w:t>consider</w:t>
                  </w:r>
                  <w:proofErr w:type="gramEnd"/>
                  <w:r>
                    <w:t xml:space="preserve"> links with other </w:t>
                  </w:r>
                  <w:proofErr w:type="spellStart"/>
                  <w:r>
                    <w:t>fora</w:t>
                  </w:r>
                  <w:proofErr w:type="spellEnd"/>
                  <w:r>
                    <w:t xml:space="preserve"> working on this agenda, such as the Governance Network and discuss potential messages to the Working Party on Aid Effectiveness meeting (28-29 June).</w:t>
                  </w:r>
                </w:p>
                <w:p w:rsidR="00610ACC" w:rsidRDefault="00610ACC"/>
              </w:txbxContent>
            </v:textbox>
          </v:shape>
        </w:pict>
      </w:r>
    </w:p>
    <w:p w:rsidR="00610ACC" w:rsidRDefault="00610ACC">
      <w:pPr>
        <w:rPr>
          <w:lang w:val="en-GB"/>
        </w:rPr>
      </w:pPr>
    </w:p>
    <w:p w:rsidR="00610ACC" w:rsidRDefault="00610ACC">
      <w:pPr>
        <w:rPr>
          <w:lang w:val="en-GB"/>
        </w:rPr>
      </w:pPr>
    </w:p>
    <w:p w:rsidR="00610ACC" w:rsidRDefault="00610ACC">
      <w:pPr>
        <w:rPr>
          <w:lang w:val="en-GB"/>
        </w:rPr>
      </w:pPr>
    </w:p>
    <w:p w:rsidR="001A5FC9" w:rsidRDefault="001A5FC9">
      <w:pPr>
        <w:rPr>
          <w:lang w:val="en-GB"/>
        </w:rPr>
      </w:pPr>
    </w:p>
    <w:p w:rsidR="00610ACC" w:rsidRDefault="00610ACC">
      <w:pPr>
        <w:rPr>
          <w:lang w:val="en-GB"/>
        </w:rPr>
      </w:pPr>
    </w:p>
    <w:p w:rsidR="00610ACC" w:rsidRDefault="00610ACC">
      <w:pPr>
        <w:rPr>
          <w:lang w:val="en-GB"/>
        </w:rPr>
      </w:pPr>
    </w:p>
    <w:p w:rsidR="00610ACC" w:rsidRDefault="00610ACC">
      <w:pPr>
        <w:rPr>
          <w:lang w:val="en-GB"/>
        </w:rPr>
      </w:pPr>
    </w:p>
    <w:p w:rsidR="00610ACC" w:rsidRDefault="00610ACC" w:rsidP="00260637">
      <w:pPr>
        <w:ind w:left="-142"/>
        <w:rPr>
          <w:lang w:val="en-GB"/>
        </w:rPr>
      </w:pPr>
    </w:p>
    <w:p w:rsidR="00AC6768" w:rsidRPr="00260637" w:rsidRDefault="00AC6768" w:rsidP="00260637">
      <w:pPr>
        <w:shd w:val="clear" w:color="auto" w:fill="FFFFFF" w:themeFill="background1"/>
        <w:ind w:left="-142"/>
        <w:rPr>
          <w:b/>
          <w:color w:val="0070C0"/>
          <w:lang w:val="en-GB"/>
        </w:rPr>
      </w:pPr>
      <w:r w:rsidRPr="00260637">
        <w:rPr>
          <w:b/>
          <w:color w:val="0070C0"/>
          <w:lang w:val="en-GB"/>
        </w:rPr>
        <w:t>09:00-</w:t>
      </w:r>
      <w:r w:rsidR="005C02D9" w:rsidRPr="00260637">
        <w:rPr>
          <w:b/>
          <w:color w:val="0070C0"/>
          <w:lang w:val="en-GB"/>
        </w:rPr>
        <w:t>09:30</w:t>
      </w:r>
      <w:proofErr w:type="gramStart"/>
      <w:r w:rsidR="00312D75" w:rsidRPr="00260637">
        <w:rPr>
          <w:b/>
          <w:caps/>
          <w:color w:val="0070C0"/>
          <w:lang w:val="en-GB"/>
        </w:rPr>
        <w:t>:</w:t>
      </w:r>
      <w:proofErr w:type="gramEnd"/>
      <w:r w:rsidR="00260637">
        <w:rPr>
          <w:b/>
          <w:caps/>
          <w:color w:val="0070C0"/>
          <w:lang w:val="en-GB"/>
        </w:rPr>
        <w:br/>
      </w:r>
      <w:r w:rsidR="00312D75" w:rsidRPr="00260637">
        <w:rPr>
          <w:b/>
          <w:caps/>
          <w:color w:val="0070C0"/>
          <w:lang w:val="en-GB"/>
        </w:rPr>
        <w:t>Introduction and Presenting the Evidence since Busan on Effective Institutions</w:t>
      </w:r>
    </w:p>
    <w:p w:rsidR="00312D75" w:rsidRDefault="00312D75" w:rsidP="00260637">
      <w:pPr>
        <w:ind w:left="-142"/>
        <w:jc w:val="both"/>
        <w:rPr>
          <w:lang w:val="en-GB"/>
        </w:rPr>
      </w:pPr>
      <w:r>
        <w:rPr>
          <w:lang w:val="en-GB"/>
        </w:rPr>
        <w:t xml:space="preserve">This </w:t>
      </w:r>
      <w:r w:rsidR="005C02D9">
        <w:rPr>
          <w:lang w:val="en-GB"/>
        </w:rPr>
        <w:t>introductory session will outline the rationale behind</w:t>
      </w:r>
      <w:r>
        <w:rPr>
          <w:lang w:val="en-GB"/>
        </w:rPr>
        <w:t xml:space="preserve"> the Effective In</w:t>
      </w:r>
      <w:r w:rsidR="00A15C3D">
        <w:rPr>
          <w:lang w:val="en-GB"/>
        </w:rPr>
        <w:t xml:space="preserve">stitutions commitments at Busan, </w:t>
      </w:r>
      <w:r>
        <w:rPr>
          <w:lang w:val="en-GB"/>
        </w:rPr>
        <w:t xml:space="preserve">the creation of a voluntary initiative to take these commitments forward. The session will also include </w:t>
      </w:r>
      <w:r w:rsidR="005C02D9">
        <w:rPr>
          <w:lang w:val="en-GB"/>
        </w:rPr>
        <w:t xml:space="preserve">a brief summary of </w:t>
      </w:r>
      <w:r w:rsidR="00A15C3D">
        <w:rPr>
          <w:lang w:val="en-GB"/>
        </w:rPr>
        <w:t>prior consultations on the Effective Institutions agenda</w:t>
      </w:r>
      <w:r>
        <w:rPr>
          <w:lang w:val="en-GB"/>
        </w:rPr>
        <w:t xml:space="preserve">. </w:t>
      </w:r>
    </w:p>
    <w:p w:rsidR="00312D75" w:rsidRDefault="00AC6768" w:rsidP="00260637">
      <w:pPr>
        <w:ind w:left="-142"/>
        <w:rPr>
          <w:lang w:val="en-GB"/>
        </w:rPr>
      </w:pPr>
      <w:r w:rsidRPr="00260637">
        <w:rPr>
          <w:b/>
          <w:lang w:val="en-GB"/>
        </w:rPr>
        <w:t>1)</w:t>
      </w:r>
      <w:r>
        <w:rPr>
          <w:lang w:val="en-GB"/>
        </w:rPr>
        <w:t xml:space="preserve"> </w:t>
      </w:r>
      <w:r w:rsidR="00312D75">
        <w:rPr>
          <w:lang w:val="en-GB"/>
        </w:rPr>
        <w:t>Why a building block on</w:t>
      </w:r>
      <w:r w:rsidR="005C02D9">
        <w:rPr>
          <w:lang w:val="en-GB"/>
        </w:rPr>
        <w:t xml:space="preserve"> Effective Institutions (Ghana)</w:t>
      </w:r>
    </w:p>
    <w:p w:rsidR="005C02D9" w:rsidRDefault="005C02D9" w:rsidP="00260637">
      <w:pPr>
        <w:ind w:left="-142"/>
        <w:rPr>
          <w:lang w:val="en-GB"/>
        </w:rPr>
      </w:pPr>
      <w:r w:rsidRPr="00260637">
        <w:rPr>
          <w:b/>
          <w:lang w:val="en-GB"/>
        </w:rPr>
        <w:t>2)</w:t>
      </w:r>
      <w:r>
        <w:rPr>
          <w:lang w:val="en-GB"/>
        </w:rPr>
        <w:t xml:space="preserve"> Summary of informal consultations and brainstorming on Effective Institutions (United States)</w:t>
      </w:r>
    </w:p>
    <w:p w:rsidR="00312D75" w:rsidRPr="00610ACC" w:rsidRDefault="00312D75" w:rsidP="00260637">
      <w:pPr>
        <w:ind w:left="-142"/>
        <w:rPr>
          <w:i/>
          <w:lang w:val="en-GB"/>
        </w:rPr>
      </w:pPr>
      <w:r w:rsidRPr="00610ACC">
        <w:rPr>
          <w:i/>
          <w:lang w:val="en-GB"/>
        </w:rPr>
        <w:t>Question and Answers</w:t>
      </w:r>
    </w:p>
    <w:p w:rsidR="00AC6768" w:rsidRPr="00260637" w:rsidRDefault="005C02D9" w:rsidP="00260637">
      <w:pPr>
        <w:shd w:val="clear" w:color="auto" w:fill="FFFFFF" w:themeFill="background1"/>
        <w:ind w:left="-142"/>
        <w:rPr>
          <w:b/>
          <w:caps/>
          <w:color w:val="0070C0"/>
          <w:lang w:val="en-GB"/>
        </w:rPr>
      </w:pPr>
      <w:r w:rsidRPr="00260637">
        <w:rPr>
          <w:b/>
          <w:caps/>
          <w:color w:val="0070C0"/>
          <w:lang w:val="en-GB"/>
        </w:rPr>
        <w:t>09:30</w:t>
      </w:r>
      <w:r w:rsidR="00312D75" w:rsidRPr="00260637">
        <w:rPr>
          <w:b/>
          <w:caps/>
          <w:color w:val="0070C0"/>
          <w:lang w:val="en-GB"/>
        </w:rPr>
        <w:t>-13:0</w:t>
      </w:r>
      <w:r w:rsidR="00AC6768" w:rsidRPr="00260637">
        <w:rPr>
          <w:b/>
          <w:caps/>
          <w:color w:val="0070C0"/>
          <w:lang w:val="en-GB"/>
        </w:rPr>
        <w:t>0</w:t>
      </w:r>
      <w:proofErr w:type="gramStart"/>
      <w:r w:rsidR="00260637">
        <w:rPr>
          <w:b/>
          <w:caps/>
          <w:color w:val="0070C0"/>
          <w:lang w:val="en-GB"/>
        </w:rPr>
        <w:t>:</w:t>
      </w:r>
      <w:proofErr w:type="gramEnd"/>
      <w:r w:rsidR="00260637">
        <w:rPr>
          <w:b/>
          <w:caps/>
          <w:color w:val="0070C0"/>
          <w:lang w:val="en-GB"/>
        </w:rPr>
        <w:br/>
      </w:r>
      <w:r w:rsidR="00AC6768" w:rsidRPr="00260637">
        <w:rPr>
          <w:b/>
          <w:caps/>
          <w:color w:val="0070C0"/>
          <w:lang w:val="en-GB"/>
        </w:rPr>
        <w:t>Mapping work underway under the Building Block</w:t>
      </w:r>
    </w:p>
    <w:p w:rsidR="00312D75" w:rsidRDefault="001A5FC9" w:rsidP="00260637">
      <w:pPr>
        <w:ind w:left="-142"/>
        <w:jc w:val="both"/>
        <w:rPr>
          <w:lang w:val="en-GB"/>
        </w:rPr>
      </w:pPr>
      <w:r>
        <w:rPr>
          <w:lang w:val="en-GB"/>
        </w:rPr>
        <w:t>This</w:t>
      </w:r>
      <w:r w:rsidR="005C02D9">
        <w:rPr>
          <w:lang w:val="en-GB"/>
        </w:rPr>
        <w:t xml:space="preserve"> session will begin with a presentation of a first draft mapping exercise undertaken on what organisations and countries are currently undertaking</w:t>
      </w:r>
      <w:r w:rsidR="00E04775">
        <w:rPr>
          <w:lang w:val="en-GB"/>
        </w:rPr>
        <w:t xml:space="preserve"> or proposing</w:t>
      </w:r>
      <w:r w:rsidR="005C02D9">
        <w:rPr>
          <w:lang w:val="en-GB"/>
        </w:rPr>
        <w:t xml:space="preserve"> </w:t>
      </w:r>
      <w:r w:rsidR="00487879">
        <w:rPr>
          <w:lang w:val="en-GB"/>
        </w:rPr>
        <w:t xml:space="preserve">related to the Busan Agreement and the New </w:t>
      </w:r>
      <w:r w:rsidR="00E04775">
        <w:rPr>
          <w:lang w:val="en-GB"/>
        </w:rPr>
        <w:t>Consensus</w:t>
      </w:r>
      <w:r w:rsidR="005C02D9">
        <w:rPr>
          <w:lang w:val="en-GB"/>
        </w:rPr>
        <w:t xml:space="preserve">. </w:t>
      </w:r>
      <w:r w:rsidR="00312D75">
        <w:rPr>
          <w:lang w:val="en-GB"/>
        </w:rPr>
        <w:t xml:space="preserve">This session </w:t>
      </w:r>
      <w:r w:rsidR="005C02D9">
        <w:rPr>
          <w:lang w:val="en-GB"/>
        </w:rPr>
        <w:t xml:space="preserve">is expected to </w:t>
      </w:r>
      <w:r w:rsidR="00312D75">
        <w:rPr>
          <w:lang w:val="en-GB"/>
        </w:rPr>
        <w:t>provide further input into the mapping exercise, providing concrete examples of work underway in some of the key areas</w:t>
      </w:r>
      <w:r>
        <w:rPr>
          <w:lang w:val="en-GB"/>
        </w:rPr>
        <w:t xml:space="preserve"> identified in the New Consensus on Effective Institutions</w:t>
      </w:r>
      <w:r w:rsidR="00312D75">
        <w:rPr>
          <w:lang w:val="en-GB"/>
        </w:rPr>
        <w:t xml:space="preserve">: </w:t>
      </w:r>
      <w:r w:rsidR="0051183E">
        <w:rPr>
          <w:lang w:val="en-GB"/>
        </w:rPr>
        <w:t xml:space="preserve">such as </w:t>
      </w:r>
      <w:r w:rsidR="00312D75">
        <w:rPr>
          <w:lang w:val="en-GB"/>
        </w:rPr>
        <w:t>using country systems</w:t>
      </w:r>
      <w:r w:rsidR="00487879" w:rsidRPr="00487879">
        <w:rPr>
          <w:lang w:val="en-GB"/>
        </w:rPr>
        <w:t xml:space="preserve"> </w:t>
      </w:r>
      <w:r w:rsidR="00487879">
        <w:rPr>
          <w:lang w:val="en-GB"/>
        </w:rPr>
        <w:t>and peer review exercises</w:t>
      </w:r>
      <w:r w:rsidR="00312D75">
        <w:rPr>
          <w:lang w:val="en-GB"/>
        </w:rPr>
        <w:t xml:space="preserve">; </w:t>
      </w:r>
      <w:r w:rsidR="0051183E">
        <w:rPr>
          <w:lang w:val="en-GB"/>
        </w:rPr>
        <w:t>joint assessments</w:t>
      </w:r>
      <w:r w:rsidR="00312D75">
        <w:rPr>
          <w:lang w:val="en-GB"/>
        </w:rPr>
        <w:t xml:space="preserve">; </w:t>
      </w:r>
      <w:r w:rsidR="00A15C3D">
        <w:rPr>
          <w:lang w:val="en-GB"/>
        </w:rPr>
        <w:t xml:space="preserve">monitoring </w:t>
      </w:r>
      <w:r>
        <w:rPr>
          <w:lang w:val="en-GB"/>
        </w:rPr>
        <w:t xml:space="preserve">and </w:t>
      </w:r>
      <w:r w:rsidR="0051183E">
        <w:rPr>
          <w:lang w:val="en-GB"/>
        </w:rPr>
        <w:t>knowledge sharing</w:t>
      </w:r>
      <w:r w:rsidR="00312D75">
        <w:rPr>
          <w:lang w:val="en-GB"/>
        </w:rPr>
        <w:t xml:space="preserve">. </w:t>
      </w:r>
      <w:r>
        <w:rPr>
          <w:lang w:val="en-GB"/>
        </w:rPr>
        <w:t xml:space="preserve">Each of the areas identified by the mapping will be followed by a </w:t>
      </w:r>
      <w:r w:rsidR="00312D75">
        <w:rPr>
          <w:lang w:val="en-GB"/>
        </w:rPr>
        <w:t xml:space="preserve">discussion </w:t>
      </w:r>
      <w:r w:rsidR="00815B98">
        <w:rPr>
          <w:lang w:val="en-GB"/>
        </w:rPr>
        <w:t>to identify gaps where further work may be needed, and how to ensure</w:t>
      </w:r>
      <w:r w:rsidR="00312D75">
        <w:rPr>
          <w:lang w:val="en-GB"/>
        </w:rPr>
        <w:t xml:space="preserve"> coherence by bridging ongoing initiatives and including a broader set of stakeholders.</w:t>
      </w:r>
      <w:r w:rsidR="005C02D9" w:rsidRPr="005C02D9">
        <w:rPr>
          <w:lang w:val="en-GB"/>
        </w:rPr>
        <w:t xml:space="preserve"> </w:t>
      </w:r>
    </w:p>
    <w:p w:rsidR="00610ACC" w:rsidRDefault="00610ACC" w:rsidP="001A5FC9">
      <w:pPr>
        <w:jc w:val="both"/>
        <w:rPr>
          <w:lang w:val="en-GB"/>
        </w:rPr>
      </w:pPr>
    </w:p>
    <w:p w:rsidR="005C02D9" w:rsidRDefault="001A5FC9" w:rsidP="00610ACC">
      <w:pPr>
        <w:ind w:left="142"/>
        <w:rPr>
          <w:lang w:val="en-GB"/>
        </w:rPr>
      </w:pPr>
      <w:r w:rsidRPr="00610ACC">
        <w:rPr>
          <w:b/>
          <w:lang w:val="en-GB"/>
        </w:rPr>
        <w:t>1</w:t>
      </w:r>
      <w:r w:rsidR="005C02D9" w:rsidRPr="00610ACC">
        <w:rPr>
          <w:b/>
          <w:lang w:val="en-GB"/>
        </w:rPr>
        <w:t>)</w:t>
      </w:r>
      <w:r w:rsidR="005C02D9">
        <w:rPr>
          <w:lang w:val="en-GB"/>
        </w:rPr>
        <w:t xml:space="preserve"> Presentation of Draft Mapping of Effective Institutions work (OECD-DAC Secretariat)</w:t>
      </w:r>
      <w:r w:rsidR="008837C0">
        <w:rPr>
          <w:lang w:val="en-GB"/>
        </w:rPr>
        <w:t xml:space="preserve"> [Room Document to be shared prior to the meeting]</w:t>
      </w:r>
    </w:p>
    <w:p w:rsidR="001A5FC9" w:rsidRDefault="00815B98" w:rsidP="00610ACC">
      <w:pPr>
        <w:ind w:left="142"/>
        <w:rPr>
          <w:lang w:val="en-GB"/>
        </w:rPr>
      </w:pPr>
      <w:r w:rsidRPr="00610ACC">
        <w:rPr>
          <w:b/>
          <w:lang w:val="en-GB"/>
        </w:rPr>
        <w:t>2)</w:t>
      </w:r>
      <w:r>
        <w:rPr>
          <w:lang w:val="en-GB"/>
        </w:rPr>
        <w:t xml:space="preserve"> Presentations on how to complement the mapping exercise in the following areas (following commitments in the New Consensus)</w:t>
      </w:r>
    </w:p>
    <w:p w:rsidR="001A5FC9" w:rsidRDefault="001A5FC9" w:rsidP="00610ACC">
      <w:pPr>
        <w:numPr>
          <w:ilvl w:val="0"/>
          <w:numId w:val="6"/>
        </w:numPr>
        <w:tabs>
          <w:tab w:val="clear" w:pos="360"/>
          <w:tab w:val="num" w:pos="567"/>
        </w:tabs>
        <w:spacing w:before="100" w:beforeAutospacing="1" w:after="120" w:line="240" w:lineRule="auto"/>
        <w:ind w:left="567" w:hanging="141"/>
        <w:rPr>
          <w:rFonts w:ascii="Calibri" w:eastAsia="Times New Roman" w:hAnsi="Calibri"/>
        </w:rPr>
      </w:pPr>
      <w:r>
        <w:rPr>
          <w:rFonts w:ascii="Calibri" w:eastAsia="Times New Roman" w:hAnsi="Calibri"/>
        </w:rPr>
        <w:t>Use of country systems and Sequencing of Institutional and Policy change</w:t>
      </w:r>
      <w:r w:rsidR="001C1BE6">
        <w:rPr>
          <w:rFonts w:ascii="Calibri" w:eastAsia="Times New Roman" w:hAnsi="Calibri"/>
        </w:rPr>
        <w:t xml:space="preserve"> (including PFM/Procurement/Audit)</w:t>
      </w:r>
    </w:p>
    <w:p w:rsidR="001A5FC9" w:rsidRDefault="001A5FC9" w:rsidP="00610ACC">
      <w:pPr>
        <w:numPr>
          <w:ilvl w:val="0"/>
          <w:numId w:val="6"/>
        </w:numPr>
        <w:tabs>
          <w:tab w:val="clear" w:pos="360"/>
          <w:tab w:val="num" w:pos="567"/>
        </w:tabs>
        <w:spacing w:before="100" w:beforeAutospacing="1" w:after="120" w:line="240" w:lineRule="auto"/>
        <w:ind w:left="567" w:hanging="141"/>
        <w:rPr>
          <w:rFonts w:ascii="Calibri" w:eastAsia="Times New Roman" w:hAnsi="Calibri"/>
        </w:rPr>
      </w:pPr>
      <w:r>
        <w:rPr>
          <w:rFonts w:ascii="Calibri" w:eastAsia="Times New Roman" w:hAnsi="Calibri"/>
        </w:rPr>
        <w:t>Assessing country institutions, systems and capacity development needs, led by developing countries</w:t>
      </w:r>
    </w:p>
    <w:p w:rsidR="001A5FC9" w:rsidRDefault="001A5FC9" w:rsidP="00610ACC">
      <w:pPr>
        <w:numPr>
          <w:ilvl w:val="0"/>
          <w:numId w:val="6"/>
        </w:numPr>
        <w:tabs>
          <w:tab w:val="clear" w:pos="360"/>
          <w:tab w:val="num" w:pos="567"/>
        </w:tabs>
        <w:spacing w:before="100" w:beforeAutospacing="1" w:after="120" w:line="240" w:lineRule="auto"/>
        <w:ind w:left="567" w:hanging="141"/>
        <w:rPr>
          <w:rFonts w:ascii="Calibri" w:eastAsia="Times New Roman" w:hAnsi="Calibri"/>
        </w:rPr>
      </w:pPr>
      <w:r>
        <w:rPr>
          <w:rFonts w:ascii="Calibri" w:eastAsia="Times New Roman" w:hAnsi="Calibri"/>
        </w:rPr>
        <w:t>Evidence on institutional performance to inform policy formulation</w:t>
      </w:r>
    </w:p>
    <w:p w:rsidR="001A5FC9" w:rsidRDefault="001A5FC9" w:rsidP="00610ACC">
      <w:pPr>
        <w:numPr>
          <w:ilvl w:val="0"/>
          <w:numId w:val="6"/>
        </w:numPr>
        <w:tabs>
          <w:tab w:val="clear" w:pos="360"/>
          <w:tab w:val="num" w:pos="567"/>
        </w:tabs>
        <w:spacing w:before="100" w:beforeAutospacing="1" w:after="120" w:line="240" w:lineRule="auto"/>
        <w:ind w:left="567" w:hanging="141"/>
        <w:rPr>
          <w:rFonts w:ascii="Calibri" w:eastAsia="Times New Roman" w:hAnsi="Calibri"/>
        </w:rPr>
      </w:pPr>
      <w:r>
        <w:rPr>
          <w:rFonts w:ascii="Calibri" w:eastAsia="Times New Roman" w:hAnsi="Calibri"/>
        </w:rPr>
        <w:t>Systematic knowledge sharing and peer reviews on determinants of institutional reform</w:t>
      </w:r>
    </w:p>
    <w:p w:rsidR="005667DA" w:rsidRPr="00815B98" w:rsidRDefault="001C1BE6" w:rsidP="00610ACC">
      <w:pPr>
        <w:numPr>
          <w:ilvl w:val="0"/>
          <w:numId w:val="6"/>
        </w:numPr>
        <w:tabs>
          <w:tab w:val="clear" w:pos="360"/>
          <w:tab w:val="num" w:pos="567"/>
        </w:tabs>
        <w:spacing w:before="100" w:beforeAutospacing="1" w:after="120" w:line="240" w:lineRule="auto"/>
        <w:ind w:left="567" w:hanging="141"/>
        <w:rPr>
          <w:rFonts w:ascii="Calibri" w:eastAsia="Times New Roman" w:hAnsi="Calibri"/>
        </w:rPr>
      </w:pPr>
      <w:r>
        <w:rPr>
          <w:lang w:val="en-GB"/>
        </w:rPr>
        <w:t>Monitoring the Effective Institutions commitments</w:t>
      </w:r>
    </w:p>
    <w:p w:rsidR="00312D75" w:rsidRPr="00610ACC" w:rsidRDefault="00312D75" w:rsidP="00312D75">
      <w:pPr>
        <w:ind w:left="720"/>
        <w:rPr>
          <w:i/>
          <w:lang w:val="en-GB"/>
        </w:rPr>
      </w:pPr>
      <w:r w:rsidRPr="00610ACC">
        <w:rPr>
          <w:i/>
          <w:lang w:val="en-GB"/>
        </w:rPr>
        <w:t>Questions and Answers</w:t>
      </w:r>
    </w:p>
    <w:p w:rsidR="00AC6768" w:rsidRPr="00260637" w:rsidRDefault="00260637" w:rsidP="00260637">
      <w:pPr>
        <w:shd w:val="clear" w:color="auto" w:fill="FFFFFF" w:themeFill="background1"/>
        <w:rPr>
          <w:b/>
          <w:caps/>
          <w:color w:val="0070C0"/>
          <w:lang w:val="en-GB"/>
        </w:rPr>
      </w:pPr>
      <w:r>
        <w:rPr>
          <w:b/>
          <w:caps/>
          <w:color w:val="0070C0"/>
          <w:lang w:val="en-GB"/>
        </w:rPr>
        <w:t>14:00-17:00</w:t>
      </w:r>
      <w:proofErr w:type="gramStart"/>
      <w:r>
        <w:rPr>
          <w:b/>
          <w:caps/>
          <w:color w:val="0070C0"/>
          <w:lang w:val="en-GB"/>
        </w:rPr>
        <w:t>:</w:t>
      </w:r>
      <w:proofErr w:type="gramEnd"/>
      <w:r>
        <w:rPr>
          <w:b/>
          <w:caps/>
          <w:color w:val="0070C0"/>
          <w:lang w:val="en-GB"/>
        </w:rPr>
        <w:br/>
      </w:r>
      <w:r w:rsidR="00312D75" w:rsidRPr="00260637">
        <w:rPr>
          <w:b/>
          <w:caps/>
          <w:color w:val="0070C0"/>
          <w:lang w:val="en-GB"/>
        </w:rPr>
        <w:t xml:space="preserve">The Building Block going forward </w:t>
      </w:r>
    </w:p>
    <w:p w:rsidR="00312D75" w:rsidRDefault="00312D75" w:rsidP="00815B98">
      <w:pPr>
        <w:jc w:val="both"/>
        <w:rPr>
          <w:lang w:val="en-GB"/>
        </w:rPr>
      </w:pPr>
      <w:r>
        <w:rPr>
          <w:lang w:val="en-GB"/>
        </w:rPr>
        <w:t xml:space="preserve">This session will help prepare the working level arrangements of the Building Block. In particular it will discuss the proposed linkages to the Global Partnership on Effective Development Cooperation (including monitoring of the related commitments). It will bring in key stakeholders to discuss how to forge productive linkages with other </w:t>
      </w:r>
      <w:proofErr w:type="spellStart"/>
      <w:r>
        <w:rPr>
          <w:lang w:val="en-GB"/>
        </w:rPr>
        <w:t>fora</w:t>
      </w:r>
      <w:proofErr w:type="spellEnd"/>
      <w:r>
        <w:rPr>
          <w:lang w:val="en-GB"/>
        </w:rPr>
        <w:t xml:space="preserve"> (for example a renewed gov</w:t>
      </w:r>
      <w:r w:rsidR="001C1BE6">
        <w:rPr>
          <w:lang w:val="en-GB"/>
        </w:rPr>
        <w:t>ernance network in the OECD-DAC</w:t>
      </w:r>
      <w:r>
        <w:rPr>
          <w:lang w:val="en-GB"/>
        </w:rPr>
        <w:t>). Finally, it will discuss potential ways of supporting this building block through secretarial support.</w:t>
      </w:r>
    </w:p>
    <w:p w:rsidR="001C1BE6" w:rsidRDefault="001C1BE6" w:rsidP="00610ACC">
      <w:pPr>
        <w:ind w:left="284"/>
        <w:rPr>
          <w:lang w:val="en-GB"/>
        </w:rPr>
      </w:pPr>
      <w:r w:rsidRPr="00610ACC">
        <w:rPr>
          <w:b/>
          <w:lang w:val="en-GB"/>
        </w:rPr>
        <w:t>1</w:t>
      </w:r>
      <w:r w:rsidR="00312D75" w:rsidRPr="00610ACC">
        <w:rPr>
          <w:b/>
          <w:lang w:val="en-GB"/>
        </w:rPr>
        <w:t>)</w:t>
      </w:r>
      <w:r w:rsidR="00312D75">
        <w:rPr>
          <w:lang w:val="en-GB"/>
        </w:rPr>
        <w:t xml:space="preserve"> </w:t>
      </w:r>
      <w:r>
        <w:rPr>
          <w:lang w:val="en-GB"/>
        </w:rPr>
        <w:t>Discussion on</w:t>
      </w:r>
      <w:r w:rsidR="00312D75">
        <w:rPr>
          <w:lang w:val="en-GB"/>
        </w:rPr>
        <w:t xml:space="preserve"> </w:t>
      </w:r>
      <w:r w:rsidR="00AC6768">
        <w:rPr>
          <w:lang w:val="en-GB"/>
        </w:rPr>
        <w:t xml:space="preserve">linkages to the Global Partnership on Effective Development Cooperation </w:t>
      </w:r>
    </w:p>
    <w:p w:rsidR="00AC6768" w:rsidRDefault="001C1BE6" w:rsidP="00610ACC">
      <w:pPr>
        <w:ind w:left="284"/>
        <w:rPr>
          <w:lang w:val="en-GB"/>
        </w:rPr>
      </w:pPr>
      <w:r w:rsidRPr="00610ACC">
        <w:rPr>
          <w:b/>
          <w:lang w:val="en-GB"/>
        </w:rPr>
        <w:t>2</w:t>
      </w:r>
      <w:r w:rsidR="00AC6768" w:rsidRPr="00610ACC">
        <w:rPr>
          <w:b/>
          <w:lang w:val="en-GB"/>
        </w:rPr>
        <w:t>)</w:t>
      </w:r>
      <w:r w:rsidR="00AC6768">
        <w:rPr>
          <w:lang w:val="en-GB"/>
        </w:rPr>
        <w:t xml:space="preserve"> </w:t>
      </w:r>
      <w:r>
        <w:rPr>
          <w:lang w:val="en-GB"/>
        </w:rPr>
        <w:t>Linkages</w:t>
      </w:r>
      <w:r w:rsidR="00312D75">
        <w:rPr>
          <w:lang w:val="en-GB"/>
        </w:rPr>
        <w:t xml:space="preserve"> with other </w:t>
      </w:r>
      <w:proofErr w:type="spellStart"/>
      <w:r w:rsidR="00312D75">
        <w:rPr>
          <w:lang w:val="en-GB"/>
        </w:rPr>
        <w:t>fora</w:t>
      </w:r>
      <w:proofErr w:type="spellEnd"/>
      <w:r w:rsidR="00312D75">
        <w:rPr>
          <w:lang w:val="en-GB"/>
        </w:rPr>
        <w:t xml:space="preserve"> </w:t>
      </w:r>
      <w:r w:rsidR="00815B98">
        <w:rPr>
          <w:lang w:val="en-GB"/>
        </w:rPr>
        <w:t xml:space="preserve">and communities of practice </w:t>
      </w:r>
      <w:r w:rsidR="00312D75">
        <w:rPr>
          <w:lang w:val="en-GB"/>
        </w:rPr>
        <w:t xml:space="preserve">(GOVNET chair, </w:t>
      </w:r>
      <w:r>
        <w:rPr>
          <w:lang w:val="en-GB"/>
        </w:rPr>
        <w:t>INCAF</w:t>
      </w:r>
      <w:r w:rsidR="00312D75">
        <w:rPr>
          <w:lang w:val="en-GB"/>
        </w:rPr>
        <w:t xml:space="preserve">) </w:t>
      </w:r>
    </w:p>
    <w:p w:rsidR="001C1BE6" w:rsidRDefault="001C1BE6" w:rsidP="00610ACC">
      <w:pPr>
        <w:ind w:left="284"/>
        <w:rPr>
          <w:lang w:val="en-GB"/>
        </w:rPr>
      </w:pPr>
      <w:r w:rsidRPr="00610ACC">
        <w:rPr>
          <w:b/>
          <w:lang w:val="en-GB"/>
        </w:rPr>
        <w:t>3</w:t>
      </w:r>
      <w:r w:rsidR="00A667E0" w:rsidRPr="00610ACC">
        <w:rPr>
          <w:b/>
          <w:lang w:val="en-GB"/>
        </w:rPr>
        <w:t>)</w:t>
      </w:r>
      <w:r>
        <w:rPr>
          <w:lang w:val="en-GB"/>
        </w:rPr>
        <w:t xml:space="preserve"> Process for monitoring the implementation of Effective Institutions commitments (e.g. country systems indicators)</w:t>
      </w:r>
      <w:r w:rsidR="00A667E0">
        <w:rPr>
          <w:lang w:val="en-GB"/>
        </w:rPr>
        <w:t xml:space="preserve"> </w:t>
      </w:r>
    </w:p>
    <w:p w:rsidR="00AC6768" w:rsidRDefault="001C1BE6" w:rsidP="00610ACC">
      <w:pPr>
        <w:ind w:left="284"/>
        <w:rPr>
          <w:lang w:val="en-GB"/>
        </w:rPr>
      </w:pPr>
      <w:r w:rsidRPr="00610ACC">
        <w:rPr>
          <w:b/>
          <w:lang w:val="en-GB"/>
        </w:rPr>
        <w:t>4)</w:t>
      </w:r>
      <w:r>
        <w:rPr>
          <w:lang w:val="en-GB"/>
        </w:rPr>
        <w:t xml:space="preserve"> </w:t>
      </w:r>
      <w:r w:rsidR="00A667E0">
        <w:rPr>
          <w:lang w:val="en-GB"/>
        </w:rPr>
        <w:t xml:space="preserve">Next Steps </w:t>
      </w:r>
    </w:p>
    <w:p w:rsidR="00AC6768" w:rsidRDefault="00AC6768">
      <w:pPr>
        <w:rPr>
          <w:lang w:val="en-GB"/>
        </w:rPr>
      </w:pPr>
    </w:p>
    <w:p w:rsidR="00AC6768" w:rsidRDefault="00AC6768">
      <w:pPr>
        <w:rPr>
          <w:lang w:val="en-GB"/>
        </w:rPr>
      </w:pPr>
    </w:p>
    <w:p w:rsidR="00AC6768" w:rsidRPr="00AC6768" w:rsidRDefault="00AC6768">
      <w:pPr>
        <w:rPr>
          <w:lang w:val="en-GB"/>
        </w:rPr>
      </w:pPr>
    </w:p>
    <w:sectPr w:rsidR="00AC6768" w:rsidRPr="00AC6768" w:rsidSect="00D74816">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E66" w:rsidRDefault="003F0E66" w:rsidP="00610ACC">
      <w:pPr>
        <w:spacing w:after="0" w:line="240" w:lineRule="auto"/>
      </w:pPr>
      <w:r>
        <w:separator/>
      </w:r>
    </w:p>
  </w:endnote>
  <w:endnote w:type="continuationSeparator" w:id="0">
    <w:p w:rsidR="003F0E66" w:rsidRDefault="003F0E66" w:rsidP="00610A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CC" w:rsidRDefault="00610ACC">
    <w:pPr>
      <w:pStyle w:val="Footer"/>
    </w:pPr>
    <w:r>
      <w:rPr>
        <w:noProof/>
      </w:rPr>
      <w:drawing>
        <wp:anchor distT="0" distB="0" distL="114300" distR="114300" simplePos="0" relativeHeight="251658240" behindDoc="0" locked="0" layoutInCell="1" allowOverlap="1">
          <wp:simplePos x="0" y="0"/>
          <wp:positionH relativeFrom="column">
            <wp:posOffset>-342900</wp:posOffset>
          </wp:positionH>
          <wp:positionV relativeFrom="paragraph">
            <wp:posOffset>-179705</wp:posOffset>
          </wp:positionV>
          <wp:extent cx="6660515" cy="200025"/>
          <wp:effectExtent l="19050" t="0" r="6985" b="0"/>
          <wp:wrapSquare wrapText="bothSides"/>
          <wp:docPr id="4" name="Picture 3" descr="c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g.jpg"/>
                  <pic:cNvPicPr/>
                </pic:nvPicPr>
                <pic:blipFill>
                  <a:blip r:embed="rId1"/>
                  <a:stretch>
                    <a:fillRect/>
                  </a:stretch>
                </pic:blipFill>
                <pic:spPr>
                  <a:xfrm>
                    <a:off x="0" y="0"/>
                    <a:ext cx="6660515" cy="20002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E66" w:rsidRDefault="003F0E66" w:rsidP="00610ACC">
      <w:pPr>
        <w:spacing w:after="0" w:line="240" w:lineRule="auto"/>
      </w:pPr>
      <w:r>
        <w:separator/>
      </w:r>
    </w:p>
  </w:footnote>
  <w:footnote w:type="continuationSeparator" w:id="0">
    <w:p w:rsidR="003F0E66" w:rsidRDefault="003F0E66" w:rsidP="00610A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46A2"/>
    <w:multiLevelType w:val="multilevel"/>
    <w:tmpl w:val="0F822A8A"/>
    <w:lvl w:ilvl="0">
      <w:start w:val="1"/>
      <w:numFmt w:val="bullet"/>
      <w:lvlText w:val=""/>
      <w:lvlJc w:val="left"/>
      <w:pPr>
        <w:tabs>
          <w:tab w:val="num" w:pos="360"/>
        </w:tabs>
        <w:ind w:left="360" w:hanging="360"/>
      </w:pPr>
      <w:rPr>
        <w:rFonts w:ascii="Wingdings" w:hAnsi="Wingdings" w:hint="default"/>
        <w:color w:val="1F497D" w:themeColor="text2"/>
        <w:sz w:val="32"/>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1BF40AEF"/>
    <w:multiLevelType w:val="multilevel"/>
    <w:tmpl w:val="3CD62B3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nsid w:val="3C206718"/>
    <w:multiLevelType w:val="multilevel"/>
    <w:tmpl w:val="AB7E9766"/>
    <w:lvl w:ilvl="0">
      <w:start w:val="1"/>
      <w:numFmt w:val="bullet"/>
      <w:lvlText w:val=""/>
      <w:lvlJc w:val="left"/>
      <w:pPr>
        <w:tabs>
          <w:tab w:val="num" w:pos="360"/>
        </w:tabs>
        <w:ind w:left="360" w:hanging="360"/>
      </w:pPr>
      <w:rPr>
        <w:rFonts w:ascii="Symbol" w:hAnsi="Symbol" w:hint="default"/>
        <w:color w:val="0070C0"/>
        <w:sz w:val="32"/>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nsid w:val="3F8C0C15"/>
    <w:multiLevelType w:val="multilevel"/>
    <w:tmpl w:val="6CA68DC8"/>
    <w:lvl w:ilvl="0">
      <w:start w:val="1"/>
      <w:numFmt w:val="bullet"/>
      <w:lvlText w:val=""/>
      <w:lvlJc w:val="left"/>
      <w:pPr>
        <w:tabs>
          <w:tab w:val="num" w:pos="360"/>
        </w:tabs>
        <w:ind w:left="360" w:hanging="360"/>
      </w:pPr>
      <w:rPr>
        <w:rFonts w:ascii="Symbol" w:hAnsi="Symbol" w:hint="default"/>
        <w:color w:val="0070C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nsid w:val="47FC618E"/>
    <w:multiLevelType w:val="multilevel"/>
    <w:tmpl w:val="9D4E61B6"/>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5">
    <w:nsid w:val="638D5F85"/>
    <w:multiLevelType w:val="multilevel"/>
    <w:tmpl w:val="87FE8BC2"/>
    <w:lvl w:ilvl="0">
      <w:start w:val="1"/>
      <w:numFmt w:val="bullet"/>
      <w:lvlText w:val=""/>
      <w:lvlJc w:val="left"/>
      <w:pPr>
        <w:tabs>
          <w:tab w:val="num" w:pos="360"/>
        </w:tabs>
        <w:ind w:left="360" w:hanging="360"/>
      </w:pPr>
      <w:rPr>
        <w:rFonts w:ascii="Symbol" w:hAnsi="Symbol" w:hint="default"/>
        <w:color w:val="0070C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AC6768"/>
    <w:rsid w:val="00000080"/>
    <w:rsid w:val="00002BB1"/>
    <w:rsid w:val="00003EB3"/>
    <w:rsid w:val="00010C2A"/>
    <w:rsid w:val="00017EA0"/>
    <w:rsid w:val="000212B9"/>
    <w:rsid w:val="0002172F"/>
    <w:rsid w:val="000234B4"/>
    <w:rsid w:val="000260E1"/>
    <w:rsid w:val="0003129F"/>
    <w:rsid w:val="00033921"/>
    <w:rsid w:val="000339BF"/>
    <w:rsid w:val="00033F97"/>
    <w:rsid w:val="00036F33"/>
    <w:rsid w:val="000374F5"/>
    <w:rsid w:val="00041CC6"/>
    <w:rsid w:val="00041E07"/>
    <w:rsid w:val="00044F83"/>
    <w:rsid w:val="00051AEE"/>
    <w:rsid w:val="00053C6E"/>
    <w:rsid w:val="00054C37"/>
    <w:rsid w:val="00054D4B"/>
    <w:rsid w:val="00060402"/>
    <w:rsid w:val="00063075"/>
    <w:rsid w:val="00064A59"/>
    <w:rsid w:val="00073452"/>
    <w:rsid w:val="000742CA"/>
    <w:rsid w:val="00075BE9"/>
    <w:rsid w:val="0008271F"/>
    <w:rsid w:val="000864CE"/>
    <w:rsid w:val="00086AD7"/>
    <w:rsid w:val="00090895"/>
    <w:rsid w:val="000925E8"/>
    <w:rsid w:val="00093C42"/>
    <w:rsid w:val="000A0D95"/>
    <w:rsid w:val="000A1DA1"/>
    <w:rsid w:val="000A4488"/>
    <w:rsid w:val="000B0853"/>
    <w:rsid w:val="000B748E"/>
    <w:rsid w:val="000C06AE"/>
    <w:rsid w:val="000C354C"/>
    <w:rsid w:val="000C5CAD"/>
    <w:rsid w:val="000E17FD"/>
    <w:rsid w:val="000E324A"/>
    <w:rsid w:val="000F62F4"/>
    <w:rsid w:val="00103098"/>
    <w:rsid w:val="001115CC"/>
    <w:rsid w:val="001145ED"/>
    <w:rsid w:val="00116F1F"/>
    <w:rsid w:val="00122291"/>
    <w:rsid w:val="00131744"/>
    <w:rsid w:val="00134FF8"/>
    <w:rsid w:val="001419BC"/>
    <w:rsid w:val="00143D8B"/>
    <w:rsid w:val="00144ABF"/>
    <w:rsid w:val="001507BD"/>
    <w:rsid w:val="0015381F"/>
    <w:rsid w:val="00154E72"/>
    <w:rsid w:val="00160405"/>
    <w:rsid w:val="00166BA3"/>
    <w:rsid w:val="0017063D"/>
    <w:rsid w:val="00171FD3"/>
    <w:rsid w:val="00172C58"/>
    <w:rsid w:val="001735EC"/>
    <w:rsid w:val="00174182"/>
    <w:rsid w:val="00175A68"/>
    <w:rsid w:val="001775B0"/>
    <w:rsid w:val="00180685"/>
    <w:rsid w:val="0018435F"/>
    <w:rsid w:val="001865B5"/>
    <w:rsid w:val="00187619"/>
    <w:rsid w:val="00196D9F"/>
    <w:rsid w:val="001A5FC9"/>
    <w:rsid w:val="001A7BA1"/>
    <w:rsid w:val="001B01FC"/>
    <w:rsid w:val="001B74C5"/>
    <w:rsid w:val="001B76C4"/>
    <w:rsid w:val="001B7AFD"/>
    <w:rsid w:val="001C1245"/>
    <w:rsid w:val="001C1BE6"/>
    <w:rsid w:val="001C3DEE"/>
    <w:rsid w:val="001C3F38"/>
    <w:rsid w:val="001C47D9"/>
    <w:rsid w:val="001D144E"/>
    <w:rsid w:val="001D2E66"/>
    <w:rsid w:val="001D34BF"/>
    <w:rsid w:val="001D36B7"/>
    <w:rsid w:val="001D44CA"/>
    <w:rsid w:val="001D6136"/>
    <w:rsid w:val="001D7624"/>
    <w:rsid w:val="001D777A"/>
    <w:rsid w:val="001E4725"/>
    <w:rsid w:val="001F1C48"/>
    <w:rsid w:val="001F41DF"/>
    <w:rsid w:val="001F756F"/>
    <w:rsid w:val="00203DC6"/>
    <w:rsid w:val="00211DE5"/>
    <w:rsid w:val="00220E96"/>
    <w:rsid w:val="00225599"/>
    <w:rsid w:val="002255A5"/>
    <w:rsid w:val="00225C17"/>
    <w:rsid w:val="00226DE4"/>
    <w:rsid w:val="002311FB"/>
    <w:rsid w:val="0023164B"/>
    <w:rsid w:val="00236748"/>
    <w:rsid w:val="00241269"/>
    <w:rsid w:val="002415ED"/>
    <w:rsid w:val="00241CF3"/>
    <w:rsid w:val="00246B78"/>
    <w:rsid w:val="00251D1F"/>
    <w:rsid w:val="00260637"/>
    <w:rsid w:val="0026247B"/>
    <w:rsid w:val="002633BC"/>
    <w:rsid w:val="00266915"/>
    <w:rsid w:val="0027056F"/>
    <w:rsid w:val="00270DA2"/>
    <w:rsid w:val="00272AC1"/>
    <w:rsid w:val="00273125"/>
    <w:rsid w:val="00277A7D"/>
    <w:rsid w:val="00281746"/>
    <w:rsid w:val="00283EFD"/>
    <w:rsid w:val="002864C6"/>
    <w:rsid w:val="00290384"/>
    <w:rsid w:val="00290FAE"/>
    <w:rsid w:val="00294333"/>
    <w:rsid w:val="002A5F87"/>
    <w:rsid w:val="002A6718"/>
    <w:rsid w:val="002A744F"/>
    <w:rsid w:val="002B2CDF"/>
    <w:rsid w:val="002B3C6F"/>
    <w:rsid w:val="002B6B80"/>
    <w:rsid w:val="002B709B"/>
    <w:rsid w:val="002C057C"/>
    <w:rsid w:val="002C13DB"/>
    <w:rsid w:val="002C6134"/>
    <w:rsid w:val="002C78C8"/>
    <w:rsid w:val="002D64A8"/>
    <w:rsid w:val="002D7CA6"/>
    <w:rsid w:val="002D7FE1"/>
    <w:rsid w:val="002E3B99"/>
    <w:rsid w:val="002E4FB1"/>
    <w:rsid w:val="002E5422"/>
    <w:rsid w:val="002E69F0"/>
    <w:rsid w:val="002E7C8E"/>
    <w:rsid w:val="002F110E"/>
    <w:rsid w:val="002F2739"/>
    <w:rsid w:val="002F2B3B"/>
    <w:rsid w:val="002F7FCE"/>
    <w:rsid w:val="00300376"/>
    <w:rsid w:val="00303011"/>
    <w:rsid w:val="00306C7F"/>
    <w:rsid w:val="0031016B"/>
    <w:rsid w:val="003128AA"/>
    <w:rsid w:val="00312D75"/>
    <w:rsid w:val="003134C9"/>
    <w:rsid w:val="00317A71"/>
    <w:rsid w:val="00322891"/>
    <w:rsid w:val="00325F9A"/>
    <w:rsid w:val="00327C67"/>
    <w:rsid w:val="003328A2"/>
    <w:rsid w:val="0033322A"/>
    <w:rsid w:val="00342690"/>
    <w:rsid w:val="00346D5D"/>
    <w:rsid w:val="0034764B"/>
    <w:rsid w:val="00347C63"/>
    <w:rsid w:val="003538AD"/>
    <w:rsid w:val="003647BC"/>
    <w:rsid w:val="00373803"/>
    <w:rsid w:val="00377757"/>
    <w:rsid w:val="0038600B"/>
    <w:rsid w:val="00386FC7"/>
    <w:rsid w:val="00390036"/>
    <w:rsid w:val="003917ED"/>
    <w:rsid w:val="003929F2"/>
    <w:rsid w:val="0039584C"/>
    <w:rsid w:val="00397AB1"/>
    <w:rsid w:val="003A3328"/>
    <w:rsid w:val="003A35EB"/>
    <w:rsid w:val="003A633A"/>
    <w:rsid w:val="003B32E6"/>
    <w:rsid w:val="003B4B40"/>
    <w:rsid w:val="003B57B0"/>
    <w:rsid w:val="003C2141"/>
    <w:rsid w:val="003C2450"/>
    <w:rsid w:val="003C2AEE"/>
    <w:rsid w:val="003C71B6"/>
    <w:rsid w:val="003D08C2"/>
    <w:rsid w:val="003D164F"/>
    <w:rsid w:val="003D40B3"/>
    <w:rsid w:val="003E29AF"/>
    <w:rsid w:val="003F0962"/>
    <w:rsid w:val="003F0E66"/>
    <w:rsid w:val="003F1981"/>
    <w:rsid w:val="003F1B1A"/>
    <w:rsid w:val="003F4CF9"/>
    <w:rsid w:val="003F6627"/>
    <w:rsid w:val="003F7DDB"/>
    <w:rsid w:val="00402F27"/>
    <w:rsid w:val="0040385B"/>
    <w:rsid w:val="00404AA2"/>
    <w:rsid w:val="00404E3C"/>
    <w:rsid w:val="004055BF"/>
    <w:rsid w:val="00407933"/>
    <w:rsid w:val="00411959"/>
    <w:rsid w:val="004137FD"/>
    <w:rsid w:val="004240BE"/>
    <w:rsid w:val="004252B0"/>
    <w:rsid w:val="00425887"/>
    <w:rsid w:val="0043153C"/>
    <w:rsid w:val="00431DC3"/>
    <w:rsid w:val="004340B3"/>
    <w:rsid w:val="0043506B"/>
    <w:rsid w:val="0044212E"/>
    <w:rsid w:val="00451727"/>
    <w:rsid w:val="004529BC"/>
    <w:rsid w:val="00453BA5"/>
    <w:rsid w:val="00457608"/>
    <w:rsid w:val="00467BA5"/>
    <w:rsid w:val="004754D0"/>
    <w:rsid w:val="00481CE6"/>
    <w:rsid w:val="00487879"/>
    <w:rsid w:val="00487D29"/>
    <w:rsid w:val="00491C11"/>
    <w:rsid w:val="004957A5"/>
    <w:rsid w:val="0049613E"/>
    <w:rsid w:val="004A78FB"/>
    <w:rsid w:val="004B7AED"/>
    <w:rsid w:val="004C43BA"/>
    <w:rsid w:val="004C69E8"/>
    <w:rsid w:val="004D710C"/>
    <w:rsid w:val="004E1231"/>
    <w:rsid w:val="004E6DD7"/>
    <w:rsid w:val="004F17A7"/>
    <w:rsid w:val="00502CFB"/>
    <w:rsid w:val="005046AA"/>
    <w:rsid w:val="00507388"/>
    <w:rsid w:val="0051183E"/>
    <w:rsid w:val="00514BDB"/>
    <w:rsid w:val="0052295B"/>
    <w:rsid w:val="00523F1D"/>
    <w:rsid w:val="005242C8"/>
    <w:rsid w:val="00525D72"/>
    <w:rsid w:val="0052718D"/>
    <w:rsid w:val="0053043B"/>
    <w:rsid w:val="005323B8"/>
    <w:rsid w:val="00535F6B"/>
    <w:rsid w:val="005449B0"/>
    <w:rsid w:val="00544A40"/>
    <w:rsid w:val="005511D7"/>
    <w:rsid w:val="0055346C"/>
    <w:rsid w:val="005544CF"/>
    <w:rsid w:val="005553B1"/>
    <w:rsid w:val="005613F2"/>
    <w:rsid w:val="005631D1"/>
    <w:rsid w:val="005650B7"/>
    <w:rsid w:val="005667DA"/>
    <w:rsid w:val="00570C04"/>
    <w:rsid w:val="005710B1"/>
    <w:rsid w:val="00572F92"/>
    <w:rsid w:val="0058053F"/>
    <w:rsid w:val="005937DE"/>
    <w:rsid w:val="00593872"/>
    <w:rsid w:val="005A7C94"/>
    <w:rsid w:val="005B0DFC"/>
    <w:rsid w:val="005B2F8F"/>
    <w:rsid w:val="005B4CAA"/>
    <w:rsid w:val="005B6F39"/>
    <w:rsid w:val="005B7E42"/>
    <w:rsid w:val="005C02D9"/>
    <w:rsid w:val="005C0F5D"/>
    <w:rsid w:val="005C3B75"/>
    <w:rsid w:val="005C3DD8"/>
    <w:rsid w:val="005C75BE"/>
    <w:rsid w:val="005C7F2D"/>
    <w:rsid w:val="005D0BA2"/>
    <w:rsid w:val="005D3EFB"/>
    <w:rsid w:val="005E7852"/>
    <w:rsid w:val="005F261F"/>
    <w:rsid w:val="005F4232"/>
    <w:rsid w:val="005F632C"/>
    <w:rsid w:val="00601586"/>
    <w:rsid w:val="00603227"/>
    <w:rsid w:val="00607706"/>
    <w:rsid w:val="00610ACC"/>
    <w:rsid w:val="00615C81"/>
    <w:rsid w:val="00616E46"/>
    <w:rsid w:val="006236AA"/>
    <w:rsid w:val="00630138"/>
    <w:rsid w:val="00643CC5"/>
    <w:rsid w:val="00644967"/>
    <w:rsid w:val="00646E38"/>
    <w:rsid w:val="00650CAB"/>
    <w:rsid w:val="00652286"/>
    <w:rsid w:val="006523DE"/>
    <w:rsid w:val="00656BBB"/>
    <w:rsid w:val="00657DD7"/>
    <w:rsid w:val="006639E7"/>
    <w:rsid w:val="0066739E"/>
    <w:rsid w:val="00667805"/>
    <w:rsid w:val="00672B1B"/>
    <w:rsid w:val="00672F87"/>
    <w:rsid w:val="006777CB"/>
    <w:rsid w:val="006803B9"/>
    <w:rsid w:val="00692B71"/>
    <w:rsid w:val="00695E63"/>
    <w:rsid w:val="0069771D"/>
    <w:rsid w:val="006A375B"/>
    <w:rsid w:val="006A74DF"/>
    <w:rsid w:val="006A75CA"/>
    <w:rsid w:val="006B25D1"/>
    <w:rsid w:val="006B7BBB"/>
    <w:rsid w:val="006C0C6E"/>
    <w:rsid w:val="006C2829"/>
    <w:rsid w:val="006C550E"/>
    <w:rsid w:val="006C572B"/>
    <w:rsid w:val="006C6DEA"/>
    <w:rsid w:val="006C6FEF"/>
    <w:rsid w:val="006D04BF"/>
    <w:rsid w:val="006D75D8"/>
    <w:rsid w:val="006E1C14"/>
    <w:rsid w:val="006E2793"/>
    <w:rsid w:val="006E3DA2"/>
    <w:rsid w:val="006F385E"/>
    <w:rsid w:val="006F640B"/>
    <w:rsid w:val="007021C7"/>
    <w:rsid w:val="00702314"/>
    <w:rsid w:val="00707B7D"/>
    <w:rsid w:val="0071201D"/>
    <w:rsid w:val="007133A2"/>
    <w:rsid w:val="00715FC5"/>
    <w:rsid w:val="00720863"/>
    <w:rsid w:val="0072139B"/>
    <w:rsid w:val="00721F15"/>
    <w:rsid w:val="00722CE8"/>
    <w:rsid w:val="007246C9"/>
    <w:rsid w:val="00726EB5"/>
    <w:rsid w:val="00727623"/>
    <w:rsid w:val="007355EF"/>
    <w:rsid w:val="0073781E"/>
    <w:rsid w:val="00745239"/>
    <w:rsid w:val="0076741A"/>
    <w:rsid w:val="00773127"/>
    <w:rsid w:val="00773E85"/>
    <w:rsid w:val="00785321"/>
    <w:rsid w:val="0079007A"/>
    <w:rsid w:val="00792C80"/>
    <w:rsid w:val="00793706"/>
    <w:rsid w:val="00795A80"/>
    <w:rsid w:val="00795F9A"/>
    <w:rsid w:val="007A291F"/>
    <w:rsid w:val="007A5F34"/>
    <w:rsid w:val="007A71BB"/>
    <w:rsid w:val="007C2772"/>
    <w:rsid w:val="007C7BC2"/>
    <w:rsid w:val="007D0F19"/>
    <w:rsid w:val="007E523B"/>
    <w:rsid w:val="007E653C"/>
    <w:rsid w:val="007F05C3"/>
    <w:rsid w:val="007F4AD0"/>
    <w:rsid w:val="007F5238"/>
    <w:rsid w:val="007F656C"/>
    <w:rsid w:val="00806987"/>
    <w:rsid w:val="00806CF7"/>
    <w:rsid w:val="008158A0"/>
    <w:rsid w:val="00815B98"/>
    <w:rsid w:val="0081753E"/>
    <w:rsid w:val="008176B7"/>
    <w:rsid w:val="00817B41"/>
    <w:rsid w:val="008206D2"/>
    <w:rsid w:val="00826357"/>
    <w:rsid w:val="00831BCE"/>
    <w:rsid w:val="00832BB6"/>
    <w:rsid w:val="008361E8"/>
    <w:rsid w:val="00842953"/>
    <w:rsid w:val="0084518B"/>
    <w:rsid w:val="008476AE"/>
    <w:rsid w:val="008522A9"/>
    <w:rsid w:val="00853461"/>
    <w:rsid w:val="0086155C"/>
    <w:rsid w:val="00866879"/>
    <w:rsid w:val="00867A62"/>
    <w:rsid w:val="00870C19"/>
    <w:rsid w:val="00873144"/>
    <w:rsid w:val="00873147"/>
    <w:rsid w:val="00873D6D"/>
    <w:rsid w:val="00875E99"/>
    <w:rsid w:val="00881E03"/>
    <w:rsid w:val="008837C0"/>
    <w:rsid w:val="008906E3"/>
    <w:rsid w:val="00896210"/>
    <w:rsid w:val="008A04C6"/>
    <w:rsid w:val="008B579A"/>
    <w:rsid w:val="008B57E1"/>
    <w:rsid w:val="008C0380"/>
    <w:rsid w:val="008C34D3"/>
    <w:rsid w:val="008E05EA"/>
    <w:rsid w:val="008E0E81"/>
    <w:rsid w:val="008E26F4"/>
    <w:rsid w:val="008E5D18"/>
    <w:rsid w:val="008E64D3"/>
    <w:rsid w:val="008E780A"/>
    <w:rsid w:val="008F050B"/>
    <w:rsid w:val="008F12FC"/>
    <w:rsid w:val="008F2D39"/>
    <w:rsid w:val="008F452D"/>
    <w:rsid w:val="008F599A"/>
    <w:rsid w:val="0090002F"/>
    <w:rsid w:val="00900C9F"/>
    <w:rsid w:val="0090221F"/>
    <w:rsid w:val="00907A57"/>
    <w:rsid w:val="00907FD3"/>
    <w:rsid w:val="00910A67"/>
    <w:rsid w:val="009115BC"/>
    <w:rsid w:val="009120B1"/>
    <w:rsid w:val="00914486"/>
    <w:rsid w:val="00916905"/>
    <w:rsid w:val="0092201E"/>
    <w:rsid w:val="00922668"/>
    <w:rsid w:val="00924BA0"/>
    <w:rsid w:val="00932756"/>
    <w:rsid w:val="00936133"/>
    <w:rsid w:val="0094052C"/>
    <w:rsid w:val="009412FB"/>
    <w:rsid w:val="009425A7"/>
    <w:rsid w:val="009447BE"/>
    <w:rsid w:val="00952F49"/>
    <w:rsid w:val="00961829"/>
    <w:rsid w:val="009626A3"/>
    <w:rsid w:val="00965192"/>
    <w:rsid w:val="009724B6"/>
    <w:rsid w:val="0097593F"/>
    <w:rsid w:val="00980CDD"/>
    <w:rsid w:val="009819FD"/>
    <w:rsid w:val="009865FB"/>
    <w:rsid w:val="00986E14"/>
    <w:rsid w:val="0099342B"/>
    <w:rsid w:val="009939C2"/>
    <w:rsid w:val="00993DA0"/>
    <w:rsid w:val="00993E34"/>
    <w:rsid w:val="00993F37"/>
    <w:rsid w:val="00995415"/>
    <w:rsid w:val="00995EE3"/>
    <w:rsid w:val="009A02A3"/>
    <w:rsid w:val="009A3E8A"/>
    <w:rsid w:val="009B2F56"/>
    <w:rsid w:val="009B3720"/>
    <w:rsid w:val="009B6174"/>
    <w:rsid w:val="009B6C0A"/>
    <w:rsid w:val="009C16BE"/>
    <w:rsid w:val="009C3A94"/>
    <w:rsid w:val="009C6964"/>
    <w:rsid w:val="009D1743"/>
    <w:rsid w:val="009D218D"/>
    <w:rsid w:val="009D5DE6"/>
    <w:rsid w:val="009E0DC8"/>
    <w:rsid w:val="009E3873"/>
    <w:rsid w:val="009E667D"/>
    <w:rsid w:val="009F0138"/>
    <w:rsid w:val="00A0135C"/>
    <w:rsid w:val="00A1002B"/>
    <w:rsid w:val="00A13BD1"/>
    <w:rsid w:val="00A15C3D"/>
    <w:rsid w:val="00A24F12"/>
    <w:rsid w:val="00A30382"/>
    <w:rsid w:val="00A32E7C"/>
    <w:rsid w:val="00A44622"/>
    <w:rsid w:val="00A5193A"/>
    <w:rsid w:val="00A51B7B"/>
    <w:rsid w:val="00A53127"/>
    <w:rsid w:val="00A61058"/>
    <w:rsid w:val="00A65785"/>
    <w:rsid w:val="00A667E0"/>
    <w:rsid w:val="00A67898"/>
    <w:rsid w:val="00A727FF"/>
    <w:rsid w:val="00A758A6"/>
    <w:rsid w:val="00A76BE6"/>
    <w:rsid w:val="00A8084F"/>
    <w:rsid w:val="00A80B47"/>
    <w:rsid w:val="00A82C38"/>
    <w:rsid w:val="00A83897"/>
    <w:rsid w:val="00A8642E"/>
    <w:rsid w:val="00A87CD4"/>
    <w:rsid w:val="00A92692"/>
    <w:rsid w:val="00AA4DD9"/>
    <w:rsid w:val="00AA5C31"/>
    <w:rsid w:val="00AB0BB7"/>
    <w:rsid w:val="00AB4802"/>
    <w:rsid w:val="00AC004A"/>
    <w:rsid w:val="00AC1F14"/>
    <w:rsid w:val="00AC2404"/>
    <w:rsid w:val="00AC29D7"/>
    <w:rsid w:val="00AC4241"/>
    <w:rsid w:val="00AC46A0"/>
    <w:rsid w:val="00AC5BB4"/>
    <w:rsid w:val="00AC6768"/>
    <w:rsid w:val="00AD3AF2"/>
    <w:rsid w:val="00AD4C8B"/>
    <w:rsid w:val="00AE0901"/>
    <w:rsid w:val="00AE27CF"/>
    <w:rsid w:val="00AE7AC3"/>
    <w:rsid w:val="00AF2481"/>
    <w:rsid w:val="00AF7B26"/>
    <w:rsid w:val="00B0138E"/>
    <w:rsid w:val="00B022EA"/>
    <w:rsid w:val="00B0236C"/>
    <w:rsid w:val="00B036D4"/>
    <w:rsid w:val="00B05B8B"/>
    <w:rsid w:val="00B216DE"/>
    <w:rsid w:val="00B22CD6"/>
    <w:rsid w:val="00B23EE3"/>
    <w:rsid w:val="00B25307"/>
    <w:rsid w:val="00B31D71"/>
    <w:rsid w:val="00B36138"/>
    <w:rsid w:val="00B371CB"/>
    <w:rsid w:val="00B432AC"/>
    <w:rsid w:val="00B45150"/>
    <w:rsid w:val="00B454A7"/>
    <w:rsid w:val="00B4590C"/>
    <w:rsid w:val="00B46392"/>
    <w:rsid w:val="00B54A35"/>
    <w:rsid w:val="00B6032F"/>
    <w:rsid w:val="00B61DA8"/>
    <w:rsid w:val="00B6221F"/>
    <w:rsid w:val="00B64053"/>
    <w:rsid w:val="00B747E1"/>
    <w:rsid w:val="00B74AAB"/>
    <w:rsid w:val="00B77C67"/>
    <w:rsid w:val="00B85A1A"/>
    <w:rsid w:val="00B87034"/>
    <w:rsid w:val="00B870FC"/>
    <w:rsid w:val="00B94AB7"/>
    <w:rsid w:val="00BA1AAF"/>
    <w:rsid w:val="00BA4A9B"/>
    <w:rsid w:val="00BB1640"/>
    <w:rsid w:val="00BC1121"/>
    <w:rsid w:val="00BC201D"/>
    <w:rsid w:val="00BC5896"/>
    <w:rsid w:val="00BC7664"/>
    <w:rsid w:val="00BD0057"/>
    <w:rsid w:val="00BD3D2F"/>
    <w:rsid w:val="00BE36A0"/>
    <w:rsid w:val="00BE67A5"/>
    <w:rsid w:val="00BF2857"/>
    <w:rsid w:val="00C007D6"/>
    <w:rsid w:val="00C03DA2"/>
    <w:rsid w:val="00C053D5"/>
    <w:rsid w:val="00C0600D"/>
    <w:rsid w:val="00C07279"/>
    <w:rsid w:val="00C10AAF"/>
    <w:rsid w:val="00C1330C"/>
    <w:rsid w:val="00C173F5"/>
    <w:rsid w:val="00C17F43"/>
    <w:rsid w:val="00C25579"/>
    <w:rsid w:val="00C32179"/>
    <w:rsid w:val="00C32530"/>
    <w:rsid w:val="00C35351"/>
    <w:rsid w:val="00C4367C"/>
    <w:rsid w:val="00C44798"/>
    <w:rsid w:val="00C45438"/>
    <w:rsid w:val="00C47D6B"/>
    <w:rsid w:val="00C633F7"/>
    <w:rsid w:val="00C65D7D"/>
    <w:rsid w:val="00C727A6"/>
    <w:rsid w:val="00C72ED8"/>
    <w:rsid w:val="00C74745"/>
    <w:rsid w:val="00C762D6"/>
    <w:rsid w:val="00C81C06"/>
    <w:rsid w:val="00C83B82"/>
    <w:rsid w:val="00C93CD6"/>
    <w:rsid w:val="00C94F11"/>
    <w:rsid w:val="00CA380C"/>
    <w:rsid w:val="00CA4806"/>
    <w:rsid w:val="00CB0DF3"/>
    <w:rsid w:val="00CB1816"/>
    <w:rsid w:val="00CB3105"/>
    <w:rsid w:val="00CB7DAD"/>
    <w:rsid w:val="00CC0F20"/>
    <w:rsid w:val="00CC2DFA"/>
    <w:rsid w:val="00CC7BAD"/>
    <w:rsid w:val="00CD32B5"/>
    <w:rsid w:val="00CD37ED"/>
    <w:rsid w:val="00CD5771"/>
    <w:rsid w:val="00CD6638"/>
    <w:rsid w:val="00CF0788"/>
    <w:rsid w:val="00CF4CB9"/>
    <w:rsid w:val="00CF5D06"/>
    <w:rsid w:val="00CF67F1"/>
    <w:rsid w:val="00CF74B1"/>
    <w:rsid w:val="00D05981"/>
    <w:rsid w:val="00D110B7"/>
    <w:rsid w:val="00D1388F"/>
    <w:rsid w:val="00D15DAD"/>
    <w:rsid w:val="00D20C7A"/>
    <w:rsid w:val="00D23F1D"/>
    <w:rsid w:val="00D33B2F"/>
    <w:rsid w:val="00D33B65"/>
    <w:rsid w:val="00D46928"/>
    <w:rsid w:val="00D46CAD"/>
    <w:rsid w:val="00D53064"/>
    <w:rsid w:val="00D557F1"/>
    <w:rsid w:val="00D6017C"/>
    <w:rsid w:val="00D7170D"/>
    <w:rsid w:val="00D71CD9"/>
    <w:rsid w:val="00D720A9"/>
    <w:rsid w:val="00D74816"/>
    <w:rsid w:val="00D76837"/>
    <w:rsid w:val="00D848A3"/>
    <w:rsid w:val="00D8490C"/>
    <w:rsid w:val="00D87F20"/>
    <w:rsid w:val="00D93004"/>
    <w:rsid w:val="00D96540"/>
    <w:rsid w:val="00D967D7"/>
    <w:rsid w:val="00DA0FE9"/>
    <w:rsid w:val="00DA3FF0"/>
    <w:rsid w:val="00DB0E65"/>
    <w:rsid w:val="00DB2B9E"/>
    <w:rsid w:val="00DB40F1"/>
    <w:rsid w:val="00DC2828"/>
    <w:rsid w:val="00DD03FE"/>
    <w:rsid w:val="00DD0969"/>
    <w:rsid w:val="00DD1A1E"/>
    <w:rsid w:val="00DD1A4B"/>
    <w:rsid w:val="00DD44DA"/>
    <w:rsid w:val="00DD6EEF"/>
    <w:rsid w:val="00DE1C5E"/>
    <w:rsid w:val="00DE22E7"/>
    <w:rsid w:val="00DE304A"/>
    <w:rsid w:val="00DE3FE3"/>
    <w:rsid w:val="00DF449F"/>
    <w:rsid w:val="00DF7CE6"/>
    <w:rsid w:val="00E006B1"/>
    <w:rsid w:val="00E00F36"/>
    <w:rsid w:val="00E00FEE"/>
    <w:rsid w:val="00E039D0"/>
    <w:rsid w:val="00E04775"/>
    <w:rsid w:val="00E22478"/>
    <w:rsid w:val="00E22B12"/>
    <w:rsid w:val="00E233A5"/>
    <w:rsid w:val="00E24DEC"/>
    <w:rsid w:val="00E267D6"/>
    <w:rsid w:val="00E4109E"/>
    <w:rsid w:val="00E4585D"/>
    <w:rsid w:val="00E5081B"/>
    <w:rsid w:val="00E51307"/>
    <w:rsid w:val="00E5182C"/>
    <w:rsid w:val="00E537BE"/>
    <w:rsid w:val="00E53E2A"/>
    <w:rsid w:val="00E61379"/>
    <w:rsid w:val="00E632A6"/>
    <w:rsid w:val="00E75016"/>
    <w:rsid w:val="00E77783"/>
    <w:rsid w:val="00E87261"/>
    <w:rsid w:val="00E95B75"/>
    <w:rsid w:val="00E95E66"/>
    <w:rsid w:val="00E960AA"/>
    <w:rsid w:val="00E979EA"/>
    <w:rsid w:val="00EA209E"/>
    <w:rsid w:val="00EA7B0A"/>
    <w:rsid w:val="00EB062A"/>
    <w:rsid w:val="00EB0863"/>
    <w:rsid w:val="00EB1715"/>
    <w:rsid w:val="00EB393D"/>
    <w:rsid w:val="00EB7676"/>
    <w:rsid w:val="00EC37F5"/>
    <w:rsid w:val="00EC4D7F"/>
    <w:rsid w:val="00EC6F6C"/>
    <w:rsid w:val="00ED030B"/>
    <w:rsid w:val="00ED12C7"/>
    <w:rsid w:val="00ED20C3"/>
    <w:rsid w:val="00EE21D1"/>
    <w:rsid w:val="00EF7BA1"/>
    <w:rsid w:val="00F0005E"/>
    <w:rsid w:val="00F029A3"/>
    <w:rsid w:val="00F0664E"/>
    <w:rsid w:val="00F07B3E"/>
    <w:rsid w:val="00F10AC3"/>
    <w:rsid w:val="00F10C56"/>
    <w:rsid w:val="00F229C0"/>
    <w:rsid w:val="00F257AC"/>
    <w:rsid w:val="00F2659A"/>
    <w:rsid w:val="00F3459B"/>
    <w:rsid w:val="00F36864"/>
    <w:rsid w:val="00F518A9"/>
    <w:rsid w:val="00F527B7"/>
    <w:rsid w:val="00F7784D"/>
    <w:rsid w:val="00F8202C"/>
    <w:rsid w:val="00F849F2"/>
    <w:rsid w:val="00F9598E"/>
    <w:rsid w:val="00F96083"/>
    <w:rsid w:val="00F96933"/>
    <w:rsid w:val="00FA01D3"/>
    <w:rsid w:val="00FA2AE6"/>
    <w:rsid w:val="00FA2ED1"/>
    <w:rsid w:val="00FA56DE"/>
    <w:rsid w:val="00FA61ED"/>
    <w:rsid w:val="00FB0EAC"/>
    <w:rsid w:val="00FB581A"/>
    <w:rsid w:val="00FC32AD"/>
    <w:rsid w:val="00FD0510"/>
    <w:rsid w:val="00FD5787"/>
    <w:rsid w:val="00FE09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3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7879"/>
    <w:rPr>
      <w:sz w:val="16"/>
      <w:szCs w:val="16"/>
    </w:rPr>
  </w:style>
  <w:style w:type="paragraph" w:styleId="CommentText">
    <w:name w:val="annotation text"/>
    <w:basedOn w:val="Normal"/>
    <w:link w:val="CommentTextChar"/>
    <w:uiPriority w:val="99"/>
    <w:semiHidden/>
    <w:unhideWhenUsed/>
    <w:rsid w:val="00487879"/>
    <w:pPr>
      <w:spacing w:line="240" w:lineRule="auto"/>
    </w:pPr>
    <w:rPr>
      <w:sz w:val="20"/>
      <w:szCs w:val="20"/>
    </w:rPr>
  </w:style>
  <w:style w:type="character" w:customStyle="1" w:styleId="CommentTextChar">
    <w:name w:val="Comment Text Char"/>
    <w:basedOn w:val="DefaultParagraphFont"/>
    <w:link w:val="CommentText"/>
    <w:uiPriority w:val="99"/>
    <w:semiHidden/>
    <w:rsid w:val="00487879"/>
    <w:rPr>
      <w:sz w:val="20"/>
      <w:szCs w:val="20"/>
    </w:rPr>
  </w:style>
  <w:style w:type="paragraph" w:styleId="CommentSubject">
    <w:name w:val="annotation subject"/>
    <w:basedOn w:val="CommentText"/>
    <w:next w:val="CommentText"/>
    <w:link w:val="CommentSubjectChar"/>
    <w:uiPriority w:val="99"/>
    <w:semiHidden/>
    <w:unhideWhenUsed/>
    <w:rsid w:val="00487879"/>
    <w:rPr>
      <w:b/>
      <w:bCs/>
    </w:rPr>
  </w:style>
  <w:style w:type="character" w:customStyle="1" w:styleId="CommentSubjectChar">
    <w:name w:val="Comment Subject Char"/>
    <w:basedOn w:val="CommentTextChar"/>
    <w:link w:val="CommentSubject"/>
    <w:uiPriority w:val="99"/>
    <w:semiHidden/>
    <w:rsid w:val="00487879"/>
    <w:rPr>
      <w:b/>
      <w:bCs/>
    </w:rPr>
  </w:style>
  <w:style w:type="paragraph" w:styleId="BalloonText">
    <w:name w:val="Balloon Text"/>
    <w:basedOn w:val="Normal"/>
    <w:link w:val="BalloonTextChar"/>
    <w:uiPriority w:val="99"/>
    <w:semiHidden/>
    <w:unhideWhenUsed/>
    <w:rsid w:val="00487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879"/>
    <w:rPr>
      <w:rFonts w:ascii="Tahoma" w:hAnsi="Tahoma" w:cs="Tahoma"/>
      <w:sz w:val="16"/>
      <w:szCs w:val="16"/>
    </w:rPr>
  </w:style>
  <w:style w:type="paragraph" w:styleId="Header">
    <w:name w:val="header"/>
    <w:basedOn w:val="Normal"/>
    <w:link w:val="HeaderChar"/>
    <w:uiPriority w:val="99"/>
    <w:semiHidden/>
    <w:unhideWhenUsed/>
    <w:rsid w:val="00610A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0ACC"/>
  </w:style>
  <w:style w:type="paragraph" w:styleId="Footer">
    <w:name w:val="footer"/>
    <w:basedOn w:val="Normal"/>
    <w:link w:val="FooterChar"/>
    <w:uiPriority w:val="99"/>
    <w:semiHidden/>
    <w:unhideWhenUsed/>
    <w:rsid w:val="00610A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0ACC"/>
  </w:style>
</w:styles>
</file>

<file path=word/webSettings.xml><?xml version="1.0" encoding="utf-8"?>
<w:webSettings xmlns:r="http://schemas.openxmlformats.org/officeDocument/2006/relationships" xmlns:w="http://schemas.openxmlformats.org/wordprocessingml/2006/main">
  <w:divs>
    <w:div w:id="65692695">
      <w:bodyDiv w:val="1"/>
      <w:marLeft w:val="0"/>
      <w:marRight w:val="0"/>
      <w:marTop w:val="0"/>
      <w:marBottom w:val="0"/>
      <w:divBdr>
        <w:top w:val="none" w:sz="0" w:space="0" w:color="auto"/>
        <w:left w:val="none" w:sz="0" w:space="0" w:color="auto"/>
        <w:bottom w:val="none" w:sz="0" w:space="0" w:color="auto"/>
        <w:right w:val="none" w:sz="0" w:space="0" w:color="auto"/>
      </w:divBdr>
    </w:div>
    <w:div w:id="206871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fyson_s</dc:creator>
  <cp:keywords/>
  <dc:description/>
  <cp:lastModifiedBy>fyson_s</cp:lastModifiedBy>
  <cp:revision>2</cp:revision>
  <cp:lastPrinted>2012-06-14T13:17:00Z</cp:lastPrinted>
  <dcterms:created xsi:type="dcterms:W3CDTF">2012-06-14T15:38:00Z</dcterms:created>
  <dcterms:modified xsi:type="dcterms:W3CDTF">2012-06-14T15:38:00Z</dcterms:modified>
</cp:coreProperties>
</file>