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BF1" w:rsidRDefault="00FC55CE" w:rsidP="001C0BF1">
      <w:pPr>
        <w:pStyle w:val="Heading1"/>
        <w:jc w:val="center"/>
        <w:rPr>
          <w:lang w:val="en-GB"/>
        </w:rPr>
      </w:pPr>
      <w:r w:rsidRPr="00FC55CE">
        <w:rPr>
          <w:lang w:val="en-GB"/>
        </w:rPr>
        <w:t>Effective Institutions</w:t>
      </w:r>
      <w:r w:rsidR="00C60D3E">
        <w:rPr>
          <w:lang w:val="en-GB"/>
        </w:rPr>
        <w:t xml:space="preserve"> ‘Building Block’</w:t>
      </w:r>
    </w:p>
    <w:p w:rsidR="00FC55CE" w:rsidRPr="00FC55CE" w:rsidRDefault="00FC55CE" w:rsidP="001C0BF1">
      <w:pPr>
        <w:pStyle w:val="Heading1"/>
        <w:spacing w:before="0"/>
        <w:jc w:val="center"/>
        <w:rPr>
          <w:lang w:val="en-GB"/>
        </w:rPr>
      </w:pPr>
      <w:r w:rsidRPr="00FC55CE">
        <w:rPr>
          <w:lang w:val="en-GB"/>
        </w:rPr>
        <w:t xml:space="preserve">Mapping </w:t>
      </w:r>
      <w:r w:rsidR="001C0BF1">
        <w:rPr>
          <w:lang w:val="en-GB"/>
        </w:rPr>
        <w:t>current trends</w:t>
      </w:r>
      <w:r w:rsidRPr="00FC55CE">
        <w:rPr>
          <w:lang w:val="en-GB"/>
        </w:rPr>
        <w:t xml:space="preserve"> (</w:t>
      </w:r>
      <w:r w:rsidR="00C60D3E" w:rsidRPr="007439C7">
        <w:rPr>
          <w:u w:val="single"/>
          <w:lang w:val="en-GB"/>
        </w:rPr>
        <w:t xml:space="preserve">ZERO </w:t>
      </w:r>
      <w:r w:rsidRPr="007439C7">
        <w:rPr>
          <w:u w:val="single"/>
          <w:lang w:val="en-GB"/>
        </w:rPr>
        <w:t>DRAFT</w:t>
      </w:r>
      <w:r w:rsidRPr="00FC55CE">
        <w:rPr>
          <w:lang w:val="en-GB"/>
        </w:rPr>
        <w:t>)</w:t>
      </w:r>
    </w:p>
    <w:p w:rsidR="00D31D3B" w:rsidRDefault="00D31D3B">
      <w:pPr>
        <w:rPr>
          <w:b/>
          <w:lang w:val="en-GB"/>
        </w:rPr>
      </w:pPr>
    </w:p>
    <w:p w:rsidR="00713DE6" w:rsidRDefault="00713DE6" w:rsidP="00E93C1C">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2F2F2" w:themeFill="background1" w:themeFillShade="F2"/>
        <w:rPr>
          <w:b/>
          <w:i/>
          <w:lang w:val="en-GB"/>
        </w:rPr>
      </w:pPr>
    </w:p>
    <w:p w:rsidR="006E3567" w:rsidRDefault="00FB4BC6" w:rsidP="00E93C1C">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2F2F2" w:themeFill="background1" w:themeFillShade="F2"/>
        <w:rPr>
          <w:color w:val="1F497D" w:themeColor="text2"/>
          <w:lang w:val="en-GB"/>
        </w:rPr>
      </w:pPr>
      <w:r w:rsidRPr="00FE38EE">
        <w:rPr>
          <w:color w:val="1F497D" w:themeColor="text2"/>
          <w:lang w:val="en-GB"/>
        </w:rPr>
        <w:t>The</w:t>
      </w:r>
      <w:r w:rsidR="00713DE6" w:rsidRPr="00FE38EE">
        <w:rPr>
          <w:color w:val="1F497D" w:themeColor="text2"/>
          <w:lang w:val="en-GB"/>
        </w:rPr>
        <w:t xml:space="preserve"> </w:t>
      </w:r>
      <w:r w:rsidR="00713DE6" w:rsidRPr="00D31D3B">
        <w:rPr>
          <w:i/>
          <w:color w:val="1F497D" w:themeColor="text2"/>
          <w:lang w:val="en-GB"/>
        </w:rPr>
        <w:t xml:space="preserve">Busan </w:t>
      </w:r>
      <w:r w:rsidRPr="00D31D3B">
        <w:rPr>
          <w:i/>
          <w:color w:val="1F497D" w:themeColor="text2"/>
          <w:lang w:val="en-GB"/>
        </w:rPr>
        <w:t xml:space="preserve">Partnership </w:t>
      </w:r>
      <w:r w:rsidR="00352DC7" w:rsidRPr="00D31D3B">
        <w:rPr>
          <w:i/>
          <w:color w:val="1F497D" w:themeColor="text2"/>
          <w:lang w:val="en-GB"/>
        </w:rPr>
        <w:t>on Effective Development Cooperation</w:t>
      </w:r>
      <w:r w:rsidR="00D31D3B">
        <w:rPr>
          <w:i/>
          <w:color w:val="1F497D" w:themeColor="text2"/>
          <w:lang w:val="en-GB"/>
        </w:rPr>
        <w:t>,</w:t>
      </w:r>
      <w:r w:rsidR="006E3567">
        <w:rPr>
          <w:color w:val="1F497D" w:themeColor="text2"/>
          <w:lang w:val="en-GB"/>
        </w:rPr>
        <w:t xml:space="preserve"> </w:t>
      </w:r>
      <w:r w:rsidR="00D31D3B">
        <w:rPr>
          <w:color w:val="1F497D" w:themeColor="text2"/>
          <w:lang w:val="en-GB"/>
        </w:rPr>
        <w:t>endorsed</w:t>
      </w:r>
      <w:r w:rsidR="006E3567">
        <w:rPr>
          <w:color w:val="1F497D" w:themeColor="text2"/>
          <w:lang w:val="en-GB"/>
        </w:rPr>
        <w:t xml:space="preserve"> in December 2011</w:t>
      </w:r>
      <w:r w:rsidR="00D31D3B">
        <w:rPr>
          <w:color w:val="1F497D" w:themeColor="text2"/>
          <w:lang w:val="en-GB"/>
        </w:rPr>
        <w:t>,</w:t>
      </w:r>
      <w:r w:rsidR="00352DC7" w:rsidRPr="00FE38EE">
        <w:rPr>
          <w:color w:val="1F497D" w:themeColor="text2"/>
          <w:lang w:val="en-GB"/>
        </w:rPr>
        <w:t xml:space="preserve"> included a number of commitments </w:t>
      </w:r>
      <w:r w:rsidR="0084767B">
        <w:rPr>
          <w:color w:val="1F497D" w:themeColor="text2"/>
          <w:lang w:val="en-GB"/>
        </w:rPr>
        <w:t>relating to</w:t>
      </w:r>
      <w:r w:rsidR="00352DC7" w:rsidRPr="00FE38EE">
        <w:rPr>
          <w:color w:val="1F497D" w:themeColor="text2"/>
          <w:lang w:val="en-GB"/>
        </w:rPr>
        <w:t xml:space="preserve"> Effective Institutions</w:t>
      </w:r>
      <w:r w:rsidR="00E93C1C">
        <w:rPr>
          <w:color w:val="1F497D" w:themeColor="text2"/>
          <w:lang w:val="en-GB"/>
        </w:rPr>
        <w:t xml:space="preserve"> (§29)</w:t>
      </w:r>
      <w:r w:rsidR="00352DC7" w:rsidRPr="00FE38EE">
        <w:rPr>
          <w:color w:val="1F497D" w:themeColor="text2"/>
          <w:lang w:val="en-GB"/>
        </w:rPr>
        <w:t xml:space="preserve">: </w:t>
      </w:r>
    </w:p>
    <w:p w:rsidR="006E3567" w:rsidRPr="006E3567" w:rsidRDefault="003E3542" w:rsidP="00E93C1C">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2F2F2" w:themeFill="background1" w:themeFillShade="F2"/>
        <w:jc w:val="both"/>
        <w:rPr>
          <w:color w:val="1F497D" w:themeColor="text2"/>
          <w:lang w:val="en-GB"/>
        </w:rPr>
      </w:pPr>
      <w:r w:rsidRPr="00FE38EE">
        <w:rPr>
          <w:color w:val="1F497D" w:themeColor="text2"/>
          <w:lang w:val="en-GB"/>
        </w:rPr>
        <w:tab/>
      </w:r>
      <w:r w:rsidRPr="00FE38EE">
        <w:rPr>
          <w:color w:val="1F497D" w:themeColor="text2"/>
          <w:lang w:val="en-GB"/>
        </w:rPr>
        <w:sym w:font="Wingdings" w:char="F0A7"/>
      </w:r>
      <w:r w:rsidRPr="00FE38EE">
        <w:rPr>
          <w:color w:val="1F497D" w:themeColor="text2"/>
          <w:lang w:val="en-GB"/>
        </w:rPr>
        <w:t xml:space="preserve"> </w:t>
      </w:r>
      <w:r w:rsidR="006E3567" w:rsidRPr="006E3567">
        <w:rPr>
          <w:color w:val="1F497D" w:themeColor="text2"/>
          <w:lang w:val="en-GB"/>
        </w:rPr>
        <w:t xml:space="preserve">Support the implementation of institutional and policy changes led by developing countries, </w:t>
      </w:r>
      <w:r w:rsidR="006E3567">
        <w:rPr>
          <w:color w:val="1F497D" w:themeColor="text2"/>
          <w:lang w:val="en-GB"/>
        </w:rPr>
        <w:tab/>
      </w:r>
      <w:r w:rsidR="006E3567" w:rsidRPr="006E3567">
        <w:rPr>
          <w:color w:val="1F497D" w:themeColor="text2"/>
          <w:lang w:val="en-GB"/>
        </w:rPr>
        <w:t>resulting in effective resource mobilisation and service delivery, including national and sub-</w:t>
      </w:r>
      <w:r w:rsidR="006E3567">
        <w:rPr>
          <w:color w:val="1F497D" w:themeColor="text2"/>
          <w:lang w:val="en-GB"/>
        </w:rPr>
        <w:tab/>
      </w:r>
      <w:r w:rsidR="006E3567" w:rsidRPr="006E3567">
        <w:rPr>
          <w:color w:val="1F497D" w:themeColor="text2"/>
          <w:lang w:val="en-GB"/>
        </w:rPr>
        <w:t>national institutions, regional organisations, parliaments and civil society.</w:t>
      </w:r>
    </w:p>
    <w:p w:rsidR="006E3567" w:rsidRPr="006E3567" w:rsidRDefault="006E3567" w:rsidP="00E93C1C">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2F2F2" w:themeFill="background1" w:themeFillShade="F2"/>
        <w:jc w:val="both"/>
        <w:rPr>
          <w:color w:val="1F497D" w:themeColor="text2"/>
          <w:lang w:val="en-GB"/>
        </w:rPr>
      </w:pPr>
      <w:r>
        <w:rPr>
          <w:color w:val="1F497D" w:themeColor="text2"/>
          <w:lang w:val="en-GB"/>
        </w:rPr>
        <w:tab/>
      </w:r>
      <w:r w:rsidRPr="00FE38EE">
        <w:rPr>
          <w:color w:val="1F497D" w:themeColor="text2"/>
          <w:lang w:val="en-GB"/>
        </w:rPr>
        <w:sym w:font="Wingdings" w:char="F0A7"/>
      </w:r>
      <w:r w:rsidRPr="00FE38EE">
        <w:rPr>
          <w:color w:val="1F497D" w:themeColor="text2"/>
          <w:lang w:val="en-GB"/>
        </w:rPr>
        <w:t xml:space="preserve"> </w:t>
      </w:r>
      <w:r w:rsidRPr="006E3567">
        <w:rPr>
          <w:color w:val="1F497D" w:themeColor="text2"/>
          <w:lang w:val="en-GB"/>
        </w:rPr>
        <w:t xml:space="preserve">Assess country institutions, systems and capacity development needs, led by developing </w:t>
      </w:r>
      <w:r>
        <w:rPr>
          <w:color w:val="1F497D" w:themeColor="text2"/>
          <w:lang w:val="en-GB"/>
        </w:rPr>
        <w:tab/>
      </w:r>
      <w:r w:rsidRPr="006E3567">
        <w:rPr>
          <w:color w:val="1F497D" w:themeColor="text2"/>
          <w:lang w:val="en-GB"/>
        </w:rPr>
        <w:t>countries.</w:t>
      </w:r>
    </w:p>
    <w:p w:rsidR="006E3567" w:rsidRPr="006E3567" w:rsidRDefault="006E3567" w:rsidP="00E93C1C">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2F2F2" w:themeFill="background1" w:themeFillShade="F2"/>
        <w:jc w:val="both"/>
        <w:rPr>
          <w:color w:val="1F497D" w:themeColor="text2"/>
          <w:lang w:val="en-GB"/>
        </w:rPr>
      </w:pPr>
      <w:r>
        <w:rPr>
          <w:color w:val="1F497D" w:themeColor="text2"/>
          <w:lang w:val="en-GB"/>
        </w:rPr>
        <w:tab/>
      </w:r>
      <w:r w:rsidRPr="00FE38EE">
        <w:rPr>
          <w:color w:val="1F497D" w:themeColor="text2"/>
          <w:lang w:val="en-GB"/>
        </w:rPr>
        <w:sym w:font="Wingdings" w:char="F0A7"/>
      </w:r>
      <w:r w:rsidRPr="00FE38EE">
        <w:rPr>
          <w:color w:val="1F497D" w:themeColor="text2"/>
          <w:lang w:val="en-GB"/>
        </w:rPr>
        <w:t xml:space="preserve"> </w:t>
      </w:r>
      <w:r w:rsidRPr="006E3567">
        <w:rPr>
          <w:color w:val="1F497D" w:themeColor="text2"/>
          <w:lang w:val="en-GB"/>
        </w:rPr>
        <w:t xml:space="preserve">Support the development of improved evidence on institutional performance to inform policy </w:t>
      </w:r>
      <w:r>
        <w:rPr>
          <w:color w:val="1F497D" w:themeColor="text2"/>
          <w:lang w:val="en-GB"/>
        </w:rPr>
        <w:tab/>
      </w:r>
      <w:r w:rsidRPr="006E3567">
        <w:rPr>
          <w:color w:val="1F497D" w:themeColor="text2"/>
          <w:lang w:val="en-GB"/>
        </w:rPr>
        <w:t>formulation, implementation and accountability, led by developing countries.</w:t>
      </w:r>
    </w:p>
    <w:p w:rsidR="006E3567" w:rsidRPr="006E3567" w:rsidRDefault="006E3567" w:rsidP="00E93C1C">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2F2F2" w:themeFill="background1" w:themeFillShade="F2"/>
        <w:jc w:val="both"/>
        <w:rPr>
          <w:color w:val="1F497D" w:themeColor="text2"/>
          <w:lang w:val="en-GB"/>
        </w:rPr>
      </w:pPr>
      <w:r>
        <w:rPr>
          <w:color w:val="1F497D" w:themeColor="text2"/>
          <w:lang w:val="en-GB"/>
        </w:rPr>
        <w:tab/>
      </w:r>
      <w:r w:rsidRPr="00FE38EE">
        <w:rPr>
          <w:color w:val="1F497D" w:themeColor="text2"/>
          <w:lang w:val="en-GB"/>
        </w:rPr>
        <w:sym w:font="Wingdings" w:char="F0A7"/>
      </w:r>
      <w:r w:rsidRPr="00FE38EE">
        <w:rPr>
          <w:color w:val="1F497D" w:themeColor="text2"/>
          <w:lang w:val="en-GB"/>
        </w:rPr>
        <w:t xml:space="preserve"> </w:t>
      </w:r>
      <w:r w:rsidRPr="006E3567">
        <w:rPr>
          <w:color w:val="1F497D" w:themeColor="text2"/>
          <w:lang w:val="en-GB"/>
        </w:rPr>
        <w:t xml:space="preserve">Deepen our learning on the determinants of success for institutional reform, exchanging </w:t>
      </w:r>
      <w:r>
        <w:rPr>
          <w:color w:val="1F497D" w:themeColor="text2"/>
          <w:lang w:val="en-GB"/>
        </w:rPr>
        <w:tab/>
      </w:r>
      <w:r w:rsidRPr="006E3567">
        <w:rPr>
          <w:color w:val="1F497D" w:themeColor="text2"/>
          <w:lang w:val="en-GB"/>
        </w:rPr>
        <w:t>knowledge and experience at the regional and global levels.</w:t>
      </w:r>
    </w:p>
    <w:p w:rsidR="00C60D3E" w:rsidRPr="00FE38EE" w:rsidRDefault="00C60D3E" w:rsidP="00E93C1C">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2F2F2" w:themeFill="background1" w:themeFillShade="F2"/>
        <w:jc w:val="both"/>
        <w:rPr>
          <w:color w:val="1F497D" w:themeColor="text2"/>
          <w:lang w:val="en-GB"/>
        </w:rPr>
      </w:pPr>
      <w:r w:rsidRPr="00FE38EE">
        <w:rPr>
          <w:color w:val="1F497D" w:themeColor="text2"/>
          <w:lang w:val="en-GB"/>
        </w:rPr>
        <w:t>In addition, a voluntary agreement</w:t>
      </w:r>
      <w:r w:rsidR="00E93C1C">
        <w:rPr>
          <w:color w:val="1F497D" w:themeColor="text2"/>
          <w:lang w:val="en-GB"/>
        </w:rPr>
        <w:t>,</w:t>
      </w:r>
      <w:r w:rsidR="00D31D3B">
        <w:rPr>
          <w:color w:val="1F497D" w:themeColor="text2"/>
          <w:lang w:val="en-GB"/>
        </w:rPr>
        <w:t xml:space="preserve"> a</w:t>
      </w:r>
      <w:r w:rsidRPr="00FE38EE">
        <w:rPr>
          <w:color w:val="1F497D" w:themeColor="text2"/>
          <w:lang w:val="en-GB"/>
        </w:rPr>
        <w:t xml:space="preserve"> ‘New Consensus on Effective Institutions’</w:t>
      </w:r>
      <w:r w:rsidR="00E93C1C">
        <w:rPr>
          <w:color w:val="1F497D" w:themeColor="text2"/>
          <w:lang w:val="en-GB"/>
        </w:rPr>
        <w:t>,</w:t>
      </w:r>
      <w:r w:rsidRPr="00FE38EE">
        <w:rPr>
          <w:color w:val="1F497D" w:themeColor="text2"/>
          <w:lang w:val="en-GB"/>
        </w:rPr>
        <w:t xml:space="preserve"> was reached</w:t>
      </w:r>
      <w:r w:rsidR="00D31D3B">
        <w:rPr>
          <w:color w:val="1F497D" w:themeColor="text2"/>
          <w:lang w:val="en-GB"/>
        </w:rPr>
        <w:t xml:space="preserve"> in Busan</w:t>
      </w:r>
      <w:r w:rsidRPr="00FE38EE">
        <w:rPr>
          <w:color w:val="1F497D" w:themeColor="text2"/>
          <w:lang w:val="en-GB"/>
        </w:rPr>
        <w:t xml:space="preserve"> encompassing 35 countries and organisations</w:t>
      </w:r>
      <w:r w:rsidR="004B00C5">
        <w:rPr>
          <w:color w:val="1F497D" w:themeColor="text2"/>
          <w:lang w:val="en-GB"/>
        </w:rPr>
        <w:t xml:space="preserve"> (see Annex) which called on specific actions in support of these commitments</w:t>
      </w:r>
      <w:r w:rsidRPr="00FE38EE">
        <w:rPr>
          <w:color w:val="1F497D" w:themeColor="text2"/>
          <w:lang w:val="en-GB"/>
        </w:rPr>
        <w:t>.</w:t>
      </w:r>
    </w:p>
    <w:p w:rsidR="00713DE6" w:rsidRPr="00FE38EE" w:rsidRDefault="00C60D3E" w:rsidP="00E93C1C">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2F2F2" w:themeFill="background1" w:themeFillShade="F2"/>
        <w:jc w:val="both"/>
        <w:rPr>
          <w:color w:val="1F497D" w:themeColor="text2"/>
          <w:lang w:val="en-GB"/>
        </w:rPr>
      </w:pPr>
      <w:r w:rsidRPr="00FE38EE">
        <w:rPr>
          <w:color w:val="1F497D" w:themeColor="text2"/>
          <w:lang w:val="en-GB"/>
        </w:rPr>
        <w:t xml:space="preserve">Based on the </w:t>
      </w:r>
      <w:r w:rsidR="004B00C5">
        <w:rPr>
          <w:color w:val="1F497D" w:themeColor="text2"/>
          <w:lang w:val="en-GB"/>
        </w:rPr>
        <w:t>agreements</w:t>
      </w:r>
      <w:r w:rsidRPr="00FE38EE">
        <w:rPr>
          <w:color w:val="1F497D" w:themeColor="text2"/>
          <w:lang w:val="en-GB"/>
        </w:rPr>
        <w:t xml:space="preserve"> in the Busan Partnership document and the ‘New Consensus’</w:t>
      </w:r>
      <w:r w:rsidR="00352DC7" w:rsidRPr="00FE38EE">
        <w:rPr>
          <w:color w:val="1F497D" w:themeColor="text2"/>
          <w:lang w:val="en-GB"/>
        </w:rPr>
        <w:t xml:space="preserve">, </w:t>
      </w:r>
      <w:r w:rsidR="00713DE6" w:rsidRPr="00FE38EE">
        <w:rPr>
          <w:color w:val="1F497D" w:themeColor="text2"/>
          <w:lang w:val="en-GB"/>
        </w:rPr>
        <w:t xml:space="preserve"> an initial mapping exercise </w:t>
      </w:r>
      <w:r w:rsidR="0084767B">
        <w:rPr>
          <w:color w:val="1F497D" w:themeColor="text2"/>
          <w:lang w:val="en-GB"/>
        </w:rPr>
        <w:t>is being</w:t>
      </w:r>
      <w:r w:rsidR="00713DE6" w:rsidRPr="00FE38EE">
        <w:rPr>
          <w:color w:val="1F497D" w:themeColor="text2"/>
          <w:lang w:val="en-GB"/>
        </w:rPr>
        <w:t xml:space="preserve"> undertaken to determine the objectives of </w:t>
      </w:r>
      <w:r w:rsidR="0084767B">
        <w:rPr>
          <w:color w:val="1F497D" w:themeColor="text2"/>
          <w:lang w:val="en-GB"/>
        </w:rPr>
        <w:t>this voluntary initiative</w:t>
      </w:r>
      <w:r w:rsidR="00780FC3" w:rsidRPr="00FE38EE">
        <w:rPr>
          <w:color w:val="1F497D" w:themeColor="text2"/>
          <w:lang w:val="en-GB"/>
        </w:rPr>
        <w:t xml:space="preserve">; </w:t>
      </w:r>
      <w:r w:rsidR="00713DE6" w:rsidRPr="00FE38EE">
        <w:rPr>
          <w:color w:val="1F497D" w:themeColor="text2"/>
          <w:lang w:val="en-GB"/>
        </w:rPr>
        <w:t xml:space="preserve"> the substantive contributions to this agenda including monitoring </w:t>
      </w:r>
      <w:r w:rsidR="00780FC3" w:rsidRPr="00FE38EE">
        <w:rPr>
          <w:color w:val="1F497D" w:themeColor="text2"/>
          <w:lang w:val="en-GB"/>
        </w:rPr>
        <w:t xml:space="preserve">of </w:t>
      </w:r>
      <w:r w:rsidR="00713DE6" w:rsidRPr="00FE38EE">
        <w:rPr>
          <w:color w:val="1F497D" w:themeColor="text2"/>
          <w:lang w:val="en-GB"/>
        </w:rPr>
        <w:t>relevant commitments</w:t>
      </w:r>
      <w:r w:rsidR="00780FC3" w:rsidRPr="00FE38EE">
        <w:rPr>
          <w:color w:val="1F497D" w:themeColor="text2"/>
          <w:lang w:val="en-GB"/>
        </w:rPr>
        <w:t xml:space="preserve">; </w:t>
      </w:r>
      <w:r w:rsidR="00713DE6" w:rsidRPr="00FE38EE">
        <w:rPr>
          <w:color w:val="1F497D" w:themeColor="text2"/>
          <w:lang w:val="en-GB"/>
        </w:rPr>
        <w:t xml:space="preserve"> and initial working arrangements. </w:t>
      </w:r>
      <w:r w:rsidR="004B00C5">
        <w:rPr>
          <w:color w:val="1F497D" w:themeColor="text2"/>
          <w:lang w:val="en-GB"/>
        </w:rPr>
        <w:t xml:space="preserve">This </w:t>
      </w:r>
      <w:r w:rsidR="0084767B">
        <w:rPr>
          <w:color w:val="1F497D" w:themeColor="text2"/>
          <w:lang w:val="en-GB"/>
        </w:rPr>
        <w:t xml:space="preserve">draft </w:t>
      </w:r>
      <w:r w:rsidR="004B00C5">
        <w:rPr>
          <w:color w:val="1F497D" w:themeColor="text2"/>
          <w:lang w:val="en-GB"/>
        </w:rPr>
        <w:t>mapping exercise</w:t>
      </w:r>
      <w:r w:rsidR="00713DE6" w:rsidRPr="00FE38EE">
        <w:rPr>
          <w:color w:val="1F497D" w:themeColor="text2"/>
          <w:lang w:val="en-GB"/>
        </w:rPr>
        <w:t xml:space="preserve"> reflects the responses received from members of the building block as well as current evidence on progress in strengthening public sector institutions and monitoring and evaluating results.</w:t>
      </w:r>
    </w:p>
    <w:p w:rsidR="00713DE6" w:rsidRDefault="004B00C5" w:rsidP="00E93C1C">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2F2F2" w:themeFill="background1" w:themeFillShade="F2"/>
        <w:rPr>
          <w:color w:val="1F497D" w:themeColor="text2"/>
          <w:lang w:val="en-GB"/>
        </w:rPr>
      </w:pPr>
      <w:r>
        <w:rPr>
          <w:color w:val="1F497D" w:themeColor="text2"/>
          <w:lang w:val="en-GB"/>
        </w:rPr>
        <w:t>The</w:t>
      </w:r>
      <w:r w:rsidR="00713DE6" w:rsidRPr="00FE38EE">
        <w:rPr>
          <w:color w:val="1F497D" w:themeColor="text2"/>
          <w:lang w:val="en-GB"/>
        </w:rPr>
        <w:t xml:space="preserve"> mapping exercise </w:t>
      </w:r>
      <w:r w:rsidR="00745146" w:rsidRPr="00FE38EE">
        <w:rPr>
          <w:color w:val="1F497D" w:themeColor="text2"/>
          <w:lang w:val="en-GB"/>
        </w:rPr>
        <w:t xml:space="preserve">(currently </w:t>
      </w:r>
      <w:r w:rsidR="00745146" w:rsidRPr="00FE38EE">
        <w:rPr>
          <w:color w:val="1F497D" w:themeColor="text2"/>
          <w:u w:val="single"/>
          <w:lang w:val="en-GB"/>
        </w:rPr>
        <w:t>Zero DRAFT</w:t>
      </w:r>
      <w:r w:rsidR="00745146" w:rsidRPr="00FE38EE">
        <w:rPr>
          <w:color w:val="1F497D" w:themeColor="text2"/>
          <w:lang w:val="en-GB"/>
        </w:rPr>
        <w:t xml:space="preserve">) </w:t>
      </w:r>
      <w:r w:rsidR="00C60D3E" w:rsidRPr="00FE38EE">
        <w:rPr>
          <w:color w:val="1F497D" w:themeColor="text2"/>
          <w:lang w:val="en-GB"/>
        </w:rPr>
        <w:t xml:space="preserve">will be </w:t>
      </w:r>
      <w:r w:rsidR="00FB4BC6" w:rsidRPr="00FE38EE">
        <w:rPr>
          <w:color w:val="1F497D" w:themeColor="text2"/>
          <w:lang w:val="en-GB"/>
        </w:rPr>
        <w:t xml:space="preserve">updated and </w:t>
      </w:r>
      <w:r w:rsidR="00C60D3E" w:rsidRPr="00FE38EE">
        <w:rPr>
          <w:color w:val="1F497D" w:themeColor="text2"/>
          <w:lang w:val="en-GB"/>
        </w:rPr>
        <w:t xml:space="preserve">finalised </w:t>
      </w:r>
      <w:r w:rsidR="00FB4BC6" w:rsidRPr="00FE38EE">
        <w:rPr>
          <w:color w:val="1F497D" w:themeColor="text2"/>
          <w:lang w:val="en-GB"/>
        </w:rPr>
        <w:t>following</w:t>
      </w:r>
      <w:r w:rsidR="0084767B">
        <w:rPr>
          <w:color w:val="1F497D" w:themeColor="text2"/>
          <w:lang w:val="en-GB"/>
        </w:rPr>
        <w:t xml:space="preserve"> inputs from</w:t>
      </w:r>
      <w:r w:rsidR="00FB4BC6" w:rsidRPr="00FE38EE">
        <w:rPr>
          <w:color w:val="1F497D" w:themeColor="text2"/>
          <w:lang w:val="en-GB"/>
        </w:rPr>
        <w:t xml:space="preserve"> </w:t>
      </w:r>
      <w:r w:rsidR="00EF4CBA">
        <w:rPr>
          <w:color w:val="1F497D" w:themeColor="text2"/>
          <w:lang w:val="en-GB"/>
        </w:rPr>
        <w:t xml:space="preserve">participants at </w:t>
      </w:r>
      <w:r w:rsidR="00FB4BC6" w:rsidRPr="00FE38EE">
        <w:rPr>
          <w:color w:val="1F497D" w:themeColor="text2"/>
          <w:lang w:val="en-GB"/>
        </w:rPr>
        <w:t>the meeting on Effective Institutions (26 June 2012).</w:t>
      </w:r>
    </w:p>
    <w:p w:rsidR="004B00C5" w:rsidRPr="00713DE6" w:rsidRDefault="004B00C5" w:rsidP="00E93C1C">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2F2F2" w:themeFill="background1" w:themeFillShade="F2"/>
        <w:rPr>
          <w:b/>
          <w:i/>
          <w:lang w:val="en-GB"/>
        </w:rPr>
      </w:pPr>
    </w:p>
    <w:p w:rsidR="00D31D3B" w:rsidRDefault="00D31D3B">
      <w:pPr>
        <w:rPr>
          <w:rFonts w:asciiTheme="majorHAnsi" w:eastAsiaTheme="majorEastAsia" w:hAnsiTheme="majorHAnsi" w:cstheme="majorBidi"/>
          <w:b/>
          <w:bCs/>
          <w:color w:val="4F81BD" w:themeColor="accent1"/>
          <w:sz w:val="26"/>
          <w:szCs w:val="26"/>
          <w:lang w:val="en-GB"/>
        </w:rPr>
      </w:pPr>
      <w:r>
        <w:rPr>
          <w:lang w:val="en-GB"/>
        </w:rPr>
        <w:br w:type="page"/>
      </w:r>
    </w:p>
    <w:p w:rsidR="00FC55CE" w:rsidRPr="0030626D" w:rsidRDefault="00FC55CE" w:rsidP="001C0BF1">
      <w:pPr>
        <w:pStyle w:val="Heading2"/>
        <w:spacing w:before="0"/>
        <w:rPr>
          <w:lang w:val="en-GB"/>
        </w:rPr>
      </w:pPr>
      <w:r w:rsidRPr="0030626D">
        <w:rPr>
          <w:lang w:val="en-GB"/>
        </w:rPr>
        <w:lastRenderedPageBreak/>
        <w:t xml:space="preserve">1. Why a Refocusing on </w:t>
      </w:r>
      <w:r w:rsidR="003C31D5">
        <w:rPr>
          <w:lang w:val="en-GB"/>
        </w:rPr>
        <w:t>Institutions matters</w:t>
      </w:r>
    </w:p>
    <w:p w:rsidR="00FC55CE" w:rsidRDefault="00C91EA2" w:rsidP="001C0BF1">
      <w:pPr>
        <w:pStyle w:val="Heading3"/>
        <w:rPr>
          <w:lang w:val="en-GB"/>
        </w:rPr>
      </w:pPr>
      <w:r>
        <w:rPr>
          <w:lang w:val="en-GB"/>
        </w:rPr>
        <w:t xml:space="preserve">a) </w:t>
      </w:r>
      <w:r w:rsidR="00960D36">
        <w:rPr>
          <w:lang w:val="en-GB"/>
        </w:rPr>
        <w:t xml:space="preserve">A prominent </w:t>
      </w:r>
      <w:r w:rsidR="00FC55CE">
        <w:rPr>
          <w:lang w:val="en-GB"/>
        </w:rPr>
        <w:t>agenda since</w:t>
      </w:r>
      <w:r w:rsidR="00960D36">
        <w:rPr>
          <w:lang w:val="en-GB"/>
        </w:rPr>
        <w:t xml:space="preserve"> the</w:t>
      </w:r>
      <w:r w:rsidR="00FC55CE">
        <w:rPr>
          <w:lang w:val="en-GB"/>
        </w:rPr>
        <w:t xml:space="preserve"> 1990s</w:t>
      </w:r>
    </w:p>
    <w:p w:rsidR="003C31D5" w:rsidRDefault="00745146" w:rsidP="0083413B">
      <w:pPr>
        <w:jc w:val="both"/>
        <w:rPr>
          <w:lang w:val="en-GB"/>
        </w:rPr>
      </w:pPr>
      <w:r>
        <w:rPr>
          <w:lang w:val="en-GB"/>
        </w:rPr>
        <w:t>Focusing on the role of institutions in supporting development is hardly new</w:t>
      </w:r>
      <w:r w:rsidR="007E6115">
        <w:rPr>
          <w:lang w:val="en-GB"/>
        </w:rPr>
        <w:t xml:space="preserve"> (March and Olsen (1984); North, 1990; Rodrik, 1997)</w:t>
      </w:r>
      <w:r>
        <w:rPr>
          <w:lang w:val="en-GB"/>
        </w:rPr>
        <w:t xml:space="preserve">. </w:t>
      </w:r>
      <w:r w:rsidR="003C31D5">
        <w:rPr>
          <w:lang w:val="en-GB"/>
        </w:rPr>
        <w:t xml:space="preserve">For more than twenty years, policy makers and practitioners have argued that institutions matter for growth, poverty reduction and creating the enabling political and social environment for sustainable development. </w:t>
      </w:r>
      <w:r w:rsidR="0067336B">
        <w:rPr>
          <w:lang w:val="en-GB"/>
        </w:rPr>
        <w:t>Effective i</w:t>
      </w:r>
      <w:r w:rsidR="00657E00">
        <w:rPr>
          <w:lang w:val="en-GB"/>
        </w:rPr>
        <w:t>nstitutions, defined as</w:t>
      </w:r>
      <w:r w:rsidR="007E6115">
        <w:rPr>
          <w:lang w:val="en-GB"/>
        </w:rPr>
        <w:t xml:space="preserve"> ‘rules of the game’ (North, 1990)</w:t>
      </w:r>
      <w:r w:rsidR="00657E00">
        <w:rPr>
          <w:lang w:val="en-GB"/>
        </w:rPr>
        <w:t>,</w:t>
      </w:r>
      <w:r w:rsidR="007E6115">
        <w:rPr>
          <w:lang w:val="en-GB"/>
        </w:rPr>
        <w:t xml:space="preserve"> </w:t>
      </w:r>
      <w:r w:rsidR="00657E00">
        <w:rPr>
          <w:lang w:val="en-GB"/>
        </w:rPr>
        <w:t xml:space="preserve">determine </w:t>
      </w:r>
      <w:r w:rsidR="007E6115">
        <w:rPr>
          <w:lang w:val="en-GB"/>
        </w:rPr>
        <w:t xml:space="preserve">economic, social and political interactions in a sustainable and predictable manner (IPPG). </w:t>
      </w:r>
      <w:r w:rsidR="003C31D5">
        <w:rPr>
          <w:lang w:val="en-GB"/>
        </w:rPr>
        <w:t>Many development agencies</w:t>
      </w:r>
      <w:r w:rsidR="00254D86">
        <w:rPr>
          <w:lang w:val="en-GB"/>
        </w:rPr>
        <w:t xml:space="preserve"> and organisations</w:t>
      </w:r>
      <w:r w:rsidR="003C31D5">
        <w:rPr>
          <w:lang w:val="en-GB"/>
        </w:rPr>
        <w:t xml:space="preserve"> have </w:t>
      </w:r>
      <w:r w:rsidR="00D43C06">
        <w:rPr>
          <w:lang w:val="en-GB"/>
        </w:rPr>
        <w:t>increased</w:t>
      </w:r>
      <w:r w:rsidR="003C31D5">
        <w:rPr>
          <w:lang w:val="en-GB"/>
        </w:rPr>
        <w:t xml:space="preserve"> their </w:t>
      </w:r>
      <w:r w:rsidR="00D43C06">
        <w:rPr>
          <w:lang w:val="en-GB"/>
        </w:rPr>
        <w:t xml:space="preserve">financial </w:t>
      </w:r>
      <w:r w:rsidR="003C31D5">
        <w:rPr>
          <w:lang w:val="en-GB"/>
        </w:rPr>
        <w:t xml:space="preserve">support to the strengthening of public sector institutions in light of these findings. </w:t>
      </w:r>
      <w:r w:rsidR="00D43C06">
        <w:rPr>
          <w:lang w:val="en-GB"/>
        </w:rPr>
        <w:t xml:space="preserve">They have also </w:t>
      </w:r>
      <w:r w:rsidR="002D2985">
        <w:rPr>
          <w:lang w:val="en-GB"/>
        </w:rPr>
        <w:t>included</w:t>
      </w:r>
      <w:r w:rsidR="00EA2DD7">
        <w:rPr>
          <w:lang w:val="en-GB"/>
        </w:rPr>
        <w:t xml:space="preserve"> institutional strengthening </w:t>
      </w:r>
      <w:r w:rsidR="00D43C06">
        <w:rPr>
          <w:lang w:val="en-GB"/>
        </w:rPr>
        <w:t xml:space="preserve">in their </w:t>
      </w:r>
      <w:r w:rsidR="007E6115">
        <w:rPr>
          <w:lang w:val="en-GB"/>
        </w:rPr>
        <w:t xml:space="preserve">research and </w:t>
      </w:r>
      <w:r w:rsidR="00D43C06">
        <w:rPr>
          <w:lang w:val="en-GB"/>
        </w:rPr>
        <w:t>corporate strategies</w:t>
      </w:r>
      <w:r w:rsidR="00254D86">
        <w:rPr>
          <w:lang w:val="en-GB"/>
        </w:rPr>
        <w:t xml:space="preserve"> (for example: DFID</w:t>
      </w:r>
      <w:r w:rsidR="007E6115">
        <w:rPr>
          <w:lang w:val="en-GB"/>
        </w:rPr>
        <w:t xml:space="preserve"> 2003</w:t>
      </w:r>
      <w:r w:rsidR="00254D86">
        <w:rPr>
          <w:lang w:val="en-GB"/>
        </w:rPr>
        <w:t>, World Bank</w:t>
      </w:r>
      <w:r w:rsidR="007E6115">
        <w:rPr>
          <w:lang w:val="en-GB"/>
        </w:rPr>
        <w:t xml:space="preserve"> 2002</w:t>
      </w:r>
      <w:r w:rsidR="00254D86">
        <w:rPr>
          <w:lang w:val="en-GB"/>
        </w:rPr>
        <w:t xml:space="preserve">, </w:t>
      </w:r>
      <w:r w:rsidR="007E6115">
        <w:rPr>
          <w:lang w:val="en-GB"/>
        </w:rPr>
        <w:t>OECD 2003; IMF 2005)</w:t>
      </w:r>
    </w:p>
    <w:p w:rsidR="00FC55CE" w:rsidRDefault="00FC55CE" w:rsidP="001C0BF1">
      <w:pPr>
        <w:pStyle w:val="Heading3"/>
        <w:rPr>
          <w:lang w:val="en-GB"/>
        </w:rPr>
      </w:pPr>
      <w:r>
        <w:rPr>
          <w:lang w:val="en-GB"/>
        </w:rPr>
        <w:t>b) Despite significant effort</w:t>
      </w:r>
      <w:r w:rsidR="00745146">
        <w:rPr>
          <w:lang w:val="en-GB"/>
        </w:rPr>
        <w:t xml:space="preserve"> and financing, results are mixed</w:t>
      </w:r>
    </w:p>
    <w:p w:rsidR="00540EEE" w:rsidRDefault="00540EEE" w:rsidP="00AF5FA5">
      <w:pPr>
        <w:jc w:val="both"/>
        <w:rPr>
          <w:lang w:val="en-GB"/>
        </w:rPr>
      </w:pPr>
      <w:r>
        <w:rPr>
          <w:lang w:val="en-GB"/>
        </w:rPr>
        <w:t>It is generally accepted that</w:t>
      </w:r>
      <w:r w:rsidR="00B4456C">
        <w:rPr>
          <w:lang w:val="en-GB"/>
        </w:rPr>
        <w:t xml:space="preserve"> despite the focus on public sector institutions and i</w:t>
      </w:r>
      <w:r w:rsidR="006C6871">
        <w:rPr>
          <w:lang w:val="en-GB"/>
        </w:rPr>
        <w:t>ncreased funding to support this agenda</w:t>
      </w:r>
      <w:r>
        <w:rPr>
          <w:lang w:val="en-GB"/>
        </w:rPr>
        <w:t xml:space="preserve">, implementation or impact has not been what was hoped. The general and </w:t>
      </w:r>
      <w:r w:rsidR="00745146">
        <w:rPr>
          <w:lang w:val="en-GB"/>
        </w:rPr>
        <w:t xml:space="preserve">most </w:t>
      </w:r>
      <w:r>
        <w:rPr>
          <w:lang w:val="en-GB"/>
        </w:rPr>
        <w:t>cited reasons for this include:</w:t>
      </w:r>
    </w:p>
    <w:p w:rsidR="00540EEE" w:rsidRDefault="00540EEE" w:rsidP="00642559">
      <w:pPr>
        <w:pStyle w:val="ListParagraph"/>
        <w:numPr>
          <w:ilvl w:val="0"/>
          <w:numId w:val="9"/>
        </w:numPr>
        <w:jc w:val="both"/>
        <w:rPr>
          <w:lang w:val="en-GB"/>
        </w:rPr>
      </w:pPr>
      <w:r w:rsidRPr="00DD1AC8">
        <w:rPr>
          <w:lang w:val="en-GB"/>
        </w:rPr>
        <w:t>reform approaches are too technical and do not address underlying issues relating to the political economy of institutional reforms (including linkages between formal and informal governance systems)</w:t>
      </w:r>
    </w:p>
    <w:p w:rsidR="00262DD9" w:rsidRDefault="00957ECF" w:rsidP="00642559">
      <w:pPr>
        <w:pStyle w:val="ListParagraph"/>
        <w:numPr>
          <w:ilvl w:val="0"/>
          <w:numId w:val="9"/>
        </w:numPr>
        <w:jc w:val="both"/>
        <w:rPr>
          <w:lang w:val="en-GB"/>
        </w:rPr>
      </w:pPr>
      <w:r>
        <w:rPr>
          <w:lang w:val="en-GB"/>
        </w:rPr>
        <w:t>Donor support to parliaments</w:t>
      </w:r>
      <w:r w:rsidR="002D2985">
        <w:rPr>
          <w:lang w:val="en-GB"/>
        </w:rPr>
        <w:t>, CSOs</w:t>
      </w:r>
      <w:r>
        <w:rPr>
          <w:lang w:val="en-GB"/>
        </w:rPr>
        <w:t xml:space="preserve"> and</w:t>
      </w:r>
      <w:r w:rsidR="006C6871">
        <w:rPr>
          <w:lang w:val="en-GB"/>
        </w:rPr>
        <w:t xml:space="preserve"> media has been ad-hoc </w:t>
      </w:r>
      <w:r w:rsidR="00745146">
        <w:rPr>
          <w:lang w:val="en-GB"/>
        </w:rPr>
        <w:t>reducing their impact on real and sustainable change</w:t>
      </w:r>
    </w:p>
    <w:p w:rsidR="006C6871" w:rsidRDefault="00745146" w:rsidP="00642559">
      <w:pPr>
        <w:pStyle w:val="ListParagraph"/>
        <w:numPr>
          <w:ilvl w:val="0"/>
          <w:numId w:val="9"/>
        </w:numPr>
        <w:jc w:val="both"/>
        <w:rPr>
          <w:lang w:val="en-GB"/>
        </w:rPr>
      </w:pPr>
      <w:r>
        <w:rPr>
          <w:lang w:val="en-GB"/>
        </w:rPr>
        <w:t>Reform approaches are often not well sequenced- tending to focus primarily on ‘best practices’ that are transferred withou</w:t>
      </w:r>
      <w:r w:rsidR="00AF5FA5">
        <w:rPr>
          <w:lang w:val="en-GB"/>
        </w:rPr>
        <w:t>t regard for</w:t>
      </w:r>
      <w:r>
        <w:rPr>
          <w:lang w:val="en-GB"/>
        </w:rPr>
        <w:t xml:space="preserve"> social, economic and political context</w:t>
      </w:r>
    </w:p>
    <w:p w:rsidR="00745146" w:rsidRDefault="00AF5FA5" w:rsidP="00642559">
      <w:pPr>
        <w:pStyle w:val="ListParagraph"/>
        <w:numPr>
          <w:ilvl w:val="0"/>
          <w:numId w:val="9"/>
        </w:numPr>
        <w:jc w:val="both"/>
        <w:rPr>
          <w:lang w:val="en-GB"/>
        </w:rPr>
      </w:pPr>
      <w:r>
        <w:rPr>
          <w:lang w:val="en-GB"/>
        </w:rPr>
        <w:t>There is little</w:t>
      </w:r>
      <w:r w:rsidR="00745146">
        <w:rPr>
          <w:lang w:val="en-GB"/>
        </w:rPr>
        <w:t xml:space="preserve"> attention to the ‘demand side’ beyond central government administration (line ministries; regional and local level; civil society; and the private sector)</w:t>
      </w:r>
    </w:p>
    <w:p w:rsidR="00AF5FA5" w:rsidRDefault="00AF5FA5" w:rsidP="00642559">
      <w:pPr>
        <w:pStyle w:val="ListParagraph"/>
        <w:numPr>
          <w:ilvl w:val="0"/>
          <w:numId w:val="9"/>
        </w:numPr>
        <w:jc w:val="both"/>
        <w:rPr>
          <w:lang w:val="en-GB"/>
        </w:rPr>
      </w:pPr>
      <w:r>
        <w:rPr>
          <w:lang w:val="en-GB"/>
        </w:rPr>
        <w:t>Despite efforts since the Paris Declaration, there is little evidence of a correlation between the strengthening of financial governance institutions (e.g. procurement, public financial management), and the decision by external partners to use them</w:t>
      </w:r>
    </w:p>
    <w:p w:rsidR="00AF5FA5" w:rsidRDefault="00AF5FA5" w:rsidP="00642559">
      <w:pPr>
        <w:pStyle w:val="ListParagraph"/>
        <w:numPr>
          <w:ilvl w:val="0"/>
          <w:numId w:val="9"/>
        </w:numPr>
        <w:jc w:val="both"/>
        <w:rPr>
          <w:lang w:val="en-GB"/>
        </w:rPr>
      </w:pPr>
      <w:r>
        <w:rPr>
          <w:lang w:val="en-GB"/>
        </w:rPr>
        <w:t>Un-coordinated donor assessments of institutions coupled with inconsistent, unreliable and unmeasurable indicators undermine understanding and ownership over evidence of what works and what doesn’t.</w:t>
      </w:r>
    </w:p>
    <w:p w:rsidR="00AF5FA5" w:rsidRPr="00DD1AC8" w:rsidRDefault="00AF5FA5" w:rsidP="00642559">
      <w:pPr>
        <w:pStyle w:val="ListParagraph"/>
        <w:numPr>
          <w:ilvl w:val="0"/>
          <w:numId w:val="9"/>
        </w:numPr>
        <w:jc w:val="both"/>
        <w:rPr>
          <w:lang w:val="en-GB"/>
        </w:rPr>
      </w:pPr>
      <w:r>
        <w:rPr>
          <w:lang w:val="en-GB"/>
        </w:rPr>
        <w:t>There is a lack of integration between monitoring mechanisms and those that regulate planning or capacity development processes.</w:t>
      </w:r>
    </w:p>
    <w:p w:rsidR="00FC55CE" w:rsidRDefault="00FC55CE" w:rsidP="001C0BF1">
      <w:pPr>
        <w:pStyle w:val="Heading3"/>
        <w:rPr>
          <w:lang w:val="en-GB"/>
        </w:rPr>
      </w:pPr>
      <w:r>
        <w:rPr>
          <w:lang w:val="en-GB"/>
        </w:rPr>
        <w:t xml:space="preserve">c) </w:t>
      </w:r>
      <w:r w:rsidR="000542A8">
        <w:rPr>
          <w:lang w:val="en-GB"/>
        </w:rPr>
        <w:t>Understanding</w:t>
      </w:r>
      <w:r>
        <w:rPr>
          <w:lang w:val="en-GB"/>
        </w:rPr>
        <w:t xml:space="preserve"> what an effective institution looks like, what works, what doesn’t and why</w:t>
      </w:r>
    </w:p>
    <w:p w:rsidR="007E1CDC" w:rsidRDefault="007E1CDC" w:rsidP="000542A8">
      <w:pPr>
        <w:jc w:val="both"/>
        <w:rPr>
          <w:lang w:val="en-GB"/>
        </w:rPr>
      </w:pPr>
      <w:r>
        <w:rPr>
          <w:lang w:val="en-GB"/>
        </w:rPr>
        <w:t>Understanding when, how and why institutions work involves understanding how they are ne</w:t>
      </w:r>
      <w:r w:rsidR="00745146">
        <w:rPr>
          <w:lang w:val="en-GB"/>
        </w:rPr>
        <w:t>gotiated, how</w:t>
      </w:r>
      <w:r>
        <w:rPr>
          <w:lang w:val="en-GB"/>
        </w:rPr>
        <w:t xml:space="preserve"> they evolve and the conditions of their effective implementation (IPPG, 2010).</w:t>
      </w:r>
      <w:r w:rsidR="00745146">
        <w:rPr>
          <w:lang w:val="en-GB"/>
        </w:rPr>
        <w:t xml:space="preserve"> Current lessons point to the need to:</w:t>
      </w:r>
    </w:p>
    <w:p w:rsidR="0084767B" w:rsidRDefault="0084767B" w:rsidP="0084767B">
      <w:pPr>
        <w:pStyle w:val="ListParagraph"/>
        <w:numPr>
          <w:ilvl w:val="0"/>
          <w:numId w:val="11"/>
        </w:numPr>
        <w:jc w:val="both"/>
        <w:rPr>
          <w:lang w:val="en-GB"/>
        </w:rPr>
      </w:pPr>
      <w:r>
        <w:rPr>
          <w:lang w:val="en-GB"/>
        </w:rPr>
        <w:t>Understand how to sequence reform programmes and taking into consideration existing institutions (taking the debate beyond the rejection of ‘best practices’)</w:t>
      </w:r>
    </w:p>
    <w:p w:rsidR="0084767B" w:rsidRDefault="00957ECF" w:rsidP="0084767B">
      <w:pPr>
        <w:pStyle w:val="ListParagraph"/>
        <w:numPr>
          <w:ilvl w:val="0"/>
          <w:numId w:val="11"/>
        </w:numPr>
        <w:jc w:val="both"/>
        <w:rPr>
          <w:lang w:val="en-GB"/>
        </w:rPr>
      </w:pPr>
      <w:r>
        <w:rPr>
          <w:lang w:val="en-GB"/>
        </w:rPr>
        <w:lastRenderedPageBreak/>
        <w:t>Recognise</w:t>
      </w:r>
      <w:r w:rsidR="0084767B">
        <w:rPr>
          <w:lang w:val="en-GB"/>
        </w:rPr>
        <w:t xml:space="preserve"> that institutional reform and change is often resisted and ‘institutional stickiness’ can only be addressed by understanding current beneficiaries, cultural and moral objections</w:t>
      </w:r>
    </w:p>
    <w:p w:rsidR="0084767B" w:rsidRDefault="00957ECF" w:rsidP="0084767B">
      <w:pPr>
        <w:pStyle w:val="ListParagraph"/>
        <w:numPr>
          <w:ilvl w:val="0"/>
          <w:numId w:val="11"/>
        </w:numPr>
        <w:jc w:val="both"/>
        <w:rPr>
          <w:lang w:val="en-GB"/>
        </w:rPr>
      </w:pPr>
      <w:r w:rsidRPr="007873C2">
        <w:rPr>
          <w:lang w:val="en-GB"/>
        </w:rPr>
        <w:t>Build and support the political capacity of organisations in areas such as negotiation and generation of constructive policy options</w:t>
      </w:r>
      <w:r w:rsidR="0084767B">
        <w:rPr>
          <w:lang w:val="en-GB"/>
        </w:rPr>
        <w:t xml:space="preserve"> </w:t>
      </w:r>
    </w:p>
    <w:p w:rsidR="0084767B" w:rsidRDefault="00957ECF" w:rsidP="0084767B">
      <w:pPr>
        <w:pStyle w:val="ListParagraph"/>
        <w:numPr>
          <w:ilvl w:val="0"/>
          <w:numId w:val="11"/>
        </w:numPr>
        <w:jc w:val="both"/>
        <w:rPr>
          <w:lang w:val="en-GB"/>
        </w:rPr>
      </w:pPr>
      <w:r>
        <w:rPr>
          <w:lang w:val="en-GB"/>
        </w:rPr>
        <w:t>Support</w:t>
      </w:r>
      <w:r w:rsidR="0084767B">
        <w:rPr>
          <w:lang w:val="en-GB"/>
        </w:rPr>
        <w:t xml:space="preserve"> developing countries’ own financial and economic governance institutions by using and not bypassing them</w:t>
      </w:r>
    </w:p>
    <w:p w:rsidR="00745146" w:rsidRPr="002D5568" w:rsidRDefault="00745146" w:rsidP="000542A8">
      <w:pPr>
        <w:pStyle w:val="ListParagraph"/>
        <w:numPr>
          <w:ilvl w:val="0"/>
          <w:numId w:val="11"/>
        </w:numPr>
        <w:jc w:val="both"/>
        <w:rPr>
          <w:lang w:val="en-GB"/>
        </w:rPr>
      </w:pPr>
      <w:r w:rsidRPr="002D5568">
        <w:rPr>
          <w:lang w:val="en-GB"/>
        </w:rPr>
        <w:t>Build the capacity of accountability institutions- such as Supreme Audit Institutions, Anti-Corrupti</w:t>
      </w:r>
      <w:r w:rsidR="007873C2">
        <w:rPr>
          <w:lang w:val="en-GB"/>
        </w:rPr>
        <w:t>on agencies,</w:t>
      </w:r>
      <w:r w:rsidR="002D2985">
        <w:rPr>
          <w:lang w:val="en-GB"/>
        </w:rPr>
        <w:t xml:space="preserve"> and</w:t>
      </w:r>
      <w:r w:rsidR="007873C2">
        <w:rPr>
          <w:lang w:val="en-GB"/>
        </w:rPr>
        <w:t xml:space="preserve"> the legislative</w:t>
      </w:r>
    </w:p>
    <w:p w:rsidR="0084767B" w:rsidRDefault="00957ECF" w:rsidP="0084767B">
      <w:pPr>
        <w:pStyle w:val="ListParagraph"/>
        <w:numPr>
          <w:ilvl w:val="0"/>
          <w:numId w:val="11"/>
        </w:numPr>
        <w:jc w:val="both"/>
        <w:rPr>
          <w:lang w:val="en-GB"/>
        </w:rPr>
      </w:pPr>
      <w:r>
        <w:rPr>
          <w:lang w:val="en-GB"/>
        </w:rPr>
        <w:t>Build</w:t>
      </w:r>
      <w:r w:rsidR="0084767B">
        <w:rPr>
          <w:lang w:val="en-GB"/>
        </w:rPr>
        <w:t xml:space="preserve"> national statistical and monitoring systems to understand opportunities and challenges in governance and institutional reforms</w:t>
      </w:r>
    </w:p>
    <w:p w:rsidR="0084767B" w:rsidRDefault="00957ECF" w:rsidP="000542A8">
      <w:pPr>
        <w:pStyle w:val="ListParagraph"/>
        <w:numPr>
          <w:ilvl w:val="0"/>
          <w:numId w:val="11"/>
        </w:numPr>
        <w:jc w:val="both"/>
        <w:rPr>
          <w:lang w:val="en-GB"/>
        </w:rPr>
      </w:pPr>
      <w:r>
        <w:rPr>
          <w:lang w:val="en-GB"/>
        </w:rPr>
        <w:t>Develop</w:t>
      </w:r>
      <w:r w:rsidR="0084767B">
        <w:rPr>
          <w:lang w:val="en-GB"/>
        </w:rPr>
        <w:t xml:space="preserve"> donor understanding of </w:t>
      </w:r>
      <w:r>
        <w:rPr>
          <w:lang w:val="en-GB"/>
        </w:rPr>
        <w:t xml:space="preserve">institutions beyond </w:t>
      </w:r>
      <w:r w:rsidR="0084767B">
        <w:rPr>
          <w:lang w:val="en-GB"/>
        </w:rPr>
        <w:t>their own corporate procedures and practices</w:t>
      </w:r>
    </w:p>
    <w:p w:rsidR="00AF5FA5" w:rsidRDefault="00957ECF" w:rsidP="000542A8">
      <w:pPr>
        <w:pStyle w:val="ListParagraph"/>
        <w:numPr>
          <w:ilvl w:val="0"/>
          <w:numId w:val="11"/>
        </w:numPr>
        <w:jc w:val="both"/>
        <w:rPr>
          <w:lang w:val="en-GB"/>
        </w:rPr>
      </w:pPr>
      <w:r>
        <w:rPr>
          <w:lang w:val="en-GB"/>
        </w:rPr>
        <w:t>Undertake</w:t>
      </w:r>
      <w:r w:rsidR="00AF5FA5" w:rsidRPr="002D5568">
        <w:rPr>
          <w:lang w:val="en-GB"/>
        </w:rPr>
        <w:t xml:space="preserve"> joint monitoring processes and assessments to address governance and institutional reforms in a more sustainable manner</w:t>
      </w:r>
    </w:p>
    <w:p w:rsidR="00745146" w:rsidRPr="003E3542" w:rsidRDefault="00745146" w:rsidP="0084767B">
      <w:pPr>
        <w:pStyle w:val="ListParagraph"/>
        <w:jc w:val="both"/>
        <w:rPr>
          <w:lang w:val="en-GB"/>
        </w:rPr>
      </w:pPr>
    </w:p>
    <w:p w:rsidR="002B6CD0" w:rsidRDefault="002B6CD0" w:rsidP="00642559">
      <w:pPr>
        <w:pStyle w:val="Heading3"/>
        <w:spacing w:after="240"/>
        <w:jc w:val="both"/>
        <w:rPr>
          <w:lang w:val="en-GB"/>
        </w:rPr>
      </w:pPr>
      <w:r>
        <w:rPr>
          <w:lang w:val="en-GB"/>
        </w:rPr>
        <w:t xml:space="preserve">d) </w:t>
      </w:r>
      <w:r w:rsidR="007E6115">
        <w:rPr>
          <w:lang w:val="en-GB"/>
        </w:rPr>
        <w:t>Taking more</w:t>
      </w:r>
      <w:r w:rsidR="0030626D">
        <w:rPr>
          <w:lang w:val="en-GB"/>
        </w:rPr>
        <w:t xml:space="preserve"> </w:t>
      </w:r>
      <w:r>
        <w:rPr>
          <w:lang w:val="en-GB"/>
        </w:rPr>
        <w:t xml:space="preserve">coherent action </w:t>
      </w:r>
      <w:r w:rsidR="0020786F">
        <w:rPr>
          <w:lang w:val="en-GB"/>
        </w:rPr>
        <w:t>-- linking</w:t>
      </w:r>
      <w:r>
        <w:rPr>
          <w:lang w:val="en-GB"/>
        </w:rPr>
        <w:t xml:space="preserve"> aid </w:t>
      </w:r>
      <w:r w:rsidR="000542A8">
        <w:rPr>
          <w:lang w:val="en-GB"/>
        </w:rPr>
        <w:t xml:space="preserve">quality </w:t>
      </w:r>
      <w:r>
        <w:rPr>
          <w:lang w:val="en-GB"/>
        </w:rPr>
        <w:t>(use of country systems</w:t>
      </w:r>
      <w:r w:rsidR="0020786F">
        <w:rPr>
          <w:lang w:val="en-GB"/>
        </w:rPr>
        <w:t>, mutual accountability</w:t>
      </w:r>
      <w:r>
        <w:rPr>
          <w:lang w:val="en-GB"/>
        </w:rPr>
        <w:t xml:space="preserve">) and development </w:t>
      </w:r>
      <w:r w:rsidR="000542A8">
        <w:rPr>
          <w:lang w:val="en-GB"/>
        </w:rPr>
        <w:t xml:space="preserve">effectiveness </w:t>
      </w:r>
      <w:r>
        <w:rPr>
          <w:lang w:val="en-GB"/>
        </w:rPr>
        <w:t>(</w:t>
      </w:r>
      <w:r w:rsidR="00D744D3">
        <w:rPr>
          <w:lang w:val="en-GB"/>
        </w:rPr>
        <w:t>financial and political governance</w:t>
      </w:r>
      <w:r w:rsidR="0030626D">
        <w:rPr>
          <w:lang w:val="en-GB"/>
        </w:rPr>
        <w:t>)</w:t>
      </w:r>
      <w:r w:rsidR="0020786F">
        <w:rPr>
          <w:lang w:val="en-GB"/>
        </w:rPr>
        <w:t xml:space="preserve"> </w:t>
      </w:r>
    </w:p>
    <w:p w:rsidR="0020786F" w:rsidRDefault="0020786F" w:rsidP="00642559">
      <w:pPr>
        <w:spacing w:after="240"/>
        <w:jc w:val="both"/>
        <w:rPr>
          <w:lang w:val="en-GB"/>
        </w:rPr>
      </w:pPr>
      <w:r>
        <w:rPr>
          <w:lang w:val="en-GB"/>
        </w:rPr>
        <w:t xml:space="preserve">Whilst there is a general consensus on the above challenges and opportunities, the ways in which countries and external partners should respond </w:t>
      </w:r>
      <w:r w:rsidR="007E2F49">
        <w:rPr>
          <w:lang w:val="en-GB"/>
        </w:rPr>
        <w:t>is a more contested affair</w:t>
      </w:r>
      <w:r>
        <w:rPr>
          <w:lang w:val="en-GB"/>
        </w:rPr>
        <w:t>. In particular, if institutions are governed by their own countries’ social/economic/political context, what, if any, actions can be take</w:t>
      </w:r>
      <w:r w:rsidR="003E3542">
        <w:rPr>
          <w:lang w:val="en-GB"/>
        </w:rPr>
        <w:t>n at a global or regional level</w:t>
      </w:r>
      <w:r>
        <w:rPr>
          <w:lang w:val="en-GB"/>
        </w:rPr>
        <w:t xml:space="preserve">? And what type of </w:t>
      </w:r>
      <w:r w:rsidR="007E2F49">
        <w:rPr>
          <w:lang w:val="en-GB"/>
        </w:rPr>
        <w:t xml:space="preserve">cross-country </w:t>
      </w:r>
      <w:r>
        <w:rPr>
          <w:lang w:val="en-GB"/>
        </w:rPr>
        <w:t>policy recommendations</w:t>
      </w:r>
      <w:r w:rsidR="007E2F49">
        <w:rPr>
          <w:lang w:val="en-GB"/>
        </w:rPr>
        <w:t>, analysis or indicators could help practitioners derive ‘better results from public sector institutions’? Finally, is this agenda too broad in its remit for it to have practical and sustainable results on the ground?</w:t>
      </w:r>
    </w:p>
    <w:p w:rsidR="00B4456C" w:rsidRDefault="00B4456C" w:rsidP="001C0BF1">
      <w:pPr>
        <w:jc w:val="both"/>
        <w:rPr>
          <w:lang w:val="en-GB"/>
        </w:rPr>
      </w:pPr>
      <w:r>
        <w:rPr>
          <w:lang w:val="en-GB"/>
        </w:rPr>
        <w:t xml:space="preserve">The Effective Institutions </w:t>
      </w:r>
      <w:r w:rsidR="000542A8">
        <w:rPr>
          <w:lang w:val="en-GB"/>
        </w:rPr>
        <w:t xml:space="preserve">commitments agreed </w:t>
      </w:r>
      <w:r>
        <w:rPr>
          <w:lang w:val="en-GB"/>
        </w:rPr>
        <w:t>at the</w:t>
      </w:r>
      <w:r w:rsidR="001C0BF1">
        <w:rPr>
          <w:lang w:val="en-GB"/>
        </w:rPr>
        <w:t xml:space="preserve"> Fourth High Level on Aid Effectiveness in Busan</w:t>
      </w:r>
      <w:r w:rsidR="00D744D3">
        <w:rPr>
          <w:lang w:val="en-GB"/>
        </w:rPr>
        <w:t xml:space="preserve">, </w:t>
      </w:r>
      <w:r w:rsidR="0084767B">
        <w:rPr>
          <w:lang w:val="en-GB"/>
        </w:rPr>
        <w:t xml:space="preserve">whilst recognising these challenges, </w:t>
      </w:r>
      <w:r w:rsidR="000542A8">
        <w:rPr>
          <w:lang w:val="en-GB"/>
        </w:rPr>
        <w:t xml:space="preserve">foresee the need to create more coherent responses to partner country needs </w:t>
      </w:r>
      <w:r w:rsidR="004B00C5">
        <w:rPr>
          <w:lang w:val="en-GB"/>
        </w:rPr>
        <w:t>in order to sustain</w:t>
      </w:r>
      <w:r w:rsidR="000542A8">
        <w:rPr>
          <w:lang w:val="en-GB"/>
        </w:rPr>
        <w:t xml:space="preserve"> their public sector institutions</w:t>
      </w:r>
      <w:r w:rsidR="004B00C5">
        <w:rPr>
          <w:lang w:val="en-GB"/>
        </w:rPr>
        <w:t xml:space="preserve"> and related reform efforts</w:t>
      </w:r>
      <w:r w:rsidR="000542A8">
        <w:rPr>
          <w:lang w:val="en-GB"/>
        </w:rPr>
        <w:t xml:space="preserve">. </w:t>
      </w:r>
      <w:r w:rsidR="00D744D3">
        <w:rPr>
          <w:lang w:val="en-GB"/>
        </w:rPr>
        <w:t xml:space="preserve"> </w:t>
      </w:r>
      <w:r w:rsidR="00E93C1C">
        <w:rPr>
          <w:lang w:val="en-GB"/>
        </w:rPr>
        <w:t xml:space="preserve">The </w:t>
      </w:r>
      <w:r w:rsidR="0084767B">
        <w:rPr>
          <w:lang w:val="en-GB"/>
        </w:rPr>
        <w:t>commitments reflect this</w:t>
      </w:r>
      <w:r w:rsidR="00E93C1C">
        <w:rPr>
          <w:lang w:val="en-GB"/>
        </w:rPr>
        <w:t xml:space="preserve"> in a number of ways.</w:t>
      </w:r>
    </w:p>
    <w:p w:rsidR="001C0BF1" w:rsidRDefault="00D744D3" w:rsidP="001C0BF1">
      <w:pPr>
        <w:jc w:val="both"/>
        <w:rPr>
          <w:lang w:val="en-GB"/>
        </w:rPr>
      </w:pPr>
      <w:r>
        <w:rPr>
          <w:lang w:val="en-GB"/>
        </w:rPr>
        <w:t>First</w:t>
      </w:r>
      <w:r w:rsidR="00B4456C">
        <w:rPr>
          <w:lang w:val="en-GB"/>
        </w:rPr>
        <w:t>, the traditional Aid Effectiveness agendas of ‘accountability’, ‘capacity development’, and ‘countr</w:t>
      </w:r>
      <w:r w:rsidR="00B76FA2">
        <w:rPr>
          <w:lang w:val="en-GB"/>
        </w:rPr>
        <w:t>y systems’, were often treated separately- diminishing their effectiveness in practice.</w:t>
      </w:r>
      <w:r w:rsidR="007E2F49">
        <w:rPr>
          <w:lang w:val="en-GB"/>
        </w:rPr>
        <w:t xml:space="preserve"> </w:t>
      </w:r>
      <w:r w:rsidR="001C0BF1">
        <w:rPr>
          <w:lang w:val="en-GB"/>
        </w:rPr>
        <w:t>The N</w:t>
      </w:r>
      <w:r w:rsidR="0084767B">
        <w:rPr>
          <w:lang w:val="en-GB"/>
        </w:rPr>
        <w:t>ew Consensus on More Effective I</w:t>
      </w:r>
      <w:r w:rsidR="001C0BF1">
        <w:rPr>
          <w:lang w:val="en-GB"/>
        </w:rPr>
        <w:t xml:space="preserve">nstitutions for Development draws on evidence collected since Paris and Accra on the evolution of governance and capacity development efforts: including but not limited to the more traditional fiduciary focus (with core functions such as public financial management  and procurement). It recognised that the use country systems continues to play a catalytic role in building the effectiveness of institutions; that oversight </w:t>
      </w:r>
      <w:r w:rsidR="00DA56F0">
        <w:rPr>
          <w:lang w:val="en-GB"/>
        </w:rPr>
        <w:t xml:space="preserve">bodies </w:t>
      </w:r>
      <w:r w:rsidR="001C0BF1">
        <w:rPr>
          <w:lang w:val="en-GB"/>
        </w:rPr>
        <w:t>should be strengthened to catalyse the use of those resources; and importantly that there is no single best practice for institutional reform.</w:t>
      </w:r>
    </w:p>
    <w:p w:rsidR="00DA56F0" w:rsidRDefault="00B76FA2" w:rsidP="001C0BF1">
      <w:pPr>
        <w:jc w:val="both"/>
        <w:rPr>
          <w:lang w:val="en-GB"/>
        </w:rPr>
      </w:pPr>
      <w:r>
        <w:rPr>
          <w:lang w:val="en-GB"/>
        </w:rPr>
        <w:t xml:space="preserve">Second, the importance of accountability institutions and politics was brought to the fore. The </w:t>
      </w:r>
      <w:r w:rsidR="001C0BF1">
        <w:rPr>
          <w:lang w:val="en-GB"/>
        </w:rPr>
        <w:t xml:space="preserve">Busan agreement as well as the New Consensus on Effective Institutions </w:t>
      </w:r>
      <w:r w:rsidR="00DA56F0">
        <w:rPr>
          <w:lang w:val="en-GB"/>
        </w:rPr>
        <w:t>recognised the importance of sequenced reform</w:t>
      </w:r>
      <w:r>
        <w:rPr>
          <w:lang w:val="en-GB"/>
        </w:rPr>
        <w:t xml:space="preserve"> efforts</w:t>
      </w:r>
      <w:r w:rsidR="00DA56F0">
        <w:rPr>
          <w:lang w:val="en-GB"/>
        </w:rPr>
        <w:t xml:space="preserve"> responding to the political and social contexts; joint assessments of partner country institutions and capacity development needs; the need for evidence on institutional performance; and systematic knowledge sharing efforts. The Busan Partnership document included focus on the use and strengthening of developing country systems (§</w:t>
      </w:r>
      <w:r w:rsidR="00C05816">
        <w:rPr>
          <w:lang w:val="en-GB"/>
        </w:rPr>
        <w:t>19), to support parliaments and local governments (§21) and to strengthen the effectiveness of institutions and policies (§29).</w:t>
      </w:r>
    </w:p>
    <w:p w:rsidR="001C0BF1" w:rsidRDefault="00B76FA2" w:rsidP="001C0BF1">
      <w:pPr>
        <w:jc w:val="both"/>
        <w:rPr>
          <w:lang w:val="en-GB"/>
        </w:rPr>
      </w:pPr>
      <w:r>
        <w:rPr>
          <w:lang w:val="en-GB"/>
        </w:rPr>
        <w:t>Third, i</w:t>
      </w:r>
      <w:r w:rsidR="00DA56F0">
        <w:rPr>
          <w:lang w:val="en-GB"/>
        </w:rPr>
        <w:t xml:space="preserve">t was also recognised </w:t>
      </w:r>
      <w:r>
        <w:rPr>
          <w:lang w:val="en-GB"/>
        </w:rPr>
        <w:t xml:space="preserve">that in order to be effective, </w:t>
      </w:r>
      <w:r w:rsidR="00DA56F0">
        <w:rPr>
          <w:lang w:val="en-GB"/>
        </w:rPr>
        <w:t>a broader array of stakeholders needed to help shape this agenda, including civil society, parliamentarians and others</w:t>
      </w:r>
      <w:r w:rsidR="000542A8">
        <w:rPr>
          <w:lang w:val="en-GB"/>
        </w:rPr>
        <w:t xml:space="preserve"> (private sector, media, etc)</w:t>
      </w:r>
      <w:r>
        <w:rPr>
          <w:lang w:val="en-GB"/>
        </w:rPr>
        <w:t xml:space="preserve">. Whilst their involvement has often been </w:t>
      </w:r>
      <w:r w:rsidR="0084767B">
        <w:rPr>
          <w:lang w:val="en-GB"/>
        </w:rPr>
        <w:t>acknowledge</w:t>
      </w:r>
      <w:r>
        <w:rPr>
          <w:lang w:val="en-GB"/>
        </w:rPr>
        <w:t>d, it has often been</w:t>
      </w:r>
      <w:r w:rsidR="000542A8">
        <w:rPr>
          <w:lang w:val="en-GB"/>
        </w:rPr>
        <w:t xml:space="preserve"> limited to being perceived</w:t>
      </w:r>
      <w:r>
        <w:rPr>
          <w:lang w:val="en-GB"/>
        </w:rPr>
        <w:t xml:space="preserve"> as ‘users’ </w:t>
      </w:r>
      <w:r w:rsidR="008C5043">
        <w:rPr>
          <w:lang w:val="en-GB"/>
        </w:rPr>
        <w:t>of more effective institutions rather than as stakeholders in</w:t>
      </w:r>
      <w:r w:rsidR="000542A8">
        <w:rPr>
          <w:lang w:val="en-GB"/>
        </w:rPr>
        <w:t xml:space="preserve"> their own right -- </w:t>
      </w:r>
      <w:r w:rsidR="008C5043">
        <w:rPr>
          <w:lang w:val="en-GB"/>
        </w:rPr>
        <w:t xml:space="preserve">helping to shape </w:t>
      </w:r>
      <w:r w:rsidR="000542A8">
        <w:rPr>
          <w:lang w:val="en-GB"/>
        </w:rPr>
        <w:t xml:space="preserve">and strengthen </w:t>
      </w:r>
      <w:r w:rsidR="008C5043">
        <w:rPr>
          <w:lang w:val="en-GB"/>
        </w:rPr>
        <w:t xml:space="preserve">the way </w:t>
      </w:r>
      <w:r w:rsidR="000542A8">
        <w:rPr>
          <w:lang w:val="en-GB"/>
        </w:rPr>
        <w:t>public sector</w:t>
      </w:r>
      <w:r w:rsidR="008C5043">
        <w:rPr>
          <w:lang w:val="en-GB"/>
        </w:rPr>
        <w:t xml:space="preserve"> institutions operate. </w:t>
      </w:r>
    </w:p>
    <w:p w:rsidR="00FC55CE" w:rsidRDefault="00FC55CE" w:rsidP="00642559">
      <w:pPr>
        <w:pStyle w:val="Heading2"/>
        <w:spacing w:after="240"/>
        <w:rPr>
          <w:lang w:val="en-GB"/>
        </w:rPr>
      </w:pPr>
      <w:r w:rsidRPr="007B0E4C">
        <w:rPr>
          <w:lang w:val="en-GB"/>
        </w:rPr>
        <w:t xml:space="preserve">2. </w:t>
      </w:r>
      <w:r w:rsidR="008C5043">
        <w:rPr>
          <w:lang w:val="en-GB"/>
        </w:rPr>
        <w:t>Mapping</w:t>
      </w:r>
      <w:r w:rsidR="00757626">
        <w:rPr>
          <w:lang w:val="en-GB"/>
        </w:rPr>
        <w:t xml:space="preserve"> </w:t>
      </w:r>
      <w:r w:rsidR="00353025">
        <w:rPr>
          <w:lang w:val="en-GB"/>
        </w:rPr>
        <w:t xml:space="preserve">substantive </w:t>
      </w:r>
      <w:r w:rsidR="0030626D" w:rsidRPr="007B0E4C">
        <w:rPr>
          <w:lang w:val="en-GB"/>
        </w:rPr>
        <w:t>priorities</w:t>
      </w:r>
      <w:r w:rsidR="00757626">
        <w:rPr>
          <w:lang w:val="en-GB"/>
        </w:rPr>
        <w:t xml:space="preserve"> </w:t>
      </w:r>
      <w:r w:rsidR="00353025">
        <w:rPr>
          <w:lang w:val="en-GB"/>
        </w:rPr>
        <w:t>to</w:t>
      </w:r>
      <w:r w:rsidR="00757626">
        <w:rPr>
          <w:lang w:val="en-GB"/>
        </w:rPr>
        <w:t xml:space="preserve"> the Effective Institutions </w:t>
      </w:r>
      <w:r w:rsidR="000542A8">
        <w:rPr>
          <w:lang w:val="en-GB"/>
        </w:rPr>
        <w:t>‘Building Block’</w:t>
      </w:r>
    </w:p>
    <w:p w:rsidR="00F50D26" w:rsidRDefault="000542A8" w:rsidP="00642559">
      <w:pPr>
        <w:spacing w:after="240"/>
        <w:jc w:val="both"/>
        <w:rPr>
          <w:lang w:val="en-GB"/>
        </w:rPr>
      </w:pPr>
      <w:r>
        <w:rPr>
          <w:lang w:val="en-GB"/>
        </w:rPr>
        <w:t xml:space="preserve">The Busan High Level Forum on Aid Effectiveness gave rise to a number of voluntary initiatives (so called ‘Building Blocks’) to </w:t>
      </w:r>
      <w:r w:rsidR="0072259E">
        <w:rPr>
          <w:lang w:val="en-GB"/>
        </w:rPr>
        <w:t xml:space="preserve">facilitate the implementation of </w:t>
      </w:r>
      <w:r>
        <w:rPr>
          <w:lang w:val="en-GB"/>
        </w:rPr>
        <w:t>commitments in specifi</w:t>
      </w:r>
      <w:r w:rsidR="0084767B">
        <w:rPr>
          <w:lang w:val="en-GB"/>
        </w:rPr>
        <w:t>c areas (from climate change to</w:t>
      </w:r>
      <w:r>
        <w:rPr>
          <w:lang w:val="en-GB"/>
        </w:rPr>
        <w:t xml:space="preserve"> </w:t>
      </w:r>
      <w:r w:rsidR="0072259E">
        <w:rPr>
          <w:lang w:val="en-GB"/>
        </w:rPr>
        <w:t>south-south cooperatio</w:t>
      </w:r>
      <w:r w:rsidR="0084767B">
        <w:rPr>
          <w:lang w:val="en-GB"/>
        </w:rPr>
        <w:t>n). The Effective Institutions Building B</w:t>
      </w:r>
      <w:r w:rsidR="0072259E">
        <w:rPr>
          <w:lang w:val="en-GB"/>
        </w:rPr>
        <w:t xml:space="preserve">lock </w:t>
      </w:r>
      <w:r w:rsidR="0084767B">
        <w:rPr>
          <w:lang w:val="en-GB"/>
        </w:rPr>
        <w:t xml:space="preserve">includes </w:t>
      </w:r>
      <w:r w:rsidR="002D2985">
        <w:rPr>
          <w:lang w:val="en-GB"/>
        </w:rPr>
        <w:t>over 35 countries and organisations that</w:t>
      </w:r>
      <w:r w:rsidR="0084767B">
        <w:rPr>
          <w:lang w:val="en-GB"/>
        </w:rPr>
        <w:t xml:space="preserve"> endorsed the New Consensus</w:t>
      </w:r>
      <w:r w:rsidR="00FA328C">
        <w:rPr>
          <w:lang w:val="en-GB"/>
        </w:rPr>
        <w:t xml:space="preserve">: </w:t>
      </w:r>
      <w:r w:rsidR="00FA328C" w:rsidRPr="00FA328C">
        <w:rPr>
          <w:lang w:val="en-GB"/>
        </w:rPr>
        <w:t>Cambodia, Canada, Denmark, France, Germany, Ghana, Ireland, Israel, Korea, Malawi, Moldova, Netherlands, New Zealand, Peru, Philippines,  Rwanda, South Africa, Sweden, United Kingdom, United States, Zambia, A</w:t>
      </w:r>
      <w:r w:rsidR="00FA328C">
        <w:rPr>
          <w:lang w:val="en-GB"/>
        </w:rPr>
        <w:t>frican Capacity Building Foundation</w:t>
      </w:r>
      <w:r w:rsidR="00FA328C" w:rsidRPr="00FA328C">
        <w:rPr>
          <w:lang w:val="en-GB"/>
        </w:rPr>
        <w:t>, Africa Union/NEPAD, Asian Development Bank, CARICOM, C</w:t>
      </w:r>
      <w:r w:rsidR="00FA328C">
        <w:rPr>
          <w:lang w:val="en-GB"/>
        </w:rPr>
        <w:t>ollaborative African Budget Reform Initiative</w:t>
      </w:r>
      <w:r w:rsidR="00FA328C" w:rsidRPr="00FA328C">
        <w:rPr>
          <w:lang w:val="en-GB"/>
        </w:rPr>
        <w:t>, European Commission, I</w:t>
      </w:r>
      <w:r w:rsidR="00FA328C">
        <w:rPr>
          <w:lang w:val="en-GB"/>
        </w:rPr>
        <w:t>nternational Federation of Accountancy</w:t>
      </w:r>
      <w:r w:rsidR="00FA328C" w:rsidRPr="00FA328C">
        <w:rPr>
          <w:lang w:val="en-GB"/>
        </w:rPr>
        <w:t>, I</w:t>
      </w:r>
      <w:r w:rsidR="00FA328C">
        <w:rPr>
          <w:lang w:val="en-GB"/>
        </w:rPr>
        <w:t>nternational Organisation of Supreme Audit Institutions</w:t>
      </w:r>
      <w:r w:rsidR="00FA328C" w:rsidRPr="00FA328C">
        <w:rPr>
          <w:lang w:val="en-GB"/>
        </w:rPr>
        <w:t xml:space="preserve">, LenCD, OECD, </w:t>
      </w:r>
      <w:r w:rsidR="00FA328C">
        <w:rPr>
          <w:lang w:val="en-GB"/>
        </w:rPr>
        <w:t xml:space="preserve">UNDP and the </w:t>
      </w:r>
      <w:r w:rsidR="00FA328C" w:rsidRPr="00FA328C">
        <w:rPr>
          <w:lang w:val="en-GB"/>
        </w:rPr>
        <w:t>World Bank</w:t>
      </w:r>
      <w:r w:rsidR="00FA328C">
        <w:rPr>
          <w:lang w:val="en-GB"/>
        </w:rPr>
        <w:t>.</w:t>
      </w:r>
    </w:p>
    <w:p w:rsidR="0067336B" w:rsidRDefault="0067336B" w:rsidP="0072259E">
      <w:pPr>
        <w:jc w:val="both"/>
        <w:rPr>
          <w:lang w:val="en-GB"/>
        </w:rPr>
      </w:pPr>
      <w:r>
        <w:rPr>
          <w:lang w:val="en-GB"/>
        </w:rPr>
        <w:t xml:space="preserve">The following substantive priorities are based on an initial consultation and informal meeting of Building Block members and responses provided to the </w:t>
      </w:r>
      <w:r w:rsidR="00C42ADC">
        <w:rPr>
          <w:lang w:val="en-GB"/>
        </w:rPr>
        <w:t xml:space="preserve">World Bank, USAID, Ghana, Korea and the </w:t>
      </w:r>
      <w:r>
        <w:rPr>
          <w:lang w:val="en-GB"/>
        </w:rPr>
        <w:t>OECD-DAC Secretariat.</w:t>
      </w:r>
    </w:p>
    <w:p w:rsidR="00DF1D07" w:rsidRDefault="0067336B" w:rsidP="00DF1D07">
      <w:pPr>
        <w:pStyle w:val="Heading3"/>
        <w:spacing w:after="240"/>
        <w:rPr>
          <w:lang w:val="en-GB"/>
        </w:rPr>
      </w:pPr>
      <w:r>
        <w:rPr>
          <w:lang w:val="en-GB"/>
        </w:rPr>
        <w:t>The main objective of the Building Block</w:t>
      </w:r>
    </w:p>
    <w:p w:rsidR="00D91FEE" w:rsidRPr="00D91FEE" w:rsidRDefault="002D2985" w:rsidP="00D91FEE">
      <w:pPr>
        <w:jc w:val="both"/>
        <w:rPr>
          <w:lang w:val="en-GB"/>
        </w:rPr>
      </w:pPr>
      <w:r>
        <w:rPr>
          <w:lang w:val="en-GB"/>
        </w:rPr>
        <w:t>The main objective</w:t>
      </w:r>
      <w:r w:rsidR="00D91FEE">
        <w:rPr>
          <w:lang w:val="en-GB"/>
        </w:rPr>
        <w:t xml:space="preserve"> within the voluntary initiative on Effective Institutions, as defined by its members</w:t>
      </w:r>
      <w:r w:rsidR="004016C6">
        <w:rPr>
          <w:lang w:val="en-GB"/>
        </w:rPr>
        <w:t xml:space="preserve"> in the initial consultation</w:t>
      </w:r>
      <w:r w:rsidR="00D91FEE">
        <w:rPr>
          <w:lang w:val="en-GB"/>
        </w:rPr>
        <w:t xml:space="preserve">, </w:t>
      </w:r>
      <w:r w:rsidR="004016C6">
        <w:rPr>
          <w:lang w:val="en-GB"/>
        </w:rPr>
        <w:t>are</w:t>
      </w:r>
      <w:r w:rsidR="00D91FEE">
        <w:rPr>
          <w:lang w:val="en-GB"/>
        </w:rPr>
        <w:t xml:space="preserve"> to promote the implementation of the commitments in the Busan Partnership document </w:t>
      </w:r>
      <w:r w:rsidR="004016C6">
        <w:rPr>
          <w:lang w:val="en-GB"/>
        </w:rPr>
        <w:t xml:space="preserve">(§19 and §29) </w:t>
      </w:r>
      <w:r w:rsidR="00D91FEE">
        <w:rPr>
          <w:lang w:val="en-GB"/>
        </w:rPr>
        <w:t>by increasing the coherence, effectiveness and sustainability of efforts to strengthen public</w:t>
      </w:r>
      <w:r w:rsidR="00936FD8">
        <w:rPr>
          <w:lang w:val="en-GB"/>
        </w:rPr>
        <w:t xml:space="preserve"> sector institutions</w:t>
      </w:r>
      <w:r w:rsidR="00D91FEE">
        <w:rPr>
          <w:lang w:val="en-GB"/>
        </w:rPr>
        <w:t>.</w:t>
      </w:r>
    </w:p>
    <w:p w:rsidR="00D91FEE" w:rsidRPr="004016C6" w:rsidRDefault="00D91FEE" w:rsidP="004016C6">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spacing w:after="240"/>
        <w:jc w:val="center"/>
        <w:rPr>
          <w:b/>
          <w:i/>
          <w:u w:val="single"/>
          <w:lang w:val="en-GB"/>
        </w:rPr>
      </w:pPr>
      <w:r w:rsidRPr="004016C6">
        <w:rPr>
          <w:b/>
          <w:i/>
          <w:u w:val="single"/>
          <w:lang w:val="en-GB"/>
        </w:rPr>
        <w:t>Objectives of the Building Block</w:t>
      </w:r>
      <w:r w:rsidR="004016C6">
        <w:rPr>
          <w:b/>
          <w:i/>
          <w:u w:val="single"/>
          <w:lang w:val="en-GB"/>
        </w:rPr>
        <w:t>: Member perspectives</w:t>
      </w:r>
    </w:p>
    <w:p w:rsidR="00F50D26" w:rsidRDefault="00F50D26" w:rsidP="00DF1D07">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spacing w:after="240"/>
        <w:jc w:val="both"/>
        <w:rPr>
          <w:lang w:val="en-GB"/>
        </w:rPr>
      </w:pPr>
      <w:r>
        <w:rPr>
          <w:lang w:val="en-GB"/>
        </w:rPr>
        <w:t>The overall objective of this building block is to steer the direction and content of public sector reforms, taking country context and leadership into account; and by extension to support recipient country negotiation of and roles in reform design and implementation (C</w:t>
      </w:r>
      <w:r w:rsidR="0067336B">
        <w:rPr>
          <w:lang w:val="en-GB"/>
        </w:rPr>
        <w:t>ollaborative African Budget Reform Initiative</w:t>
      </w:r>
      <w:r>
        <w:rPr>
          <w:lang w:val="en-GB"/>
        </w:rPr>
        <w:t>)</w:t>
      </w:r>
    </w:p>
    <w:p w:rsidR="00D91FEE" w:rsidRDefault="00D91FEE" w:rsidP="00DF1D07">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spacing w:after="240"/>
        <w:jc w:val="both"/>
        <w:rPr>
          <w:lang w:val="en-GB"/>
        </w:rPr>
      </w:pPr>
      <w:r>
        <w:rPr>
          <w:lang w:val="en-GB"/>
        </w:rPr>
        <w:t>Identifying good practices in public service reforms, country systems strengthening, and capacity development (Cambodia)</w:t>
      </w:r>
    </w:p>
    <w:p w:rsidR="00D91FEE" w:rsidRDefault="00D91FEE" w:rsidP="00DF1D07">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spacing w:after="240"/>
        <w:jc w:val="both"/>
        <w:rPr>
          <w:lang w:val="en-GB"/>
        </w:rPr>
      </w:pPr>
      <w:r>
        <w:rPr>
          <w:lang w:val="en-GB"/>
        </w:rPr>
        <w:t>To uncover successful approaches for building effective institutions and ensuring that mutual learning processes are in place to allow strengthening of country systems and institutions, and tracking and assessing results (African Capacity Building Foundation)</w:t>
      </w:r>
    </w:p>
    <w:p w:rsidR="00D91FEE" w:rsidRDefault="00D91FEE" w:rsidP="00DF1D07">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spacing w:after="240"/>
        <w:jc w:val="both"/>
        <w:rPr>
          <w:lang w:val="en-GB"/>
        </w:rPr>
      </w:pPr>
      <w:r>
        <w:rPr>
          <w:lang w:val="en-GB"/>
        </w:rPr>
        <w:t>Ensuring that country and development partner stakeholders can have access to knowledge a</w:t>
      </w:r>
      <w:r w:rsidR="007069A5">
        <w:rPr>
          <w:lang w:val="en-GB"/>
        </w:rPr>
        <w:t>nd experiences which go beyond --</w:t>
      </w:r>
      <w:r>
        <w:rPr>
          <w:lang w:val="en-GB"/>
        </w:rPr>
        <w:t xml:space="preserve"> or cut across</w:t>
      </w:r>
      <w:r w:rsidR="007069A5">
        <w:rPr>
          <w:lang w:val="en-GB"/>
        </w:rPr>
        <w:t xml:space="preserve"> --</w:t>
      </w:r>
      <w:r>
        <w:rPr>
          <w:lang w:val="en-GB"/>
        </w:rPr>
        <w:t xml:space="preserve"> the specialised aspects underpinning effective institutions. (LenCD)</w:t>
      </w:r>
    </w:p>
    <w:p w:rsidR="00817EC1" w:rsidRDefault="002D2985" w:rsidP="00817EC1">
      <w:pPr>
        <w:jc w:val="both"/>
        <w:rPr>
          <w:lang w:val="en-GB"/>
        </w:rPr>
      </w:pPr>
      <w:r>
        <w:rPr>
          <w:lang w:val="en-GB"/>
        </w:rPr>
        <w:t>Within this</w:t>
      </w:r>
      <w:r w:rsidR="004016C6">
        <w:rPr>
          <w:lang w:val="en-GB"/>
        </w:rPr>
        <w:t xml:space="preserve"> broad</w:t>
      </w:r>
      <w:r>
        <w:rPr>
          <w:lang w:val="en-GB"/>
        </w:rPr>
        <w:t xml:space="preserve"> objective</w:t>
      </w:r>
      <w:r w:rsidR="0084767B">
        <w:rPr>
          <w:lang w:val="en-GB"/>
        </w:rPr>
        <w:t xml:space="preserve">, five </w:t>
      </w:r>
      <w:r w:rsidR="001C0564">
        <w:rPr>
          <w:lang w:val="en-GB"/>
        </w:rPr>
        <w:t xml:space="preserve">substantive priorities have emerged based on the commitments in the New Consensus and in the Busan Partnership – and in response to the need to prioritise within this broad agenda. </w:t>
      </w:r>
    </w:p>
    <w:p w:rsidR="007B0E4C" w:rsidRDefault="007B0E4C" w:rsidP="00CA109C">
      <w:pPr>
        <w:pStyle w:val="Heading3"/>
        <w:spacing w:after="240"/>
        <w:rPr>
          <w:lang w:val="en-GB"/>
        </w:rPr>
      </w:pPr>
      <w:proofErr w:type="gramStart"/>
      <w:r>
        <w:rPr>
          <w:lang w:val="en-GB"/>
        </w:rPr>
        <w:t>a</w:t>
      </w:r>
      <w:proofErr w:type="gramEnd"/>
      <w:r>
        <w:rPr>
          <w:lang w:val="en-GB"/>
        </w:rPr>
        <w:t xml:space="preserve">) </w:t>
      </w:r>
      <w:r w:rsidR="00AA7982">
        <w:rPr>
          <w:lang w:val="en-GB"/>
        </w:rPr>
        <w:t>Indicators</w:t>
      </w:r>
      <w:r w:rsidR="0083413B">
        <w:rPr>
          <w:lang w:val="en-GB"/>
        </w:rPr>
        <w:t xml:space="preserve"> of Success: how to measure what works and why</w:t>
      </w:r>
    </w:p>
    <w:p w:rsidR="0036300B" w:rsidRDefault="0026752B" w:rsidP="0036300B">
      <w:pPr>
        <w:spacing w:after="240"/>
        <w:jc w:val="both"/>
        <w:rPr>
          <w:lang w:val="en-GB"/>
        </w:rPr>
      </w:pPr>
      <w:r>
        <w:rPr>
          <w:lang w:val="en-GB"/>
        </w:rPr>
        <w:t xml:space="preserve">As outlined above, there is ample evidence </w:t>
      </w:r>
      <w:r w:rsidR="00CA109C">
        <w:rPr>
          <w:lang w:val="en-GB"/>
        </w:rPr>
        <w:t>pointing to</w:t>
      </w:r>
      <w:r>
        <w:rPr>
          <w:lang w:val="en-GB"/>
        </w:rPr>
        <w:t xml:space="preserve"> factors </w:t>
      </w:r>
      <w:r w:rsidR="00CA109C">
        <w:rPr>
          <w:lang w:val="en-GB"/>
        </w:rPr>
        <w:t xml:space="preserve">that </w:t>
      </w:r>
      <w:r w:rsidR="00A87071">
        <w:rPr>
          <w:lang w:val="en-GB"/>
        </w:rPr>
        <w:t>impact upon</w:t>
      </w:r>
      <w:r>
        <w:rPr>
          <w:lang w:val="en-GB"/>
        </w:rPr>
        <w:t xml:space="preserve"> the implementation of public sector reforms and efforts to strengthen related institutions. Gaps remain, however, </w:t>
      </w:r>
      <w:r w:rsidR="0036300B">
        <w:rPr>
          <w:lang w:val="en-GB"/>
        </w:rPr>
        <w:t xml:space="preserve">in </w:t>
      </w:r>
      <w:r w:rsidR="007D08FC">
        <w:rPr>
          <w:lang w:val="en-GB"/>
        </w:rPr>
        <w:t>the</w:t>
      </w:r>
      <w:r w:rsidR="0036300B">
        <w:rPr>
          <w:lang w:val="en-GB"/>
        </w:rPr>
        <w:t xml:space="preserve"> measure</w:t>
      </w:r>
      <w:r w:rsidR="007D08FC">
        <w:rPr>
          <w:lang w:val="en-GB"/>
        </w:rPr>
        <w:t>ment of</w:t>
      </w:r>
      <w:r w:rsidR="0036300B">
        <w:rPr>
          <w:lang w:val="en-GB"/>
        </w:rPr>
        <w:t xml:space="preserve"> success in terms of </w:t>
      </w:r>
      <w:r w:rsidR="0084767B">
        <w:rPr>
          <w:lang w:val="en-GB"/>
        </w:rPr>
        <w:t>development outcomes</w:t>
      </w:r>
      <w:r w:rsidR="0036300B">
        <w:rPr>
          <w:lang w:val="en-GB"/>
        </w:rPr>
        <w:t xml:space="preserve"> when attribution is difficult and strengthening institutions is a long-drawn out process. In addition, </w:t>
      </w:r>
      <w:r w:rsidR="007D08FC">
        <w:rPr>
          <w:lang w:val="en-GB"/>
        </w:rPr>
        <w:t>a ‘whole of government’ perspective is often lacking, when indicators tend to focus on a subset of public sector institutions</w:t>
      </w:r>
      <w:r w:rsidR="0036300B">
        <w:rPr>
          <w:lang w:val="en-GB"/>
        </w:rPr>
        <w:t xml:space="preserve"> and regulations</w:t>
      </w:r>
      <w:r w:rsidR="007D08FC">
        <w:rPr>
          <w:lang w:val="en-GB"/>
        </w:rPr>
        <w:t xml:space="preserve"> (PFM, procurement, civil service reform, etc)</w:t>
      </w:r>
      <w:r w:rsidR="0036300B">
        <w:rPr>
          <w:lang w:val="en-GB"/>
        </w:rPr>
        <w:t xml:space="preserve">. </w:t>
      </w:r>
      <w:r w:rsidR="007D08FC">
        <w:rPr>
          <w:lang w:val="en-GB"/>
        </w:rPr>
        <w:t>Finally, the lack of partner count</w:t>
      </w:r>
      <w:r w:rsidR="0084767B">
        <w:rPr>
          <w:lang w:val="en-GB"/>
        </w:rPr>
        <w:t>ry ownership and validation of</w:t>
      </w:r>
      <w:r w:rsidR="007D08FC">
        <w:rPr>
          <w:lang w:val="en-GB"/>
        </w:rPr>
        <w:t xml:space="preserve"> these indicators may impede their use and weaken incentives for them to inform policy change. </w:t>
      </w:r>
    </w:p>
    <w:p w:rsidR="00963988" w:rsidRDefault="00963988" w:rsidP="00963988">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spacing w:after="240"/>
        <w:jc w:val="both"/>
        <w:rPr>
          <w:lang w:val="en-GB"/>
        </w:rPr>
      </w:pPr>
      <w:r w:rsidRPr="00A87071">
        <w:rPr>
          <w:b/>
          <w:u w:val="single"/>
          <w:lang w:val="en-GB"/>
        </w:rPr>
        <w:t>Substantive Priority:</w:t>
      </w:r>
      <w:r>
        <w:rPr>
          <w:lang w:val="en-GB"/>
        </w:rPr>
        <w:t xml:space="preserve"> Collecting data on strengthening institutions in a more coherent manner (linking assessments (</w:t>
      </w:r>
      <w:proofErr w:type="spellStart"/>
      <w:r>
        <w:rPr>
          <w:lang w:val="en-GB"/>
        </w:rPr>
        <w:t>eg</w:t>
      </w:r>
      <w:proofErr w:type="spellEnd"/>
      <w:r>
        <w:rPr>
          <w:lang w:val="en-GB"/>
        </w:rPr>
        <w:t xml:space="preserve"> PEFA, CPIA, Open Budget Initiative) and identifying gaps as well as validating results at country level, and/or develop a ‘diagnostic protocol’ to help identify a</w:t>
      </w:r>
      <w:r w:rsidR="007D08FC">
        <w:rPr>
          <w:lang w:val="en-GB"/>
        </w:rPr>
        <w:t>nd overcome obstacles to reform</w:t>
      </w:r>
      <w:r>
        <w:rPr>
          <w:lang w:val="en-GB"/>
        </w:rPr>
        <w:t>. (Effective Institutions Informal meeting, Feb 2012)</w:t>
      </w:r>
    </w:p>
    <w:p w:rsidR="00FE38EE" w:rsidRDefault="00A87071" w:rsidP="00A87071">
      <w:pPr>
        <w:jc w:val="both"/>
        <w:rPr>
          <w:lang w:val="en-GB"/>
        </w:rPr>
      </w:pPr>
      <w:r>
        <w:rPr>
          <w:lang w:val="en-GB"/>
        </w:rPr>
        <w:t xml:space="preserve">‘Measuring what works and why’ has been identified by a number of countries and organisations as one of the substantive priorities of the Building Block which could draw on a number of ongoing efforts. </w:t>
      </w:r>
    </w:p>
    <w:p w:rsidR="00B517C9" w:rsidRDefault="00CA109C" w:rsidP="00A87071">
      <w:pPr>
        <w:jc w:val="both"/>
        <w:rPr>
          <w:lang w:val="en-GB"/>
        </w:rPr>
      </w:pPr>
      <w:r>
        <w:rPr>
          <w:lang w:val="en-GB"/>
        </w:rPr>
        <w:t>For example, t</w:t>
      </w:r>
      <w:r w:rsidR="00B517C9">
        <w:rPr>
          <w:lang w:val="en-GB"/>
        </w:rPr>
        <w:t xml:space="preserve">he World Bank is leading efforts </w:t>
      </w:r>
      <w:r w:rsidR="00A87071">
        <w:rPr>
          <w:lang w:val="en-GB"/>
        </w:rPr>
        <w:t>to develop Indicators of the Strength of Public Management Systems (ISPMS) to improve the ways in which we measure success</w:t>
      </w:r>
      <w:r w:rsidR="007D08FC">
        <w:rPr>
          <w:lang w:val="en-GB"/>
        </w:rPr>
        <w:t xml:space="preserve"> in this area</w:t>
      </w:r>
      <w:r w:rsidR="00A87071">
        <w:rPr>
          <w:lang w:val="en-GB"/>
        </w:rPr>
        <w:t>. The main aim is to help governments design and monitor the results of public sector management reforms; as well as improving the ways in which donors support these reforms.</w:t>
      </w:r>
      <w:r w:rsidR="00963988">
        <w:rPr>
          <w:lang w:val="en-GB"/>
        </w:rPr>
        <w:t xml:space="preserve"> This includes setting reasonable targets for donor-supported reform projects and drawing on pre-existing indicator sets (for example PEFA, Doing Business, ILO </w:t>
      </w:r>
      <w:proofErr w:type="spellStart"/>
      <w:r w:rsidR="00963988">
        <w:rPr>
          <w:lang w:val="en-GB"/>
        </w:rPr>
        <w:t>Labor</w:t>
      </w:r>
      <w:proofErr w:type="spellEnd"/>
      <w:r w:rsidR="00963988">
        <w:rPr>
          <w:lang w:val="en-GB"/>
        </w:rPr>
        <w:t xml:space="preserve"> Statistics).  What sets ISPMS apart is the measurement not only of de jure reforms but of function and </w:t>
      </w:r>
      <w:r>
        <w:rPr>
          <w:lang w:val="en-GB"/>
        </w:rPr>
        <w:t>behavioura</w:t>
      </w:r>
      <w:r w:rsidR="00CD5761">
        <w:rPr>
          <w:lang w:val="en-GB"/>
        </w:rPr>
        <w:t>l change – thereby helping to determine what works and why</w:t>
      </w:r>
      <w:r w:rsidR="0036300B">
        <w:rPr>
          <w:lang w:val="en-GB"/>
        </w:rPr>
        <w:t>.</w:t>
      </w:r>
      <w:r>
        <w:rPr>
          <w:lang w:val="en-GB"/>
        </w:rPr>
        <w:t xml:space="preserve"> </w:t>
      </w:r>
    </w:p>
    <w:p w:rsidR="00FE38EE" w:rsidRDefault="00FE38EE" w:rsidP="00A87071">
      <w:pPr>
        <w:jc w:val="both"/>
        <w:rPr>
          <w:lang w:val="en-GB"/>
        </w:rPr>
      </w:pPr>
      <w:r>
        <w:rPr>
          <w:lang w:val="en-GB"/>
        </w:rPr>
        <w:t xml:space="preserve">Another related initiative is the development of data systems to track and measure the impact of different approaches to strengthening institutions. The African Capacity Indicators (ACI) </w:t>
      </w:r>
      <w:proofErr w:type="gramStart"/>
      <w:r>
        <w:rPr>
          <w:lang w:val="en-GB"/>
        </w:rPr>
        <w:t>are</w:t>
      </w:r>
      <w:proofErr w:type="gramEnd"/>
      <w:r>
        <w:rPr>
          <w:lang w:val="en-GB"/>
        </w:rPr>
        <w:t xml:space="preserve"> being used as a tool to capture better ways of assessing institutions. The African Capacity Building Foundation is currently working with the World Bank on </w:t>
      </w:r>
      <w:r w:rsidR="004B00C5">
        <w:rPr>
          <w:lang w:val="en-GB"/>
        </w:rPr>
        <w:t>refining related indicators</w:t>
      </w:r>
      <w:r>
        <w:rPr>
          <w:lang w:val="en-GB"/>
        </w:rPr>
        <w:t xml:space="preserve">- and is working on institutional strengthening for agricultural institutions under CAADP with NEPAD and the African Union. </w:t>
      </w:r>
    </w:p>
    <w:p w:rsidR="007B0E4C" w:rsidRDefault="007B0E4C" w:rsidP="00CD5761">
      <w:pPr>
        <w:pStyle w:val="Heading3"/>
        <w:spacing w:after="240"/>
        <w:rPr>
          <w:lang w:val="en-GB"/>
        </w:rPr>
      </w:pPr>
      <w:r>
        <w:rPr>
          <w:lang w:val="en-GB"/>
        </w:rPr>
        <w:t xml:space="preserve">b) </w:t>
      </w:r>
      <w:r w:rsidR="00757626">
        <w:rPr>
          <w:lang w:val="en-GB"/>
        </w:rPr>
        <w:t>Making Reform Happen: how to design and sequence reforms</w:t>
      </w:r>
    </w:p>
    <w:p w:rsidR="008B0BA7" w:rsidRDefault="00FE38EE" w:rsidP="008B0BA7">
      <w:pPr>
        <w:jc w:val="both"/>
        <w:rPr>
          <w:lang w:val="en-GB"/>
        </w:rPr>
      </w:pPr>
      <w:r>
        <w:rPr>
          <w:lang w:val="en-GB"/>
        </w:rPr>
        <w:t xml:space="preserve">Another substantive priority area recognised </w:t>
      </w:r>
      <w:r w:rsidR="002D2985">
        <w:rPr>
          <w:lang w:val="en-GB"/>
        </w:rPr>
        <w:t>by members of the building block</w:t>
      </w:r>
      <w:r>
        <w:rPr>
          <w:lang w:val="en-GB"/>
        </w:rPr>
        <w:t xml:space="preserve"> is the need to </w:t>
      </w:r>
      <w:r w:rsidR="007E1F99">
        <w:rPr>
          <w:lang w:val="en-GB"/>
        </w:rPr>
        <w:t xml:space="preserve">focus on those </w:t>
      </w:r>
      <w:r w:rsidR="007E1F99" w:rsidRPr="007E1F99">
        <w:rPr>
          <w:lang w:val="en-GB"/>
        </w:rPr>
        <w:t xml:space="preserve">factors that make reforms and capacity development happen </w:t>
      </w:r>
      <w:proofErr w:type="gramStart"/>
      <w:r w:rsidR="007E1F99" w:rsidRPr="007E1F99">
        <w:rPr>
          <w:lang w:val="en-GB"/>
        </w:rPr>
        <w:t>including  political</w:t>
      </w:r>
      <w:proofErr w:type="gramEnd"/>
      <w:r w:rsidR="007E1F99" w:rsidRPr="007E1F99">
        <w:rPr>
          <w:lang w:val="en-GB"/>
        </w:rPr>
        <w:t xml:space="preserve"> economy, country leadership, change management, and sequencing of institutional and policy change</w:t>
      </w:r>
      <w:r w:rsidR="007E1F99">
        <w:rPr>
          <w:lang w:val="en-GB"/>
        </w:rPr>
        <w:t xml:space="preserve">. </w:t>
      </w:r>
      <w:r w:rsidR="00A80917">
        <w:rPr>
          <w:lang w:val="en-GB"/>
        </w:rPr>
        <w:t xml:space="preserve">Gaps remain in how to </w:t>
      </w:r>
      <w:proofErr w:type="spellStart"/>
      <w:r w:rsidR="00A80917">
        <w:rPr>
          <w:lang w:val="en-GB"/>
        </w:rPr>
        <w:t>operationalise</w:t>
      </w:r>
      <w:proofErr w:type="spellEnd"/>
      <w:r w:rsidR="00A80917">
        <w:rPr>
          <w:lang w:val="en-GB"/>
        </w:rPr>
        <w:t xml:space="preserve"> policy recommendations</w:t>
      </w:r>
      <w:r w:rsidR="002D2985">
        <w:rPr>
          <w:lang w:val="en-GB"/>
        </w:rPr>
        <w:t xml:space="preserve"> in these areas</w:t>
      </w:r>
      <w:r w:rsidR="00A80917">
        <w:rPr>
          <w:lang w:val="en-GB"/>
        </w:rPr>
        <w:t xml:space="preserve">. </w:t>
      </w:r>
      <w:r w:rsidR="0084767B">
        <w:rPr>
          <w:lang w:val="en-GB"/>
        </w:rPr>
        <w:t>For example, w</w:t>
      </w:r>
      <w:r w:rsidR="008B0BA7">
        <w:rPr>
          <w:lang w:val="en-GB"/>
        </w:rPr>
        <w:t>hilst</w:t>
      </w:r>
      <w:r w:rsidR="007E1F99">
        <w:rPr>
          <w:lang w:val="en-GB"/>
        </w:rPr>
        <w:t xml:space="preserve"> practitioners increasingly recognise the importance of politics in determining impact- </w:t>
      </w:r>
      <w:r w:rsidR="0084767B">
        <w:rPr>
          <w:lang w:val="en-GB"/>
        </w:rPr>
        <w:t>it is less clear what practical</w:t>
      </w:r>
      <w:r w:rsidR="007E1F99">
        <w:rPr>
          <w:lang w:val="en-GB"/>
        </w:rPr>
        <w:t xml:space="preserve"> recommendations might help policy-makers determine how to use this knowledge for more su</w:t>
      </w:r>
      <w:r w:rsidR="0084767B">
        <w:rPr>
          <w:lang w:val="en-GB"/>
        </w:rPr>
        <w:t>stainable development outcomes.</w:t>
      </w:r>
    </w:p>
    <w:p w:rsidR="00CD5761" w:rsidRPr="00CD5761" w:rsidRDefault="008B0BA7" w:rsidP="00CD5761">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spacing w:after="240"/>
        <w:jc w:val="both"/>
        <w:rPr>
          <w:lang w:val="en-GB"/>
        </w:rPr>
      </w:pPr>
      <w:r>
        <w:rPr>
          <w:b/>
          <w:u w:val="single"/>
          <w:lang w:val="en-GB"/>
        </w:rPr>
        <w:t>Substantive Priorities</w:t>
      </w:r>
      <w:r w:rsidR="00CD5761" w:rsidRPr="00CD5761">
        <w:rPr>
          <w:b/>
          <w:u w:val="single"/>
          <w:lang w:val="en-GB"/>
        </w:rPr>
        <w:t>:</w:t>
      </w:r>
      <w:r w:rsidR="00CD5761">
        <w:rPr>
          <w:lang w:val="en-GB"/>
        </w:rPr>
        <w:t xml:space="preserve"> </w:t>
      </w:r>
      <w:r w:rsidR="004B00C5">
        <w:rPr>
          <w:lang w:val="en-GB"/>
        </w:rPr>
        <w:t xml:space="preserve">1) </w:t>
      </w:r>
      <w:r>
        <w:rPr>
          <w:lang w:val="en-GB"/>
        </w:rPr>
        <w:t>Taking country context and leadership into account; and support recipient country negotiation of and roles in reform design and implementation (Collaborative African Budget Reform Initiative)</w:t>
      </w:r>
      <w:r w:rsidR="00FF7CF2">
        <w:rPr>
          <w:lang w:val="en-GB"/>
        </w:rPr>
        <w:t xml:space="preserve">. </w:t>
      </w:r>
      <w:r w:rsidR="004B00C5">
        <w:rPr>
          <w:lang w:val="en-GB"/>
        </w:rPr>
        <w:t>2) More holistic approaches to reforms; i.e. f</w:t>
      </w:r>
      <w:r w:rsidR="00CD5761" w:rsidRPr="00CD5761">
        <w:rPr>
          <w:lang w:val="en-GB"/>
        </w:rPr>
        <w:t>inding ways to better link public expenditure with domestic revenue management (budget and revenue authoritie</w:t>
      </w:r>
      <w:r w:rsidR="00FF7CF2">
        <w:rPr>
          <w:lang w:val="en-GB"/>
        </w:rPr>
        <w:t>s) (Effective Institut</w:t>
      </w:r>
      <w:r w:rsidR="00B12A75">
        <w:rPr>
          <w:lang w:val="en-GB"/>
        </w:rPr>
        <w:t>ions Informal meeting, Feb 2012; and SIDA)</w:t>
      </w:r>
    </w:p>
    <w:p w:rsidR="00CD5761" w:rsidRDefault="00A80917" w:rsidP="008B0BA7">
      <w:pPr>
        <w:jc w:val="both"/>
        <w:rPr>
          <w:lang w:val="en-GB"/>
        </w:rPr>
      </w:pPr>
      <w:r>
        <w:rPr>
          <w:lang w:val="en-GB"/>
        </w:rPr>
        <w:t>Under this substantive priority area, m</w:t>
      </w:r>
      <w:r w:rsidR="009F7988">
        <w:rPr>
          <w:lang w:val="en-GB"/>
        </w:rPr>
        <w:t>embers</w:t>
      </w:r>
      <w:r w:rsidR="008B0BA7">
        <w:rPr>
          <w:lang w:val="en-GB"/>
        </w:rPr>
        <w:t xml:space="preserve"> of the Effect</w:t>
      </w:r>
      <w:r w:rsidR="009F7988">
        <w:rPr>
          <w:lang w:val="en-GB"/>
        </w:rPr>
        <w:t>ive Institutions building block</w:t>
      </w:r>
      <w:r w:rsidR="008B0BA7">
        <w:rPr>
          <w:lang w:val="en-GB"/>
        </w:rPr>
        <w:t xml:space="preserve"> highlight</w:t>
      </w:r>
      <w:r w:rsidR="009F7988">
        <w:rPr>
          <w:lang w:val="en-GB"/>
        </w:rPr>
        <w:t xml:space="preserve">ed </w:t>
      </w:r>
      <w:r w:rsidR="008B0BA7">
        <w:rPr>
          <w:lang w:val="en-GB"/>
        </w:rPr>
        <w:t>the need to</w:t>
      </w:r>
      <w:r w:rsidR="006E3567">
        <w:rPr>
          <w:lang w:val="en-GB"/>
        </w:rPr>
        <w:t xml:space="preserve"> </w:t>
      </w:r>
      <w:r w:rsidR="0084767B">
        <w:rPr>
          <w:lang w:val="en-GB"/>
        </w:rPr>
        <w:t>develop a</w:t>
      </w:r>
      <w:r w:rsidR="009F7988">
        <w:rPr>
          <w:lang w:val="en-GB"/>
        </w:rPr>
        <w:t xml:space="preserve"> more coherent approach to </w:t>
      </w:r>
      <w:r w:rsidR="008B0BA7">
        <w:rPr>
          <w:lang w:val="en-GB"/>
        </w:rPr>
        <w:t xml:space="preserve">sequencing of reform </w:t>
      </w:r>
      <w:r>
        <w:rPr>
          <w:lang w:val="en-GB"/>
        </w:rPr>
        <w:t>and to building a more holistic view in building capacity of public sector institutions</w:t>
      </w:r>
      <w:r w:rsidR="008B0BA7">
        <w:rPr>
          <w:lang w:val="en-GB"/>
        </w:rPr>
        <w:t xml:space="preserve">. </w:t>
      </w:r>
      <w:r w:rsidR="0084767B">
        <w:rPr>
          <w:lang w:val="en-GB"/>
        </w:rPr>
        <w:t>Evidence from the Making Reform Happen project (</w:t>
      </w:r>
      <w:r>
        <w:rPr>
          <w:lang w:val="en-GB"/>
        </w:rPr>
        <w:t xml:space="preserve">currently undertaken by the </w:t>
      </w:r>
      <w:r w:rsidR="0084767B">
        <w:rPr>
          <w:lang w:val="en-GB"/>
        </w:rPr>
        <w:t>Korean Deve</w:t>
      </w:r>
      <w:r>
        <w:rPr>
          <w:lang w:val="en-GB"/>
        </w:rPr>
        <w:t>lopment Institute and OECD</w:t>
      </w:r>
      <w:r w:rsidR="0084767B">
        <w:rPr>
          <w:lang w:val="en-GB"/>
        </w:rPr>
        <w:t xml:space="preserve">) shows that whilst reforms are context specific, reform processes </w:t>
      </w:r>
      <w:r>
        <w:rPr>
          <w:lang w:val="en-GB"/>
        </w:rPr>
        <w:t>share similar traits</w:t>
      </w:r>
      <w:r w:rsidR="0084767B">
        <w:rPr>
          <w:lang w:val="en-GB"/>
        </w:rPr>
        <w:t xml:space="preserve">, including: </w:t>
      </w:r>
      <w:r w:rsidR="0084767B" w:rsidRPr="008B0BA7">
        <w:rPr>
          <w:lang w:val="en-GB"/>
        </w:rPr>
        <w:t xml:space="preserve">ex ante evaluation on the potential </w:t>
      </w:r>
      <w:r w:rsidR="0084767B">
        <w:rPr>
          <w:lang w:val="en-GB"/>
        </w:rPr>
        <w:t xml:space="preserve">impact of the reform </w:t>
      </w:r>
      <w:r>
        <w:rPr>
          <w:lang w:val="en-GB"/>
        </w:rPr>
        <w:t>revealing</w:t>
      </w:r>
      <w:r w:rsidR="0084767B" w:rsidRPr="008B0BA7">
        <w:rPr>
          <w:lang w:val="en-GB"/>
        </w:rPr>
        <w:t xml:space="preserve"> identities of</w:t>
      </w:r>
      <w:r>
        <w:rPr>
          <w:lang w:val="en-GB"/>
        </w:rPr>
        <w:t xml:space="preserve"> the likely winners and losers </w:t>
      </w:r>
      <w:r w:rsidR="0084767B" w:rsidRPr="008B0BA7">
        <w:rPr>
          <w:lang w:val="en-GB"/>
        </w:rPr>
        <w:t>(planning stage)</w:t>
      </w:r>
      <w:r w:rsidR="0084767B">
        <w:rPr>
          <w:lang w:val="en-GB"/>
        </w:rPr>
        <w:t xml:space="preserve">; making </w:t>
      </w:r>
      <w:r w:rsidR="0084767B" w:rsidRPr="008B0BA7">
        <w:rPr>
          <w:lang w:val="en-GB"/>
        </w:rPr>
        <w:t>citizens the main stakeholders – i.e</w:t>
      </w:r>
      <w:r w:rsidR="0084767B">
        <w:rPr>
          <w:lang w:val="en-GB"/>
        </w:rPr>
        <w:t>. demonstrating</w:t>
      </w:r>
      <w:r w:rsidR="0084767B" w:rsidRPr="008B0BA7">
        <w:rPr>
          <w:lang w:val="en-GB"/>
        </w:rPr>
        <w:t xml:space="preserve"> the need or desirability of the proposed solutions to the public (planning stage)</w:t>
      </w:r>
      <w:r w:rsidR="0084767B">
        <w:rPr>
          <w:lang w:val="en-GB"/>
        </w:rPr>
        <w:t>; preparing legal procedures to adopt reforms well in advance (</w:t>
      </w:r>
      <w:r w:rsidR="0084767B" w:rsidRPr="008B0BA7">
        <w:rPr>
          <w:lang w:val="en-GB"/>
        </w:rPr>
        <w:t>adoption stage)</w:t>
      </w:r>
      <w:r w:rsidR="0084767B">
        <w:rPr>
          <w:lang w:val="en-GB"/>
        </w:rPr>
        <w:t xml:space="preserve">; designing </w:t>
      </w:r>
      <w:r w:rsidR="0084767B" w:rsidRPr="008B0BA7">
        <w:rPr>
          <w:lang w:val="en-GB"/>
        </w:rPr>
        <w:t>systems to co-ordinate implementation among different levels of government (implementation stage)</w:t>
      </w:r>
      <w:r w:rsidR="0084767B">
        <w:rPr>
          <w:lang w:val="en-GB"/>
        </w:rPr>
        <w:t>.</w:t>
      </w:r>
      <w:r>
        <w:rPr>
          <w:lang w:val="en-GB"/>
        </w:rPr>
        <w:t xml:space="preserve"> Other members pointed to the work </w:t>
      </w:r>
      <w:r w:rsidR="008B0BA7">
        <w:rPr>
          <w:lang w:val="en-GB"/>
        </w:rPr>
        <w:t xml:space="preserve">undertaken in the area of Public Financial Management but </w:t>
      </w:r>
      <w:r w:rsidR="009F7988">
        <w:rPr>
          <w:lang w:val="en-GB"/>
        </w:rPr>
        <w:t xml:space="preserve">which </w:t>
      </w:r>
      <w:r w:rsidR="008B0BA7">
        <w:rPr>
          <w:lang w:val="en-GB"/>
        </w:rPr>
        <w:t xml:space="preserve">could be applied to other public sector </w:t>
      </w:r>
      <w:r w:rsidR="009F7988">
        <w:rPr>
          <w:lang w:val="en-GB"/>
        </w:rPr>
        <w:t>functions</w:t>
      </w:r>
      <w:r w:rsidR="008B0BA7">
        <w:rPr>
          <w:lang w:val="en-GB"/>
        </w:rPr>
        <w:t>: ‘</w:t>
      </w:r>
      <w:r w:rsidR="008B0BA7" w:rsidRPr="008B0BA7">
        <w:rPr>
          <w:lang w:val="en-GB"/>
        </w:rPr>
        <w:t xml:space="preserve">the practical problems </w:t>
      </w:r>
      <w:r w:rsidR="009F7988">
        <w:rPr>
          <w:lang w:val="en-GB"/>
        </w:rPr>
        <w:t>[…]</w:t>
      </w:r>
      <w:r w:rsidR="008B0BA7" w:rsidRPr="008B0BA7">
        <w:rPr>
          <w:lang w:val="en-GB"/>
        </w:rPr>
        <w:t xml:space="preserve"> suggest it is not possible to avoid the sequencing problem. </w:t>
      </w:r>
      <w:r w:rsidR="0084767B">
        <w:rPr>
          <w:lang w:val="en-GB"/>
        </w:rPr>
        <w:t>[…] O</w:t>
      </w:r>
      <w:r w:rsidR="008B0BA7" w:rsidRPr="008B0BA7">
        <w:rPr>
          <w:lang w:val="en-GB"/>
        </w:rPr>
        <w:t>f necessity, reformers need to prioritize reform actions to pursue a viable reform path. How to prioritize lies at the heart of the sequencing issue’</w:t>
      </w:r>
      <w:r w:rsidR="009F7988">
        <w:rPr>
          <w:lang w:val="en-GB"/>
        </w:rPr>
        <w:t xml:space="preserve"> (Diamond, 2012)</w:t>
      </w:r>
      <w:r w:rsidR="008B0BA7" w:rsidRPr="008B0BA7">
        <w:rPr>
          <w:lang w:val="en-GB"/>
        </w:rPr>
        <w:t>.</w:t>
      </w:r>
      <w:r w:rsidR="009F7988">
        <w:rPr>
          <w:lang w:val="en-GB"/>
        </w:rPr>
        <w:t xml:space="preserve"> </w:t>
      </w:r>
      <w:r w:rsidR="00FF7CF2">
        <w:rPr>
          <w:lang w:val="en-GB"/>
        </w:rPr>
        <w:t xml:space="preserve">The Task Force on Public Financial Management is finalising </w:t>
      </w:r>
      <w:r w:rsidR="006E3567">
        <w:rPr>
          <w:lang w:val="en-GB"/>
        </w:rPr>
        <w:t>good practices</w:t>
      </w:r>
      <w:r w:rsidR="00FF7CF2">
        <w:rPr>
          <w:lang w:val="en-GB"/>
        </w:rPr>
        <w:t xml:space="preserve"> on sequencing reform in PFM</w:t>
      </w:r>
      <w:r w:rsidR="002D2985">
        <w:rPr>
          <w:lang w:val="en-GB"/>
        </w:rPr>
        <w:t xml:space="preserve"> which, it was suggested, could be applied</w:t>
      </w:r>
      <w:r w:rsidR="006E3567">
        <w:rPr>
          <w:lang w:val="en-GB"/>
        </w:rPr>
        <w:t xml:space="preserve"> to other public sector functions</w:t>
      </w:r>
      <w:r w:rsidR="004B00C5">
        <w:rPr>
          <w:lang w:val="en-GB"/>
        </w:rPr>
        <w:t xml:space="preserve"> and areas.</w:t>
      </w:r>
      <w:r w:rsidR="00FF7CF2">
        <w:rPr>
          <w:lang w:val="en-GB"/>
        </w:rPr>
        <w:t xml:space="preserve"> </w:t>
      </w:r>
    </w:p>
    <w:p w:rsidR="00CD5761" w:rsidRDefault="009F7988" w:rsidP="00FF7CF2">
      <w:pPr>
        <w:jc w:val="both"/>
        <w:rPr>
          <w:lang w:val="en-GB"/>
        </w:rPr>
      </w:pPr>
      <w:r>
        <w:rPr>
          <w:lang w:val="en-GB"/>
        </w:rPr>
        <w:t xml:space="preserve">Related to this issue is the </w:t>
      </w:r>
      <w:r w:rsidR="00FF7CF2">
        <w:rPr>
          <w:lang w:val="en-GB"/>
        </w:rPr>
        <w:t>need to better link</w:t>
      </w:r>
      <w:r w:rsidR="00642559">
        <w:rPr>
          <w:lang w:val="en-GB"/>
        </w:rPr>
        <w:t xml:space="preserve"> different institutional reform efforts</w:t>
      </w:r>
      <w:r w:rsidR="00FF7CF2">
        <w:rPr>
          <w:lang w:val="en-GB"/>
        </w:rPr>
        <w:t xml:space="preserve">- and donors’ support to them. Effective capacity development requires a holistic approach that includes but also goes beyond focusing </w:t>
      </w:r>
      <w:r w:rsidR="007069A5">
        <w:rPr>
          <w:lang w:val="en-GB"/>
        </w:rPr>
        <w:t xml:space="preserve">on </w:t>
      </w:r>
      <w:r w:rsidR="00FF7CF2">
        <w:rPr>
          <w:lang w:val="en-GB"/>
        </w:rPr>
        <w:t xml:space="preserve">a few core state functions. For instance, public expenditure </w:t>
      </w:r>
      <w:r w:rsidR="00642559">
        <w:rPr>
          <w:lang w:val="en-GB"/>
        </w:rPr>
        <w:t xml:space="preserve">and </w:t>
      </w:r>
      <w:r w:rsidR="00FF7CF2">
        <w:rPr>
          <w:lang w:val="en-GB"/>
        </w:rPr>
        <w:t>domestic revenue management are often treated separately- however</w:t>
      </w:r>
      <w:r w:rsidR="007069A5">
        <w:rPr>
          <w:lang w:val="en-GB"/>
        </w:rPr>
        <w:t>,</w:t>
      </w:r>
      <w:r w:rsidR="00FF7CF2">
        <w:rPr>
          <w:lang w:val="en-GB"/>
        </w:rPr>
        <w:t xml:space="preserve"> stronger public expenditure systems create an increased fiscal space by generating expenditure savings that can be deployed in ways that promote development effectiveness. </w:t>
      </w:r>
      <w:r w:rsidR="007069A5" w:rsidRPr="00184541">
        <w:rPr>
          <w:lang w:val="en-GB"/>
        </w:rPr>
        <w:t xml:space="preserve">The Task Force on Tax and Development aims to contribute with substantive inputs </w:t>
      </w:r>
      <w:r w:rsidR="002D2985">
        <w:rPr>
          <w:lang w:val="en-GB"/>
        </w:rPr>
        <w:t>to this agenda</w:t>
      </w:r>
      <w:r w:rsidR="007069A5" w:rsidRPr="00184541">
        <w:rPr>
          <w:lang w:val="en-GB"/>
        </w:rPr>
        <w:t>.</w:t>
      </w:r>
    </w:p>
    <w:p w:rsidR="00817EC1" w:rsidRPr="00642559" w:rsidRDefault="00817EC1" w:rsidP="00642559">
      <w:pPr>
        <w:pStyle w:val="Heading3"/>
        <w:spacing w:after="240"/>
        <w:rPr>
          <w:lang w:val="en-GB"/>
        </w:rPr>
      </w:pPr>
      <w:r w:rsidRPr="00642559">
        <w:rPr>
          <w:lang w:val="en-GB"/>
        </w:rPr>
        <w:t>c) Modalities of support: using country systems</w:t>
      </w:r>
    </w:p>
    <w:p w:rsidR="00CD5761" w:rsidRDefault="004266D3" w:rsidP="00642559">
      <w:pPr>
        <w:spacing w:after="240"/>
        <w:jc w:val="both"/>
        <w:rPr>
          <w:lang w:val="en-GB"/>
        </w:rPr>
      </w:pPr>
      <w:r>
        <w:rPr>
          <w:lang w:val="en-GB"/>
        </w:rPr>
        <w:t>The evidence prior to Busan clearly showed</w:t>
      </w:r>
      <w:r w:rsidR="00CD5761">
        <w:rPr>
          <w:lang w:val="en-GB"/>
        </w:rPr>
        <w:t xml:space="preserve"> that </w:t>
      </w:r>
      <w:r>
        <w:rPr>
          <w:lang w:val="en-GB"/>
        </w:rPr>
        <w:t>there is much yet to do if</w:t>
      </w:r>
      <w:r w:rsidR="00642559">
        <w:rPr>
          <w:lang w:val="en-GB"/>
        </w:rPr>
        <w:t xml:space="preserve"> commitments on the use of</w:t>
      </w:r>
      <w:r w:rsidR="004B00C5">
        <w:rPr>
          <w:lang w:val="en-GB"/>
        </w:rPr>
        <w:t xml:space="preserve"> country systems</w:t>
      </w:r>
      <w:r>
        <w:rPr>
          <w:lang w:val="en-GB"/>
        </w:rPr>
        <w:t xml:space="preserve"> </w:t>
      </w:r>
      <w:r w:rsidR="007069A5">
        <w:rPr>
          <w:lang w:val="en-GB"/>
        </w:rPr>
        <w:t>are</w:t>
      </w:r>
      <w:r>
        <w:rPr>
          <w:lang w:val="en-GB"/>
        </w:rPr>
        <w:t xml:space="preserve"> to be reached</w:t>
      </w:r>
      <w:r w:rsidR="00C50DD1">
        <w:rPr>
          <w:lang w:val="en-GB"/>
        </w:rPr>
        <w:t xml:space="preserve"> with an increase of only 8% in the use of PFM systems between 2005 and 2011</w:t>
      </w:r>
      <w:r>
        <w:rPr>
          <w:lang w:val="en-GB"/>
        </w:rPr>
        <w:t xml:space="preserve">. </w:t>
      </w:r>
      <w:r w:rsidR="00C50DD1">
        <w:rPr>
          <w:lang w:val="en-GB"/>
        </w:rPr>
        <w:t>Based on quantitative and qualitative analysis, t</w:t>
      </w:r>
      <w:r>
        <w:rPr>
          <w:lang w:val="en-GB"/>
        </w:rPr>
        <w:t xml:space="preserve">he Manila Statement on Effective states recognised that the use of country systems is not an end in itself, </w:t>
      </w:r>
      <w:r w:rsidR="00C50DD1">
        <w:rPr>
          <w:lang w:val="en-GB"/>
        </w:rPr>
        <w:t xml:space="preserve">but that </w:t>
      </w:r>
      <w:r>
        <w:rPr>
          <w:lang w:val="en-GB"/>
        </w:rPr>
        <w:t>Development Partners and countries should work together to increase the flow of external assistance using national systems and procedures as a means to enhance development effectiveness.</w:t>
      </w:r>
      <w:r w:rsidR="00C50DD1">
        <w:rPr>
          <w:lang w:val="en-GB"/>
        </w:rPr>
        <w:t xml:space="preserve"> It also highlighted that the use of country systems was not only linked to a specific aid modality (budget support).</w:t>
      </w:r>
    </w:p>
    <w:p w:rsidR="007069A5" w:rsidRPr="007069A5" w:rsidRDefault="004266D3" w:rsidP="007069A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spacing w:after="240"/>
        <w:jc w:val="both"/>
        <w:rPr>
          <w:b/>
          <w:u w:val="single"/>
          <w:lang w:val="en-GB"/>
        </w:rPr>
      </w:pPr>
      <w:r w:rsidRPr="007069A5">
        <w:rPr>
          <w:b/>
          <w:u w:val="single"/>
          <w:lang w:val="en-GB"/>
        </w:rPr>
        <w:t>Substantive priorities</w:t>
      </w:r>
      <w:r w:rsidRPr="00B12A75">
        <w:rPr>
          <w:u w:val="single"/>
          <w:lang w:val="en-GB"/>
        </w:rPr>
        <w:t xml:space="preserve">: </w:t>
      </w:r>
      <w:r w:rsidR="00B12A75" w:rsidRPr="00B12A75">
        <w:rPr>
          <w:u w:val="single"/>
          <w:lang w:val="en-GB"/>
        </w:rPr>
        <w:t xml:space="preserve">1) </w:t>
      </w:r>
      <w:r w:rsidR="007069A5" w:rsidRPr="00B12A75">
        <w:rPr>
          <w:lang w:val="en-GB"/>
        </w:rPr>
        <w:t>Communicating</w:t>
      </w:r>
      <w:r w:rsidRPr="007069A5">
        <w:rPr>
          <w:lang w:val="en-GB"/>
        </w:rPr>
        <w:t xml:space="preserve"> the tangible benefits of using country systems for public service delivery</w:t>
      </w:r>
      <w:r w:rsidR="007069A5" w:rsidRPr="007069A5">
        <w:rPr>
          <w:lang w:val="en-GB"/>
        </w:rPr>
        <w:t xml:space="preserve"> (LenCD). </w:t>
      </w:r>
      <w:r w:rsidR="00B12A75">
        <w:rPr>
          <w:lang w:val="en-GB"/>
        </w:rPr>
        <w:t xml:space="preserve">2) </w:t>
      </w:r>
      <w:r w:rsidR="007069A5" w:rsidRPr="007069A5">
        <w:rPr>
          <w:lang w:val="en-GB"/>
        </w:rPr>
        <w:t xml:space="preserve">Promoting the use of country systems with the objective of strengthening them for countries’ own governance purposes (CABRI). </w:t>
      </w:r>
      <w:r w:rsidR="00B12A75">
        <w:rPr>
          <w:lang w:val="en-GB"/>
        </w:rPr>
        <w:t xml:space="preserve">3) </w:t>
      </w:r>
      <w:r w:rsidR="007069A5" w:rsidRPr="007069A5">
        <w:rPr>
          <w:lang w:val="en-GB"/>
        </w:rPr>
        <w:t>Increasing the use of program support and use of country systems in project support (SIDA).</w:t>
      </w:r>
      <w:r w:rsidR="00B12A75">
        <w:rPr>
          <w:lang w:val="en-GB"/>
        </w:rPr>
        <w:t xml:space="preserve"> 4) Ensuring the Use of Country Systems work goes beyond PFM and Procurement to include other Public Sector Management Systems such as Strategic Planning, Human Resources, Public Information Systems and Monitoring and Evaluation. (Effective Institutio</w:t>
      </w:r>
      <w:r w:rsidR="00C50DD1">
        <w:rPr>
          <w:lang w:val="en-GB"/>
        </w:rPr>
        <w:t xml:space="preserve">ns Informal meeting, Feb 2012 and </w:t>
      </w:r>
      <w:r w:rsidR="00A778FA">
        <w:rPr>
          <w:lang w:val="en-GB"/>
        </w:rPr>
        <w:t>SIDA)</w:t>
      </w:r>
      <w:r w:rsidR="00C50DD1">
        <w:rPr>
          <w:lang w:val="en-GB"/>
        </w:rPr>
        <w:t>.</w:t>
      </w:r>
    </w:p>
    <w:p w:rsidR="007069A5" w:rsidRPr="00CD5761" w:rsidRDefault="007069A5" w:rsidP="00642559">
      <w:pPr>
        <w:spacing w:after="240"/>
        <w:jc w:val="both"/>
        <w:rPr>
          <w:lang w:val="en-GB"/>
        </w:rPr>
      </w:pPr>
      <w:r>
        <w:rPr>
          <w:lang w:val="en-GB"/>
        </w:rPr>
        <w:t xml:space="preserve">Members of the building block highlighted the need to continue </w:t>
      </w:r>
      <w:r w:rsidR="00C50DD1">
        <w:rPr>
          <w:lang w:val="en-GB"/>
        </w:rPr>
        <w:t xml:space="preserve">facilitating an increase in the </w:t>
      </w:r>
      <w:r>
        <w:rPr>
          <w:lang w:val="en-GB"/>
        </w:rPr>
        <w:t xml:space="preserve">use of country systems, as well as broadening it beyond </w:t>
      </w:r>
      <w:r w:rsidR="00B12A75">
        <w:rPr>
          <w:lang w:val="en-GB"/>
        </w:rPr>
        <w:t xml:space="preserve">areas of </w:t>
      </w:r>
      <w:r>
        <w:rPr>
          <w:lang w:val="en-GB"/>
        </w:rPr>
        <w:t xml:space="preserve">PFM and Procurement. This includes promoting transparency </w:t>
      </w:r>
      <w:r w:rsidR="002A4B93">
        <w:rPr>
          <w:lang w:val="en-GB"/>
        </w:rPr>
        <w:t>behind decisions to not use</w:t>
      </w:r>
      <w:r>
        <w:rPr>
          <w:lang w:val="en-GB"/>
        </w:rPr>
        <w:t xml:space="preserve"> country systems at country level</w:t>
      </w:r>
      <w:r w:rsidR="002A4B93">
        <w:rPr>
          <w:lang w:val="en-GB"/>
        </w:rPr>
        <w:t>;</w:t>
      </w:r>
      <w:r>
        <w:rPr>
          <w:lang w:val="en-GB"/>
        </w:rPr>
        <w:t xml:space="preserve"> and collaborating further in the </w:t>
      </w:r>
      <w:r w:rsidR="00B12A75">
        <w:rPr>
          <w:lang w:val="en-GB"/>
        </w:rPr>
        <w:t>development of fiduciary reviews and risk assessments through the sharing of findings, data gathering and coordination of assessment missions. The Collaborative African Budget Reform Initiative is currently undertaking further analytical work on the use of country systems as is the United States Agency for International Development (USAID). These and other initiatives are building on existing guidance (e.g. Practitioner’s Guide to Using Country Systems) in efforts to strengthen the approach to supporting effective institutions through specific aid modalities.</w:t>
      </w:r>
      <w:r w:rsidR="00A778FA">
        <w:rPr>
          <w:lang w:val="en-GB"/>
        </w:rPr>
        <w:t xml:space="preserve"> Similarly, at country level, efforts are underway to integrate within existing assessment frameworks actions that assess Development Partner policies, strategies and procedures in terms of their flexibility to use country systems (Ghana).</w:t>
      </w:r>
    </w:p>
    <w:p w:rsidR="00BE6B0A" w:rsidRDefault="00642559" w:rsidP="00A778FA">
      <w:pPr>
        <w:pStyle w:val="Heading3"/>
        <w:spacing w:after="240"/>
        <w:rPr>
          <w:lang w:val="en-GB"/>
        </w:rPr>
      </w:pPr>
      <w:r>
        <w:rPr>
          <w:lang w:val="en-GB"/>
        </w:rPr>
        <w:t>d</w:t>
      </w:r>
      <w:r w:rsidR="00BE6B0A">
        <w:rPr>
          <w:lang w:val="en-GB"/>
        </w:rPr>
        <w:t>) Overseeing implementation of reform: role of accountability institutions</w:t>
      </w:r>
    </w:p>
    <w:p w:rsidR="002A4B93" w:rsidRDefault="002A4B93" w:rsidP="002A4B93">
      <w:pPr>
        <w:jc w:val="both"/>
      </w:pPr>
      <w:r>
        <w:t xml:space="preserve">The Busan Partnership document highlighted the need for stronger </w:t>
      </w:r>
      <w:r w:rsidR="00C50DD1">
        <w:t>accountability</w:t>
      </w:r>
      <w:r>
        <w:t xml:space="preserve"> institutions to engage in the governmental process by enhancing their oversight capacity over all public resources and not only those derived from external partners. The Manila Statement on Effective States included recommendations on the need for legislators to take a proactive role in participating in discussions around strengthening public sector institutions. In addition, it recognized that building effective states requires an inclusive approach and strong non-state institutions, including civil society and media.</w:t>
      </w:r>
    </w:p>
    <w:p w:rsidR="002A4B93" w:rsidRDefault="002A4B93" w:rsidP="00B94505"/>
    <w:p w:rsidR="00A778FA" w:rsidRPr="002A4B93" w:rsidRDefault="002A4B93" w:rsidP="002A4B93">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spacing w:after="240"/>
        <w:jc w:val="both"/>
        <w:rPr>
          <w:b/>
          <w:u w:val="single"/>
          <w:lang w:val="en-GB"/>
        </w:rPr>
      </w:pPr>
      <w:r>
        <w:rPr>
          <w:b/>
          <w:u w:val="single"/>
          <w:lang w:val="en-GB"/>
        </w:rPr>
        <w:t>Substantive Priority</w:t>
      </w:r>
      <w:r w:rsidRPr="002A4B93">
        <w:rPr>
          <w:u w:val="single"/>
          <w:lang w:val="en-GB"/>
        </w:rPr>
        <w:t>:</w:t>
      </w:r>
      <w:r w:rsidR="00C50DD1">
        <w:rPr>
          <w:lang w:val="en-GB"/>
        </w:rPr>
        <w:t xml:space="preserve"> B</w:t>
      </w:r>
      <w:r w:rsidRPr="002A4B93">
        <w:rPr>
          <w:lang w:val="en-GB"/>
        </w:rPr>
        <w:t xml:space="preserve">etter scrutiny by parliament, civil society, and Supreme Audit Institutions of financial flows; </w:t>
      </w:r>
      <w:r w:rsidR="00EF4CBA">
        <w:rPr>
          <w:lang w:val="en-GB"/>
        </w:rPr>
        <w:t>and enhancing</w:t>
      </w:r>
      <w:r w:rsidRPr="002A4B93">
        <w:rPr>
          <w:lang w:val="en-GB"/>
        </w:rPr>
        <w:t xml:space="preserve"> the role of accountability institutions (parliament and Supreme Audit) in the strengthening of institutions (Effective Institutions Informal meeting, Feb 2012).</w:t>
      </w:r>
    </w:p>
    <w:p w:rsidR="00A778FA" w:rsidRDefault="00936FD8" w:rsidP="00936FD8">
      <w:pPr>
        <w:jc w:val="both"/>
      </w:pPr>
      <w:r>
        <w:t xml:space="preserve">Members of the Building Block have highlighted the need to </w:t>
      </w:r>
      <w:r w:rsidR="00C50DD1">
        <w:t xml:space="preserve">support </w:t>
      </w:r>
      <w:r>
        <w:t xml:space="preserve">external accountability institutions (be they parliament, supreme audit, or civil society) in a more holistic manner. Current projects in this area </w:t>
      </w:r>
      <w:r w:rsidR="00C50DD1">
        <w:t xml:space="preserve">from building block members </w:t>
      </w:r>
      <w:r>
        <w:t xml:space="preserve">include the development by INTOSAI (within the remit of the donor-INTOSAI Memorandum of Understanding) of a Capacity Development Database which aims to improve coordination in the planning and delivery of support to SAIs, in addition to a </w:t>
      </w:r>
      <w:r w:rsidRPr="00936FD8">
        <w:t>new tool for Assessing Performance of Supreme Audit Institutions.</w:t>
      </w:r>
      <w:r>
        <w:t xml:space="preserve">   </w:t>
      </w:r>
    </w:p>
    <w:p w:rsidR="00BE6B0A" w:rsidRDefault="00936FD8" w:rsidP="00936FD8">
      <w:pPr>
        <w:pStyle w:val="Heading3"/>
        <w:spacing w:before="0" w:after="240"/>
        <w:rPr>
          <w:lang w:val="en-GB"/>
        </w:rPr>
      </w:pPr>
      <w:r>
        <w:rPr>
          <w:lang w:val="en-GB"/>
        </w:rPr>
        <w:t>e</w:t>
      </w:r>
      <w:r w:rsidR="00BE6B0A">
        <w:rPr>
          <w:lang w:val="en-GB"/>
        </w:rPr>
        <w:t xml:space="preserve">) </w:t>
      </w:r>
      <w:r w:rsidR="00EF4CBA">
        <w:rPr>
          <w:lang w:val="en-GB"/>
        </w:rPr>
        <w:t>Building</w:t>
      </w:r>
      <w:r w:rsidR="00BE6B0A">
        <w:rPr>
          <w:lang w:val="en-GB"/>
        </w:rPr>
        <w:t xml:space="preserve"> </w:t>
      </w:r>
      <w:r w:rsidR="00125332">
        <w:rPr>
          <w:lang w:val="en-GB"/>
        </w:rPr>
        <w:t>capacity to assess and manage change</w:t>
      </w:r>
    </w:p>
    <w:p w:rsidR="00E93C1C" w:rsidRDefault="00E93C1C" w:rsidP="00D94E7C">
      <w:pPr>
        <w:spacing w:after="240"/>
        <w:jc w:val="both"/>
        <w:rPr>
          <w:rFonts w:ascii="Calibri" w:hAnsi="Calibri"/>
          <w:color w:val="1F497D"/>
          <w:lang w:val="en-GB"/>
        </w:rPr>
      </w:pPr>
      <w:r>
        <w:t xml:space="preserve">Beyond the development of indicators to assess the quality of public sector institutions, </w:t>
      </w:r>
      <w:r w:rsidR="00C50DD1">
        <w:t xml:space="preserve">commitments in </w:t>
      </w:r>
      <w:proofErr w:type="spellStart"/>
      <w:r w:rsidR="00C50DD1">
        <w:t>Busan</w:t>
      </w:r>
      <w:proofErr w:type="spellEnd"/>
      <w:r w:rsidR="00D94E7C">
        <w:t xml:space="preserve"> highlighted the need for partner countries to take the lead in building systems to assess and evaluate components of the</w:t>
      </w:r>
      <w:r w:rsidR="00C50DD1">
        <w:t>ir</w:t>
      </w:r>
      <w:r w:rsidR="00D94E7C">
        <w:t xml:space="preserve"> public sector management cycle – including planning, budgeting, implementation, monitoring and evaluation. </w:t>
      </w:r>
    </w:p>
    <w:p w:rsidR="00E93C1C" w:rsidRPr="00E93C1C" w:rsidRDefault="00E93C1C" w:rsidP="00E93C1C">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spacing w:after="240"/>
        <w:jc w:val="both"/>
        <w:rPr>
          <w:lang w:val="en-GB"/>
        </w:rPr>
      </w:pPr>
      <w:r>
        <w:rPr>
          <w:b/>
          <w:u w:val="single"/>
          <w:lang w:val="en-GB"/>
        </w:rPr>
        <w:t>Substantive Priorities</w:t>
      </w:r>
      <w:r w:rsidRPr="00E93C1C">
        <w:rPr>
          <w:lang w:val="en-GB"/>
        </w:rPr>
        <w:t>: 1)</w:t>
      </w:r>
      <w:r w:rsidRPr="00E93C1C">
        <w:rPr>
          <w:b/>
          <w:lang w:val="en-GB"/>
        </w:rPr>
        <w:t xml:space="preserve"> </w:t>
      </w:r>
      <w:r w:rsidRPr="00E93C1C">
        <w:rPr>
          <w:lang w:val="en-GB"/>
        </w:rPr>
        <w:t>Developing joint assessments, monitoring and measurement tools that can be used to support</w:t>
      </w:r>
      <w:r>
        <w:rPr>
          <w:lang w:val="en-GB"/>
        </w:rPr>
        <w:t xml:space="preserve"> </w:t>
      </w:r>
      <w:r w:rsidRPr="00E93C1C">
        <w:rPr>
          <w:lang w:val="en-GB"/>
        </w:rPr>
        <w:t xml:space="preserve">a results-based approach to promoting institutional effectiveness (Cambodia). </w:t>
      </w:r>
      <w:r>
        <w:rPr>
          <w:lang w:val="en-GB"/>
        </w:rPr>
        <w:t>2) H</w:t>
      </w:r>
      <w:r w:rsidRPr="00E93C1C">
        <w:rPr>
          <w:lang w:val="en-GB"/>
        </w:rPr>
        <w:t>armonise, simplify and improve the quality and comparability of the data available when assessing good governance and effective institutions (CABRI)</w:t>
      </w:r>
    </w:p>
    <w:p w:rsidR="00850D22" w:rsidRPr="00C50DD1" w:rsidRDefault="00D94E7C" w:rsidP="00C50DD1">
      <w:r>
        <w:t>Members highlighted within this priority ar</w:t>
      </w:r>
      <w:r w:rsidR="00C50DD1">
        <w:t>ea work underway to better link</w:t>
      </w:r>
      <w:r>
        <w:t xml:space="preserve"> aid and fiscal transparency through country assessments of fiscal transparency (CABRI). Others are collaborating in efforts to develop capacity in measuring and assessing the effectiveness of public sector institutions (ACBF along with the World Bank, </w:t>
      </w:r>
      <w:proofErr w:type="spellStart"/>
      <w:r>
        <w:t>AfDB</w:t>
      </w:r>
      <w:proofErr w:type="spellEnd"/>
      <w:r>
        <w:t>, and NEPAD).</w:t>
      </w:r>
    </w:p>
    <w:p w:rsidR="00450DCB" w:rsidRDefault="00450DCB" w:rsidP="00450DCB">
      <w:pPr>
        <w:pStyle w:val="Heading2"/>
        <w:rPr>
          <w:lang w:val="en-GB"/>
        </w:rPr>
      </w:pPr>
      <w:r w:rsidRPr="007B0E4C">
        <w:rPr>
          <w:lang w:val="en-GB"/>
        </w:rPr>
        <w:t xml:space="preserve">3) </w:t>
      </w:r>
      <w:r>
        <w:rPr>
          <w:lang w:val="en-GB"/>
        </w:rPr>
        <w:t>Propos</w:t>
      </w:r>
      <w:r w:rsidR="00D31D3B">
        <w:rPr>
          <w:lang w:val="en-GB"/>
        </w:rPr>
        <w:t>als for supporting the substantive priority areas</w:t>
      </w:r>
    </w:p>
    <w:p w:rsidR="00C50DD1" w:rsidRPr="00D31D3B" w:rsidRDefault="00C42ADC" w:rsidP="00D31D3B">
      <w:pPr>
        <w:pStyle w:val="Heading3"/>
        <w:spacing w:after="240"/>
        <w:jc w:val="both"/>
        <w:rPr>
          <w:rFonts w:asciiTheme="minorHAnsi" w:eastAsiaTheme="minorHAnsi" w:hAnsiTheme="minorHAnsi" w:cstheme="minorBidi"/>
          <w:b w:val="0"/>
          <w:bCs w:val="0"/>
          <w:color w:val="auto"/>
        </w:rPr>
      </w:pPr>
      <w:r w:rsidRPr="00C42ADC">
        <w:rPr>
          <w:rFonts w:asciiTheme="minorHAnsi" w:eastAsiaTheme="minorHAnsi" w:hAnsiTheme="minorHAnsi" w:cstheme="minorBidi"/>
          <w:b w:val="0"/>
          <w:bCs w:val="0"/>
          <w:color w:val="auto"/>
        </w:rPr>
        <w:t xml:space="preserve">Taking the </w:t>
      </w:r>
      <w:r w:rsidR="00D31D3B">
        <w:rPr>
          <w:rFonts w:asciiTheme="minorHAnsi" w:eastAsiaTheme="minorHAnsi" w:hAnsiTheme="minorHAnsi" w:cstheme="minorBidi"/>
          <w:b w:val="0"/>
          <w:bCs w:val="0"/>
          <w:color w:val="auto"/>
        </w:rPr>
        <w:t>five substantive priority areas</w:t>
      </w:r>
      <w:r w:rsidRPr="00C42ADC">
        <w:rPr>
          <w:rFonts w:asciiTheme="minorHAnsi" w:eastAsiaTheme="minorHAnsi" w:hAnsiTheme="minorHAnsi" w:cstheme="minorBidi"/>
          <w:b w:val="0"/>
          <w:bCs w:val="0"/>
          <w:color w:val="auto"/>
        </w:rPr>
        <w:t xml:space="preserve"> (indicators of success; making reform happen; modalities of support; role of accountability institutions; and </w:t>
      </w:r>
      <w:r w:rsidR="00DE78FA">
        <w:rPr>
          <w:rFonts w:asciiTheme="minorHAnsi" w:eastAsiaTheme="minorHAnsi" w:hAnsiTheme="minorHAnsi" w:cstheme="minorBidi"/>
          <w:b w:val="0"/>
          <w:bCs w:val="0"/>
          <w:color w:val="auto"/>
        </w:rPr>
        <w:t>capacity to assess and manage change</w:t>
      </w:r>
      <w:r w:rsidRPr="00C42ADC">
        <w:rPr>
          <w:rFonts w:asciiTheme="minorHAnsi" w:eastAsiaTheme="minorHAnsi" w:hAnsiTheme="minorHAnsi" w:cstheme="minorBidi"/>
          <w:b w:val="0"/>
          <w:bCs w:val="0"/>
          <w:color w:val="auto"/>
        </w:rPr>
        <w:t xml:space="preserve">) into account, the following outlines </w:t>
      </w:r>
      <w:r w:rsidR="00D31D3B">
        <w:rPr>
          <w:rFonts w:asciiTheme="minorHAnsi" w:eastAsiaTheme="minorHAnsi" w:hAnsiTheme="minorHAnsi" w:cstheme="minorBidi"/>
          <w:b w:val="0"/>
          <w:bCs w:val="0"/>
          <w:color w:val="auto"/>
        </w:rPr>
        <w:t>working modalities and</w:t>
      </w:r>
      <w:r w:rsidRPr="00C42ADC">
        <w:rPr>
          <w:rFonts w:asciiTheme="minorHAnsi" w:eastAsiaTheme="minorHAnsi" w:hAnsiTheme="minorHAnsi" w:cstheme="minorBidi"/>
          <w:b w:val="0"/>
          <w:bCs w:val="0"/>
          <w:color w:val="auto"/>
        </w:rPr>
        <w:t xml:space="preserve"> proposed activities going forward based on proposals from members of the building block.</w:t>
      </w:r>
      <w:r w:rsidR="00D31D3B">
        <w:rPr>
          <w:rFonts w:asciiTheme="minorHAnsi" w:eastAsiaTheme="minorHAnsi" w:hAnsiTheme="minorHAnsi" w:cstheme="minorBidi"/>
          <w:b w:val="0"/>
          <w:bCs w:val="0"/>
          <w:color w:val="auto"/>
        </w:rPr>
        <w:t xml:space="preserve"> </w:t>
      </w:r>
      <w:r w:rsidR="00D31D3B" w:rsidRPr="00D31D3B">
        <w:rPr>
          <w:rFonts w:asciiTheme="minorHAnsi" w:eastAsiaTheme="minorHAnsi" w:hAnsiTheme="minorHAnsi" w:cstheme="minorBidi"/>
          <w:b w:val="0"/>
          <w:bCs w:val="0"/>
          <w:color w:val="auto"/>
        </w:rPr>
        <w:t>In general this includes:</w:t>
      </w:r>
    </w:p>
    <w:p w:rsidR="00C50DD1" w:rsidRPr="00C42ADC" w:rsidRDefault="00C50DD1" w:rsidP="00D31D3B">
      <w:pPr>
        <w:pStyle w:val="ListParagraph"/>
        <w:numPr>
          <w:ilvl w:val="0"/>
          <w:numId w:val="13"/>
        </w:numPr>
        <w:spacing w:after="240" w:line="240" w:lineRule="auto"/>
        <w:contextualSpacing w:val="0"/>
        <w:jc w:val="both"/>
        <w:rPr>
          <w:rFonts w:cs="Arial"/>
          <w:sz w:val="24"/>
          <w:szCs w:val="24"/>
        </w:rPr>
      </w:pPr>
      <w:r w:rsidRPr="00C42ADC">
        <w:rPr>
          <w:rFonts w:cs="Arial"/>
          <w:b/>
          <w:sz w:val="24"/>
          <w:szCs w:val="24"/>
        </w:rPr>
        <w:t>Establishing a platform</w:t>
      </w:r>
      <w:r w:rsidRPr="00C42ADC">
        <w:rPr>
          <w:rFonts w:cs="Arial"/>
          <w:sz w:val="24"/>
          <w:szCs w:val="24"/>
        </w:rPr>
        <w:t xml:space="preserve"> which links practitioners committed to making progress in this area based on existing groups and networks to share knowledge and engage in mutual learning.</w:t>
      </w:r>
    </w:p>
    <w:p w:rsidR="00C50DD1" w:rsidRPr="00C42ADC" w:rsidRDefault="00C50DD1" w:rsidP="00C50DD1">
      <w:pPr>
        <w:pStyle w:val="ListParagraph"/>
        <w:numPr>
          <w:ilvl w:val="0"/>
          <w:numId w:val="13"/>
        </w:numPr>
        <w:spacing w:line="240" w:lineRule="auto"/>
        <w:contextualSpacing w:val="0"/>
        <w:jc w:val="both"/>
        <w:rPr>
          <w:rFonts w:cs="Arial"/>
          <w:sz w:val="24"/>
          <w:szCs w:val="24"/>
        </w:rPr>
      </w:pPr>
      <w:r w:rsidRPr="00C42ADC">
        <w:rPr>
          <w:rFonts w:cs="Arial"/>
          <w:b/>
          <w:sz w:val="24"/>
          <w:szCs w:val="24"/>
        </w:rPr>
        <w:t>Sharing knowledge and experience</w:t>
      </w:r>
      <w:r w:rsidRPr="00C42ADC">
        <w:rPr>
          <w:rFonts w:cs="Arial"/>
          <w:sz w:val="24"/>
          <w:szCs w:val="24"/>
        </w:rPr>
        <w:t xml:space="preserve"> in applying different tools and mechanisms that contribute to strengthening institutions and to promote the use of country systems. </w:t>
      </w:r>
    </w:p>
    <w:p w:rsidR="00C50DD1" w:rsidRPr="00C42ADC" w:rsidRDefault="00C50DD1" w:rsidP="00C50DD1">
      <w:pPr>
        <w:pStyle w:val="ListParagraph"/>
        <w:numPr>
          <w:ilvl w:val="0"/>
          <w:numId w:val="13"/>
        </w:numPr>
        <w:spacing w:line="240" w:lineRule="auto"/>
        <w:contextualSpacing w:val="0"/>
        <w:jc w:val="both"/>
        <w:rPr>
          <w:rFonts w:cs="Arial"/>
          <w:sz w:val="24"/>
          <w:szCs w:val="24"/>
        </w:rPr>
      </w:pPr>
      <w:r w:rsidRPr="00C42ADC">
        <w:rPr>
          <w:rFonts w:cs="Arial"/>
          <w:sz w:val="24"/>
          <w:szCs w:val="24"/>
        </w:rPr>
        <w:t xml:space="preserve">Contributing to </w:t>
      </w:r>
      <w:r w:rsidRPr="00C42ADC">
        <w:rPr>
          <w:rFonts w:cs="Arial"/>
          <w:b/>
          <w:sz w:val="24"/>
          <w:szCs w:val="24"/>
        </w:rPr>
        <w:t>measuring performance and progress</w:t>
      </w:r>
      <w:r w:rsidRPr="00C42ADC">
        <w:rPr>
          <w:rFonts w:cs="Arial"/>
          <w:sz w:val="24"/>
          <w:szCs w:val="24"/>
        </w:rPr>
        <w:t xml:space="preserve"> with country’s core institutions for public management.</w:t>
      </w:r>
    </w:p>
    <w:p w:rsidR="00C50DD1" w:rsidRPr="00C42ADC" w:rsidRDefault="00C50DD1" w:rsidP="00C50DD1">
      <w:pPr>
        <w:pStyle w:val="ListParagraph"/>
        <w:numPr>
          <w:ilvl w:val="0"/>
          <w:numId w:val="13"/>
        </w:numPr>
        <w:spacing w:line="240" w:lineRule="auto"/>
        <w:contextualSpacing w:val="0"/>
        <w:jc w:val="both"/>
        <w:rPr>
          <w:rFonts w:cs="Arial"/>
          <w:sz w:val="24"/>
          <w:szCs w:val="24"/>
        </w:rPr>
      </w:pPr>
      <w:r w:rsidRPr="00C42ADC">
        <w:rPr>
          <w:rFonts w:cs="Arial"/>
          <w:b/>
          <w:sz w:val="24"/>
          <w:szCs w:val="24"/>
        </w:rPr>
        <w:t>Raising political attention</w:t>
      </w:r>
      <w:r w:rsidRPr="00C42ADC">
        <w:rPr>
          <w:rFonts w:cs="Arial"/>
          <w:sz w:val="24"/>
          <w:szCs w:val="24"/>
        </w:rPr>
        <w:t xml:space="preserve"> to issues that require collective action from all stakeholders.</w:t>
      </w:r>
    </w:p>
    <w:p w:rsidR="00C50DD1" w:rsidRPr="00C50DD1" w:rsidRDefault="00D31D3B" w:rsidP="00C50DD1">
      <w:r>
        <w:t>The following reflect</w:t>
      </w:r>
      <w:r w:rsidR="00DE78FA">
        <w:t>s</w:t>
      </w:r>
      <w:r>
        <w:t xml:space="preserve"> in more detail country and organization responses</w:t>
      </w:r>
      <w:r w:rsidR="00EF4CBA">
        <w:t xml:space="preserve"> to the questions of working modalities</w:t>
      </w:r>
      <w:r w:rsidR="00CC16B8">
        <w:t xml:space="preserve"> to support the substantive priorities</w:t>
      </w:r>
      <w:r>
        <w:t>.</w:t>
      </w:r>
    </w:p>
    <w:p w:rsidR="00A778FA" w:rsidRPr="00A778FA" w:rsidRDefault="00450DCB" w:rsidP="00D3548B">
      <w:pPr>
        <w:pStyle w:val="Heading3"/>
        <w:spacing w:after="240"/>
        <w:rPr>
          <w:lang w:val="en-GB"/>
        </w:rPr>
      </w:pPr>
      <w:r>
        <w:rPr>
          <w:lang w:val="en-GB"/>
        </w:rPr>
        <w:t>a</w:t>
      </w:r>
      <w:r w:rsidRPr="00E06885">
        <w:rPr>
          <w:lang w:val="en-GB"/>
        </w:rPr>
        <w:t xml:space="preserve">) </w:t>
      </w:r>
      <w:r>
        <w:rPr>
          <w:lang w:val="en-GB"/>
        </w:rPr>
        <w:t>Knowledge sharing modalities</w:t>
      </w:r>
    </w:p>
    <w:p w:rsidR="00A778FA" w:rsidRDefault="00A778FA" w:rsidP="00D3548B">
      <w:pPr>
        <w:pBdr>
          <w:top w:val="single" w:sz="4" w:space="1" w:color="1F497D" w:themeColor="text2"/>
          <w:left w:val="single" w:sz="4" w:space="4" w:color="1F497D" w:themeColor="text2"/>
          <w:bottom w:val="single" w:sz="4" w:space="1" w:color="1F497D" w:themeColor="text2"/>
          <w:right w:val="single" w:sz="4" w:space="4" w:color="1F497D" w:themeColor="text2"/>
        </w:pBdr>
        <w:spacing w:after="240"/>
        <w:rPr>
          <w:lang w:val="en-GB"/>
        </w:rPr>
      </w:pPr>
      <w:r>
        <w:rPr>
          <w:lang w:val="en-GB"/>
        </w:rPr>
        <w:t>The Building Block should act as a platform for policy dialogue with respect to the issues at stake, particularly regarding south-South and country/development partner exchange (CABRI)</w:t>
      </w:r>
    </w:p>
    <w:p w:rsidR="00A778FA" w:rsidRDefault="00EF4CBA" w:rsidP="00D3548B">
      <w:pPr>
        <w:jc w:val="both"/>
        <w:rPr>
          <w:lang w:val="en-GB"/>
        </w:rPr>
      </w:pPr>
      <w:r>
        <w:rPr>
          <w:lang w:val="en-GB"/>
        </w:rPr>
        <w:t xml:space="preserve">Most members recognised the need to use the building block as a platform for dialogue and mutual learning to help reduce the ‘implementation gap’, between policy recommendations and practice. Some suggested </w:t>
      </w:r>
      <w:r w:rsidR="00B03A7E">
        <w:rPr>
          <w:lang w:val="en-GB"/>
        </w:rPr>
        <w:t xml:space="preserve">the building block act as </w:t>
      </w:r>
      <w:r>
        <w:rPr>
          <w:lang w:val="en-GB"/>
        </w:rPr>
        <w:t xml:space="preserve">a global </w:t>
      </w:r>
      <w:r w:rsidR="00B03A7E">
        <w:rPr>
          <w:lang w:val="en-GB"/>
        </w:rPr>
        <w:t>platform</w:t>
      </w:r>
      <w:r>
        <w:rPr>
          <w:lang w:val="en-GB"/>
        </w:rPr>
        <w:t xml:space="preserve"> </w:t>
      </w:r>
      <w:r w:rsidR="00B03A7E">
        <w:rPr>
          <w:lang w:val="en-GB"/>
        </w:rPr>
        <w:t>bringing lessons and evidence together from regional networks (CABRI, ACBF) existing communities of practice (</w:t>
      </w:r>
      <w:proofErr w:type="spellStart"/>
      <w:r w:rsidR="00B03A7E">
        <w:rPr>
          <w:lang w:val="en-GB"/>
        </w:rPr>
        <w:t>LenCD</w:t>
      </w:r>
      <w:proofErr w:type="spellEnd"/>
      <w:r w:rsidR="00B03A7E">
        <w:rPr>
          <w:lang w:val="en-GB"/>
        </w:rPr>
        <w:t xml:space="preserve">, Task Force on PFM). </w:t>
      </w:r>
      <w:r>
        <w:rPr>
          <w:lang w:val="en-GB"/>
        </w:rPr>
        <w:t xml:space="preserve">The ACBF, World Bank, </w:t>
      </w:r>
      <w:proofErr w:type="spellStart"/>
      <w:r>
        <w:rPr>
          <w:lang w:val="en-GB"/>
        </w:rPr>
        <w:t>AfDB</w:t>
      </w:r>
      <w:proofErr w:type="spellEnd"/>
      <w:r>
        <w:rPr>
          <w:lang w:val="en-GB"/>
        </w:rPr>
        <w:t>, African Union and NEPAD are currently engaging a series of sessions on south-south cooperation for effective institution building as well as discussions on how to measure and assess institutions.</w:t>
      </w:r>
      <w:r w:rsidR="00B03A7E">
        <w:rPr>
          <w:lang w:val="en-GB"/>
        </w:rPr>
        <w:t xml:space="preserve"> </w:t>
      </w:r>
    </w:p>
    <w:p w:rsidR="00DE78FA" w:rsidRPr="00A778FA" w:rsidRDefault="00DE78FA" w:rsidP="00D3548B">
      <w:pPr>
        <w:jc w:val="both"/>
        <w:rPr>
          <w:lang w:val="en-GB"/>
        </w:rPr>
      </w:pPr>
      <w:r>
        <w:rPr>
          <w:lang w:val="en-GB"/>
        </w:rPr>
        <w:t xml:space="preserve">Members highlighted that this was one of the main objectives of the building block – adding value to regional and sub-system </w:t>
      </w:r>
      <w:proofErr w:type="spellStart"/>
      <w:r>
        <w:rPr>
          <w:lang w:val="en-GB"/>
        </w:rPr>
        <w:t>fora</w:t>
      </w:r>
      <w:proofErr w:type="spellEnd"/>
      <w:r>
        <w:rPr>
          <w:lang w:val="en-GB"/>
        </w:rPr>
        <w:t xml:space="preserve">, and allowing for engagement between different sets of practitioners. In this regard, a number </w:t>
      </w:r>
      <w:r w:rsidR="00670404">
        <w:rPr>
          <w:lang w:val="en-GB"/>
        </w:rPr>
        <w:t xml:space="preserve">of members </w:t>
      </w:r>
      <w:r>
        <w:rPr>
          <w:lang w:val="en-GB"/>
        </w:rPr>
        <w:t>suggested a web-portal be created to provide a platform for documenting lessons learnt. Others suggested the coordination, facilitation of research/guidanc</w:t>
      </w:r>
      <w:r w:rsidR="00CC0217">
        <w:rPr>
          <w:lang w:val="en-GB"/>
        </w:rPr>
        <w:t xml:space="preserve">e that cuts across system </w:t>
      </w:r>
      <w:proofErr w:type="gramStart"/>
      <w:r w:rsidR="00CC0217">
        <w:rPr>
          <w:lang w:val="en-GB"/>
        </w:rPr>
        <w:t>silos,</w:t>
      </w:r>
      <w:proofErr w:type="gramEnd"/>
      <w:r w:rsidR="00CC0217">
        <w:rPr>
          <w:lang w:val="en-GB"/>
        </w:rPr>
        <w:t xml:space="preserve"> and a consultation forum for the development of indicators to measure public sector institutions.</w:t>
      </w:r>
    </w:p>
    <w:p w:rsidR="00450DCB" w:rsidRDefault="00450DCB" w:rsidP="00D3548B">
      <w:pPr>
        <w:pStyle w:val="Heading3"/>
        <w:spacing w:after="240"/>
        <w:rPr>
          <w:lang w:val="en-GB"/>
        </w:rPr>
      </w:pPr>
      <w:r w:rsidRPr="00D3548B">
        <w:rPr>
          <w:lang w:val="en-GB"/>
        </w:rPr>
        <w:t>b) Peer reviews</w:t>
      </w:r>
      <w:r w:rsidR="00E93C1C" w:rsidRPr="00D3548B">
        <w:rPr>
          <w:lang w:val="en-GB"/>
        </w:rPr>
        <w:t xml:space="preserve"> and Joint Assessments</w:t>
      </w:r>
    </w:p>
    <w:p w:rsidR="00D3548B" w:rsidRPr="00D3548B" w:rsidRDefault="00D3548B" w:rsidP="00D3548B">
      <w:pPr>
        <w:pBdr>
          <w:top w:val="single" w:sz="4" w:space="1" w:color="1F497D" w:themeColor="text2"/>
          <w:left w:val="single" w:sz="4" w:space="4" w:color="1F497D" w:themeColor="text2"/>
          <w:bottom w:val="single" w:sz="4" w:space="1" w:color="1F497D" w:themeColor="text2"/>
          <w:right w:val="single" w:sz="4" w:space="4" w:color="1F497D" w:themeColor="text2"/>
        </w:pBdr>
        <w:spacing w:after="240"/>
        <w:rPr>
          <w:lang w:val="en-GB"/>
        </w:rPr>
      </w:pPr>
      <w:r>
        <w:rPr>
          <w:lang w:val="en-GB"/>
        </w:rPr>
        <w:t>Joint assessments of country institutions to determine the gaps/inadequacies/challenges in their service delivery processes (Ghana)</w:t>
      </w:r>
      <w:r w:rsidR="00DE78FA">
        <w:rPr>
          <w:lang w:val="en-GB"/>
        </w:rPr>
        <w:t>; Developing joint assessments, monitoring and measurement tools (Cambodia)</w:t>
      </w:r>
    </w:p>
    <w:p w:rsidR="00DE78FA" w:rsidRPr="00D3548B" w:rsidRDefault="00D3548B" w:rsidP="00D3548B">
      <w:pPr>
        <w:jc w:val="both"/>
        <w:rPr>
          <w:lang w:val="en-GB"/>
        </w:rPr>
      </w:pPr>
      <w:r w:rsidRPr="00D3548B">
        <w:rPr>
          <w:lang w:val="en-GB"/>
        </w:rPr>
        <w:t>Members also highlighted the potential for individual members to undertake peer reviews and joint assessments using mutually agreed diagnostic tools of specific substantive priorities under the building block. Building Block members interested in playing an active role in a peer review on, for instance, the use of country systems</w:t>
      </w:r>
      <w:r w:rsidR="00DE78FA">
        <w:rPr>
          <w:lang w:val="en-GB"/>
        </w:rPr>
        <w:t xml:space="preserve"> (including but not limited to PFM/Procurement)</w:t>
      </w:r>
      <w:r>
        <w:rPr>
          <w:lang w:val="en-GB"/>
        </w:rPr>
        <w:t>,</w:t>
      </w:r>
      <w:r w:rsidRPr="00D3548B">
        <w:rPr>
          <w:lang w:val="en-GB"/>
        </w:rPr>
        <w:t xml:space="preserve"> would identify </w:t>
      </w:r>
      <w:r>
        <w:rPr>
          <w:lang w:val="en-GB"/>
        </w:rPr>
        <w:t>concrete steps to apply good practice at country level and share the results with other members of the building block</w:t>
      </w:r>
      <w:r w:rsidRPr="00D3548B">
        <w:rPr>
          <w:lang w:val="en-GB"/>
        </w:rPr>
        <w:t>.</w:t>
      </w:r>
      <w:r w:rsidR="00CC0217">
        <w:rPr>
          <w:lang w:val="en-GB"/>
        </w:rPr>
        <w:t xml:space="preserve"> This would allow for the building block to play a part in strengthening mutual accountability for results.</w:t>
      </w:r>
    </w:p>
    <w:p w:rsidR="00450DCB" w:rsidRDefault="00450DCB" w:rsidP="00DE78FA">
      <w:pPr>
        <w:pStyle w:val="Heading3"/>
        <w:spacing w:after="240"/>
        <w:rPr>
          <w:lang w:val="en-GB"/>
        </w:rPr>
      </w:pPr>
      <w:r w:rsidRPr="00D3548B">
        <w:rPr>
          <w:lang w:val="en-GB"/>
        </w:rPr>
        <w:t>c) Support to country-focused activities</w:t>
      </w:r>
    </w:p>
    <w:p w:rsidR="00D3548B" w:rsidRDefault="00DE78FA" w:rsidP="00DE78FA">
      <w:pPr>
        <w:pBdr>
          <w:top w:val="single" w:sz="4" w:space="1" w:color="1F497D" w:themeColor="text2"/>
          <w:left w:val="single" w:sz="4" w:space="4" w:color="1F497D" w:themeColor="text2"/>
          <w:bottom w:val="single" w:sz="4" w:space="1" w:color="1F497D" w:themeColor="text2"/>
          <w:right w:val="single" w:sz="4" w:space="4" w:color="1F497D" w:themeColor="text2"/>
        </w:pBdr>
        <w:spacing w:after="240"/>
        <w:rPr>
          <w:lang w:val="en-GB"/>
        </w:rPr>
      </w:pPr>
      <w:r>
        <w:rPr>
          <w:lang w:val="en-GB"/>
        </w:rPr>
        <w:t>Provide facilitation (where requested), mapping exercises (to see where resources can best be utilized) and assist in the implementation of guidelines and toolkits (Ghana); Promote the Use of Country Systems within individual countries (SIDA)</w:t>
      </w:r>
    </w:p>
    <w:p w:rsidR="00D3548B" w:rsidRPr="00D3548B" w:rsidRDefault="00095D7E" w:rsidP="00095D7E">
      <w:pPr>
        <w:jc w:val="both"/>
        <w:rPr>
          <w:lang w:val="en-GB"/>
        </w:rPr>
      </w:pPr>
      <w:r>
        <w:rPr>
          <w:lang w:val="en-GB"/>
        </w:rPr>
        <w:t xml:space="preserve">Some members suggested that interested </w:t>
      </w:r>
      <w:r w:rsidR="00DE78FA">
        <w:rPr>
          <w:lang w:val="en-GB"/>
        </w:rPr>
        <w:t xml:space="preserve">building block members could be called upon </w:t>
      </w:r>
      <w:r>
        <w:rPr>
          <w:lang w:val="en-GB"/>
        </w:rPr>
        <w:t xml:space="preserve">to facilitate a dialogue at country level on implementation gaps, and how other countries have managed and assessed change. In particular, issues such as the use of country </w:t>
      </w:r>
      <w:proofErr w:type="gramStart"/>
      <w:r>
        <w:rPr>
          <w:lang w:val="en-GB"/>
        </w:rPr>
        <w:t>systems,</w:t>
      </w:r>
      <w:proofErr w:type="gramEnd"/>
      <w:r>
        <w:rPr>
          <w:lang w:val="en-GB"/>
        </w:rPr>
        <w:t xml:space="preserve"> or holistic assessments of government reform programmes (including a broad set of stakeholders).</w:t>
      </w:r>
    </w:p>
    <w:p w:rsidR="00450DCB" w:rsidRPr="00D3548B" w:rsidRDefault="00450DCB" w:rsidP="00CC16B8">
      <w:pPr>
        <w:pStyle w:val="Heading3"/>
        <w:spacing w:after="240"/>
        <w:rPr>
          <w:lang w:val="en-GB"/>
        </w:rPr>
      </w:pPr>
      <w:r w:rsidRPr="00D3548B">
        <w:rPr>
          <w:lang w:val="en-GB"/>
        </w:rPr>
        <w:t xml:space="preserve">d) </w:t>
      </w:r>
      <w:r w:rsidR="00D3548B" w:rsidRPr="00D3548B">
        <w:rPr>
          <w:lang w:val="en-GB"/>
        </w:rPr>
        <w:t xml:space="preserve">Advice centre </w:t>
      </w:r>
      <w:r w:rsidRPr="00D3548B">
        <w:rPr>
          <w:lang w:val="en-GB"/>
        </w:rPr>
        <w:t xml:space="preserve"> </w:t>
      </w:r>
    </w:p>
    <w:p w:rsidR="00450DCB" w:rsidRPr="00C42ADC" w:rsidRDefault="00CC0217" w:rsidP="00CC16B8">
      <w:pPr>
        <w:pBdr>
          <w:top w:val="single" w:sz="4" w:space="1" w:color="1F497D" w:themeColor="text2"/>
          <w:left w:val="single" w:sz="4" w:space="4" w:color="1F497D" w:themeColor="text2"/>
          <w:bottom w:val="single" w:sz="4" w:space="1" w:color="1F497D" w:themeColor="text2"/>
          <w:right w:val="single" w:sz="4" w:space="4" w:color="1F497D" w:themeColor="text2"/>
        </w:pBdr>
        <w:spacing w:after="240"/>
        <w:rPr>
          <w:lang w:val="en-GB"/>
        </w:rPr>
      </w:pPr>
      <w:r>
        <w:rPr>
          <w:lang w:val="en-GB"/>
        </w:rPr>
        <w:t>Verification of indicators developed to monitor improvements in the quality and effectiveness of development cooperation (Ghana); Learning and exchanges around relevant indicators once these have emerged from relevant global and local processes (</w:t>
      </w:r>
      <w:proofErr w:type="spellStart"/>
      <w:r>
        <w:rPr>
          <w:lang w:val="en-GB"/>
        </w:rPr>
        <w:t>LenCD</w:t>
      </w:r>
      <w:proofErr w:type="spellEnd"/>
      <w:r>
        <w:rPr>
          <w:lang w:val="en-GB"/>
        </w:rPr>
        <w:t>)</w:t>
      </w:r>
    </w:p>
    <w:p w:rsidR="00C91EA2" w:rsidRDefault="00CC0217" w:rsidP="00CC0217">
      <w:pPr>
        <w:jc w:val="both"/>
        <w:rPr>
          <w:lang w:val="en-GB"/>
        </w:rPr>
      </w:pPr>
      <w:r>
        <w:rPr>
          <w:lang w:val="en-GB"/>
        </w:rPr>
        <w:t>Members requested that the building block also act as an advice centre on specific technical issues – of particular current interest is the monitoring of effective institutions commitments. Technical experts could provide their perspective on what is feasible</w:t>
      </w:r>
      <w:r w:rsidR="00670404">
        <w:rPr>
          <w:lang w:val="en-GB"/>
        </w:rPr>
        <w:t xml:space="preserve"> to monitor under the Effective Institutions commitments</w:t>
      </w:r>
      <w:r>
        <w:rPr>
          <w:lang w:val="en-GB"/>
        </w:rPr>
        <w:t xml:space="preserve"> given methodological constraints.</w:t>
      </w:r>
    </w:p>
    <w:p w:rsidR="002243D8" w:rsidRDefault="00CC0217" w:rsidP="00CC0217">
      <w:pPr>
        <w:jc w:val="both"/>
        <w:rPr>
          <w:lang w:val="en-GB"/>
        </w:rPr>
      </w:pPr>
      <w:r>
        <w:rPr>
          <w:lang w:val="en-GB"/>
        </w:rPr>
        <w:t xml:space="preserve">The following table summarises the substantive priorities that have emerged from this mapping exercise and specific </w:t>
      </w:r>
      <w:r w:rsidR="00CC16B8">
        <w:rPr>
          <w:lang w:val="en-GB"/>
        </w:rPr>
        <w:t xml:space="preserve">ongoing </w:t>
      </w:r>
      <w:r>
        <w:rPr>
          <w:lang w:val="en-GB"/>
        </w:rPr>
        <w:t xml:space="preserve">activities reported in the first consultations. </w:t>
      </w:r>
      <w:r w:rsidR="002243D8">
        <w:rPr>
          <w:lang w:val="en-GB"/>
        </w:rPr>
        <w:t xml:space="preserve">It also includes </w:t>
      </w:r>
      <w:r w:rsidR="00670404">
        <w:rPr>
          <w:lang w:val="en-GB"/>
        </w:rPr>
        <w:t xml:space="preserve">a summary of proposed </w:t>
      </w:r>
      <w:r w:rsidR="002243D8">
        <w:rPr>
          <w:lang w:val="en-GB"/>
        </w:rPr>
        <w:t>working modalities for each of the substantive areas.</w:t>
      </w:r>
    </w:p>
    <w:p w:rsidR="002243D8" w:rsidRDefault="002243D8" w:rsidP="00CC0217">
      <w:pPr>
        <w:jc w:val="both"/>
        <w:rPr>
          <w:lang w:val="en-GB"/>
        </w:rPr>
      </w:pPr>
    </w:p>
    <w:p w:rsidR="00CC16B8" w:rsidRDefault="00CC0217" w:rsidP="00CC0217">
      <w:pPr>
        <w:jc w:val="both"/>
        <w:rPr>
          <w:b/>
          <w:u w:val="single"/>
          <w:lang w:val="en-GB"/>
        </w:rPr>
      </w:pPr>
      <w:r w:rsidRPr="00CC0217">
        <w:rPr>
          <w:b/>
          <w:u w:val="single"/>
          <w:lang w:val="en-GB"/>
        </w:rPr>
        <w:t>The draft table</w:t>
      </w:r>
      <w:r w:rsidR="002243D8">
        <w:rPr>
          <w:b/>
          <w:u w:val="single"/>
          <w:lang w:val="en-GB"/>
        </w:rPr>
        <w:t xml:space="preserve"> below</w:t>
      </w:r>
      <w:r w:rsidRPr="00CC0217">
        <w:rPr>
          <w:b/>
          <w:u w:val="single"/>
          <w:lang w:val="en-GB"/>
        </w:rPr>
        <w:t xml:space="preserve"> is to be revised and </w:t>
      </w:r>
      <w:r w:rsidR="002243D8">
        <w:rPr>
          <w:b/>
          <w:u w:val="single"/>
          <w:lang w:val="en-GB"/>
        </w:rPr>
        <w:t>completed</w:t>
      </w:r>
      <w:r w:rsidRPr="00CC0217">
        <w:rPr>
          <w:b/>
          <w:u w:val="single"/>
          <w:lang w:val="en-GB"/>
        </w:rPr>
        <w:t xml:space="preserve"> following the meeting of the Building Block on the 26</w:t>
      </w:r>
      <w:r w:rsidRPr="00CC0217">
        <w:rPr>
          <w:b/>
          <w:u w:val="single"/>
          <w:vertAlign w:val="superscript"/>
          <w:lang w:val="en-GB"/>
        </w:rPr>
        <w:t>th</w:t>
      </w:r>
      <w:r w:rsidRPr="00CC0217">
        <w:rPr>
          <w:b/>
          <w:u w:val="single"/>
          <w:lang w:val="en-GB"/>
        </w:rPr>
        <w:t xml:space="preserve"> of June.</w:t>
      </w:r>
      <w:r w:rsidR="00CC16B8">
        <w:rPr>
          <w:b/>
          <w:u w:val="single"/>
          <w:lang w:val="en-GB"/>
        </w:rPr>
        <w:t xml:space="preserve"> </w:t>
      </w:r>
    </w:p>
    <w:p w:rsidR="00CC16B8" w:rsidRDefault="00CC16B8">
      <w:pPr>
        <w:rPr>
          <w:b/>
          <w:u w:val="single"/>
          <w:lang w:val="en-GB"/>
        </w:rPr>
      </w:pPr>
      <w:r>
        <w:rPr>
          <w:b/>
          <w:u w:val="single"/>
          <w:lang w:val="en-GB"/>
        </w:rPr>
        <w:br w:type="page"/>
      </w:r>
    </w:p>
    <w:p w:rsidR="00CC16B8" w:rsidRDefault="00CC16B8" w:rsidP="00CC0217">
      <w:pPr>
        <w:jc w:val="both"/>
        <w:rPr>
          <w:b/>
          <w:lang w:val="en-GB"/>
        </w:rPr>
        <w:sectPr w:rsidR="00CC16B8" w:rsidSect="001C0BF1">
          <w:headerReference w:type="default" r:id="rId7"/>
          <w:pgSz w:w="12240" w:h="15840"/>
          <w:pgMar w:top="1440" w:right="1440" w:bottom="1440" w:left="1440" w:header="708" w:footer="708" w:gutter="0"/>
          <w:cols w:space="708"/>
          <w:docGrid w:linePitch="360"/>
        </w:sectPr>
      </w:pPr>
    </w:p>
    <w:p w:rsidR="00CC0217" w:rsidRDefault="00CC0217" w:rsidP="00CC0217">
      <w:pPr>
        <w:jc w:val="both"/>
        <w:rPr>
          <w:b/>
          <w:lang w:val="en-GB"/>
        </w:rPr>
      </w:pPr>
    </w:p>
    <w:tbl>
      <w:tblPr>
        <w:tblStyle w:val="LightList-Accent5"/>
        <w:tblW w:w="136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3"/>
        <w:gridCol w:w="4954"/>
        <w:gridCol w:w="3119"/>
        <w:gridCol w:w="3119"/>
      </w:tblGrid>
      <w:tr w:rsidR="00CC16B8" w:rsidTr="00CC16B8">
        <w:trPr>
          <w:cnfStyle w:val="100000000000"/>
        </w:trPr>
        <w:tc>
          <w:tcPr>
            <w:cnfStyle w:val="001000000000"/>
            <w:tcW w:w="2493" w:type="dxa"/>
          </w:tcPr>
          <w:p w:rsidR="00CC16B8" w:rsidRDefault="00CC16B8" w:rsidP="004266D3">
            <w:pPr>
              <w:rPr>
                <w:lang w:val="en-GB"/>
              </w:rPr>
            </w:pPr>
            <w:r>
              <w:rPr>
                <w:lang w:val="en-GB"/>
              </w:rPr>
              <w:t>Priority Areas</w:t>
            </w:r>
          </w:p>
        </w:tc>
        <w:tc>
          <w:tcPr>
            <w:tcW w:w="4954" w:type="dxa"/>
          </w:tcPr>
          <w:p w:rsidR="00CC16B8" w:rsidRDefault="00CC16B8" w:rsidP="004266D3">
            <w:pPr>
              <w:cnfStyle w:val="100000000000"/>
              <w:rPr>
                <w:lang w:val="en-GB"/>
              </w:rPr>
            </w:pPr>
            <w:r>
              <w:rPr>
                <w:lang w:val="en-GB"/>
              </w:rPr>
              <w:t>Ongoing Activities</w:t>
            </w:r>
          </w:p>
        </w:tc>
        <w:tc>
          <w:tcPr>
            <w:tcW w:w="3119" w:type="dxa"/>
          </w:tcPr>
          <w:p w:rsidR="00CC16B8" w:rsidRDefault="00CC16B8" w:rsidP="004266D3">
            <w:pPr>
              <w:cnfStyle w:val="100000000000"/>
              <w:rPr>
                <w:lang w:val="en-GB"/>
              </w:rPr>
            </w:pPr>
            <w:r>
              <w:rPr>
                <w:lang w:val="en-GB"/>
              </w:rPr>
              <w:t>Working Modalities</w:t>
            </w:r>
          </w:p>
        </w:tc>
        <w:tc>
          <w:tcPr>
            <w:tcW w:w="3119" w:type="dxa"/>
          </w:tcPr>
          <w:p w:rsidR="00CC16B8" w:rsidRDefault="00CC16B8" w:rsidP="00CC16B8">
            <w:pPr>
              <w:cnfStyle w:val="100000000000"/>
              <w:rPr>
                <w:lang w:val="en-GB"/>
              </w:rPr>
            </w:pPr>
            <w:r>
              <w:rPr>
                <w:lang w:val="en-GB"/>
              </w:rPr>
              <w:t>Organisations</w:t>
            </w:r>
          </w:p>
        </w:tc>
      </w:tr>
      <w:tr w:rsidR="00CC16B8" w:rsidTr="00CC16B8">
        <w:trPr>
          <w:cnfStyle w:val="000000100000"/>
        </w:trPr>
        <w:tc>
          <w:tcPr>
            <w:cnfStyle w:val="001000000000"/>
            <w:tcW w:w="2493" w:type="dxa"/>
          </w:tcPr>
          <w:p w:rsidR="00CC16B8" w:rsidRDefault="00CC16B8" w:rsidP="004266D3">
            <w:pPr>
              <w:rPr>
                <w:lang w:val="en-GB"/>
              </w:rPr>
            </w:pPr>
            <w:r>
              <w:rPr>
                <w:lang w:val="en-GB"/>
              </w:rPr>
              <w:t>Indicators of Success</w:t>
            </w:r>
          </w:p>
        </w:tc>
        <w:tc>
          <w:tcPr>
            <w:tcW w:w="4954" w:type="dxa"/>
          </w:tcPr>
          <w:p w:rsidR="00CC16B8" w:rsidRDefault="00CC16B8" w:rsidP="004266D3">
            <w:pPr>
              <w:pStyle w:val="ListParagraph"/>
              <w:numPr>
                <w:ilvl w:val="0"/>
                <w:numId w:val="3"/>
              </w:numPr>
              <w:ind w:left="317" w:hanging="283"/>
              <w:cnfStyle w:val="000000100000"/>
              <w:rPr>
                <w:lang w:val="en-GB"/>
              </w:rPr>
            </w:pPr>
            <w:r>
              <w:rPr>
                <w:lang w:val="en-GB"/>
              </w:rPr>
              <w:t xml:space="preserve">Developing </w:t>
            </w:r>
            <w:r w:rsidRPr="001C0BF1">
              <w:rPr>
                <w:lang w:val="en-GB"/>
              </w:rPr>
              <w:t>Public Sector</w:t>
            </w:r>
            <w:r>
              <w:rPr>
                <w:lang w:val="en-GB"/>
              </w:rPr>
              <w:t xml:space="preserve"> Management</w:t>
            </w:r>
            <w:r w:rsidRPr="001C0BF1">
              <w:rPr>
                <w:lang w:val="en-GB"/>
              </w:rPr>
              <w:t xml:space="preserve"> Indicators</w:t>
            </w:r>
          </w:p>
          <w:p w:rsidR="00CC16B8" w:rsidRPr="001C0BF1" w:rsidRDefault="00CC16B8" w:rsidP="00CC16B8">
            <w:pPr>
              <w:pStyle w:val="ListParagraph"/>
              <w:numPr>
                <w:ilvl w:val="0"/>
                <w:numId w:val="3"/>
              </w:numPr>
              <w:ind w:left="317" w:hanging="283"/>
              <w:cnfStyle w:val="000000100000"/>
              <w:rPr>
                <w:lang w:val="en-GB"/>
              </w:rPr>
            </w:pPr>
            <w:r>
              <w:rPr>
                <w:lang w:val="en-GB"/>
              </w:rPr>
              <w:t>Developing data systems to track and measure different approaches to strengthening institutions</w:t>
            </w:r>
          </w:p>
        </w:tc>
        <w:tc>
          <w:tcPr>
            <w:tcW w:w="3119" w:type="dxa"/>
          </w:tcPr>
          <w:p w:rsidR="00CC16B8" w:rsidRDefault="00CC16B8" w:rsidP="004266D3">
            <w:pPr>
              <w:pStyle w:val="ListParagraph"/>
              <w:numPr>
                <w:ilvl w:val="0"/>
                <w:numId w:val="4"/>
              </w:numPr>
              <w:cnfStyle w:val="000000100000"/>
              <w:rPr>
                <w:lang w:val="en-GB"/>
              </w:rPr>
            </w:pPr>
            <w:r>
              <w:rPr>
                <w:lang w:val="en-GB"/>
              </w:rPr>
              <w:t>Knowledge Sharing</w:t>
            </w:r>
          </w:p>
          <w:p w:rsidR="002243D8" w:rsidRDefault="002243D8" w:rsidP="004266D3">
            <w:pPr>
              <w:pStyle w:val="ListParagraph"/>
              <w:numPr>
                <w:ilvl w:val="0"/>
                <w:numId w:val="4"/>
              </w:numPr>
              <w:cnfStyle w:val="000000100000"/>
              <w:rPr>
                <w:lang w:val="en-GB"/>
              </w:rPr>
            </w:pPr>
            <w:r>
              <w:rPr>
                <w:lang w:val="en-GB"/>
              </w:rPr>
              <w:t>Advice Centre</w:t>
            </w:r>
          </w:p>
        </w:tc>
        <w:tc>
          <w:tcPr>
            <w:tcW w:w="3119" w:type="dxa"/>
          </w:tcPr>
          <w:p w:rsidR="00CC16B8" w:rsidRDefault="00CC16B8" w:rsidP="00CC16B8">
            <w:pPr>
              <w:pStyle w:val="ListParagraph"/>
              <w:numPr>
                <w:ilvl w:val="0"/>
                <w:numId w:val="4"/>
              </w:numPr>
              <w:cnfStyle w:val="000000100000"/>
              <w:rPr>
                <w:lang w:val="en-GB"/>
              </w:rPr>
            </w:pPr>
            <w:r>
              <w:rPr>
                <w:lang w:val="en-GB"/>
              </w:rPr>
              <w:t>World Bank</w:t>
            </w:r>
          </w:p>
          <w:p w:rsidR="00CC16B8" w:rsidRDefault="00CC16B8" w:rsidP="00CC16B8">
            <w:pPr>
              <w:pStyle w:val="ListParagraph"/>
              <w:numPr>
                <w:ilvl w:val="0"/>
                <w:numId w:val="4"/>
              </w:numPr>
              <w:cnfStyle w:val="000000100000"/>
              <w:rPr>
                <w:lang w:val="en-GB"/>
              </w:rPr>
            </w:pPr>
            <w:r>
              <w:rPr>
                <w:lang w:val="en-GB"/>
              </w:rPr>
              <w:t xml:space="preserve">ACBF </w:t>
            </w:r>
          </w:p>
          <w:p w:rsidR="00CC16B8" w:rsidRPr="00D31D3B" w:rsidRDefault="00CC16B8" w:rsidP="00CC16B8">
            <w:pPr>
              <w:pStyle w:val="ListParagraph"/>
              <w:numPr>
                <w:ilvl w:val="0"/>
                <w:numId w:val="4"/>
              </w:numPr>
              <w:cnfStyle w:val="000000100000"/>
              <w:rPr>
                <w:lang w:val="en-GB"/>
              </w:rPr>
            </w:pPr>
            <w:r>
              <w:rPr>
                <w:lang w:val="en-GB"/>
              </w:rPr>
              <w:t>NEPAD</w:t>
            </w:r>
          </w:p>
        </w:tc>
      </w:tr>
      <w:tr w:rsidR="00CC16B8" w:rsidTr="00CC16B8">
        <w:tc>
          <w:tcPr>
            <w:tcW w:w="2493" w:type="dxa"/>
          </w:tcPr>
          <w:p w:rsidR="00CC16B8" w:rsidRDefault="00CC16B8" w:rsidP="004266D3">
            <w:pPr>
              <w:cnfStyle w:val="001000000000"/>
              <w:rPr>
                <w:lang w:val="en-GB"/>
              </w:rPr>
            </w:pPr>
            <w:r>
              <w:rPr>
                <w:lang w:val="en-GB"/>
              </w:rPr>
              <w:t>Making Reform Happen: Designing and Sequencing Reforms</w:t>
            </w:r>
          </w:p>
        </w:tc>
        <w:tc>
          <w:tcPr>
            <w:tcW w:w="4954" w:type="dxa"/>
          </w:tcPr>
          <w:p w:rsidR="00CC16B8" w:rsidRDefault="00CC16B8" w:rsidP="004266D3">
            <w:pPr>
              <w:pStyle w:val="ListParagraph"/>
              <w:numPr>
                <w:ilvl w:val="0"/>
                <w:numId w:val="3"/>
              </w:numPr>
              <w:ind w:left="317" w:hanging="283"/>
              <w:rPr>
                <w:lang w:val="en-GB"/>
              </w:rPr>
            </w:pPr>
            <w:r>
              <w:rPr>
                <w:lang w:val="en-GB"/>
              </w:rPr>
              <w:t>Making Reform Happen Project</w:t>
            </w:r>
          </w:p>
          <w:p w:rsidR="00CC16B8" w:rsidRPr="001C0BF1" w:rsidRDefault="00CC16B8" w:rsidP="004266D3">
            <w:pPr>
              <w:pStyle w:val="ListParagraph"/>
              <w:numPr>
                <w:ilvl w:val="0"/>
                <w:numId w:val="3"/>
              </w:numPr>
              <w:ind w:left="317" w:hanging="283"/>
              <w:rPr>
                <w:lang w:val="en-GB"/>
              </w:rPr>
            </w:pPr>
            <w:r>
              <w:rPr>
                <w:lang w:val="en-GB"/>
              </w:rPr>
              <w:t xml:space="preserve">Guidance on </w:t>
            </w:r>
            <w:r w:rsidRPr="001C0BF1">
              <w:rPr>
                <w:lang w:val="en-GB"/>
              </w:rPr>
              <w:t>Sequencing Reform</w:t>
            </w:r>
            <w:r>
              <w:rPr>
                <w:lang w:val="en-GB"/>
              </w:rPr>
              <w:t xml:space="preserve"> </w:t>
            </w:r>
            <w:r w:rsidR="002243D8">
              <w:rPr>
                <w:lang w:val="en-GB"/>
              </w:rPr>
              <w:t>(including but not only linked to PFM reform)</w:t>
            </w:r>
          </w:p>
          <w:p w:rsidR="00CC16B8" w:rsidRPr="00CC16B8" w:rsidRDefault="00CC16B8" w:rsidP="00670404">
            <w:pPr>
              <w:pStyle w:val="ListParagraph"/>
              <w:numPr>
                <w:ilvl w:val="0"/>
                <w:numId w:val="3"/>
              </w:numPr>
              <w:ind w:left="317" w:hanging="283"/>
              <w:rPr>
                <w:lang w:val="en-GB"/>
              </w:rPr>
            </w:pPr>
            <w:r>
              <w:rPr>
                <w:lang w:val="en-GB"/>
              </w:rPr>
              <w:t xml:space="preserve">Policy recommendations </w:t>
            </w:r>
            <w:r w:rsidR="00670404">
              <w:rPr>
                <w:lang w:val="en-GB"/>
              </w:rPr>
              <w:t>on linking</w:t>
            </w:r>
            <w:r>
              <w:rPr>
                <w:lang w:val="en-GB"/>
              </w:rPr>
              <w:t xml:space="preserve"> support to PFM and Domestic Revenue Mobilisation</w:t>
            </w:r>
          </w:p>
        </w:tc>
        <w:tc>
          <w:tcPr>
            <w:tcW w:w="3119" w:type="dxa"/>
          </w:tcPr>
          <w:p w:rsidR="00CC16B8" w:rsidRDefault="00CC16B8" w:rsidP="004266D3">
            <w:pPr>
              <w:pStyle w:val="ListParagraph"/>
              <w:numPr>
                <w:ilvl w:val="0"/>
                <w:numId w:val="4"/>
              </w:numPr>
              <w:rPr>
                <w:lang w:val="en-GB"/>
              </w:rPr>
            </w:pPr>
            <w:r>
              <w:rPr>
                <w:lang w:val="en-GB"/>
              </w:rPr>
              <w:t>Knowledge Sharing</w:t>
            </w:r>
          </w:p>
          <w:p w:rsidR="002243D8" w:rsidRDefault="002243D8" w:rsidP="004266D3">
            <w:pPr>
              <w:pStyle w:val="ListParagraph"/>
              <w:numPr>
                <w:ilvl w:val="0"/>
                <w:numId w:val="4"/>
              </w:numPr>
              <w:rPr>
                <w:lang w:val="en-GB"/>
              </w:rPr>
            </w:pPr>
            <w:r>
              <w:rPr>
                <w:lang w:val="en-GB"/>
              </w:rPr>
              <w:t>Peer Reviews and Joint Assessments</w:t>
            </w:r>
          </w:p>
        </w:tc>
        <w:tc>
          <w:tcPr>
            <w:tcW w:w="3119" w:type="dxa"/>
          </w:tcPr>
          <w:p w:rsidR="00CC16B8" w:rsidRDefault="00CC16B8" w:rsidP="00CC16B8">
            <w:pPr>
              <w:pStyle w:val="ListParagraph"/>
              <w:numPr>
                <w:ilvl w:val="0"/>
                <w:numId w:val="4"/>
              </w:numPr>
              <w:rPr>
                <w:lang w:val="en-GB"/>
              </w:rPr>
            </w:pPr>
            <w:r>
              <w:rPr>
                <w:lang w:val="en-GB"/>
              </w:rPr>
              <w:t>Korea</w:t>
            </w:r>
          </w:p>
          <w:p w:rsidR="00CC16B8" w:rsidRDefault="00CC16B8" w:rsidP="00CC16B8">
            <w:pPr>
              <w:pStyle w:val="ListParagraph"/>
              <w:numPr>
                <w:ilvl w:val="0"/>
                <w:numId w:val="4"/>
              </w:numPr>
              <w:rPr>
                <w:lang w:val="en-GB"/>
              </w:rPr>
            </w:pPr>
            <w:r>
              <w:rPr>
                <w:lang w:val="en-GB"/>
              </w:rPr>
              <w:t>OECD</w:t>
            </w:r>
          </w:p>
          <w:p w:rsidR="00CC16B8" w:rsidRDefault="00CC16B8" w:rsidP="00CC16B8">
            <w:pPr>
              <w:pStyle w:val="ListParagraph"/>
              <w:numPr>
                <w:ilvl w:val="0"/>
                <w:numId w:val="4"/>
              </w:numPr>
              <w:rPr>
                <w:lang w:val="en-GB"/>
              </w:rPr>
            </w:pPr>
            <w:r>
              <w:rPr>
                <w:lang w:val="en-GB"/>
              </w:rPr>
              <w:t>World Bank</w:t>
            </w:r>
          </w:p>
          <w:p w:rsidR="00CC16B8" w:rsidRDefault="00CC16B8" w:rsidP="00CC16B8">
            <w:pPr>
              <w:pStyle w:val="ListParagraph"/>
              <w:numPr>
                <w:ilvl w:val="0"/>
                <w:numId w:val="4"/>
              </w:numPr>
              <w:rPr>
                <w:lang w:val="en-GB"/>
              </w:rPr>
            </w:pPr>
            <w:r>
              <w:rPr>
                <w:lang w:val="en-GB"/>
              </w:rPr>
              <w:t>CABRI</w:t>
            </w:r>
          </w:p>
          <w:p w:rsidR="00CC16B8" w:rsidRDefault="00CC16B8" w:rsidP="00CC16B8">
            <w:pPr>
              <w:pStyle w:val="ListParagraph"/>
              <w:numPr>
                <w:ilvl w:val="0"/>
                <w:numId w:val="4"/>
              </w:numPr>
              <w:rPr>
                <w:lang w:val="en-GB"/>
              </w:rPr>
            </w:pPr>
            <w:r>
              <w:rPr>
                <w:lang w:val="en-GB"/>
              </w:rPr>
              <w:t>Task Force on PFM</w:t>
            </w:r>
          </w:p>
          <w:p w:rsidR="00CC16B8" w:rsidRPr="00CC16B8" w:rsidRDefault="00CC16B8" w:rsidP="00CC16B8">
            <w:pPr>
              <w:pStyle w:val="ListParagraph"/>
              <w:numPr>
                <w:ilvl w:val="0"/>
                <w:numId w:val="4"/>
              </w:numPr>
              <w:rPr>
                <w:lang w:val="en-GB"/>
              </w:rPr>
            </w:pPr>
            <w:r>
              <w:rPr>
                <w:lang w:val="en-GB"/>
              </w:rPr>
              <w:t>Task Force on Tax and Development</w:t>
            </w:r>
          </w:p>
        </w:tc>
      </w:tr>
      <w:tr w:rsidR="00CC16B8" w:rsidTr="00CC16B8">
        <w:trPr>
          <w:cnfStyle w:val="000000100000"/>
        </w:trPr>
        <w:tc>
          <w:tcPr>
            <w:cnfStyle w:val="001000000000"/>
            <w:tcW w:w="2493" w:type="dxa"/>
          </w:tcPr>
          <w:p w:rsidR="00CC16B8" w:rsidRDefault="00CC16B8" w:rsidP="004266D3">
            <w:pPr>
              <w:rPr>
                <w:lang w:val="en-GB"/>
              </w:rPr>
            </w:pPr>
            <w:r>
              <w:rPr>
                <w:lang w:val="en-GB"/>
              </w:rPr>
              <w:t>Modalities of Support: Using Country Systems</w:t>
            </w:r>
          </w:p>
        </w:tc>
        <w:tc>
          <w:tcPr>
            <w:tcW w:w="4954" w:type="dxa"/>
          </w:tcPr>
          <w:p w:rsidR="00CC16B8" w:rsidRDefault="00CC16B8" w:rsidP="004266D3">
            <w:pPr>
              <w:pStyle w:val="ListParagraph"/>
              <w:numPr>
                <w:ilvl w:val="0"/>
                <w:numId w:val="3"/>
              </w:numPr>
              <w:ind w:left="317" w:hanging="283"/>
              <w:cnfStyle w:val="000000100000"/>
              <w:rPr>
                <w:lang w:val="en-GB"/>
              </w:rPr>
            </w:pPr>
            <w:r>
              <w:rPr>
                <w:lang w:val="en-GB"/>
              </w:rPr>
              <w:t>Development of Joint Assessments</w:t>
            </w:r>
          </w:p>
          <w:p w:rsidR="00CC16B8" w:rsidRPr="001C0BF1" w:rsidRDefault="00CC16B8" w:rsidP="004266D3">
            <w:pPr>
              <w:pStyle w:val="ListParagraph"/>
              <w:numPr>
                <w:ilvl w:val="0"/>
                <w:numId w:val="3"/>
              </w:numPr>
              <w:ind w:left="317" w:hanging="283"/>
              <w:cnfStyle w:val="000000100000"/>
              <w:rPr>
                <w:lang w:val="en-GB"/>
              </w:rPr>
            </w:pPr>
            <w:r>
              <w:rPr>
                <w:lang w:val="en-GB"/>
              </w:rPr>
              <w:t>Peer review and country dialogues on Aid Modalities and</w:t>
            </w:r>
            <w:r w:rsidRPr="001C0BF1">
              <w:rPr>
                <w:lang w:val="en-GB"/>
              </w:rPr>
              <w:t xml:space="preserve"> Use of Country Systems</w:t>
            </w:r>
          </w:p>
        </w:tc>
        <w:tc>
          <w:tcPr>
            <w:tcW w:w="3119" w:type="dxa"/>
          </w:tcPr>
          <w:p w:rsidR="00CC16B8" w:rsidRDefault="00CC16B8" w:rsidP="004266D3">
            <w:pPr>
              <w:pStyle w:val="ListParagraph"/>
              <w:numPr>
                <w:ilvl w:val="0"/>
                <w:numId w:val="4"/>
              </w:numPr>
              <w:cnfStyle w:val="000000100000"/>
              <w:rPr>
                <w:lang w:val="en-GB"/>
              </w:rPr>
            </w:pPr>
            <w:r>
              <w:rPr>
                <w:lang w:val="en-GB"/>
              </w:rPr>
              <w:t>Knowledge Sharing</w:t>
            </w:r>
          </w:p>
          <w:p w:rsidR="002243D8" w:rsidRDefault="002243D8" w:rsidP="004266D3">
            <w:pPr>
              <w:pStyle w:val="ListParagraph"/>
              <w:numPr>
                <w:ilvl w:val="0"/>
                <w:numId w:val="4"/>
              </w:numPr>
              <w:cnfStyle w:val="000000100000"/>
              <w:rPr>
                <w:lang w:val="en-GB"/>
              </w:rPr>
            </w:pPr>
            <w:r>
              <w:rPr>
                <w:lang w:val="en-GB"/>
              </w:rPr>
              <w:t>Peer Reviews and Joint Assessments</w:t>
            </w:r>
          </w:p>
          <w:p w:rsidR="002243D8" w:rsidRDefault="002243D8" w:rsidP="004266D3">
            <w:pPr>
              <w:pStyle w:val="ListParagraph"/>
              <w:numPr>
                <w:ilvl w:val="0"/>
                <w:numId w:val="4"/>
              </w:numPr>
              <w:cnfStyle w:val="000000100000"/>
              <w:rPr>
                <w:lang w:val="en-GB"/>
              </w:rPr>
            </w:pPr>
            <w:r>
              <w:rPr>
                <w:lang w:val="en-GB"/>
              </w:rPr>
              <w:t>Support to Country-Focused activities</w:t>
            </w:r>
          </w:p>
        </w:tc>
        <w:tc>
          <w:tcPr>
            <w:tcW w:w="3119" w:type="dxa"/>
          </w:tcPr>
          <w:p w:rsidR="002243D8" w:rsidRDefault="002243D8" w:rsidP="00CC16B8">
            <w:pPr>
              <w:pStyle w:val="ListParagraph"/>
              <w:numPr>
                <w:ilvl w:val="0"/>
                <w:numId w:val="4"/>
              </w:numPr>
              <w:cnfStyle w:val="000000100000"/>
              <w:rPr>
                <w:lang w:val="en-GB"/>
              </w:rPr>
            </w:pPr>
            <w:r>
              <w:rPr>
                <w:lang w:val="en-GB"/>
              </w:rPr>
              <w:t>USAID</w:t>
            </w:r>
          </w:p>
          <w:p w:rsidR="00CC16B8" w:rsidRDefault="00CC16B8" w:rsidP="00CC16B8">
            <w:pPr>
              <w:pStyle w:val="ListParagraph"/>
              <w:numPr>
                <w:ilvl w:val="0"/>
                <w:numId w:val="4"/>
              </w:numPr>
              <w:cnfStyle w:val="000000100000"/>
              <w:rPr>
                <w:lang w:val="en-GB"/>
              </w:rPr>
            </w:pPr>
            <w:r>
              <w:rPr>
                <w:lang w:val="en-GB"/>
              </w:rPr>
              <w:t>Cambodia</w:t>
            </w:r>
          </w:p>
          <w:p w:rsidR="00CC16B8" w:rsidRDefault="00CC16B8" w:rsidP="00CC16B8">
            <w:pPr>
              <w:pStyle w:val="ListParagraph"/>
              <w:numPr>
                <w:ilvl w:val="0"/>
                <w:numId w:val="4"/>
              </w:numPr>
              <w:cnfStyle w:val="000000100000"/>
              <w:rPr>
                <w:lang w:val="en-GB"/>
              </w:rPr>
            </w:pPr>
            <w:r>
              <w:rPr>
                <w:lang w:val="en-GB"/>
              </w:rPr>
              <w:t>Ghana</w:t>
            </w:r>
          </w:p>
          <w:p w:rsidR="00CC16B8" w:rsidRDefault="00CC16B8" w:rsidP="00CC16B8">
            <w:pPr>
              <w:pStyle w:val="ListParagraph"/>
              <w:numPr>
                <w:ilvl w:val="0"/>
                <w:numId w:val="4"/>
              </w:numPr>
              <w:cnfStyle w:val="000000100000"/>
              <w:rPr>
                <w:lang w:val="en-GB"/>
              </w:rPr>
            </w:pPr>
            <w:r>
              <w:rPr>
                <w:lang w:val="en-GB"/>
              </w:rPr>
              <w:t>Malawi</w:t>
            </w:r>
          </w:p>
          <w:p w:rsidR="00CC16B8" w:rsidRDefault="00CC16B8" w:rsidP="00CC16B8">
            <w:pPr>
              <w:pStyle w:val="ListParagraph"/>
              <w:numPr>
                <w:ilvl w:val="0"/>
                <w:numId w:val="4"/>
              </w:numPr>
              <w:cnfStyle w:val="000000100000"/>
              <w:rPr>
                <w:lang w:val="en-GB"/>
              </w:rPr>
            </w:pPr>
            <w:r>
              <w:rPr>
                <w:lang w:val="en-GB"/>
              </w:rPr>
              <w:t>CABRI</w:t>
            </w:r>
          </w:p>
          <w:p w:rsidR="00670404" w:rsidRDefault="00670404" w:rsidP="00CC16B8">
            <w:pPr>
              <w:pStyle w:val="ListParagraph"/>
              <w:numPr>
                <w:ilvl w:val="0"/>
                <w:numId w:val="4"/>
              </w:numPr>
              <w:cnfStyle w:val="000000100000"/>
              <w:rPr>
                <w:lang w:val="en-GB"/>
              </w:rPr>
            </w:pPr>
            <w:r>
              <w:rPr>
                <w:lang w:val="en-GB"/>
              </w:rPr>
              <w:t>SIDA</w:t>
            </w:r>
          </w:p>
        </w:tc>
      </w:tr>
      <w:tr w:rsidR="00CC16B8" w:rsidTr="00CC16B8">
        <w:tc>
          <w:tcPr>
            <w:cnfStyle w:val="001000000000"/>
            <w:tcW w:w="2493" w:type="dxa"/>
          </w:tcPr>
          <w:p w:rsidR="00CC16B8" w:rsidRDefault="00CC16B8" w:rsidP="004266D3">
            <w:pPr>
              <w:rPr>
                <w:lang w:val="en-GB"/>
              </w:rPr>
            </w:pPr>
            <w:r>
              <w:rPr>
                <w:lang w:val="en-GB"/>
              </w:rPr>
              <w:t>Overseeing Reform</w:t>
            </w:r>
          </w:p>
        </w:tc>
        <w:tc>
          <w:tcPr>
            <w:tcW w:w="4954" w:type="dxa"/>
          </w:tcPr>
          <w:p w:rsidR="00CC16B8" w:rsidRPr="001C0BF1" w:rsidRDefault="00CC16B8" w:rsidP="004266D3">
            <w:pPr>
              <w:pStyle w:val="ListParagraph"/>
              <w:numPr>
                <w:ilvl w:val="0"/>
                <w:numId w:val="3"/>
              </w:numPr>
              <w:ind w:left="317" w:hanging="283"/>
              <w:cnfStyle w:val="000000000000"/>
              <w:rPr>
                <w:lang w:val="en-GB"/>
              </w:rPr>
            </w:pPr>
            <w:r w:rsidRPr="001C0BF1">
              <w:rPr>
                <w:lang w:val="en-GB"/>
              </w:rPr>
              <w:t xml:space="preserve">Database of </w:t>
            </w:r>
            <w:r>
              <w:rPr>
                <w:lang w:val="en-GB"/>
              </w:rPr>
              <w:t xml:space="preserve">capacity building </w:t>
            </w:r>
            <w:r w:rsidRPr="001C0BF1">
              <w:rPr>
                <w:lang w:val="en-GB"/>
              </w:rPr>
              <w:t>projects</w:t>
            </w:r>
            <w:r w:rsidR="002243D8">
              <w:rPr>
                <w:lang w:val="en-GB"/>
              </w:rPr>
              <w:t xml:space="preserve"> for SAIs</w:t>
            </w:r>
          </w:p>
        </w:tc>
        <w:tc>
          <w:tcPr>
            <w:tcW w:w="3119" w:type="dxa"/>
          </w:tcPr>
          <w:p w:rsidR="00CC16B8" w:rsidRDefault="00CC16B8" w:rsidP="004266D3">
            <w:pPr>
              <w:pStyle w:val="ListParagraph"/>
              <w:numPr>
                <w:ilvl w:val="0"/>
                <w:numId w:val="4"/>
              </w:numPr>
              <w:cnfStyle w:val="000000000000"/>
              <w:rPr>
                <w:lang w:val="en-GB"/>
              </w:rPr>
            </w:pPr>
            <w:r>
              <w:rPr>
                <w:lang w:val="en-GB"/>
              </w:rPr>
              <w:t>Knowledge Sharing</w:t>
            </w:r>
          </w:p>
        </w:tc>
        <w:tc>
          <w:tcPr>
            <w:tcW w:w="3119" w:type="dxa"/>
          </w:tcPr>
          <w:p w:rsidR="00CC16B8" w:rsidRDefault="00CC16B8" w:rsidP="00CC16B8">
            <w:pPr>
              <w:pStyle w:val="ListParagraph"/>
              <w:numPr>
                <w:ilvl w:val="0"/>
                <w:numId w:val="4"/>
              </w:numPr>
              <w:cnfStyle w:val="000000000000"/>
              <w:rPr>
                <w:lang w:val="en-GB"/>
              </w:rPr>
            </w:pPr>
            <w:r>
              <w:rPr>
                <w:lang w:val="en-GB"/>
              </w:rPr>
              <w:t>INTOSAI</w:t>
            </w:r>
          </w:p>
          <w:p w:rsidR="00CC16B8" w:rsidRPr="00CC16B8" w:rsidRDefault="00CC16B8" w:rsidP="00CC16B8">
            <w:pPr>
              <w:pStyle w:val="ListParagraph"/>
              <w:numPr>
                <w:ilvl w:val="0"/>
                <w:numId w:val="4"/>
              </w:numPr>
              <w:cnfStyle w:val="000000000000"/>
              <w:rPr>
                <w:lang w:val="en-GB"/>
              </w:rPr>
            </w:pPr>
            <w:proofErr w:type="spellStart"/>
            <w:r>
              <w:rPr>
                <w:lang w:val="en-GB"/>
              </w:rPr>
              <w:t>LenCD</w:t>
            </w:r>
            <w:proofErr w:type="spellEnd"/>
          </w:p>
        </w:tc>
      </w:tr>
      <w:tr w:rsidR="00CC16B8" w:rsidTr="00CC16B8">
        <w:trPr>
          <w:cnfStyle w:val="000000100000"/>
        </w:trPr>
        <w:tc>
          <w:tcPr>
            <w:cnfStyle w:val="001000000000"/>
            <w:tcW w:w="2493" w:type="dxa"/>
          </w:tcPr>
          <w:p w:rsidR="00CC16B8" w:rsidRDefault="00CC16B8" w:rsidP="004266D3">
            <w:pPr>
              <w:rPr>
                <w:lang w:val="en-GB"/>
              </w:rPr>
            </w:pPr>
            <w:r>
              <w:rPr>
                <w:lang w:val="en-GB"/>
              </w:rPr>
              <w:t>Capacity to Assess and Manage Change</w:t>
            </w:r>
          </w:p>
        </w:tc>
        <w:tc>
          <w:tcPr>
            <w:tcW w:w="4954" w:type="dxa"/>
          </w:tcPr>
          <w:p w:rsidR="00CC16B8" w:rsidRPr="001C0BF1" w:rsidRDefault="002243D8" w:rsidP="004266D3">
            <w:pPr>
              <w:pStyle w:val="ListParagraph"/>
              <w:numPr>
                <w:ilvl w:val="0"/>
                <w:numId w:val="3"/>
              </w:numPr>
              <w:ind w:left="317" w:hanging="283"/>
              <w:cnfStyle w:val="000000100000"/>
              <w:rPr>
                <w:lang w:val="en-GB"/>
              </w:rPr>
            </w:pPr>
            <w:r>
              <w:rPr>
                <w:lang w:val="en-GB"/>
              </w:rPr>
              <w:t>Indicators to measure progress in reaching the Busan commitments on Effective Institutions</w:t>
            </w:r>
          </w:p>
        </w:tc>
        <w:tc>
          <w:tcPr>
            <w:tcW w:w="3119" w:type="dxa"/>
          </w:tcPr>
          <w:p w:rsidR="00CC16B8" w:rsidRDefault="00CC16B8" w:rsidP="004266D3">
            <w:pPr>
              <w:pStyle w:val="ListParagraph"/>
              <w:numPr>
                <w:ilvl w:val="0"/>
                <w:numId w:val="4"/>
              </w:numPr>
              <w:cnfStyle w:val="000000100000"/>
              <w:rPr>
                <w:lang w:val="en-GB"/>
              </w:rPr>
            </w:pPr>
            <w:r>
              <w:rPr>
                <w:lang w:val="en-GB"/>
              </w:rPr>
              <w:t>Knowledge Sharing</w:t>
            </w:r>
          </w:p>
          <w:p w:rsidR="002243D8" w:rsidRDefault="002243D8" w:rsidP="004266D3">
            <w:pPr>
              <w:pStyle w:val="ListParagraph"/>
              <w:numPr>
                <w:ilvl w:val="0"/>
                <w:numId w:val="4"/>
              </w:numPr>
              <w:cnfStyle w:val="000000100000"/>
              <w:rPr>
                <w:lang w:val="en-GB"/>
              </w:rPr>
            </w:pPr>
            <w:r>
              <w:rPr>
                <w:lang w:val="en-GB"/>
              </w:rPr>
              <w:t>Advice Centre</w:t>
            </w:r>
          </w:p>
        </w:tc>
        <w:tc>
          <w:tcPr>
            <w:tcW w:w="3119" w:type="dxa"/>
          </w:tcPr>
          <w:p w:rsidR="00CC16B8" w:rsidRDefault="00CC16B8" w:rsidP="00CC16B8">
            <w:pPr>
              <w:pStyle w:val="ListParagraph"/>
              <w:numPr>
                <w:ilvl w:val="0"/>
                <w:numId w:val="4"/>
              </w:numPr>
              <w:cnfStyle w:val="000000100000"/>
              <w:rPr>
                <w:lang w:val="en-GB"/>
              </w:rPr>
            </w:pPr>
            <w:r>
              <w:rPr>
                <w:lang w:val="en-GB"/>
              </w:rPr>
              <w:t>ACBF</w:t>
            </w:r>
          </w:p>
          <w:p w:rsidR="00CC16B8" w:rsidRDefault="00CC16B8" w:rsidP="00CC16B8">
            <w:pPr>
              <w:pStyle w:val="ListParagraph"/>
              <w:numPr>
                <w:ilvl w:val="0"/>
                <w:numId w:val="4"/>
              </w:numPr>
              <w:cnfStyle w:val="000000100000"/>
              <w:rPr>
                <w:lang w:val="en-GB"/>
              </w:rPr>
            </w:pPr>
            <w:r>
              <w:rPr>
                <w:lang w:val="en-GB"/>
              </w:rPr>
              <w:t>Ghana</w:t>
            </w:r>
          </w:p>
          <w:p w:rsidR="002243D8" w:rsidRDefault="002243D8" w:rsidP="00CC16B8">
            <w:pPr>
              <w:pStyle w:val="ListParagraph"/>
              <w:numPr>
                <w:ilvl w:val="0"/>
                <w:numId w:val="4"/>
              </w:numPr>
              <w:cnfStyle w:val="000000100000"/>
              <w:rPr>
                <w:lang w:val="en-GB"/>
              </w:rPr>
            </w:pPr>
            <w:r>
              <w:rPr>
                <w:lang w:val="en-GB"/>
              </w:rPr>
              <w:t>Cambodia</w:t>
            </w:r>
          </w:p>
          <w:p w:rsidR="002243D8" w:rsidRDefault="002243D8" w:rsidP="00CC16B8">
            <w:pPr>
              <w:pStyle w:val="ListParagraph"/>
              <w:numPr>
                <w:ilvl w:val="0"/>
                <w:numId w:val="4"/>
              </w:numPr>
              <w:cnfStyle w:val="000000100000"/>
              <w:rPr>
                <w:lang w:val="en-GB"/>
              </w:rPr>
            </w:pPr>
            <w:r>
              <w:rPr>
                <w:lang w:val="en-GB"/>
              </w:rPr>
              <w:t>CABRI</w:t>
            </w:r>
          </w:p>
          <w:p w:rsidR="00CC16B8" w:rsidRDefault="00CC16B8" w:rsidP="00CC16B8">
            <w:pPr>
              <w:pStyle w:val="ListParagraph"/>
              <w:numPr>
                <w:ilvl w:val="0"/>
                <w:numId w:val="4"/>
              </w:numPr>
              <w:cnfStyle w:val="000000100000"/>
              <w:rPr>
                <w:lang w:val="en-GB"/>
              </w:rPr>
            </w:pPr>
            <w:r>
              <w:rPr>
                <w:lang w:val="en-GB"/>
              </w:rPr>
              <w:t>PEFA</w:t>
            </w:r>
          </w:p>
          <w:p w:rsidR="00CC16B8" w:rsidRDefault="00CC16B8" w:rsidP="00CC16B8">
            <w:pPr>
              <w:pStyle w:val="ListParagraph"/>
              <w:numPr>
                <w:ilvl w:val="0"/>
                <w:numId w:val="4"/>
              </w:numPr>
              <w:cnfStyle w:val="000000100000"/>
              <w:rPr>
                <w:lang w:val="en-GB"/>
              </w:rPr>
            </w:pPr>
            <w:proofErr w:type="spellStart"/>
            <w:r>
              <w:rPr>
                <w:lang w:val="en-GB"/>
              </w:rPr>
              <w:t>LenCD</w:t>
            </w:r>
            <w:proofErr w:type="spellEnd"/>
          </w:p>
        </w:tc>
      </w:tr>
    </w:tbl>
    <w:p w:rsidR="006E757A" w:rsidRDefault="004266D3">
      <w:pPr>
        <w:rPr>
          <w:rFonts w:asciiTheme="majorHAnsi" w:eastAsiaTheme="majorEastAsia" w:hAnsiTheme="majorHAnsi" w:cstheme="majorBidi"/>
          <w:b/>
          <w:bCs/>
          <w:color w:val="4F81BD" w:themeColor="accent1"/>
          <w:sz w:val="26"/>
          <w:szCs w:val="26"/>
          <w:lang w:val="en-GB"/>
        </w:rPr>
      </w:pPr>
      <w:r>
        <w:rPr>
          <w:lang w:val="en-GB"/>
        </w:rPr>
        <w:t xml:space="preserve"> </w:t>
      </w:r>
      <w:r w:rsidR="006E757A">
        <w:rPr>
          <w:lang w:val="en-GB"/>
        </w:rPr>
        <w:br w:type="page"/>
      </w:r>
    </w:p>
    <w:p w:rsidR="00CC16B8" w:rsidRDefault="00CC16B8" w:rsidP="00642559">
      <w:pPr>
        <w:pStyle w:val="Heading2"/>
        <w:spacing w:after="240"/>
        <w:rPr>
          <w:lang w:val="en-GB"/>
        </w:rPr>
        <w:sectPr w:rsidR="00CC16B8" w:rsidSect="00CC16B8">
          <w:pgSz w:w="15840" w:h="12240" w:orient="landscape"/>
          <w:pgMar w:top="1440" w:right="1440" w:bottom="1440" w:left="1440" w:header="709" w:footer="709" w:gutter="0"/>
          <w:cols w:space="708"/>
          <w:docGrid w:linePitch="360"/>
        </w:sectPr>
      </w:pPr>
    </w:p>
    <w:p w:rsidR="00F50D26" w:rsidRDefault="00F50D26" w:rsidP="00642559">
      <w:pPr>
        <w:pStyle w:val="Heading2"/>
        <w:spacing w:after="240"/>
        <w:rPr>
          <w:lang w:val="en-GB"/>
        </w:rPr>
      </w:pPr>
      <w:r>
        <w:rPr>
          <w:lang w:val="en-GB"/>
        </w:rPr>
        <w:t>Bibliography</w:t>
      </w:r>
    </w:p>
    <w:p w:rsidR="00195010" w:rsidRDefault="00195010" w:rsidP="00642559">
      <w:pPr>
        <w:spacing w:after="240"/>
        <w:jc w:val="both"/>
        <w:rPr>
          <w:b/>
          <w:lang w:val="en-GB"/>
        </w:rPr>
      </w:pPr>
      <w:r>
        <w:rPr>
          <w:b/>
          <w:lang w:val="en-GB"/>
        </w:rPr>
        <w:t>Busan Partnership on Effective Development Cooperation (2011)</w:t>
      </w:r>
    </w:p>
    <w:p w:rsidR="00F50D26" w:rsidRPr="00642559" w:rsidRDefault="00F50D26" w:rsidP="00642559">
      <w:pPr>
        <w:spacing w:after="240"/>
        <w:jc w:val="both"/>
        <w:rPr>
          <w:b/>
          <w:lang w:val="en-GB"/>
        </w:rPr>
      </w:pPr>
      <w:r w:rsidRPr="00642559">
        <w:rPr>
          <w:b/>
          <w:lang w:val="en-GB"/>
        </w:rPr>
        <w:t>New Consensus on Effective Institutions</w:t>
      </w:r>
      <w:r w:rsidR="002243D8">
        <w:rPr>
          <w:b/>
          <w:lang w:val="en-GB"/>
        </w:rPr>
        <w:t xml:space="preserve"> for Development</w:t>
      </w:r>
      <w:r w:rsidRPr="00642559">
        <w:rPr>
          <w:b/>
          <w:lang w:val="en-GB"/>
        </w:rPr>
        <w:t xml:space="preserve"> (2011)</w:t>
      </w:r>
    </w:p>
    <w:p w:rsidR="00F50D26" w:rsidRPr="00642559" w:rsidRDefault="00F50D26" w:rsidP="008B0BA7">
      <w:pPr>
        <w:jc w:val="both"/>
        <w:rPr>
          <w:b/>
          <w:lang w:val="en-GB"/>
        </w:rPr>
      </w:pPr>
      <w:r w:rsidRPr="00642559">
        <w:rPr>
          <w:b/>
          <w:lang w:val="en-GB"/>
        </w:rPr>
        <w:t xml:space="preserve">Manila Statement on </w:t>
      </w:r>
      <w:r w:rsidR="00F93A10" w:rsidRPr="00642559">
        <w:rPr>
          <w:b/>
          <w:lang w:val="en-GB"/>
        </w:rPr>
        <w:t>Partnering to Strengthen and Support Effective States (June, 2011)</w:t>
      </w:r>
    </w:p>
    <w:p w:rsidR="006C6871" w:rsidRPr="00642559" w:rsidRDefault="006C6871" w:rsidP="008B0BA7">
      <w:pPr>
        <w:jc w:val="both"/>
        <w:rPr>
          <w:b/>
          <w:lang w:val="en-GB"/>
        </w:rPr>
      </w:pPr>
      <w:r w:rsidRPr="00642559">
        <w:rPr>
          <w:b/>
          <w:lang w:val="en-GB"/>
        </w:rPr>
        <w:t>Cairo Consensus on Capacity Development (2011)</w:t>
      </w:r>
    </w:p>
    <w:p w:rsidR="00960D36" w:rsidRDefault="00642559" w:rsidP="008B0BA7">
      <w:pPr>
        <w:jc w:val="both"/>
        <w:rPr>
          <w:lang w:val="en-GB"/>
        </w:rPr>
      </w:pPr>
      <w:r>
        <w:rPr>
          <w:lang w:val="en-GB"/>
        </w:rPr>
        <w:t>--</w:t>
      </w:r>
    </w:p>
    <w:p w:rsidR="006C6871" w:rsidRDefault="006C6871" w:rsidP="008B0BA7">
      <w:pPr>
        <w:jc w:val="both"/>
        <w:rPr>
          <w:lang w:val="en-GB"/>
        </w:rPr>
      </w:pPr>
      <w:r>
        <w:rPr>
          <w:lang w:val="en-GB"/>
        </w:rPr>
        <w:t xml:space="preserve">Betts, J. and Wedgwood, H. Effective Institutions and Good Governance for Development: Evidence on Progress </w:t>
      </w:r>
      <w:proofErr w:type="gramStart"/>
      <w:r>
        <w:rPr>
          <w:lang w:val="en-GB"/>
        </w:rPr>
        <w:t>and  the</w:t>
      </w:r>
      <w:proofErr w:type="gramEnd"/>
      <w:r>
        <w:rPr>
          <w:lang w:val="en-GB"/>
        </w:rPr>
        <w:t xml:space="preserve"> Role of Aid (December 2011), OECD-DAC Network on Development Evaluation</w:t>
      </w:r>
    </w:p>
    <w:p w:rsidR="007E6115" w:rsidRDefault="007E6115" w:rsidP="008B0BA7">
      <w:pPr>
        <w:jc w:val="both"/>
        <w:rPr>
          <w:lang w:val="en-GB"/>
        </w:rPr>
      </w:pPr>
      <w:r>
        <w:rPr>
          <w:lang w:val="en-GB"/>
        </w:rPr>
        <w:t>I</w:t>
      </w:r>
      <w:r w:rsidR="007873C2">
        <w:rPr>
          <w:lang w:val="en-GB"/>
        </w:rPr>
        <w:t xml:space="preserve">nternational </w:t>
      </w:r>
      <w:r>
        <w:rPr>
          <w:lang w:val="en-GB"/>
        </w:rPr>
        <w:t>M</w:t>
      </w:r>
      <w:r w:rsidR="007873C2">
        <w:rPr>
          <w:lang w:val="en-GB"/>
        </w:rPr>
        <w:t xml:space="preserve">onetary </w:t>
      </w:r>
      <w:r>
        <w:rPr>
          <w:lang w:val="en-GB"/>
        </w:rPr>
        <w:t>F</w:t>
      </w:r>
      <w:r w:rsidR="007873C2">
        <w:rPr>
          <w:lang w:val="en-GB"/>
        </w:rPr>
        <w:t>und</w:t>
      </w:r>
      <w:r>
        <w:rPr>
          <w:lang w:val="en-GB"/>
        </w:rPr>
        <w:t>, World Economic Outlook, 2005</w:t>
      </w:r>
    </w:p>
    <w:p w:rsidR="00670404" w:rsidRDefault="00670404" w:rsidP="008B0BA7">
      <w:pPr>
        <w:jc w:val="both"/>
        <w:rPr>
          <w:lang w:val="en-GB"/>
        </w:rPr>
      </w:pPr>
      <w:r>
        <w:rPr>
          <w:lang w:val="en-GB"/>
        </w:rPr>
        <w:t>IPPG, Beyond Institutions, 2010</w:t>
      </w:r>
    </w:p>
    <w:p w:rsidR="007E6115" w:rsidRDefault="007E6115" w:rsidP="008B0BA7">
      <w:pPr>
        <w:jc w:val="both"/>
        <w:rPr>
          <w:lang w:val="en-GB"/>
        </w:rPr>
      </w:pPr>
      <w:r>
        <w:rPr>
          <w:lang w:val="en-GB"/>
        </w:rPr>
        <w:t>Jutting, Institutions and Development: A Critical Review, OECD (2003)</w:t>
      </w:r>
    </w:p>
    <w:p w:rsidR="007E6115" w:rsidRDefault="007E6115" w:rsidP="008B0BA7">
      <w:pPr>
        <w:jc w:val="both"/>
        <w:rPr>
          <w:lang w:val="en-GB"/>
        </w:rPr>
      </w:pPr>
      <w:r>
        <w:rPr>
          <w:lang w:val="en-GB"/>
        </w:rPr>
        <w:t>North</w:t>
      </w:r>
      <w:r w:rsidR="007873C2">
        <w:rPr>
          <w:lang w:val="en-GB"/>
        </w:rPr>
        <w:t>, D.C. Institutions, Institutional Change and Economic Performance, Cambridge University Press (1990)</w:t>
      </w:r>
    </w:p>
    <w:p w:rsidR="00960D36" w:rsidRDefault="008B0BA7" w:rsidP="008B0BA7">
      <w:pPr>
        <w:jc w:val="both"/>
        <w:rPr>
          <w:lang w:val="en-GB"/>
        </w:rPr>
      </w:pPr>
      <w:bookmarkStart w:id="0" w:name="_Toc308720876"/>
      <w:r w:rsidRPr="008B0BA7">
        <w:rPr>
          <w:lang w:val="en-GB"/>
        </w:rPr>
        <w:t xml:space="preserve">Khan, M. and </w:t>
      </w:r>
      <w:proofErr w:type="spellStart"/>
      <w:r w:rsidRPr="008B0BA7">
        <w:rPr>
          <w:lang w:val="en-GB"/>
        </w:rPr>
        <w:t>Tompson</w:t>
      </w:r>
      <w:proofErr w:type="spellEnd"/>
      <w:r w:rsidRPr="008B0BA7">
        <w:rPr>
          <w:lang w:val="en-GB"/>
        </w:rPr>
        <w:t xml:space="preserve">, W. </w:t>
      </w:r>
      <w:proofErr w:type="gramStart"/>
      <w:r w:rsidRPr="008B0BA7">
        <w:rPr>
          <w:lang w:val="en-GB"/>
        </w:rPr>
        <w:t>Making</w:t>
      </w:r>
      <w:proofErr w:type="gramEnd"/>
      <w:r w:rsidRPr="008B0BA7">
        <w:rPr>
          <w:lang w:val="en-GB"/>
        </w:rPr>
        <w:t xml:space="preserve"> reform happen in Developing Countries: Concept Paper</w:t>
      </w:r>
      <w:bookmarkEnd w:id="0"/>
      <w:r w:rsidRPr="008B0BA7">
        <w:rPr>
          <w:lang w:val="en-GB"/>
        </w:rPr>
        <w:t xml:space="preserve">, </w:t>
      </w:r>
      <w:r w:rsidR="00960D36">
        <w:rPr>
          <w:lang w:val="en-GB"/>
        </w:rPr>
        <w:t>Organisation for Econom</w:t>
      </w:r>
      <w:r>
        <w:rPr>
          <w:lang w:val="en-GB"/>
        </w:rPr>
        <w:t>ic Cooperation and Development (2011)</w:t>
      </w:r>
    </w:p>
    <w:p w:rsidR="007E6115" w:rsidRDefault="007E6115" w:rsidP="008B0BA7">
      <w:pPr>
        <w:jc w:val="both"/>
        <w:rPr>
          <w:lang w:val="en-GB"/>
        </w:rPr>
      </w:pPr>
      <w:proofErr w:type="gramStart"/>
      <w:r>
        <w:rPr>
          <w:lang w:val="en-GB"/>
        </w:rPr>
        <w:t>Rodrik</w:t>
      </w:r>
      <w:r w:rsidR="007873C2">
        <w:rPr>
          <w:lang w:val="en-GB"/>
        </w:rPr>
        <w:t>, D.</w:t>
      </w:r>
      <w:proofErr w:type="gramEnd"/>
      <w:r w:rsidR="007873C2">
        <w:rPr>
          <w:lang w:val="en-GB"/>
        </w:rPr>
        <w:t xml:space="preserve"> </w:t>
      </w:r>
      <w:proofErr w:type="gramStart"/>
      <w:r w:rsidR="007873C2">
        <w:rPr>
          <w:lang w:val="en-GB"/>
        </w:rPr>
        <w:t>One Economics, Many Recipes.</w:t>
      </w:r>
      <w:proofErr w:type="gramEnd"/>
      <w:r w:rsidR="007873C2">
        <w:rPr>
          <w:lang w:val="en-GB"/>
        </w:rPr>
        <w:t xml:space="preserve"> Globalization, Institutions, and Economic Growth, Princeton University Press (1997)</w:t>
      </w:r>
    </w:p>
    <w:p w:rsidR="007873C2" w:rsidRDefault="007873C2" w:rsidP="008B0BA7">
      <w:pPr>
        <w:jc w:val="both"/>
        <w:rPr>
          <w:lang w:val="en-GB"/>
        </w:rPr>
      </w:pPr>
      <w:r>
        <w:rPr>
          <w:lang w:val="en-GB"/>
        </w:rPr>
        <w:t>Scott, Z. Evaluation of Public Sector Governance Reforms: 2001-2011 Literature Review, Oxford Policy Management (May 2011)</w:t>
      </w:r>
    </w:p>
    <w:p w:rsidR="007873C2" w:rsidRDefault="007873C2" w:rsidP="008B0BA7">
      <w:pPr>
        <w:jc w:val="both"/>
        <w:rPr>
          <w:lang w:val="en-GB"/>
        </w:rPr>
      </w:pPr>
      <w:r>
        <w:rPr>
          <w:lang w:val="en-GB"/>
        </w:rPr>
        <w:t>World Bank, The World Bank’s Approach to Public Sector Management 2011-2020: Better Results from Public Sector Institutions, (February 2012)</w:t>
      </w:r>
    </w:p>
    <w:p w:rsidR="007E6115" w:rsidRDefault="007E6115" w:rsidP="008B0BA7">
      <w:pPr>
        <w:jc w:val="both"/>
        <w:rPr>
          <w:lang w:val="en-GB"/>
        </w:rPr>
      </w:pPr>
      <w:r>
        <w:rPr>
          <w:lang w:val="en-GB"/>
        </w:rPr>
        <w:t>World Bank</w:t>
      </w:r>
      <w:r w:rsidR="007873C2">
        <w:rPr>
          <w:lang w:val="en-GB"/>
        </w:rPr>
        <w:t>, Building Institutions for Market: World Development Report (2002)</w:t>
      </w:r>
    </w:p>
    <w:p w:rsidR="007873C2" w:rsidRDefault="007873C2" w:rsidP="00F50D26">
      <w:pPr>
        <w:rPr>
          <w:lang w:val="en-GB"/>
        </w:rPr>
      </w:pPr>
    </w:p>
    <w:p w:rsidR="007E6115" w:rsidRDefault="007E6115" w:rsidP="00F50D26">
      <w:pPr>
        <w:rPr>
          <w:lang w:val="en-GB"/>
        </w:rPr>
      </w:pPr>
    </w:p>
    <w:p w:rsidR="003E3542" w:rsidRDefault="006C6871" w:rsidP="00F50D26">
      <w:pPr>
        <w:rPr>
          <w:lang w:val="en-GB"/>
        </w:rPr>
      </w:pPr>
      <w:r>
        <w:rPr>
          <w:lang w:val="en-GB"/>
        </w:rPr>
        <w:t xml:space="preserve"> </w:t>
      </w:r>
    </w:p>
    <w:p w:rsidR="003E3542" w:rsidRDefault="003E3542">
      <w:pPr>
        <w:rPr>
          <w:lang w:val="en-GB"/>
        </w:rPr>
      </w:pPr>
      <w:r>
        <w:rPr>
          <w:lang w:val="en-GB"/>
        </w:rPr>
        <w:br w:type="page"/>
      </w:r>
    </w:p>
    <w:p w:rsidR="003E3542" w:rsidRPr="00CB39A0" w:rsidRDefault="003E3542" w:rsidP="003E3542">
      <w:pPr>
        <w:shd w:val="clear" w:color="auto" w:fill="FFFFFF" w:themeFill="background1"/>
        <w:spacing w:after="0" w:line="240" w:lineRule="auto"/>
        <w:jc w:val="center"/>
        <w:rPr>
          <w:b/>
          <w:bCs/>
          <w:color w:val="0070C0"/>
          <w:sz w:val="16"/>
          <w:szCs w:val="16"/>
          <w:lang w:val="en-GB"/>
        </w:rPr>
      </w:pPr>
      <w:r w:rsidRPr="0067336B">
        <w:rPr>
          <w:b/>
          <w:bCs/>
          <w:noProof/>
          <w:color w:val="0070C0"/>
          <w:sz w:val="32"/>
          <w:szCs w:val="32"/>
        </w:rPr>
        <w:drawing>
          <wp:anchor distT="0" distB="0" distL="114300" distR="114300" simplePos="0" relativeHeight="251657216" behindDoc="0" locked="0" layoutInCell="1" allowOverlap="1">
            <wp:simplePos x="0" y="0"/>
            <wp:positionH relativeFrom="column">
              <wp:posOffset>-314325</wp:posOffset>
            </wp:positionH>
            <wp:positionV relativeFrom="paragraph">
              <wp:posOffset>-647700</wp:posOffset>
            </wp:positionV>
            <wp:extent cx="6124575" cy="523875"/>
            <wp:effectExtent l="19050" t="0" r="9525" b="0"/>
            <wp:wrapSquare wrapText="bothSides"/>
            <wp:docPr id="1" name="Picture 0" descr="new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top.jpg"/>
                    <pic:cNvPicPr/>
                  </pic:nvPicPr>
                  <pic:blipFill>
                    <a:blip r:embed="rId8" cstate="print"/>
                    <a:stretch>
                      <a:fillRect/>
                    </a:stretch>
                  </pic:blipFill>
                  <pic:spPr>
                    <a:xfrm>
                      <a:off x="0" y="0"/>
                      <a:ext cx="6124575" cy="523875"/>
                    </a:xfrm>
                    <a:prstGeom prst="rect">
                      <a:avLst/>
                    </a:prstGeom>
                  </pic:spPr>
                </pic:pic>
              </a:graphicData>
            </a:graphic>
          </wp:anchor>
        </w:drawing>
      </w:r>
      <w:r w:rsidRPr="0067336B">
        <w:rPr>
          <w:b/>
          <w:bCs/>
          <w:color w:val="0070C0"/>
          <w:sz w:val="32"/>
          <w:szCs w:val="32"/>
          <w:lang w:val="en-GB"/>
        </w:rPr>
        <w:t>New Consensus on More “Effective Institutions” for Development</w:t>
      </w:r>
      <w:r>
        <w:rPr>
          <w:b/>
          <w:bCs/>
          <w:color w:val="0070C0"/>
          <w:sz w:val="36"/>
          <w:szCs w:val="36"/>
          <w:lang w:val="en-GB"/>
        </w:rPr>
        <w:t xml:space="preserve"> </w:t>
      </w:r>
      <w:r>
        <w:rPr>
          <w:b/>
          <w:bCs/>
          <w:color w:val="0070C0"/>
          <w:sz w:val="36"/>
          <w:szCs w:val="36"/>
          <w:lang w:val="en-GB"/>
        </w:rPr>
        <w:br/>
      </w:r>
      <w:r w:rsidRPr="00CB39A0">
        <w:rPr>
          <w:b/>
          <w:bCs/>
          <w:color w:val="0070C0"/>
          <w:sz w:val="24"/>
          <w:szCs w:val="24"/>
          <w:lang w:val="en-GB"/>
        </w:rPr>
        <w:t>Deepening capacity development and making reforms happen for country-led sustainable results</w:t>
      </w:r>
      <w:r>
        <w:rPr>
          <w:b/>
          <w:bCs/>
          <w:color w:val="0070C0"/>
          <w:sz w:val="26"/>
          <w:szCs w:val="26"/>
          <w:lang w:val="en-GB"/>
        </w:rPr>
        <w:br/>
      </w:r>
    </w:p>
    <w:p w:rsidR="003E3542" w:rsidRPr="0067336B" w:rsidRDefault="003E3542" w:rsidP="003E3542">
      <w:pPr>
        <w:shd w:val="clear" w:color="auto" w:fill="FFFFFF" w:themeFill="background1"/>
        <w:spacing w:after="0" w:line="240" w:lineRule="auto"/>
        <w:jc w:val="both"/>
        <w:rPr>
          <w:sz w:val="19"/>
          <w:szCs w:val="19"/>
        </w:rPr>
      </w:pPr>
      <w:r w:rsidRPr="0067336B">
        <w:rPr>
          <w:sz w:val="19"/>
          <w:szCs w:val="19"/>
        </w:rPr>
        <w:t>We</w:t>
      </w:r>
      <w:r w:rsidRPr="0067336B">
        <w:rPr>
          <w:rStyle w:val="FootnoteReference"/>
          <w:sz w:val="19"/>
          <w:szCs w:val="19"/>
        </w:rPr>
        <w:footnoteReference w:id="1"/>
      </w:r>
      <w:r w:rsidRPr="0067336B">
        <w:rPr>
          <w:sz w:val="19"/>
          <w:szCs w:val="19"/>
        </w:rPr>
        <w:t xml:space="preserve"> endorse in Busan a new consensus on supporting and strengthening institutions and policies to ensure they are effective in delivering or enabling the delivery of public services. The initiatives under the </w:t>
      </w:r>
      <w:r w:rsidRPr="0067336B">
        <w:rPr>
          <w:b/>
          <w:i/>
          <w:sz w:val="19"/>
          <w:szCs w:val="19"/>
        </w:rPr>
        <w:t>New Consensus</w:t>
      </w:r>
      <w:r w:rsidRPr="0067336B">
        <w:rPr>
          <w:sz w:val="19"/>
          <w:szCs w:val="19"/>
        </w:rPr>
        <w:t xml:space="preserve"> draw on lessons learned since Paris and Accra on the country-level evolution of financial governance (procurement and public financial management) and emerging key principles for country-led capacity development.  In particular, the use of all or parts of national systems in the delivery of assistance can continue to play a catalytic role in building effective institutions and facilitate the integration of tools of transparency, accountability and inclusiveness.  Based on these lessons, we endorse a strengthened approach to promoting and measuring more effective institutions and policies, based on solutions specifically tailored to the country context and local processes.</w:t>
      </w:r>
    </w:p>
    <w:p w:rsidR="003E3542" w:rsidRPr="0067336B" w:rsidRDefault="003E3542" w:rsidP="003E3542">
      <w:pPr>
        <w:shd w:val="clear" w:color="auto" w:fill="FFFFFF" w:themeFill="background1"/>
        <w:spacing w:after="0" w:line="240" w:lineRule="auto"/>
        <w:jc w:val="both"/>
        <w:rPr>
          <w:b/>
          <w:bCs/>
          <w:color w:val="0070C0"/>
          <w:sz w:val="19"/>
          <w:szCs w:val="19"/>
          <w:lang w:val="en-GB"/>
        </w:rPr>
      </w:pPr>
    </w:p>
    <w:p w:rsidR="003E3542" w:rsidRPr="0067336B" w:rsidRDefault="003E3542" w:rsidP="003E3542">
      <w:pPr>
        <w:jc w:val="both"/>
        <w:rPr>
          <w:sz w:val="19"/>
          <w:szCs w:val="19"/>
        </w:rPr>
      </w:pPr>
      <w:r w:rsidRPr="0067336B">
        <w:rPr>
          <w:sz w:val="19"/>
          <w:szCs w:val="19"/>
        </w:rPr>
        <w:t xml:space="preserve">We recognize that effective public institutions and policies are pivotal and indispensable for development in Partner Countries and that respect for country-level efforts is essential for sustaining development gains. In particular, we observe that core state functions and independent oversight institutions should continue to be strengthened to catalyze the leveraging of financial and other resources for sustainable development and capitalize on the opportunities created by the changing global landscape.  At the same time development partners should stand ready to effectively support partner-led efforts. </w:t>
      </w:r>
    </w:p>
    <w:p w:rsidR="003E3542" w:rsidRPr="0067336B" w:rsidRDefault="003E3542" w:rsidP="003E3542">
      <w:pPr>
        <w:jc w:val="both"/>
        <w:rPr>
          <w:sz w:val="19"/>
          <w:szCs w:val="19"/>
        </w:rPr>
      </w:pPr>
      <w:r w:rsidRPr="0067336B">
        <w:rPr>
          <w:sz w:val="19"/>
          <w:szCs w:val="19"/>
        </w:rPr>
        <w:t xml:space="preserve">We also recognize that there is no single “best practice” for institutional reform for all countries and that political economy factors contribute significantly to shaping the effectiveness of our joint efforts towards developing effective institutions.   Given the inherently political nature of change, we commit to ensuring broad-based political engagement, in this process, including strengthening gender responsive approaches. In particular, we highlight the essential role of parliaments and CSOs in strengthening capacities and institutions as users of information as well as partners in building more effective institutions and policies.  </w:t>
      </w:r>
    </w:p>
    <w:p w:rsidR="003E3542" w:rsidRPr="0067336B" w:rsidRDefault="004B39D6" w:rsidP="003E3542">
      <w:pPr>
        <w:jc w:val="both"/>
        <w:rPr>
          <w:sz w:val="19"/>
          <w:szCs w:val="19"/>
        </w:rPr>
      </w:pPr>
      <w:r>
        <w:rPr>
          <w:noProof/>
          <w:sz w:val="19"/>
          <w:szCs w:val="19"/>
        </w:rPr>
        <w:pict>
          <v:rect id="_x0000_s1026" style="position:absolute;left:0;text-align:left;margin-left:-1.5pt;margin-top:33.4pt;width:489pt;height:181.6pt;z-index:-251658240" fillcolor="#0070c0" stroked="f">
            <v:fill opacity="11796f"/>
          </v:rect>
        </w:pict>
      </w:r>
      <w:r w:rsidR="003E3542" w:rsidRPr="0067336B">
        <w:rPr>
          <w:sz w:val="19"/>
          <w:szCs w:val="19"/>
        </w:rPr>
        <w:t>Based on these lessons, we endorse a reinvigorated approach to supporting and strengthening institutions and policies comprising:</w:t>
      </w:r>
    </w:p>
    <w:p w:rsidR="003E3542" w:rsidRPr="0067336B" w:rsidRDefault="003E3542" w:rsidP="003E3542">
      <w:pPr>
        <w:pStyle w:val="Default"/>
        <w:numPr>
          <w:ilvl w:val="0"/>
          <w:numId w:val="12"/>
        </w:numPr>
        <w:jc w:val="both"/>
        <w:rPr>
          <w:rFonts w:eastAsia="Calibri" w:cs="Times New Roman"/>
          <w:color w:val="auto"/>
          <w:sz w:val="19"/>
          <w:szCs w:val="19"/>
        </w:rPr>
      </w:pPr>
      <w:r w:rsidRPr="0067336B">
        <w:rPr>
          <w:rFonts w:eastAsia="Calibri" w:cs="Times New Roman"/>
          <w:color w:val="auto"/>
          <w:sz w:val="19"/>
          <w:szCs w:val="19"/>
        </w:rPr>
        <w:t>A focus on factors that make reforms and capacity development happen including  political economy, country leadership, a focus on results, change management, sequencing of institutional and policy change, sub-national institutions, the role of parliaments, civil society, better domestic resource mobilization; and the strategic roles of public financial management, procurement and oversight functions.</w:t>
      </w:r>
    </w:p>
    <w:p w:rsidR="003E3542" w:rsidRPr="0067336B" w:rsidRDefault="003E3542" w:rsidP="003E3542">
      <w:pPr>
        <w:pStyle w:val="Default"/>
        <w:ind w:left="720"/>
        <w:jc w:val="both"/>
        <w:rPr>
          <w:rFonts w:eastAsia="Calibri" w:cs="Times New Roman"/>
          <w:color w:val="auto"/>
          <w:sz w:val="19"/>
          <w:szCs w:val="19"/>
        </w:rPr>
      </w:pPr>
    </w:p>
    <w:p w:rsidR="003E3542" w:rsidRPr="0067336B" w:rsidRDefault="003E3542" w:rsidP="003E3542">
      <w:pPr>
        <w:pStyle w:val="Default"/>
        <w:numPr>
          <w:ilvl w:val="0"/>
          <w:numId w:val="12"/>
        </w:numPr>
        <w:jc w:val="both"/>
        <w:rPr>
          <w:rFonts w:eastAsia="Calibri" w:cs="Times New Roman"/>
          <w:color w:val="auto"/>
          <w:sz w:val="19"/>
          <w:szCs w:val="19"/>
        </w:rPr>
      </w:pPr>
      <w:r w:rsidRPr="0067336B">
        <w:rPr>
          <w:rFonts w:eastAsia="Calibri" w:cs="Times New Roman"/>
          <w:color w:val="auto"/>
          <w:sz w:val="19"/>
          <w:szCs w:val="19"/>
        </w:rPr>
        <w:t>Partner-led joint assessments of country institutions, systems, resilience and capacity development needs, as well as enhanced collaboration on identification, analysis and monitoring of risks;</w:t>
      </w:r>
    </w:p>
    <w:p w:rsidR="003E3542" w:rsidRPr="0067336B" w:rsidRDefault="003E3542" w:rsidP="003E3542">
      <w:pPr>
        <w:pStyle w:val="ListParagraph"/>
        <w:jc w:val="both"/>
        <w:rPr>
          <w:sz w:val="19"/>
          <w:szCs w:val="19"/>
        </w:rPr>
      </w:pPr>
    </w:p>
    <w:p w:rsidR="003E3542" w:rsidRPr="0067336B" w:rsidRDefault="003E3542" w:rsidP="003E3542">
      <w:pPr>
        <w:pStyle w:val="Default"/>
        <w:numPr>
          <w:ilvl w:val="0"/>
          <w:numId w:val="12"/>
        </w:numPr>
        <w:jc w:val="both"/>
        <w:rPr>
          <w:rFonts w:eastAsia="Calibri" w:cs="Times New Roman"/>
          <w:color w:val="auto"/>
          <w:sz w:val="19"/>
          <w:szCs w:val="19"/>
        </w:rPr>
      </w:pPr>
      <w:r w:rsidRPr="0067336B">
        <w:rPr>
          <w:rFonts w:eastAsia="Calibri" w:cs="Times New Roman"/>
          <w:color w:val="auto"/>
          <w:sz w:val="19"/>
          <w:szCs w:val="19"/>
        </w:rPr>
        <w:t>Country-based partner-led evidence-gathering on institutional performance and capacity development to inform decision making, accountability, transparency and accessibility.</w:t>
      </w:r>
    </w:p>
    <w:p w:rsidR="003E3542" w:rsidRPr="0067336B" w:rsidRDefault="003E3542" w:rsidP="003E3542">
      <w:pPr>
        <w:pStyle w:val="Default"/>
        <w:ind w:left="720"/>
        <w:jc w:val="both"/>
        <w:rPr>
          <w:rFonts w:eastAsia="Calibri" w:cs="Times New Roman"/>
          <w:color w:val="auto"/>
          <w:sz w:val="19"/>
          <w:szCs w:val="19"/>
        </w:rPr>
      </w:pPr>
      <w:r w:rsidRPr="0067336B">
        <w:rPr>
          <w:sz w:val="19"/>
          <w:szCs w:val="19"/>
        </w:rPr>
        <w:tab/>
      </w:r>
    </w:p>
    <w:p w:rsidR="003E3542" w:rsidRPr="0067336B" w:rsidRDefault="003E3542" w:rsidP="003E3542">
      <w:pPr>
        <w:pStyle w:val="Default"/>
        <w:numPr>
          <w:ilvl w:val="0"/>
          <w:numId w:val="12"/>
        </w:numPr>
        <w:jc w:val="both"/>
        <w:rPr>
          <w:rFonts w:eastAsia="Calibri" w:cs="Times New Roman"/>
          <w:color w:val="auto"/>
          <w:sz w:val="19"/>
          <w:szCs w:val="19"/>
        </w:rPr>
      </w:pPr>
      <w:r w:rsidRPr="0067336B">
        <w:rPr>
          <w:rFonts w:eastAsia="Calibri" w:cs="Times New Roman"/>
          <w:color w:val="auto"/>
          <w:sz w:val="19"/>
          <w:szCs w:val="19"/>
        </w:rPr>
        <w:t>Systematic regional and global knowledge-sharing, including south-south, international and regional organizations to facilitate learning on what works to make institutions more effective and reforms happen.</w:t>
      </w:r>
    </w:p>
    <w:p w:rsidR="006C6871" w:rsidRPr="0067336B" w:rsidRDefault="003E3542" w:rsidP="0067336B">
      <w:pPr>
        <w:pStyle w:val="Default"/>
        <w:ind w:left="360"/>
        <w:jc w:val="both"/>
        <w:rPr>
          <w:sz w:val="18"/>
          <w:szCs w:val="18"/>
        </w:rPr>
      </w:pPr>
      <w:r w:rsidRPr="0067336B">
        <w:rPr>
          <w:rFonts w:eastAsia="Calibri" w:cs="Times New Roman"/>
          <w:color w:val="auto"/>
          <w:sz w:val="19"/>
          <w:szCs w:val="19"/>
        </w:rPr>
        <w:br/>
        <w:t>In supporting this work post-Busan, we will link existing networks and organizations sharing the goal of making institutions more effective and increasing capacity to implement reforms and deliver services.</w:t>
      </w:r>
      <w:bookmarkStart w:id="1" w:name="_GoBack"/>
      <w:bookmarkEnd w:id="1"/>
    </w:p>
    <w:sectPr w:rsidR="006C6871" w:rsidRPr="0067336B" w:rsidSect="00CC16B8">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985" w:rsidRDefault="002D2985" w:rsidP="003E3542">
      <w:pPr>
        <w:spacing w:after="0" w:line="240" w:lineRule="auto"/>
      </w:pPr>
      <w:r>
        <w:separator/>
      </w:r>
    </w:p>
  </w:endnote>
  <w:endnote w:type="continuationSeparator" w:id="0">
    <w:p w:rsidR="002D2985" w:rsidRDefault="002D2985" w:rsidP="003E35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985" w:rsidRDefault="002D2985" w:rsidP="003E3542">
      <w:pPr>
        <w:spacing w:after="0" w:line="240" w:lineRule="auto"/>
      </w:pPr>
      <w:r>
        <w:separator/>
      </w:r>
    </w:p>
  </w:footnote>
  <w:footnote w:type="continuationSeparator" w:id="0">
    <w:p w:rsidR="002D2985" w:rsidRDefault="002D2985" w:rsidP="003E3542">
      <w:pPr>
        <w:spacing w:after="0" w:line="240" w:lineRule="auto"/>
      </w:pPr>
      <w:r>
        <w:continuationSeparator/>
      </w:r>
    </w:p>
  </w:footnote>
  <w:footnote w:id="1">
    <w:p w:rsidR="002D2985" w:rsidRPr="00320C9C" w:rsidRDefault="002D2985" w:rsidP="003E3542">
      <w:pPr>
        <w:pStyle w:val="Footer"/>
        <w:rPr>
          <w:sz w:val="14"/>
          <w:szCs w:val="14"/>
        </w:rPr>
      </w:pPr>
      <w:r w:rsidRPr="00320C9C">
        <w:rPr>
          <w:rStyle w:val="FootnoteReference"/>
          <w:sz w:val="14"/>
          <w:szCs w:val="14"/>
        </w:rPr>
        <w:footnoteRef/>
      </w:r>
      <w:r w:rsidRPr="00320C9C">
        <w:rPr>
          <w:sz w:val="14"/>
          <w:szCs w:val="14"/>
        </w:rPr>
        <w:t xml:space="preserve"> Representatives of the following countries and institutions: </w:t>
      </w:r>
      <w:r>
        <w:rPr>
          <w:sz w:val="14"/>
          <w:szCs w:val="14"/>
        </w:rPr>
        <w:t xml:space="preserve">Cambodia, </w:t>
      </w:r>
      <w:r w:rsidRPr="00320C9C">
        <w:rPr>
          <w:sz w:val="14"/>
          <w:szCs w:val="14"/>
        </w:rPr>
        <w:t xml:space="preserve">Canada, Denmark, France, </w:t>
      </w:r>
      <w:r>
        <w:rPr>
          <w:sz w:val="14"/>
          <w:szCs w:val="14"/>
        </w:rPr>
        <w:t xml:space="preserve">Germany, </w:t>
      </w:r>
      <w:r w:rsidRPr="00320C9C">
        <w:rPr>
          <w:sz w:val="14"/>
          <w:szCs w:val="14"/>
        </w:rPr>
        <w:t xml:space="preserve">Ghana, </w:t>
      </w:r>
      <w:r>
        <w:rPr>
          <w:sz w:val="14"/>
          <w:szCs w:val="14"/>
        </w:rPr>
        <w:t xml:space="preserve">Ireland, Israel, </w:t>
      </w:r>
      <w:r w:rsidRPr="00320C9C">
        <w:rPr>
          <w:sz w:val="14"/>
          <w:szCs w:val="14"/>
        </w:rPr>
        <w:t xml:space="preserve">Korea, </w:t>
      </w:r>
      <w:r>
        <w:rPr>
          <w:sz w:val="14"/>
          <w:szCs w:val="14"/>
        </w:rPr>
        <w:t xml:space="preserve">Malawi, Moldova, Netherlands, </w:t>
      </w:r>
      <w:r w:rsidRPr="00320C9C">
        <w:rPr>
          <w:sz w:val="14"/>
          <w:szCs w:val="14"/>
        </w:rPr>
        <w:t xml:space="preserve">New Zealand, </w:t>
      </w:r>
      <w:r>
        <w:rPr>
          <w:sz w:val="14"/>
          <w:szCs w:val="14"/>
        </w:rPr>
        <w:t xml:space="preserve">Peru, </w:t>
      </w:r>
      <w:r w:rsidRPr="00320C9C">
        <w:rPr>
          <w:sz w:val="14"/>
          <w:szCs w:val="14"/>
        </w:rPr>
        <w:t xml:space="preserve">Philippines,  Rwanda, South Africa, </w:t>
      </w:r>
      <w:r>
        <w:rPr>
          <w:sz w:val="14"/>
          <w:szCs w:val="14"/>
        </w:rPr>
        <w:t xml:space="preserve">Sweden, United Kingdom, </w:t>
      </w:r>
      <w:r w:rsidRPr="00320C9C">
        <w:rPr>
          <w:sz w:val="14"/>
          <w:szCs w:val="14"/>
        </w:rPr>
        <w:t xml:space="preserve">United States, Zambia, ACBF, Africa Union/NEPAD, </w:t>
      </w:r>
      <w:r>
        <w:rPr>
          <w:sz w:val="14"/>
          <w:szCs w:val="14"/>
        </w:rPr>
        <w:t xml:space="preserve">Asian Development Bank, </w:t>
      </w:r>
      <w:r w:rsidRPr="00320C9C">
        <w:rPr>
          <w:sz w:val="14"/>
          <w:szCs w:val="14"/>
        </w:rPr>
        <w:t xml:space="preserve">CARICOM, CABRI, European Commission, IFAC, INTOSAI, </w:t>
      </w:r>
      <w:proofErr w:type="spellStart"/>
      <w:r w:rsidRPr="00320C9C">
        <w:rPr>
          <w:sz w:val="14"/>
          <w:szCs w:val="14"/>
        </w:rPr>
        <w:t>LenCD</w:t>
      </w:r>
      <w:proofErr w:type="spellEnd"/>
      <w:r w:rsidRPr="00320C9C">
        <w:rPr>
          <w:sz w:val="14"/>
          <w:szCs w:val="14"/>
        </w:rPr>
        <w:t xml:space="preserve">, </w:t>
      </w:r>
      <w:r>
        <w:rPr>
          <w:sz w:val="14"/>
          <w:szCs w:val="14"/>
        </w:rPr>
        <w:t xml:space="preserve">OECD, </w:t>
      </w:r>
      <w:r w:rsidRPr="00320C9C">
        <w:rPr>
          <w:sz w:val="14"/>
          <w:szCs w:val="14"/>
        </w:rPr>
        <w:t xml:space="preserve">UNDP, </w:t>
      </w:r>
      <w:r>
        <w:rPr>
          <w:sz w:val="14"/>
          <w:szCs w:val="14"/>
        </w:rPr>
        <w:t>World Bank, World Bank Institute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985" w:rsidRDefault="002D2985">
    <w:pPr>
      <w:pStyle w:val="Header"/>
    </w:pPr>
    <w:r>
      <w:rPr>
        <w:noProof/>
        <w:lang w:eastAsia="zh-TW"/>
      </w:rPr>
      <w:pict>
        <v:shapetype id="_x0000_t202" coordsize="21600,21600" o:spt="202" path="m,l,21600r21600,l21600,xe">
          <v:stroke joinstyle="miter"/>
          <v:path gradientshapeok="t" o:connecttype="rect"/>
        </v:shapetype>
        <v:shape id="_x0000_s2050"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next-textbox:#_x0000_s2050;mso-fit-shape-to-text:t" inset=",0,,0">
            <w:txbxContent>
              <w:sdt>
                <w:sdtPr>
                  <w:alias w:val="Title"/>
                  <w:id w:val="39799581"/>
                  <w:placeholder>
                    <w:docPart w:val="BF5A2021A4CA4BFB80A9CF31BC669988"/>
                  </w:placeholder>
                  <w:dataBinding w:prefixMappings="xmlns:ns0='http://schemas.openxmlformats.org/package/2006/metadata/core-properties' xmlns:ns1='http://purl.org/dc/elements/1.1/'" w:xpath="/ns0:coreProperties[1]/ns1:title[1]" w:storeItemID="{6C3C8BC8-F283-45AE-878A-BAB7291924A1}"/>
                  <w:text/>
                </w:sdtPr>
                <w:sdtContent>
                  <w:p w:rsidR="002D2985" w:rsidRDefault="002D2985">
                    <w:pPr>
                      <w:spacing w:after="0" w:line="240" w:lineRule="auto"/>
                    </w:pPr>
                    <w:r>
                      <w:t>Effective Institutions Building Block Mapping: ZERO DRAFT</w:t>
                    </w:r>
                  </w:p>
                </w:sdtContent>
              </w:sdt>
            </w:txbxContent>
          </v:textbox>
          <w10:wrap anchorx="margin" anchory="margin"/>
        </v:shape>
      </w:pict>
    </w:r>
    <w:r>
      <w:rPr>
        <w:noProof/>
        <w:lang w:eastAsia="zh-TW"/>
      </w:rPr>
      <w:pict>
        <v:shape id="_x0000_s2049"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next-textbox:#_x0000_s2049;mso-fit-shape-to-text:t" inset=",0,,0">
            <w:txbxContent>
              <w:p w:rsidR="002D2985" w:rsidRDefault="002D2985">
                <w:pPr>
                  <w:spacing w:after="0" w:line="240" w:lineRule="auto"/>
                  <w:jc w:val="right"/>
                  <w:rPr>
                    <w:color w:val="FFFFFF" w:themeColor="background1"/>
                  </w:rPr>
                </w:pPr>
                <w:fldSimple w:instr=" PAGE   \* MERGEFORMAT ">
                  <w:r w:rsidR="00CD7583" w:rsidRPr="00CD7583">
                    <w:rPr>
                      <w:noProof/>
                      <w:color w:val="FFFFFF" w:themeColor="background1"/>
                    </w:rPr>
                    <w:t>10</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521"/>
    <w:multiLevelType w:val="hybridMultilevel"/>
    <w:tmpl w:val="0B6C7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90F62"/>
    <w:multiLevelType w:val="singleLevel"/>
    <w:tmpl w:val="CA2A1FFC"/>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2">
    <w:nsid w:val="15C01525"/>
    <w:multiLevelType w:val="hybridMultilevel"/>
    <w:tmpl w:val="D062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F433F"/>
    <w:multiLevelType w:val="hybridMultilevel"/>
    <w:tmpl w:val="FC481482"/>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1FF81B13"/>
    <w:multiLevelType w:val="hybridMultilevel"/>
    <w:tmpl w:val="DADCC744"/>
    <w:lvl w:ilvl="0" w:tplc="69FEBE9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85672"/>
    <w:multiLevelType w:val="hybridMultilevel"/>
    <w:tmpl w:val="4C0E3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72558D"/>
    <w:multiLevelType w:val="hybridMultilevel"/>
    <w:tmpl w:val="7E90FECE"/>
    <w:lvl w:ilvl="0" w:tplc="BAF860E2">
      <w:start w:val="1"/>
      <w:numFmt w:val="bullet"/>
      <w:lvlText w:val="▪"/>
      <w:lvlJc w:val="left"/>
      <w:pPr>
        <w:ind w:left="720" w:hanging="360"/>
      </w:pPr>
      <w:rPr>
        <w:rFonts w:ascii="Sylfaen" w:hAnsi="Sylfaen"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B76A6D"/>
    <w:multiLevelType w:val="hybridMultilevel"/>
    <w:tmpl w:val="50E4CDA4"/>
    <w:lvl w:ilvl="0" w:tplc="922E8BC4">
      <w:start w:val="1"/>
      <w:numFmt w:val="decimal"/>
      <w:lvlText w:val="%1)"/>
      <w:lvlJc w:val="left"/>
      <w:pPr>
        <w:ind w:left="360" w:hanging="360"/>
      </w:pPr>
      <w:rPr>
        <w:rFonts w:hint="default"/>
        <w:b/>
        <w:i w:val="0"/>
        <w:color w:val="1F497D" w:themeColor="text2"/>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8">
    <w:nsid w:val="35E8346F"/>
    <w:multiLevelType w:val="hybridMultilevel"/>
    <w:tmpl w:val="694E6D24"/>
    <w:lvl w:ilvl="0" w:tplc="468E2D2C">
      <w:start w:val="1"/>
      <w:numFmt w:val="bullet"/>
      <w:lvlText w:val=""/>
      <w:lvlJc w:val="left"/>
      <w:pPr>
        <w:ind w:left="720" w:hanging="360"/>
      </w:pPr>
      <w:rPr>
        <w:rFonts w:ascii="Wingdings" w:hAnsi="Wingdings" w:hint="default"/>
        <w:b/>
        <w:i w:val="0"/>
        <w:color w:val="1F497D" w:themeColor="text2"/>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C230DE"/>
    <w:multiLevelType w:val="multilevel"/>
    <w:tmpl w:val="EC8C6410"/>
    <w:name w:val="templateNumber"/>
    <w:lvl w:ilvl="0">
      <w:start w:val="1"/>
      <w:numFmt w:val="lowerLetter"/>
      <w:pStyle w:val="ListNumber"/>
      <w:lvlText w:val="%1)"/>
      <w:lvlJc w:val="left"/>
      <w:pPr>
        <w:tabs>
          <w:tab w:val="num" w:pos="850"/>
        </w:tabs>
        <w:ind w:left="850" w:hanging="408"/>
      </w:pPr>
    </w:lvl>
    <w:lvl w:ilvl="1">
      <w:start w:val="1"/>
      <w:numFmt w:val="decimal"/>
      <w:pStyle w:val="ListNumber2"/>
      <w:lvlText w:val="%2."/>
      <w:lvlJc w:val="right"/>
      <w:pPr>
        <w:tabs>
          <w:tab w:val="num" w:pos="1191"/>
        </w:tabs>
        <w:ind w:left="1191" w:hanging="341"/>
      </w:pPr>
    </w:lvl>
    <w:lvl w:ilvl="2">
      <w:start w:val="1"/>
      <w:numFmt w:val="decimal"/>
      <w:pStyle w:val="ListNumber3"/>
      <w:lvlText w:val="%3."/>
      <w:lvlJc w:val="right"/>
      <w:pPr>
        <w:tabs>
          <w:tab w:val="num" w:pos="1474"/>
        </w:tabs>
        <w:ind w:left="1474" w:hanging="340"/>
      </w:pPr>
    </w:lvl>
    <w:lvl w:ilvl="3">
      <w:start w:val="1"/>
      <w:numFmt w:val="decimal"/>
      <w:pStyle w:val="ListNumber4"/>
      <w:lvlText w:val="%4."/>
      <w:lvlJc w:val="right"/>
      <w:pPr>
        <w:tabs>
          <w:tab w:val="num" w:pos="1757"/>
        </w:tabs>
        <w:ind w:left="1757" w:hanging="340"/>
      </w:pPr>
    </w:lvl>
    <w:lvl w:ilvl="4">
      <w:start w:val="1"/>
      <w:numFmt w:val="decimal"/>
      <w:pStyle w:val="ListNumber5"/>
      <w:lvlText w:val="%5."/>
      <w:lvlJc w:val="righ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FBD7618"/>
    <w:multiLevelType w:val="hybridMultilevel"/>
    <w:tmpl w:val="948063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1B61A70"/>
    <w:multiLevelType w:val="hybridMultilevel"/>
    <w:tmpl w:val="022EE8B2"/>
    <w:lvl w:ilvl="0" w:tplc="0409000D">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829F9"/>
    <w:multiLevelType w:val="hybridMultilevel"/>
    <w:tmpl w:val="0548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E25B87"/>
    <w:multiLevelType w:val="hybridMultilevel"/>
    <w:tmpl w:val="1DEEBD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8D5F85"/>
    <w:multiLevelType w:val="multilevel"/>
    <w:tmpl w:val="87FE8BC2"/>
    <w:lvl w:ilvl="0">
      <w:start w:val="1"/>
      <w:numFmt w:val="bullet"/>
      <w:lvlText w:val=""/>
      <w:lvlJc w:val="left"/>
      <w:pPr>
        <w:tabs>
          <w:tab w:val="num" w:pos="360"/>
        </w:tabs>
        <w:ind w:left="360" w:hanging="360"/>
      </w:pPr>
      <w:rPr>
        <w:rFonts w:ascii="Symbol" w:hAnsi="Symbol" w:hint="default"/>
        <w:color w:val="0070C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72D1053B"/>
    <w:multiLevelType w:val="hybridMultilevel"/>
    <w:tmpl w:val="B5FC0AD0"/>
    <w:lvl w:ilvl="0" w:tplc="5A3E942C">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884A0C"/>
    <w:multiLevelType w:val="hybridMultilevel"/>
    <w:tmpl w:val="FFC6095A"/>
    <w:lvl w:ilvl="0" w:tplc="0409000D">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1"/>
  </w:num>
  <w:num w:numId="5">
    <w:abstractNumId w:val="12"/>
  </w:num>
  <w:num w:numId="6">
    <w:abstractNumId w:val="5"/>
  </w:num>
  <w:num w:numId="7">
    <w:abstractNumId w:val="3"/>
  </w:num>
  <w:num w:numId="8">
    <w:abstractNumId w:val="13"/>
  </w:num>
  <w:num w:numId="9">
    <w:abstractNumId w:val="15"/>
  </w:num>
  <w:num w:numId="10">
    <w:abstractNumId w:val="16"/>
  </w:num>
  <w:num w:numId="11">
    <w:abstractNumId w:val="8"/>
  </w:num>
  <w:num w:numId="12">
    <w:abstractNumId w:val="4"/>
  </w:num>
  <w:num w:numId="13">
    <w:abstractNumId w:val="7"/>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14"/>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C55CE"/>
    <w:rsid w:val="00000080"/>
    <w:rsid w:val="00002BB1"/>
    <w:rsid w:val="00003EB3"/>
    <w:rsid w:val="00010C2A"/>
    <w:rsid w:val="00017EA0"/>
    <w:rsid w:val="000212B9"/>
    <w:rsid w:val="0002172F"/>
    <w:rsid w:val="000234B4"/>
    <w:rsid w:val="000260E1"/>
    <w:rsid w:val="0003129F"/>
    <w:rsid w:val="00033921"/>
    <w:rsid w:val="000339BF"/>
    <w:rsid w:val="00033F97"/>
    <w:rsid w:val="00036F33"/>
    <w:rsid w:val="000374F5"/>
    <w:rsid w:val="00041CC6"/>
    <w:rsid w:val="00041E07"/>
    <w:rsid w:val="00044F83"/>
    <w:rsid w:val="00050DA7"/>
    <w:rsid w:val="00051AEE"/>
    <w:rsid w:val="00053C6E"/>
    <w:rsid w:val="000542A8"/>
    <w:rsid w:val="00054C37"/>
    <w:rsid w:val="00054D4B"/>
    <w:rsid w:val="00060402"/>
    <w:rsid w:val="00063075"/>
    <w:rsid w:val="00064A59"/>
    <w:rsid w:val="00073452"/>
    <w:rsid w:val="000742CA"/>
    <w:rsid w:val="00075BE9"/>
    <w:rsid w:val="0008271F"/>
    <w:rsid w:val="000864CE"/>
    <w:rsid w:val="00086AD7"/>
    <w:rsid w:val="00090895"/>
    <w:rsid w:val="000925E8"/>
    <w:rsid w:val="00093C42"/>
    <w:rsid w:val="00095D7E"/>
    <w:rsid w:val="000A0D95"/>
    <w:rsid w:val="000A1DA1"/>
    <w:rsid w:val="000A4488"/>
    <w:rsid w:val="000B0853"/>
    <w:rsid w:val="000B748E"/>
    <w:rsid w:val="000C06AE"/>
    <w:rsid w:val="000C354C"/>
    <w:rsid w:val="000C5CAD"/>
    <w:rsid w:val="000E17FD"/>
    <w:rsid w:val="000E324A"/>
    <w:rsid w:val="000F62F4"/>
    <w:rsid w:val="00103098"/>
    <w:rsid w:val="001115CC"/>
    <w:rsid w:val="001145ED"/>
    <w:rsid w:val="00116F1F"/>
    <w:rsid w:val="00122291"/>
    <w:rsid w:val="00125332"/>
    <w:rsid w:val="00131744"/>
    <w:rsid w:val="00134FF8"/>
    <w:rsid w:val="001419BC"/>
    <w:rsid w:val="00143D8B"/>
    <w:rsid w:val="00144ABF"/>
    <w:rsid w:val="001507BD"/>
    <w:rsid w:val="0015381F"/>
    <w:rsid w:val="00154E72"/>
    <w:rsid w:val="0015741A"/>
    <w:rsid w:val="00160405"/>
    <w:rsid w:val="00166BA3"/>
    <w:rsid w:val="0017063D"/>
    <w:rsid w:val="00171FD3"/>
    <w:rsid w:val="00172C58"/>
    <w:rsid w:val="001735EC"/>
    <w:rsid w:val="00174182"/>
    <w:rsid w:val="00175A68"/>
    <w:rsid w:val="001775B0"/>
    <w:rsid w:val="00180685"/>
    <w:rsid w:val="0018435F"/>
    <w:rsid w:val="00184541"/>
    <w:rsid w:val="001865B5"/>
    <w:rsid w:val="00187619"/>
    <w:rsid w:val="00195010"/>
    <w:rsid w:val="00196D9F"/>
    <w:rsid w:val="001A7BA1"/>
    <w:rsid w:val="001B01FC"/>
    <w:rsid w:val="001B74C5"/>
    <w:rsid w:val="001B76C4"/>
    <w:rsid w:val="001B7AFD"/>
    <w:rsid w:val="001C0564"/>
    <w:rsid w:val="001C0BF1"/>
    <w:rsid w:val="001C1245"/>
    <w:rsid w:val="001C3DEE"/>
    <w:rsid w:val="001C3F38"/>
    <w:rsid w:val="001C47D9"/>
    <w:rsid w:val="001D144E"/>
    <w:rsid w:val="001D2E66"/>
    <w:rsid w:val="001D34BF"/>
    <w:rsid w:val="001D36B7"/>
    <w:rsid w:val="001D44CA"/>
    <w:rsid w:val="001D6136"/>
    <w:rsid w:val="001D7624"/>
    <w:rsid w:val="001D777A"/>
    <w:rsid w:val="001E4725"/>
    <w:rsid w:val="001F1C48"/>
    <w:rsid w:val="001F756F"/>
    <w:rsid w:val="00203DC6"/>
    <w:rsid w:val="0020786F"/>
    <w:rsid w:val="00211DE5"/>
    <w:rsid w:val="00220E96"/>
    <w:rsid w:val="002243D8"/>
    <w:rsid w:val="00225599"/>
    <w:rsid w:val="002255A5"/>
    <w:rsid w:val="00225C17"/>
    <w:rsid w:val="00226DE4"/>
    <w:rsid w:val="002311FB"/>
    <w:rsid w:val="0023164B"/>
    <w:rsid w:val="00236748"/>
    <w:rsid w:val="00241269"/>
    <w:rsid w:val="002415ED"/>
    <w:rsid w:val="00241CF3"/>
    <w:rsid w:val="00246B78"/>
    <w:rsid w:val="00251D1F"/>
    <w:rsid w:val="00254D86"/>
    <w:rsid w:val="0026247B"/>
    <w:rsid w:val="00262DD9"/>
    <w:rsid w:val="002633BC"/>
    <w:rsid w:val="00266915"/>
    <w:rsid w:val="0026752B"/>
    <w:rsid w:val="0027056F"/>
    <w:rsid w:val="00270DA2"/>
    <w:rsid w:val="00272AC1"/>
    <w:rsid w:val="00273125"/>
    <w:rsid w:val="00277A7D"/>
    <w:rsid w:val="00281746"/>
    <w:rsid w:val="00283EFD"/>
    <w:rsid w:val="002864C6"/>
    <w:rsid w:val="00290384"/>
    <w:rsid w:val="00290FAE"/>
    <w:rsid w:val="00294333"/>
    <w:rsid w:val="002A4B93"/>
    <w:rsid w:val="002A5F87"/>
    <w:rsid w:val="002A6718"/>
    <w:rsid w:val="002A744F"/>
    <w:rsid w:val="002B2CDF"/>
    <w:rsid w:val="002B3C6F"/>
    <w:rsid w:val="002B6CD0"/>
    <w:rsid w:val="002B709B"/>
    <w:rsid w:val="002C057C"/>
    <w:rsid w:val="002C6134"/>
    <w:rsid w:val="002C78C8"/>
    <w:rsid w:val="002D2985"/>
    <w:rsid w:val="002D5568"/>
    <w:rsid w:val="002D64A8"/>
    <w:rsid w:val="002D7CA6"/>
    <w:rsid w:val="002D7FE1"/>
    <w:rsid w:val="002E3B99"/>
    <w:rsid w:val="002E4FB1"/>
    <w:rsid w:val="002E5422"/>
    <w:rsid w:val="002E69F0"/>
    <w:rsid w:val="002E7C8E"/>
    <w:rsid w:val="002F110E"/>
    <w:rsid w:val="002F2739"/>
    <w:rsid w:val="002F2B3B"/>
    <w:rsid w:val="002F7FCE"/>
    <w:rsid w:val="00300376"/>
    <w:rsid w:val="00303011"/>
    <w:rsid w:val="0030626D"/>
    <w:rsid w:val="00306C7F"/>
    <w:rsid w:val="0031016B"/>
    <w:rsid w:val="003128AA"/>
    <w:rsid w:val="003134C9"/>
    <w:rsid w:val="00317A71"/>
    <w:rsid w:val="00322891"/>
    <w:rsid w:val="00325F9A"/>
    <w:rsid w:val="0032781C"/>
    <w:rsid w:val="00327C67"/>
    <w:rsid w:val="003328A2"/>
    <w:rsid w:val="0033322A"/>
    <w:rsid w:val="00342690"/>
    <w:rsid w:val="00346D5D"/>
    <w:rsid w:val="0034764B"/>
    <w:rsid w:val="00347C63"/>
    <w:rsid w:val="00352DC7"/>
    <w:rsid w:val="00353025"/>
    <w:rsid w:val="003538AD"/>
    <w:rsid w:val="0036300B"/>
    <w:rsid w:val="003647BC"/>
    <w:rsid w:val="00373803"/>
    <w:rsid w:val="00374E49"/>
    <w:rsid w:val="00377757"/>
    <w:rsid w:val="0038600B"/>
    <w:rsid w:val="00386FC7"/>
    <w:rsid w:val="00390036"/>
    <w:rsid w:val="003917ED"/>
    <w:rsid w:val="003929F2"/>
    <w:rsid w:val="0039584C"/>
    <w:rsid w:val="00397AB1"/>
    <w:rsid w:val="003A3328"/>
    <w:rsid w:val="003A35EB"/>
    <w:rsid w:val="003A633A"/>
    <w:rsid w:val="003B32E6"/>
    <w:rsid w:val="003B4B40"/>
    <w:rsid w:val="003C2141"/>
    <w:rsid w:val="003C2450"/>
    <w:rsid w:val="003C2AEE"/>
    <w:rsid w:val="003C31D5"/>
    <w:rsid w:val="003C71B6"/>
    <w:rsid w:val="003D08C2"/>
    <w:rsid w:val="003D164F"/>
    <w:rsid w:val="003D40B3"/>
    <w:rsid w:val="003E29AF"/>
    <w:rsid w:val="003E3542"/>
    <w:rsid w:val="003F0962"/>
    <w:rsid w:val="003F1981"/>
    <w:rsid w:val="003F1B1A"/>
    <w:rsid w:val="003F3925"/>
    <w:rsid w:val="003F4CF9"/>
    <w:rsid w:val="003F6627"/>
    <w:rsid w:val="003F7DDB"/>
    <w:rsid w:val="004016C6"/>
    <w:rsid w:val="00402F27"/>
    <w:rsid w:val="0040385B"/>
    <w:rsid w:val="00404AA2"/>
    <w:rsid w:val="00404E3C"/>
    <w:rsid w:val="004055BF"/>
    <w:rsid w:val="00407933"/>
    <w:rsid w:val="00411959"/>
    <w:rsid w:val="004137FD"/>
    <w:rsid w:val="004240BE"/>
    <w:rsid w:val="004252B0"/>
    <w:rsid w:val="00425887"/>
    <w:rsid w:val="004266D3"/>
    <w:rsid w:val="0043153C"/>
    <w:rsid w:val="00431DC3"/>
    <w:rsid w:val="00432204"/>
    <w:rsid w:val="004340B3"/>
    <w:rsid w:val="0043506B"/>
    <w:rsid w:val="0044212E"/>
    <w:rsid w:val="00450DCB"/>
    <w:rsid w:val="00451727"/>
    <w:rsid w:val="004529BC"/>
    <w:rsid w:val="00453BA5"/>
    <w:rsid w:val="00457608"/>
    <w:rsid w:val="00467BA5"/>
    <w:rsid w:val="004754D0"/>
    <w:rsid w:val="00481CE6"/>
    <w:rsid w:val="00487D29"/>
    <w:rsid w:val="00491C11"/>
    <w:rsid w:val="004941AE"/>
    <w:rsid w:val="004957A5"/>
    <w:rsid w:val="0049613E"/>
    <w:rsid w:val="004A78FB"/>
    <w:rsid w:val="004B00C5"/>
    <w:rsid w:val="004B39D6"/>
    <w:rsid w:val="004B7AED"/>
    <w:rsid w:val="004C43BA"/>
    <w:rsid w:val="004C69E8"/>
    <w:rsid w:val="004D710C"/>
    <w:rsid w:val="004E1231"/>
    <w:rsid w:val="004E6DD7"/>
    <w:rsid w:val="004F17A7"/>
    <w:rsid w:val="00502CFB"/>
    <w:rsid w:val="005046AA"/>
    <w:rsid w:val="00507388"/>
    <w:rsid w:val="00514BDB"/>
    <w:rsid w:val="00520EDE"/>
    <w:rsid w:val="0052295B"/>
    <w:rsid w:val="00523F1D"/>
    <w:rsid w:val="005242C8"/>
    <w:rsid w:val="00525D72"/>
    <w:rsid w:val="0052718D"/>
    <w:rsid w:val="0053043B"/>
    <w:rsid w:val="005323B8"/>
    <w:rsid w:val="00540EEE"/>
    <w:rsid w:val="005449B0"/>
    <w:rsid w:val="00544A40"/>
    <w:rsid w:val="00546122"/>
    <w:rsid w:val="005511D7"/>
    <w:rsid w:val="0055346C"/>
    <w:rsid w:val="005544CF"/>
    <w:rsid w:val="005553B1"/>
    <w:rsid w:val="005613F2"/>
    <w:rsid w:val="005631D1"/>
    <w:rsid w:val="005650B7"/>
    <w:rsid w:val="00570C04"/>
    <w:rsid w:val="005710B1"/>
    <w:rsid w:val="00572F92"/>
    <w:rsid w:val="0058053F"/>
    <w:rsid w:val="00580A94"/>
    <w:rsid w:val="005937DE"/>
    <w:rsid w:val="00593872"/>
    <w:rsid w:val="005A7C94"/>
    <w:rsid w:val="005B0DFC"/>
    <w:rsid w:val="005B2F8F"/>
    <w:rsid w:val="005B6F39"/>
    <w:rsid w:val="005B7E42"/>
    <w:rsid w:val="005C0F5D"/>
    <w:rsid w:val="005C226C"/>
    <w:rsid w:val="005C3DD8"/>
    <w:rsid w:val="005C75BE"/>
    <w:rsid w:val="005C7F2D"/>
    <w:rsid w:val="005D0BA2"/>
    <w:rsid w:val="005D3EFB"/>
    <w:rsid w:val="005E7852"/>
    <w:rsid w:val="005F261F"/>
    <w:rsid w:val="005F4232"/>
    <w:rsid w:val="005F632C"/>
    <w:rsid w:val="00601586"/>
    <w:rsid w:val="00603227"/>
    <w:rsid w:val="00607706"/>
    <w:rsid w:val="00615C81"/>
    <w:rsid w:val="00616637"/>
    <w:rsid w:val="00616E46"/>
    <w:rsid w:val="006236AA"/>
    <w:rsid w:val="00630138"/>
    <w:rsid w:val="00642559"/>
    <w:rsid w:val="00643CC5"/>
    <w:rsid w:val="00644967"/>
    <w:rsid w:val="00646E38"/>
    <w:rsid w:val="00650CAB"/>
    <w:rsid w:val="00652286"/>
    <w:rsid w:val="006523DE"/>
    <w:rsid w:val="00657DD7"/>
    <w:rsid w:val="00657E00"/>
    <w:rsid w:val="006639E7"/>
    <w:rsid w:val="0066739E"/>
    <w:rsid w:val="00667805"/>
    <w:rsid w:val="00670404"/>
    <w:rsid w:val="00672B1B"/>
    <w:rsid w:val="00672F87"/>
    <w:rsid w:val="0067336B"/>
    <w:rsid w:val="006777CB"/>
    <w:rsid w:val="006803B9"/>
    <w:rsid w:val="00692B71"/>
    <w:rsid w:val="00695E63"/>
    <w:rsid w:val="0069771D"/>
    <w:rsid w:val="006A375B"/>
    <w:rsid w:val="006A74DF"/>
    <w:rsid w:val="006A75CA"/>
    <w:rsid w:val="006B25D1"/>
    <w:rsid w:val="006B7BBB"/>
    <w:rsid w:val="006C0C6E"/>
    <w:rsid w:val="006C2829"/>
    <w:rsid w:val="006C550E"/>
    <w:rsid w:val="006C572B"/>
    <w:rsid w:val="006C6871"/>
    <w:rsid w:val="006C6DEA"/>
    <w:rsid w:val="006C6FEF"/>
    <w:rsid w:val="006D04BF"/>
    <w:rsid w:val="006D75D8"/>
    <w:rsid w:val="006E1C14"/>
    <w:rsid w:val="006E2793"/>
    <w:rsid w:val="006E3567"/>
    <w:rsid w:val="006E3DA2"/>
    <w:rsid w:val="006E757A"/>
    <w:rsid w:val="006F385E"/>
    <w:rsid w:val="006F4916"/>
    <w:rsid w:val="006F640B"/>
    <w:rsid w:val="007021C7"/>
    <w:rsid w:val="00702314"/>
    <w:rsid w:val="007058D3"/>
    <w:rsid w:val="007069A5"/>
    <w:rsid w:val="00707B7D"/>
    <w:rsid w:val="0071201D"/>
    <w:rsid w:val="007133A2"/>
    <w:rsid w:val="00713DE6"/>
    <w:rsid w:val="00715FC5"/>
    <w:rsid w:val="00720863"/>
    <w:rsid w:val="0072139B"/>
    <w:rsid w:val="00721F15"/>
    <w:rsid w:val="0072259E"/>
    <w:rsid w:val="00722CE8"/>
    <w:rsid w:val="007246C9"/>
    <w:rsid w:val="00726EB5"/>
    <w:rsid w:val="00727623"/>
    <w:rsid w:val="007355EF"/>
    <w:rsid w:val="0073781E"/>
    <w:rsid w:val="007439C7"/>
    <w:rsid w:val="00745146"/>
    <w:rsid w:val="00745239"/>
    <w:rsid w:val="00757626"/>
    <w:rsid w:val="0076741A"/>
    <w:rsid w:val="00773127"/>
    <w:rsid w:val="00773E85"/>
    <w:rsid w:val="00780FC3"/>
    <w:rsid w:val="00785321"/>
    <w:rsid w:val="007873C2"/>
    <w:rsid w:val="0079007A"/>
    <w:rsid w:val="00792C80"/>
    <w:rsid w:val="00793706"/>
    <w:rsid w:val="00795A80"/>
    <w:rsid w:val="00795F9A"/>
    <w:rsid w:val="007A291F"/>
    <w:rsid w:val="007A5F34"/>
    <w:rsid w:val="007A71BB"/>
    <w:rsid w:val="007B0E4C"/>
    <w:rsid w:val="007C2772"/>
    <w:rsid w:val="007C7BC2"/>
    <w:rsid w:val="007D08FC"/>
    <w:rsid w:val="007D0F19"/>
    <w:rsid w:val="007E1C96"/>
    <w:rsid w:val="007E1CDC"/>
    <w:rsid w:val="007E1F99"/>
    <w:rsid w:val="007E2F49"/>
    <w:rsid w:val="007E330F"/>
    <w:rsid w:val="007E523B"/>
    <w:rsid w:val="007E6115"/>
    <w:rsid w:val="007E653C"/>
    <w:rsid w:val="007F05C3"/>
    <w:rsid w:val="007F4AD0"/>
    <w:rsid w:val="007F5238"/>
    <w:rsid w:val="007F656C"/>
    <w:rsid w:val="00806987"/>
    <w:rsid w:val="00806CF7"/>
    <w:rsid w:val="008158A0"/>
    <w:rsid w:val="0081753E"/>
    <w:rsid w:val="00817B41"/>
    <w:rsid w:val="00817EC1"/>
    <w:rsid w:val="008206D2"/>
    <w:rsid w:val="00826357"/>
    <w:rsid w:val="00831BCE"/>
    <w:rsid w:val="00832BB6"/>
    <w:rsid w:val="0083413B"/>
    <w:rsid w:val="008361E8"/>
    <w:rsid w:val="008415D8"/>
    <w:rsid w:val="00842953"/>
    <w:rsid w:val="0084518B"/>
    <w:rsid w:val="0084767B"/>
    <w:rsid w:val="00850D22"/>
    <w:rsid w:val="008522A9"/>
    <w:rsid w:val="008525B4"/>
    <w:rsid w:val="00853461"/>
    <w:rsid w:val="0086155C"/>
    <w:rsid w:val="00862B56"/>
    <w:rsid w:val="00866879"/>
    <w:rsid w:val="00867A62"/>
    <w:rsid w:val="00870C19"/>
    <w:rsid w:val="00873144"/>
    <w:rsid w:val="00873147"/>
    <w:rsid w:val="00873D6D"/>
    <w:rsid w:val="00875E99"/>
    <w:rsid w:val="00881E03"/>
    <w:rsid w:val="008906E3"/>
    <w:rsid w:val="00896210"/>
    <w:rsid w:val="008A04C6"/>
    <w:rsid w:val="008B0BA7"/>
    <w:rsid w:val="008B579A"/>
    <w:rsid w:val="008B57E1"/>
    <w:rsid w:val="008C0380"/>
    <w:rsid w:val="008C34D3"/>
    <w:rsid w:val="008C5043"/>
    <w:rsid w:val="008E05EA"/>
    <w:rsid w:val="008E0E81"/>
    <w:rsid w:val="008E26F4"/>
    <w:rsid w:val="008E5D18"/>
    <w:rsid w:val="008E64D3"/>
    <w:rsid w:val="008E780A"/>
    <w:rsid w:val="008F050B"/>
    <w:rsid w:val="008F12FC"/>
    <w:rsid w:val="008F2D39"/>
    <w:rsid w:val="008F452D"/>
    <w:rsid w:val="008F599A"/>
    <w:rsid w:val="0090002F"/>
    <w:rsid w:val="00900C9F"/>
    <w:rsid w:val="0090221F"/>
    <w:rsid w:val="00907A57"/>
    <w:rsid w:val="00907FD3"/>
    <w:rsid w:val="00910A67"/>
    <w:rsid w:val="009115BC"/>
    <w:rsid w:val="009120B1"/>
    <w:rsid w:val="009140E2"/>
    <w:rsid w:val="00914486"/>
    <w:rsid w:val="00916905"/>
    <w:rsid w:val="0092201E"/>
    <w:rsid w:val="00922668"/>
    <w:rsid w:val="00924BA0"/>
    <w:rsid w:val="00932756"/>
    <w:rsid w:val="00936133"/>
    <w:rsid w:val="00936FD8"/>
    <w:rsid w:val="0094052C"/>
    <w:rsid w:val="009412FB"/>
    <w:rsid w:val="009425A7"/>
    <w:rsid w:val="009447BE"/>
    <w:rsid w:val="00952F49"/>
    <w:rsid w:val="00957ECF"/>
    <w:rsid w:val="00960D36"/>
    <w:rsid w:val="00961829"/>
    <w:rsid w:val="009626A3"/>
    <w:rsid w:val="00963988"/>
    <w:rsid w:val="00965192"/>
    <w:rsid w:val="00966E17"/>
    <w:rsid w:val="00970CBB"/>
    <w:rsid w:val="009724B6"/>
    <w:rsid w:val="0097593F"/>
    <w:rsid w:val="00980CDD"/>
    <w:rsid w:val="009819FD"/>
    <w:rsid w:val="009865FB"/>
    <w:rsid w:val="00986E14"/>
    <w:rsid w:val="0099342B"/>
    <w:rsid w:val="009939C2"/>
    <w:rsid w:val="00993DA0"/>
    <w:rsid w:val="00993E34"/>
    <w:rsid w:val="00993F37"/>
    <w:rsid w:val="00995415"/>
    <w:rsid w:val="00995EE3"/>
    <w:rsid w:val="009A02A3"/>
    <w:rsid w:val="009A3E8A"/>
    <w:rsid w:val="009B2F56"/>
    <w:rsid w:val="009B3720"/>
    <w:rsid w:val="009B6174"/>
    <w:rsid w:val="009B6C0A"/>
    <w:rsid w:val="009C16BE"/>
    <w:rsid w:val="009C3A94"/>
    <w:rsid w:val="009C6964"/>
    <w:rsid w:val="009D1743"/>
    <w:rsid w:val="009D218D"/>
    <w:rsid w:val="009D5DE6"/>
    <w:rsid w:val="009E0DC8"/>
    <w:rsid w:val="009E3873"/>
    <w:rsid w:val="009E667D"/>
    <w:rsid w:val="009F0138"/>
    <w:rsid w:val="009F7988"/>
    <w:rsid w:val="00A0135C"/>
    <w:rsid w:val="00A1002B"/>
    <w:rsid w:val="00A13BD1"/>
    <w:rsid w:val="00A24F12"/>
    <w:rsid w:val="00A30382"/>
    <w:rsid w:val="00A32E7C"/>
    <w:rsid w:val="00A44622"/>
    <w:rsid w:val="00A5193A"/>
    <w:rsid w:val="00A51B7B"/>
    <w:rsid w:val="00A53127"/>
    <w:rsid w:val="00A61058"/>
    <w:rsid w:val="00A65785"/>
    <w:rsid w:val="00A67898"/>
    <w:rsid w:val="00A727FF"/>
    <w:rsid w:val="00A758A6"/>
    <w:rsid w:val="00A76BE6"/>
    <w:rsid w:val="00A778FA"/>
    <w:rsid w:val="00A8084F"/>
    <w:rsid w:val="00A80917"/>
    <w:rsid w:val="00A80B47"/>
    <w:rsid w:val="00A82C38"/>
    <w:rsid w:val="00A83897"/>
    <w:rsid w:val="00A8642E"/>
    <w:rsid w:val="00A87071"/>
    <w:rsid w:val="00A87CD4"/>
    <w:rsid w:val="00A92692"/>
    <w:rsid w:val="00AA4DD9"/>
    <w:rsid w:val="00AA5C31"/>
    <w:rsid w:val="00AA7982"/>
    <w:rsid w:val="00AB0BB7"/>
    <w:rsid w:val="00AC004A"/>
    <w:rsid w:val="00AC1F14"/>
    <w:rsid w:val="00AC2404"/>
    <w:rsid w:val="00AC29D7"/>
    <w:rsid w:val="00AC4241"/>
    <w:rsid w:val="00AC46A0"/>
    <w:rsid w:val="00AC5BB4"/>
    <w:rsid w:val="00AD3AF2"/>
    <w:rsid w:val="00AD4C8B"/>
    <w:rsid w:val="00AE0901"/>
    <w:rsid w:val="00AE27CF"/>
    <w:rsid w:val="00AE7AC3"/>
    <w:rsid w:val="00AF2481"/>
    <w:rsid w:val="00AF5FA5"/>
    <w:rsid w:val="00AF7B26"/>
    <w:rsid w:val="00B0138E"/>
    <w:rsid w:val="00B0154D"/>
    <w:rsid w:val="00B022EA"/>
    <w:rsid w:val="00B0236C"/>
    <w:rsid w:val="00B036D4"/>
    <w:rsid w:val="00B03A7E"/>
    <w:rsid w:val="00B10AFE"/>
    <w:rsid w:val="00B12A75"/>
    <w:rsid w:val="00B216DE"/>
    <w:rsid w:val="00B2231E"/>
    <w:rsid w:val="00B22CD6"/>
    <w:rsid w:val="00B23033"/>
    <w:rsid w:val="00B23EE3"/>
    <w:rsid w:val="00B25307"/>
    <w:rsid w:val="00B31D71"/>
    <w:rsid w:val="00B36138"/>
    <w:rsid w:val="00B371CB"/>
    <w:rsid w:val="00B432AC"/>
    <w:rsid w:val="00B4456C"/>
    <w:rsid w:val="00B45150"/>
    <w:rsid w:val="00B454A7"/>
    <w:rsid w:val="00B4590C"/>
    <w:rsid w:val="00B46392"/>
    <w:rsid w:val="00B517C9"/>
    <w:rsid w:val="00B6032F"/>
    <w:rsid w:val="00B61DA8"/>
    <w:rsid w:val="00B6221F"/>
    <w:rsid w:val="00B64053"/>
    <w:rsid w:val="00B747E1"/>
    <w:rsid w:val="00B74AAB"/>
    <w:rsid w:val="00B76FA2"/>
    <w:rsid w:val="00B77C67"/>
    <w:rsid w:val="00B81E93"/>
    <w:rsid w:val="00B85A1A"/>
    <w:rsid w:val="00B87034"/>
    <w:rsid w:val="00B870FC"/>
    <w:rsid w:val="00B94505"/>
    <w:rsid w:val="00B94AB7"/>
    <w:rsid w:val="00BA1AAF"/>
    <w:rsid w:val="00BA4A9B"/>
    <w:rsid w:val="00BC1121"/>
    <w:rsid w:val="00BC201D"/>
    <w:rsid w:val="00BC5896"/>
    <w:rsid w:val="00BC7664"/>
    <w:rsid w:val="00BD0057"/>
    <w:rsid w:val="00BD3D2F"/>
    <w:rsid w:val="00BE36A0"/>
    <w:rsid w:val="00BE67A5"/>
    <w:rsid w:val="00BE6B0A"/>
    <w:rsid w:val="00BF2857"/>
    <w:rsid w:val="00C007D6"/>
    <w:rsid w:val="00C053D5"/>
    <w:rsid w:val="00C05816"/>
    <w:rsid w:val="00C0600D"/>
    <w:rsid w:val="00C07279"/>
    <w:rsid w:val="00C10AAF"/>
    <w:rsid w:val="00C173F5"/>
    <w:rsid w:val="00C17F43"/>
    <w:rsid w:val="00C236EB"/>
    <w:rsid w:val="00C25579"/>
    <w:rsid w:val="00C32179"/>
    <w:rsid w:val="00C32530"/>
    <w:rsid w:val="00C35351"/>
    <w:rsid w:val="00C42ADC"/>
    <w:rsid w:val="00C4367C"/>
    <w:rsid w:val="00C44798"/>
    <w:rsid w:val="00C45438"/>
    <w:rsid w:val="00C47D6B"/>
    <w:rsid w:val="00C50DD1"/>
    <w:rsid w:val="00C554C3"/>
    <w:rsid w:val="00C60D3E"/>
    <w:rsid w:val="00C633F7"/>
    <w:rsid w:val="00C65D7D"/>
    <w:rsid w:val="00C727A6"/>
    <w:rsid w:val="00C72ED8"/>
    <w:rsid w:val="00C74745"/>
    <w:rsid w:val="00C762D6"/>
    <w:rsid w:val="00C81C06"/>
    <w:rsid w:val="00C83B82"/>
    <w:rsid w:val="00C91EA2"/>
    <w:rsid w:val="00C93CD6"/>
    <w:rsid w:val="00C94F11"/>
    <w:rsid w:val="00CA109C"/>
    <w:rsid w:val="00CA380C"/>
    <w:rsid w:val="00CA4806"/>
    <w:rsid w:val="00CB0DF3"/>
    <w:rsid w:val="00CB1816"/>
    <w:rsid w:val="00CB3105"/>
    <w:rsid w:val="00CB7DAD"/>
    <w:rsid w:val="00CC0217"/>
    <w:rsid w:val="00CC0F20"/>
    <w:rsid w:val="00CC16B8"/>
    <w:rsid w:val="00CC2DFA"/>
    <w:rsid w:val="00CC7BAD"/>
    <w:rsid w:val="00CD32B5"/>
    <w:rsid w:val="00CD37ED"/>
    <w:rsid w:val="00CD5761"/>
    <w:rsid w:val="00CD5771"/>
    <w:rsid w:val="00CD6638"/>
    <w:rsid w:val="00CD7583"/>
    <w:rsid w:val="00CF0788"/>
    <w:rsid w:val="00CF0F06"/>
    <w:rsid w:val="00CF4CB9"/>
    <w:rsid w:val="00CF5D06"/>
    <w:rsid w:val="00CF67F1"/>
    <w:rsid w:val="00CF74B1"/>
    <w:rsid w:val="00D005CF"/>
    <w:rsid w:val="00D05981"/>
    <w:rsid w:val="00D110B7"/>
    <w:rsid w:val="00D1388F"/>
    <w:rsid w:val="00D15DAD"/>
    <w:rsid w:val="00D167AF"/>
    <w:rsid w:val="00D20C7A"/>
    <w:rsid w:val="00D233A9"/>
    <w:rsid w:val="00D23F1D"/>
    <w:rsid w:val="00D31D3B"/>
    <w:rsid w:val="00D33B2F"/>
    <w:rsid w:val="00D33B65"/>
    <w:rsid w:val="00D3548B"/>
    <w:rsid w:val="00D43C06"/>
    <w:rsid w:val="00D46928"/>
    <w:rsid w:val="00D46CAD"/>
    <w:rsid w:val="00D53064"/>
    <w:rsid w:val="00D557F1"/>
    <w:rsid w:val="00D6017C"/>
    <w:rsid w:val="00D7170D"/>
    <w:rsid w:val="00D71CD9"/>
    <w:rsid w:val="00D720A9"/>
    <w:rsid w:val="00D744D3"/>
    <w:rsid w:val="00D76837"/>
    <w:rsid w:val="00D848A3"/>
    <w:rsid w:val="00D8490C"/>
    <w:rsid w:val="00D87F20"/>
    <w:rsid w:val="00D91FEE"/>
    <w:rsid w:val="00D94E7C"/>
    <w:rsid w:val="00D96540"/>
    <w:rsid w:val="00D967D7"/>
    <w:rsid w:val="00DA0FE9"/>
    <w:rsid w:val="00DA16AE"/>
    <w:rsid w:val="00DA3FF0"/>
    <w:rsid w:val="00DA56F0"/>
    <w:rsid w:val="00DB0E65"/>
    <w:rsid w:val="00DB2B9E"/>
    <w:rsid w:val="00DB40F1"/>
    <w:rsid w:val="00DC2828"/>
    <w:rsid w:val="00DD03FE"/>
    <w:rsid w:val="00DD0969"/>
    <w:rsid w:val="00DD1362"/>
    <w:rsid w:val="00DD1A1E"/>
    <w:rsid w:val="00DD1A4B"/>
    <w:rsid w:val="00DD1AC8"/>
    <w:rsid w:val="00DD44DA"/>
    <w:rsid w:val="00DD6EEF"/>
    <w:rsid w:val="00DE1C5E"/>
    <w:rsid w:val="00DE22E7"/>
    <w:rsid w:val="00DE304A"/>
    <w:rsid w:val="00DE3FE3"/>
    <w:rsid w:val="00DE78FA"/>
    <w:rsid w:val="00DF0440"/>
    <w:rsid w:val="00DF1D07"/>
    <w:rsid w:val="00DF449F"/>
    <w:rsid w:val="00DF7CE6"/>
    <w:rsid w:val="00E006B1"/>
    <w:rsid w:val="00E00F36"/>
    <w:rsid w:val="00E00FEE"/>
    <w:rsid w:val="00E039D0"/>
    <w:rsid w:val="00E22478"/>
    <w:rsid w:val="00E22B12"/>
    <w:rsid w:val="00E233A5"/>
    <w:rsid w:val="00E24DEC"/>
    <w:rsid w:val="00E267D6"/>
    <w:rsid w:val="00E4585D"/>
    <w:rsid w:val="00E5081B"/>
    <w:rsid w:val="00E51307"/>
    <w:rsid w:val="00E5182C"/>
    <w:rsid w:val="00E537BE"/>
    <w:rsid w:val="00E53E2A"/>
    <w:rsid w:val="00E61379"/>
    <w:rsid w:val="00E632A6"/>
    <w:rsid w:val="00E75016"/>
    <w:rsid w:val="00E77783"/>
    <w:rsid w:val="00E87261"/>
    <w:rsid w:val="00E93C1C"/>
    <w:rsid w:val="00E95B75"/>
    <w:rsid w:val="00E95E66"/>
    <w:rsid w:val="00E960AA"/>
    <w:rsid w:val="00E979EA"/>
    <w:rsid w:val="00EA209E"/>
    <w:rsid w:val="00EA2DD7"/>
    <w:rsid w:val="00EA7B0A"/>
    <w:rsid w:val="00EB062A"/>
    <w:rsid w:val="00EB0863"/>
    <w:rsid w:val="00EB1715"/>
    <w:rsid w:val="00EB393D"/>
    <w:rsid w:val="00EB7676"/>
    <w:rsid w:val="00EC37F5"/>
    <w:rsid w:val="00EC4D7F"/>
    <w:rsid w:val="00EC6F6C"/>
    <w:rsid w:val="00ED030B"/>
    <w:rsid w:val="00ED12C7"/>
    <w:rsid w:val="00ED20C3"/>
    <w:rsid w:val="00EE21D1"/>
    <w:rsid w:val="00EF4CBA"/>
    <w:rsid w:val="00EF4D2E"/>
    <w:rsid w:val="00EF7BA1"/>
    <w:rsid w:val="00F0005E"/>
    <w:rsid w:val="00F029A3"/>
    <w:rsid w:val="00F0664E"/>
    <w:rsid w:val="00F07B3E"/>
    <w:rsid w:val="00F10AC3"/>
    <w:rsid w:val="00F229C0"/>
    <w:rsid w:val="00F257AC"/>
    <w:rsid w:val="00F2659A"/>
    <w:rsid w:val="00F3459B"/>
    <w:rsid w:val="00F36864"/>
    <w:rsid w:val="00F50D26"/>
    <w:rsid w:val="00F518A9"/>
    <w:rsid w:val="00F527B7"/>
    <w:rsid w:val="00F7784D"/>
    <w:rsid w:val="00F8202C"/>
    <w:rsid w:val="00F849F2"/>
    <w:rsid w:val="00F93A10"/>
    <w:rsid w:val="00F9598E"/>
    <w:rsid w:val="00F96083"/>
    <w:rsid w:val="00F96933"/>
    <w:rsid w:val="00FA01D3"/>
    <w:rsid w:val="00FA2AE6"/>
    <w:rsid w:val="00FA328C"/>
    <w:rsid w:val="00FA56DE"/>
    <w:rsid w:val="00FA61ED"/>
    <w:rsid w:val="00FB0EAC"/>
    <w:rsid w:val="00FB4BC6"/>
    <w:rsid w:val="00FB581A"/>
    <w:rsid w:val="00FC2D67"/>
    <w:rsid w:val="00FC32AD"/>
    <w:rsid w:val="00FC55CE"/>
    <w:rsid w:val="00FD1E9A"/>
    <w:rsid w:val="00FD5787"/>
    <w:rsid w:val="00FE0963"/>
    <w:rsid w:val="00FE38EE"/>
    <w:rsid w:val="00FF7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379"/>
  </w:style>
  <w:style w:type="paragraph" w:styleId="Heading1">
    <w:name w:val="heading 1"/>
    <w:basedOn w:val="Normal"/>
    <w:next w:val="Normal"/>
    <w:link w:val="Heading1Char"/>
    <w:uiPriority w:val="9"/>
    <w:qFormat/>
    <w:rsid w:val="001C0B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0B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0B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AC8"/>
    <w:pPr>
      <w:ind w:left="720"/>
      <w:contextualSpacing/>
    </w:pPr>
  </w:style>
  <w:style w:type="table" w:styleId="TableGrid">
    <w:name w:val="Table Grid"/>
    <w:basedOn w:val="TableNormal"/>
    <w:uiPriority w:val="59"/>
    <w:rsid w:val="00C91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BF1"/>
    <w:rPr>
      <w:rFonts w:ascii="Tahoma" w:hAnsi="Tahoma" w:cs="Tahoma"/>
      <w:sz w:val="16"/>
      <w:szCs w:val="16"/>
    </w:rPr>
  </w:style>
  <w:style w:type="table" w:styleId="LightList-Accent5">
    <w:name w:val="Light List Accent 5"/>
    <w:basedOn w:val="TableNormal"/>
    <w:uiPriority w:val="61"/>
    <w:rsid w:val="001C0BF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eading1Char">
    <w:name w:val="Heading 1 Char"/>
    <w:basedOn w:val="DefaultParagraphFont"/>
    <w:link w:val="Heading1"/>
    <w:uiPriority w:val="9"/>
    <w:rsid w:val="001C0B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0B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0BF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60D36"/>
    <w:pPr>
      <w:spacing w:before="120" w:after="120" w:line="240" w:lineRule="auto"/>
      <w:jc w:val="both"/>
    </w:pPr>
    <w:rPr>
      <w:rFonts w:ascii="Times New Roman" w:eastAsia="Times New Roman" w:hAnsi="Times New Roman" w:cs="Times New Roman"/>
      <w:sz w:val="24"/>
      <w:szCs w:val="24"/>
    </w:rPr>
  </w:style>
  <w:style w:type="paragraph" w:customStyle="1" w:styleId="Default">
    <w:name w:val="Default"/>
    <w:rsid w:val="00FA328C"/>
    <w:pPr>
      <w:autoSpaceDE w:val="0"/>
      <w:autoSpaceDN w:val="0"/>
      <w:adjustRightInd w:val="0"/>
      <w:spacing w:after="0" w:line="240" w:lineRule="auto"/>
    </w:pPr>
    <w:rPr>
      <w:rFonts w:ascii="Calibri" w:eastAsia="Times New Roman" w:hAnsi="Calibri" w:cs="Calibri"/>
      <w:color w:val="000000"/>
      <w:sz w:val="24"/>
      <w:szCs w:val="24"/>
    </w:rPr>
  </w:style>
  <w:style w:type="character" w:styleId="FootnoteReference">
    <w:name w:val="footnote reference"/>
    <w:uiPriority w:val="99"/>
    <w:semiHidden/>
    <w:unhideWhenUsed/>
    <w:rsid w:val="003E3542"/>
    <w:rPr>
      <w:vertAlign w:val="superscript"/>
    </w:rPr>
  </w:style>
  <w:style w:type="paragraph" w:styleId="Footer">
    <w:name w:val="footer"/>
    <w:basedOn w:val="Normal"/>
    <w:link w:val="FooterChar"/>
    <w:uiPriority w:val="99"/>
    <w:unhideWhenUsed/>
    <w:rsid w:val="003E3542"/>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3E3542"/>
    <w:rPr>
      <w:rFonts w:ascii="Calibri" w:eastAsia="Calibri" w:hAnsi="Calibri" w:cs="Times New Roman"/>
    </w:rPr>
  </w:style>
  <w:style w:type="paragraph" w:styleId="BodyText">
    <w:name w:val="Body Text"/>
    <w:basedOn w:val="Normal"/>
    <w:link w:val="BodyTextChar"/>
    <w:rsid w:val="007E1F99"/>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basedOn w:val="DefaultParagraphFont"/>
    <w:link w:val="BodyText"/>
    <w:rsid w:val="007E1F99"/>
    <w:rPr>
      <w:rFonts w:ascii="Times New Roman" w:eastAsia="Times New Roman" w:hAnsi="Times New Roman" w:cs="Times New Roman"/>
      <w:lang w:val="en-GB" w:eastAsia="zh-CN"/>
    </w:rPr>
  </w:style>
  <w:style w:type="paragraph" w:styleId="ListBullet">
    <w:name w:val="List Bullet"/>
    <w:basedOn w:val="Normal"/>
    <w:rsid w:val="007E1F99"/>
    <w:pPr>
      <w:numPr>
        <w:numId w:val="15"/>
      </w:numPr>
      <w:spacing w:after="240" w:line="240" w:lineRule="auto"/>
      <w:jc w:val="both"/>
    </w:pPr>
    <w:rPr>
      <w:rFonts w:ascii="Times New Roman" w:eastAsia="Times New Roman" w:hAnsi="Times New Roman" w:cs="Times New Roman"/>
      <w:lang w:val="en-GB" w:eastAsia="zh-CN"/>
    </w:rPr>
  </w:style>
  <w:style w:type="paragraph" w:styleId="ListNumber">
    <w:name w:val="List Number"/>
    <w:basedOn w:val="Normal"/>
    <w:rsid w:val="006E3567"/>
    <w:pPr>
      <w:numPr>
        <w:numId w:val="16"/>
      </w:numPr>
      <w:tabs>
        <w:tab w:val="left" w:pos="1134"/>
      </w:tabs>
      <w:spacing w:after="240" w:line="240" w:lineRule="auto"/>
      <w:jc w:val="both"/>
    </w:pPr>
    <w:rPr>
      <w:rFonts w:ascii="Times New Roman" w:eastAsia="Times New Roman" w:hAnsi="Times New Roman" w:cs="Times New Roman"/>
      <w:lang w:val="en-GB" w:eastAsia="zh-CN"/>
    </w:rPr>
  </w:style>
  <w:style w:type="paragraph" w:styleId="ListNumber2">
    <w:name w:val="List Number 2"/>
    <w:basedOn w:val="Normal"/>
    <w:rsid w:val="006E3567"/>
    <w:pPr>
      <w:numPr>
        <w:ilvl w:val="1"/>
        <w:numId w:val="16"/>
      </w:numPr>
      <w:tabs>
        <w:tab w:val="left" w:pos="1417"/>
      </w:tabs>
      <w:spacing w:after="240" w:line="240" w:lineRule="auto"/>
      <w:jc w:val="both"/>
    </w:pPr>
    <w:rPr>
      <w:rFonts w:ascii="Times New Roman" w:eastAsia="Times New Roman" w:hAnsi="Times New Roman" w:cs="Times New Roman"/>
      <w:lang w:val="en-GB" w:eastAsia="zh-CN"/>
    </w:rPr>
  </w:style>
  <w:style w:type="paragraph" w:styleId="ListNumber3">
    <w:name w:val="List Number 3"/>
    <w:basedOn w:val="Normal"/>
    <w:rsid w:val="006E3567"/>
    <w:pPr>
      <w:numPr>
        <w:ilvl w:val="2"/>
        <w:numId w:val="16"/>
      </w:numPr>
      <w:tabs>
        <w:tab w:val="left" w:pos="1701"/>
      </w:tabs>
      <w:spacing w:after="240" w:line="240" w:lineRule="auto"/>
      <w:jc w:val="both"/>
    </w:pPr>
    <w:rPr>
      <w:rFonts w:ascii="Times New Roman" w:eastAsia="Times New Roman" w:hAnsi="Times New Roman" w:cs="Times New Roman"/>
      <w:lang w:val="en-GB" w:eastAsia="zh-CN"/>
    </w:rPr>
  </w:style>
  <w:style w:type="paragraph" w:styleId="ListNumber4">
    <w:name w:val="List Number 4"/>
    <w:basedOn w:val="Normal"/>
    <w:rsid w:val="006E3567"/>
    <w:pPr>
      <w:numPr>
        <w:ilvl w:val="3"/>
        <w:numId w:val="16"/>
      </w:numPr>
      <w:tabs>
        <w:tab w:val="left" w:pos="1984"/>
      </w:tabs>
      <w:spacing w:after="240" w:line="240" w:lineRule="auto"/>
      <w:jc w:val="both"/>
    </w:pPr>
    <w:rPr>
      <w:rFonts w:ascii="Times New Roman" w:eastAsia="Times New Roman" w:hAnsi="Times New Roman" w:cs="Times New Roman"/>
      <w:lang w:val="en-GB" w:eastAsia="zh-CN"/>
    </w:rPr>
  </w:style>
  <w:style w:type="paragraph" w:styleId="ListNumber5">
    <w:name w:val="List Number 5"/>
    <w:basedOn w:val="Normal"/>
    <w:rsid w:val="006E3567"/>
    <w:pPr>
      <w:numPr>
        <w:ilvl w:val="4"/>
        <w:numId w:val="16"/>
      </w:numPr>
      <w:tabs>
        <w:tab w:val="left" w:pos="2268"/>
      </w:tabs>
      <w:spacing w:after="240" w:line="240" w:lineRule="auto"/>
      <w:jc w:val="both"/>
    </w:pPr>
    <w:rPr>
      <w:rFonts w:ascii="Times New Roman" w:eastAsia="Times New Roman" w:hAnsi="Times New Roman" w:cs="Times New Roman"/>
      <w:lang w:val="en-GB" w:eastAsia="zh-CN"/>
    </w:rPr>
  </w:style>
  <w:style w:type="paragraph" w:styleId="Header">
    <w:name w:val="header"/>
    <w:basedOn w:val="Normal"/>
    <w:link w:val="HeaderChar"/>
    <w:uiPriority w:val="99"/>
    <w:unhideWhenUsed/>
    <w:rsid w:val="00B81E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E93"/>
  </w:style>
</w:styles>
</file>

<file path=word/webSettings.xml><?xml version="1.0" encoding="utf-8"?>
<w:webSettings xmlns:r="http://schemas.openxmlformats.org/officeDocument/2006/relationships" xmlns:w="http://schemas.openxmlformats.org/wordprocessingml/2006/main">
  <w:divs>
    <w:div w:id="1387605507">
      <w:bodyDiv w:val="1"/>
      <w:marLeft w:val="0"/>
      <w:marRight w:val="0"/>
      <w:marTop w:val="0"/>
      <w:marBottom w:val="0"/>
      <w:divBdr>
        <w:top w:val="none" w:sz="0" w:space="0" w:color="auto"/>
        <w:left w:val="none" w:sz="0" w:space="0" w:color="auto"/>
        <w:bottom w:val="none" w:sz="0" w:space="0" w:color="auto"/>
        <w:right w:val="none" w:sz="0" w:space="0" w:color="auto"/>
      </w:divBdr>
      <w:divsChild>
        <w:div w:id="473061184">
          <w:marLeft w:val="0"/>
          <w:marRight w:val="0"/>
          <w:marTop w:val="150"/>
          <w:marBottom w:val="150"/>
          <w:divBdr>
            <w:top w:val="single" w:sz="6" w:space="8" w:color="E8E5D9"/>
            <w:left w:val="single" w:sz="6" w:space="9" w:color="E8E5D9"/>
            <w:bottom w:val="single" w:sz="6" w:space="1" w:color="E8E5D9"/>
            <w:right w:val="single" w:sz="6" w:space="9" w:color="E8E5D9"/>
          </w:divBdr>
          <w:divsChild>
            <w:div w:id="2049838075">
              <w:marLeft w:val="0"/>
              <w:marRight w:val="0"/>
              <w:marTop w:val="0"/>
              <w:marBottom w:val="0"/>
              <w:divBdr>
                <w:top w:val="none" w:sz="0" w:space="0" w:color="auto"/>
                <w:left w:val="none" w:sz="0" w:space="0" w:color="auto"/>
                <w:bottom w:val="none" w:sz="0" w:space="0" w:color="auto"/>
                <w:right w:val="none" w:sz="0" w:space="0" w:color="auto"/>
              </w:divBdr>
              <w:divsChild>
                <w:div w:id="1967469675">
                  <w:marLeft w:val="450"/>
                  <w:marRight w:val="150"/>
                  <w:marTop w:val="240"/>
                  <w:marBottom w:val="0"/>
                  <w:divBdr>
                    <w:top w:val="none" w:sz="0" w:space="0" w:color="auto"/>
                    <w:left w:val="none" w:sz="0" w:space="0" w:color="auto"/>
                    <w:bottom w:val="none" w:sz="0" w:space="0" w:color="auto"/>
                    <w:right w:val="none" w:sz="0" w:space="0" w:color="auto"/>
                  </w:divBdr>
                  <w:divsChild>
                    <w:div w:id="338048310">
                      <w:marLeft w:val="0"/>
                      <w:marRight w:val="0"/>
                      <w:marTop w:val="0"/>
                      <w:marBottom w:val="0"/>
                      <w:divBdr>
                        <w:top w:val="none" w:sz="0" w:space="0" w:color="auto"/>
                        <w:left w:val="none" w:sz="0" w:space="0" w:color="auto"/>
                        <w:bottom w:val="none" w:sz="0" w:space="0" w:color="auto"/>
                        <w:right w:val="none" w:sz="0" w:space="0" w:color="auto"/>
                      </w:divBdr>
                      <w:divsChild>
                        <w:div w:id="16496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619968">
      <w:bodyDiv w:val="1"/>
      <w:marLeft w:val="0"/>
      <w:marRight w:val="0"/>
      <w:marTop w:val="0"/>
      <w:marBottom w:val="0"/>
      <w:divBdr>
        <w:top w:val="none" w:sz="0" w:space="0" w:color="auto"/>
        <w:left w:val="none" w:sz="0" w:space="0" w:color="auto"/>
        <w:bottom w:val="none" w:sz="0" w:space="0" w:color="auto"/>
        <w:right w:val="none" w:sz="0" w:space="0" w:color="auto"/>
      </w:divBdr>
      <w:divsChild>
        <w:div w:id="1930380442">
          <w:marLeft w:val="0"/>
          <w:marRight w:val="0"/>
          <w:marTop w:val="150"/>
          <w:marBottom w:val="150"/>
          <w:divBdr>
            <w:top w:val="single" w:sz="6" w:space="8" w:color="E8E5D9"/>
            <w:left w:val="single" w:sz="6" w:space="9" w:color="E8E5D9"/>
            <w:bottom w:val="single" w:sz="6" w:space="1" w:color="E8E5D9"/>
            <w:right w:val="single" w:sz="6" w:space="9" w:color="E8E5D9"/>
          </w:divBdr>
          <w:divsChild>
            <w:div w:id="1852525943">
              <w:marLeft w:val="0"/>
              <w:marRight w:val="0"/>
              <w:marTop w:val="0"/>
              <w:marBottom w:val="0"/>
              <w:divBdr>
                <w:top w:val="none" w:sz="0" w:space="0" w:color="auto"/>
                <w:left w:val="none" w:sz="0" w:space="0" w:color="auto"/>
                <w:bottom w:val="none" w:sz="0" w:space="0" w:color="auto"/>
                <w:right w:val="none" w:sz="0" w:space="0" w:color="auto"/>
              </w:divBdr>
              <w:divsChild>
                <w:div w:id="93720153">
                  <w:marLeft w:val="450"/>
                  <w:marRight w:val="150"/>
                  <w:marTop w:val="240"/>
                  <w:marBottom w:val="0"/>
                  <w:divBdr>
                    <w:top w:val="none" w:sz="0" w:space="0" w:color="auto"/>
                    <w:left w:val="none" w:sz="0" w:space="0" w:color="auto"/>
                    <w:bottom w:val="none" w:sz="0" w:space="0" w:color="auto"/>
                    <w:right w:val="none" w:sz="0" w:space="0" w:color="auto"/>
                  </w:divBdr>
                  <w:divsChild>
                    <w:div w:id="196890179">
                      <w:marLeft w:val="0"/>
                      <w:marRight w:val="0"/>
                      <w:marTop w:val="0"/>
                      <w:marBottom w:val="0"/>
                      <w:divBdr>
                        <w:top w:val="none" w:sz="0" w:space="0" w:color="auto"/>
                        <w:left w:val="none" w:sz="0" w:space="0" w:color="auto"/>
                        <w:bottom w:val="none" w:sz="0" w:space="0" w:color="auto"/>
                        <w:right w:val="none" w:sz="0" w:space="0" w:color="auto"/>
                      </w:divBdr>
                      <w:divsChild>
                        <w:div w:id="1223172408">
                          <w:marLeft w:val="0"/>
                          <w:marRight w:val="0"/>
                          <w:marTop w:val="0"/>
                          <w:marBottom w:val="0"/>
                          <w:divBdr>
                            <w:top w:val="none" w:sz="0" w:space="0" w:color="auto"/>
                            <w:left w:val="none" w:sz="0" w:space="0" w:color="auto"/>
                            <w:bottom w:val="none" w:sz="0" w:space="0" w:color="auto"/>
                            <w:right w:val="none" w:sz="0" w:space="0" w:color="auto"/>
                          </w:divBdr>
                        </w:div>
                        <w:div w:id="438137634">
                          <w:marLeft w:val="0"/>
                          <w:marRight w:val="0"/>
                          <w:marTop w:val="0"/>
                          <w:marBottom w:val="0"/>
                          <w:divBdr>
                            <w:top w:val="none" w:sz="0" w:space="0" w:color="auto"/>
                            <w:left w:val="none" w:sz="0" w:space="0" w:color="auto"/>
                            <w:bottom w:val="none" w:sz="0" w:space="0" w:color="auto"/>
                            <w:right w:val="none" w:sz="0" w:space="0" w:color="auto"/>
                          </w:divBdr>
                          <w:divsChild>
                            <w:div w:id="18559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F5A2021A4CA4BFB80A9CF31BC669988"/>
        <w:category>
          <w:name w:val="General"/>
          <w:gallery w:val="placeholder"/>
        </w:category>
        <w:types>
          <w:type w:val="bbPlcHdr"/>
        </w:types>
        <w:behaviors>
          <w:behavior w:val="content"/>
        </w:behaviors>
        <w:guid w:val="{5AFFC849-0AD0-42DB-9B16-3306560C4F74}"/>
      </w:docPartPr>
      <w:docPartBody>
        <w:p w:rsidR="00E179D9" w:rsidRDefault="00E179D9" w:rsidP="00E179D9">
          <w:pPr>
            <w:pStyle w:val="BF5A2021A4CA4BFB80A9CF31BC669988"/>
          </w:pPr>
          <w: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E179D9"/>
    <w:rsid w:val="00233037"/>
    <w:rsid w:val="00850066"/>
    <w:rsid w:val="00CA05F6"/>
    <w:rsid w:val="00E17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BCFC2250C54F7B939C9EC6249DBFEA">
    <w:name w:val="3FBCFC2250C54F7B939C9EC6249DBFEA"/>
    <w:rsid w:val="00E179D9"/>
  </w:style>
  <w:style w:type="paragraph" w:customStyle="1" w:styleId="BF5A2021A4CA4BFB80A9CF31BC669988">
    <w:name w:val="BF5A2021A4CA4BFB80A9CF31BC669988"/>
    <w:rsid w:val="00E179D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1702</TotalTime>
  <Pages>13</Pages>
  <Words>5028</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Effective Institutions Building Block Mapping: ZERO DRAFT</vt:lpstr>
    </vt:vector>
  </TitlesOfParts>
  <Company>OECD</Company>
  <LinksUpToDate>false</LinksUpToDate>
  <CharactersWithSpaces>33621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Institutions Building Block Mapping: ZERO DRAFT</dc:title>
  <dc:subject/>
  <dc:creator>fyson_s</dc:creator>
  <cp:keywords/>
  <dc:description/>
  <cp:lastModifiedBy>fyson_s</cp:lastModifiedBy>
  <cp:revision>22</cp:revision>
  <cp:lastPrinted>2012-06-20T09:26:00Z</cp:lastPrinted>
  <dcterms:created xsi:type="dcterms:W3CDTF">2012-06-05T10:06:00Z</dcterms:created>
  <dcterms:modified xsi:type="dcterms:W3CDTF">2012-06-20T09:53:00Z</dcterms:modified>
</cp:coreProperties>
</file>