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711" w:rsidRDefault="00D70711">
      <w:pPr>
        <w:rPr>
          <w:b/>
          <w:sz w:val="28"/>
        </w:rPr>
      </w:pPr>
      <w:bookmarkStart w:id="0" w:name="_GoBack"/>
      <w:bookmarkEnd w:id="0"/>
      <w:r>
        <w:rPr>
          <w:b/>
          <w:sz w:val="28"/>
        </w:rPr>
        <w:t xml:space="preserve">Protecting </w:t>
      </w:r>
      <w:r w:rsidR="0026211B" w:rsidRPr="0026211B">
        <w:rPr>
          <w:b/>
          <w:sz w:val="28"/>
        </w:rPr>
        <w:t xml:space="preserve">space for </w:t>
      </w:r>
      <w:r w:rsidR="009C1647">
        <w:rPr>
          <w:b/>
          <w:sz w:val="28"/>
        </w:rPr>
        <w:t xml:space="preserve">civil society: </w:t>
      </w:r>
      <w:r>
        <w:rPr>
          <w:b/>
          <w:sz w:val="28"/>
        </w:rPr>
        <w:t xml:space="preserve">how </w:t>
      </w:r>
      <w:r w:rsidR="009C1647">
        <w:rPr>
          <w:b/>
          <w:sz w:val="28"/>
        </w:rPr>
        <w:t xml:space="preserve">can </w:t>
      </w:r>
      <w:r w:rsidR="00D04F4F">
        <w:rPr>
          <w:b/>
          <w:sz w:val="28"/>
        </w:rPr>
        <w:t>official development agencies</w:t>
      </w:r>
      <w:r w:rsidR="009C1647">
        <w:rPr>
          <w:b/>
          <w:sz w:val="28"/>
        </w:rPr>
        <w:t xml:space="preserve"> </w:t>
      </w:r>
      <w:r>
        <w:rPr>
          <w:b/>
          <w:sz w:val="28"/>
        </w:rPr>
        <w:t xml:space="preserve">assist? </w:t>
      </w:r>
    </w:p>
    <w:p w:rsidR="00424ED8" w:rsidRDefault="00424ED8" w:rsidP="000654B2">
      <w:pPr>
        <w:rPr>
          <w:b/>
          <w:sz w:val="28"/>
        </w:rPr>
      </w:pPr>
    </w:p>
    <w:p w:rsidR="009C1647" w:rsidRPr="000949AE" w:rsidRDefault="009C1647" w:rsidP="000654B2">
      <w:pPr>
        <w:rPr>
          <w:i/>
        </w:rPr>
      </w:pPr>
      <w:r w:rsidRPr="000949AE">
        <w:rPr>
          <w:i/>
        </w:rPr>
        <w:t>“A well</w:t>
      </w:r>
      <w:r w:rsidR="005D1F06" w:rsidRPr="000949AE">
        <w:rPr>
          <w:i/>
        </w:rPr>
        <w:t>-</w:t>
      </w:r>
      <w:r w:rsidRPr="000949AE">
        <w:rPr>
          <w:i/>
        </w:rPr>
        <w:t xml:space="preserve">functioning civil society and politically involved citizenry are the backbone of longer term sustainable development.” </w:t>
      </w:r>
      <w:proofErr w:type="spellStart"/>
      <w:r w:rsidRPr="000949AE">
        <w:rPr>
          <w:i/>
        </w:rPr>
        <w:t>Dambisa</w:t>
      </w:r>
      <w:proofErr w:type="spellEnd"/>
      <w:r w:rsidRPr="000949AE">
        <w:rPr>
          <w:i/>
        </w:rPr>
        <w:t xml:space="preserve"> </w:t>
      </w:r>
      <w:proofErr w:type="spellStart"/>
      <w:r w:rsidRPr="000949AE">
        <w:rPr>
          <w:i/>
        </w:rPr>
        <w:t>Moyo</w:t>
      </w:r>
      <w:proofErr w:type="spellEnd"/>
      <w:r w:rsidRPr="000949AE">
        <w:rPr>
          <w:i/>
        </w:rPr>
        <w:t xml:space="preserve"> </w:t>
      </w:r>
      <w:r w:rsidR="00D8462C" w:rsidRPr="000949AE">
        <w:rPr>
          <w:i/>
        </w:rPr>
        <w:t>(2009)</w:t>
      </w:r>
      <w:r w:rsidR="002C11BE" w:rsidRPr="000949AE">
        <w:rPr>
          <w:rStyle w:val="FootnoteReference"/>
          <w:i/>
        </w:rPr>
        <w:footnoteReference w:id="1"/>
      </w:r>
    </w:p>
    <w:p w:rsidR="009C1647" w:rsidRDefault="009C1647" w:rsidP="000654B2"/>
    <w:p w:rsidR="00281799" w:rsidRDefault="00CD3783" w:rsidP="000B6C34">
      <w:r>
        <w:t xml:space="preserve">Active citizens are </w:t>
      </w:r>
      <w:r w:rsidRPr="00590BED">
        <w:t>essential for development.</w:t>
      </w:r>
      <w:r w:rsidR="00C116FF">
        <w:t xml:space="preserve"> </w:t>
      </w:r>
      <w:r w:rsidR="00281799">
        <w:t>T</w:t>
      </w:r>
      <w:r>
        <w:t xml:space="preserve">hey </w:t>
      </w:r>
      <w:r w:rsidR="009C0C73">
        <w:t xml:space="preserve">hold governments and others </w:t>
      </w:r>
      <w:r w:rsidRPr="00590BED">
        <w:t>to account</w:t>
      </w:r>
      <w:r>
        <w:t xml:space="preserve">. They strengthen </w:t>
      </w:r>
      <w:r w:rsidRPr="00590BED">
        <w:t>national and local democracy</w:t>
      </w:r>
      <w:r>
        <w:t xml:space="preserve">; </w:t>
      </w:r>
      <w:r w:rsidRPr="00590BED">
        <w:t xml:space="preserve">support </w:t>
      </w:r>
      <w:r>
        <w:t xml:space="preserve">people </w:t>
      </w:r>
      <w:r w:rsidRPr="00590BED">
        <w:t>to claim their rights</w:t>
      </w:r>
      <w:r>
        <w:t xml:space="preserve">; provide vital services </w:t>
      </w:r>
      <w:r w:rsidR="00281799">
        <w:t xml:space="preserve">and support, </w:t>
      </w:r>
      <w:r>
        <w:t xml:space="preserve">including </w:t>
      </w:r>
      <w:r w:rsidRPr="00590BED">
        <w:t xml:space="preserve">in fragile and conflict affected </w:t>
      </w:r>
      <w:r>
        <w:t xml:space="preserve">areas; and they advocate and campaign on issues </w:t>
      </w:r>
      <w:r w:rsidR="00AA7103">
        <w:t>such as</w:t>
      </w:r>
      <w:r>
        <w:t xml:space="preserve"> poverty and justice</w:t>
      </w:r>
      <w:r w:rsidRPr="00590BED">
        <w:t>.</w:t>
      </w:r>
      <w:r w:rsidR="00786E49">
        <w:t xml:space="preserve"> </w:t>
      </w:r>
      <w:r w:rsidR="00395660">
        <w:t xml:space="preserve">Strong, diverse and vibrant civil society groups are indispensable for enabling </w:t>
      </w:r>
      <w:r w:rsidR="009C0C73">
        <w:t xml:space="preserve">citizens to contribute </w:t>
      </w:r>
      <w:r w:rsidR="00313ED2">
        <w:t xml:space="preserve">effectively </w:t>
      </w:r>
      <w:r w:rsidR="00094D72">
        <w:t xml:space="preserve">to </w:t>
      </w:r>
      <w:r w:rsidR="00313ED2">
        <w:t>issues that affect their lives</w:t>
      </w:r>
      <w:r w:rsidR="00786E49">
        <w:t>.</w:t>
      </w:r>
      <w:r w:rsidR="002C11BE">
        <w:rPr>
          <w:rStyle w:val="FootnoteReference"/>
        </w:rPr>
        <w:footnoteReference w:id="2"/>
      </w:r>
      <w:r w:rsidR="00786E49">
        <w:t xml:space="preserve"> </w:t>
      </w:r>
    </w:p>
    <w:p w:rsidR="00281799" w:rsidRDefault="00281799" w:rsidP="000B6C34"/>
    <w:p w:rsidR="00AA7103" w:rsidRDefault="00281799" w:rsidP="000B6C34">
      <w:pPr>
        <w:rPr>
          <w:rFonts w:cs="Arial"/>
        </w:rPr>
      </w:pPr>
      <w:r>
        <w:t xml:space="preserve">Despite </w:t>
      </w:r>
      <w:r w:rsidR="00395660">
        <w:t xml:space="preserve">considerable </w:t>
      </w:r>
      <w:r w:rsidR="00351ECC">
        <w:t xml:space="preserve">international </w:t>
      </w:r>
      <w:r w:rsidR="00786E49">
        <w:t xml:space="preserve">evidence </w:t>
      </w:r>
      <w:r w:rsidR="00395660">
        <w:t xml:space="preserve">showing </w:t>
      </w:r>
      <w:r w:rsidR="00786E49">
        <w:t xml:space="preserve">the importance of </w:t>
      </w:r>
      <w:r w:rsidR="00351ECC">
        <w:t xml:space="preserve">robust civil society in </w:t>
      </w:r>
      <w:r w:rsidR="00AA7103">
        <w:t xml:space="preserve">improving </w:t>
      </w:r>
      <w:proofErr w:type="spellStart"/>
      <w:r w:rsidR="00AA7103">
        <w:t>peoples</w:t>
      </w:r>
      <w:proofErr w:type="spellEnd"/>
      <w:r w:rsidR="00AA7103">
        <w:t xml:space="preserve"> lives and </w:t>
      </w:r>
      <w:r w:rsidR="00351ECC">
        <w:t>shaping development outcomes</w:t>
      </w:r>
      <w:r w:rsidR="00D8462C">
        <w:rPr>
          <w:rStyle w:val="FootnoteReference"/>
        </w:rPr>
        <w:footnoteReference w:id="3"/>
      </w:r>
      <w:r>
        <w:t xml:space="preserve">, </w:t>
      </w:r>
      <w:r w:rsidR="005C28AA">
        <w:t>t</w:t>
      </w:r>
      <w:r w:rsidR="00351ECC">
        <w:t>he I</w:t>
      </w:r>
      <w:r>
        <w:t xml:space="preserve">nternational </w:t>
      </w:r>
      <w:r w:rsidR="00351ECC">
        <w:t>C</w:t>
      </w:r>
      <w:r>
        <w:t xml:space="preserve">entre for </w:t>
      </w:r>
      <w:r w:rsidR="00351ECC">
        <w:t>N</w:t>
      </w:r>
      <w:r>
        <w:t xml:space="preserve">ot for Profit </w:t>
      </w:r>
      <w:r w:rsidR="00351ECC">
        <w:t>L</w:t>
      </w:r>
      <w:r>
        <w:t>aw (</w:t>
      </w:r>
      <w:proofErr w:type="spellStart"/>
      <w:r>
        <w:t>ICNL</w:t>
      </w:r>
      <w:proofErr w:type="spellEnd"/>
      <w:r>
        <w:t>)</w:t>
      </w:r>
      <w:r w:rsidR="00351ECC">
        <w:t xml:space="preserve"> </w:t>
      </w:r>
      <w:r>
        <w:t>note</w:t>
      </w:r>
      <w:r w:rsidR="00AA7103">
        <w:t>s</w:t>
      </w:r>
      <w:r>
        <w:t xml:space="preserve"> that</w:t>
      </w:r>
      <w:r w:rsidR="00B620C1">
        <w:t xml:space="preserve"> </w:t>
      </w:r>
      <w:r w:rsidR="005C28AA" w:rsidRPr="00F16A46">
        <w:rPr>
          <w:rFonts w:cs="Arial"/>
        </w:rPr>
        <w:t>“</w:t>
      </w:r>
      <w:proofErr w:type="gramStart"/>
      <w:r w:rsidR="005C28AA" w:rsidRPr="00F16A46">
        <w:rPr>
          <w:rFonts w:cs="Arial"/>
        </w:rPr>
        <w:t>..</w:t>
      </w:r>
      <w:proofErr w:type="gramEnd"/>
      <w:r w:rsidR="005C28AA" w:rsidRPr="00F16A46">
        <w:rPr>
          <w:rFonts w:cs="Arial"/>
        </w:rPr>
        <w:t xml:space="preserve"> </w:t>
      </w:r>
      <w:proofErr w:type="gramStart"/>
      <w:r w:rsidR="005C28AA" w:rsidRPr="00F16A46">
        <w:rPr>
          <w:rFonts w:cs="Arial"/>
        </w:rPr>
        <w:t>between</w:t>
      </w:r>
      <w:proofErr w:type="gramEnd"/>
      <w:r w:rsidR="005C28AA" w:rsidRPr="00F16A46">
        <w:rPr>
          <w:rFonts w:cs="Arial"/>
        </w:rPr>
        <w:t xml:space="preserve"> 2005 and 2010, over 50 countries considered or enacted restrictive measures constraining civil society."</w:t>
      </w:r>
      <w:r w:rsidR="008A4662">
        <w:rPr>
          <w:rStyle w:val="FootnoteReference"/>
          <w:rFonts w:cs="Arial"/>
        </w:rPr>
        <w:footnoteReference w:id="4"/>
      </w:r>
      <w:r w:rsidR="005C28AA" w:rsidRPr="00F16A46">
        <w:rPr>
          <w:rFonts w:cs="Arial"/>
        </w:rPr>
        <w:t xml:space="preserve"> </w:t>
      </w:r>
    </w:p>
    <w:p w:rsidR="00AA7103" w:rsidRDefault="00AA7103" w:rsidP="000B6C34">
      <w:pPr>
        <w:rPr>
          <w:rFonts w:cs="Arial"/>
        </w:rPr>
      </w:pPr>
    </w:p>
    <w:p w:rsidR="000B6C34" w:rsidRDefault="00AA7103" w:rsidP="000B6C34">
      <w:r>
        <w:rPr>
          <w:rFonts w:cs="Arial"/>
        </w:rPr>
        <w:t>So h</w:t>
      </w:r>
      <w:r w:rsidR="005C28AA" w:rsidRPr="00F16A46">
        <w:rPr>
          <w:rFonts w:cs="Arial"/>
        </w:rPr>
        <w:t xml:space="preserve">ow can </w:t>
      </w:r>
      <w:r w:rsidR="002C0335" w:rsidRPr="00F16A46">
        <w:rPr>
          <w:rFonts w:cs="Arial"/>
        </w:rPr>
        <w:t>development agencies</w:t>
      </w:r>
      <w:r w:rsidR="005C28AA" w:rsidRPr="00F16A46">
        <w:rPr>
          <w:rFonts w:cs="Arial"/>
        </w:rPr>
        <w:t xml:space="preserve"> protect the space for civil society</w:t>
      </w:r>
      <w:r w:rsidR="00395660">
        <w:rPr>
          <w:rFonts w:cs="Arial"/>
        </w:rPr>
        <w:t xml:space="preserve">? </w:t>
      </w:r>
      <w:r w:rsidR="000B6C34">
        <w:rPr>
          <w:rFonts w:cs="Arial"/>
        </w:rPr>
        <w:t xml:space="preserve">In particular, how can </w:t>
      </w:r>
      <w:r w:rsidR="00B620C1">
        <w:rPr>
          <w:rFonts w:cs="Arial"/>
        </w:rPr>
        <w:t xml:space="preserve">official development </w:t>
      </w:r>
      <w:r w:rsidR="000B6C34">
        <w:rPr>
          <w:rFonts w:cs="Arial"/>
        </w:rPr>
        <w:t>agencies</w:t>
      </w:r>
      <w:r w:rsidR="00B620C1">
        <w:rPr>
          <w:rFonts w:cs="Arial"/>
        </w:rPr>
        <w:t>,</w:t>
      </w:r>
      <w:r w:rsidR="000B6C34">
        <w:rPr>
          <w:rFonts w:cs="Arial"/>
        </w:rPr>
        <w:t xml:space="preserve"> like </w:t>
      </w:r>
      <w:r w:rsidR="002C0335">
        <w:t>the Department for International Development (DFID)</w:t>
      </w:r>
      <w:r w:rsidR="00B620C1">
        <w:t>,</w:t>
      </w:r>
      <w:r w:rsidR="00395660">
        <w:t xml:space="preserve"> </w:t>
      </w:r>
      <w:r w:rsidR="000B6C34">
        <w:t>contribute to this?</w:t>
      </w:r>
      <w:r w:rsidR="00B620C1">
        <w:t xml:space="preserve"> This article provides a brief </w:t>
      </w:r>
      <w:r w:rsidR="00173E85">
        <w:t xml:space="preserve">snapshot </w:t>
      </w:r>
      <w:r w:rsidR="00B620C1">
        <w:t xml:space="preserve">of </w:t>
      </w:r>
      <w:r w:rsidR="00173E85">
        <w:t xml:space="preserve">some of </w:t>
      </w:r>
      <w:proofErr w:type="spellStart"/>
      <w:r w:rsidR="00B620C1">
        <w:t>DFID’s</w:t>
      </w:r>
      <w:proofErr w:type="spellEnd"/>
      <w:r w:rsidR="00B620C1">
        <w:t xml:space="preserve"> work on this issue.</w:t>
      </w:r>
    </w:p>
    <w:p w:rsidR="00395660" w:rsidRDefault="00395660" w:rsidP="000654B2">
      <w:pPr>
        <w:rPr>
          <w:color w:val="000000"/>
        </w:rPr>
      </w:pPr>
    </w:p>
    <w:p w:rsidR="00B620C1" w:rsidRDefault="00B620C1" w:rsidP="000654B2">
      <w:pPr>
        <w:rPr>
          <w:b/>
          <w:color w:val="000000"/>
        </w:rPr>
      </w:pPr>
      <w:r w:rsidRPr="00B620C1">
        <w:rPr>
          <w:b/>
          <w:color w:val="000000"/>
        </w:rPr>
        <w:t>Background</w:t>
      </w:r>
    </w:p>
    <w:p w:rsidR="00C116FF" w:rsidRPr="00B620C1" w:rsidRDefault="00C116FF" w:rsidP="000654B2">
      <w:pPr>
        <w:rPr>
          <w:b/>
          <w:color w:val="000000"/>
        </w:rPr>
      </w:pPr>
    </w:p>
    <w:p w:rsidR="00CE74D5" w:rsidRDefault="00D70711" w:rsidP="00D70711">
      <w:r w:rsidRPr="002F4241">
        <w:t xml:space="preserve">In 2009 </w:t>
      </w:r>
      <w:r w:rsidR="00B620C1">
        <w:t xml:space="preserve">DFID reviewed </w:t>
      </w:r>
      <w:r w:rsidR="000340E3">
        <w:t xml:space="preserve">its funding </w:t>
      </w:r>
      <w:r w:rsidR="00B620C1">
        <w:t xml:space="preserve">to </w:t>
      </w:r>
      <w:r w:rsidR="000340E3">
        <w:t>civil soci</w:t>
      </w:r>
      <w:r w:rsidR="00B620C1">
        <w:t>e</w:t>
      </w:r>
      <w:r w:rsidR="000340E3">
        <w:t>ty worldwide</w:t>
      </w:r>
      <w:r w:rsidR="003418D7">
        <w:rPr>
          <w:rStyle w:val="FootnoteReference"/>
        </w:rPr>
        <w:footnoteReference w:id="5"/>
      </w:r>
      <w:r w:rsidR="000340E3">
        <w:t>.</w:t>
      </w:r>
      <w:r w:rsidR="003418D7">
        <w:t xml:space="preserve"> </w:t>
      </w:r>
      <w:r w:rsidR="000340E3">
        <w:t>The review found, perhaps</w:t>
      </w:r>
      <w:r w:rsidRPr="002F4241">
        <w:t xml:space="preserve"> </w:t>
      </w:r>
      <w:r w:rsidR="00FB757E">
        <w:t>unsurprisingly,</w:t>
      </w:r>
      <w:r w:rsidR="00CE74D5">
        <w:t xml:space="preserve"> </w:t>
      </w:r>
      <w:r>
        <w:t xml:space="preserve">that </w:t>
      </w:r>
      <w:r w:rsidR="00CE74D5">
        <w:t xml:space="preserve">most </w:t>
      </w:r>
      <w:r>
        <w:t xml:space="preserve">of </w:t>
      </w:r>
      <w:proofErr w:type="spellStart"/>
      <w:r>
        <w:t>DFID</w:t>
      </w:r>
      <w:r w:rsidR="00CE74D5">
        <w:t>’s</w:t>
      </w:r>
      <w:proofErr w:type="spellEnd"/>
      <w:r w:rsidR="00CE74D5">
        <w:t xml:space="preserve"> </w:t>
      </w:r>
      <w:r w:rsidR="00FB757E">
        <w:t xml:space="preserve">funding </w:t>
      </w:r>
      <w:r w:rsidR="00CE74D5">
        <w:t xml:space="preserve">to </w:t>
      </w:r>
      <w:r>
        <w:t xml:space="preserve">civil society organisations </w:t>
      </w:r>
      <w:r w:rsidR="00CE74D5">
        <w:t>(</w:t>
      </w:r>
      <w:proofErr w:type="spellStart"/>
      <w:r w:rsidR="00CE74D5">
        <w:t>CSOs</w:t>
      </w:r>
      <w:proofErr w:type="spellEnd"/>
      <w:r w:rsidR="00CE74D5">
        <w:t xml:space="preserve">) </w:t>
      </w:r>
      <w:r w:rsidR="00FB757E">
        <w:t xml:space="preserve">aimed </w:t>
      </w:r>
      <w:r w:rsidR="00817271">
        <w:t xml:space="preserve">to </w:t>
      </w:r>
      <w:r w:rsidR="00FB757E">
        <w:t>achieve</w:t>
      </w:r>
      <w:r w:rsidR="00817271">
        <w:t xml:space="preserve"> three </w:t>
      </w:r>
      <w:r w:rsidR="00DC0E2A">
        <w:t xml:space="preserve">broad </w:t>
      </w:r>
      <w:r w:rsidR="00817271">
        <w:t>objectives</w:t>
      </w:r>
      <w:r w:rsidR="00CE74D5">
        <w:t>:</w:t>
      </w:r>
    </w:p>
    <w:p w:rsidR="00CE74D5" w:rsidRDefault="00CE74D5" w:rsidP="00D70711"/>
    <w:p w:rsidR="00CE74D5" w:rsidRDefault="00CE74D5" w:rsidP="00CE74D5">
      <w:pPr>
        <w:pStyle w:val="ListParagraph"/>
        <w:numPr>
          <w:ilvl w:val="0"/>
          <w:numId w:val="6"/>
        </w:numPr>
      </w:pPr>
      <w:r>
        <w:t>Delivering goods and services to poor people</w:t>
      </w:r>
      <w:r w:rsidR="00D312CB">
        <w:t xml:space="preserve"> especially </w:t>
      </w:r>
      <w:r>
        <w:t>in fragile or conflict affected countries;</w:t>
      </w:r>
    </w:p>
    <w:p w:rsidR="00CE74D5" w:rsidRPr="00CE74D5" w:rsidRDefault="00CE74D5" w:rsidP="00CE74D5">
      <w:pPr>
        <w:pStyle w:val="ListParagraph"/>
        <w:numPr>
          <w:ilvl w:val="0"/>
          <w:numId w:val="6"/>
        </w:numPr>
      </w:pPr>
      <w:r>
        <w:rPr>
          <w:rFonts w:eastAsiaTheme="minorEastAsia" w:cstheme="minorBidi"/>
          <w:color w:val="000000" w:themeColor="text1"/>
          <w:kern w:val="24"/>
        </w:rPr>
        <w:t>H</w:t>
      </w:r>
      <w:r w:rsidRPr="00CE74D5">
        <w:rPr>
          <w:rFonts w:eastAsiaTheme="minorEastAsia" w:cstheme="minorBidi"/>
          <w:color w:val="000000" w:themeColor="text1"/>
          <w:kern w:val="24"/>
        </w:rPr>
        <w:t>olding to account national, regional and international institutions</w:t>
      </w:r>
      <w:r>
        <w:rPr>
          <w:rFonts w:eastAsiaTheme="minorEastAsia" w:cstheme="minorBidi"/>
          <w:color w:val="000000" w:themeColor="text1"/>
          <w:kern w:val="24"/>
        </w:rPr>
        <w:t xml:space="preserve"> with  responsibilities for assisting poor people;</w:t>
      </w:r>
    </w:p>
    <w:p w:rsidR="00CE74D5" w:rsidRPr="00CE74D5" w:rsidRDefault="00CE74D5" w:rsidP="00CE74D5">
      <w:pPr>
        <w:pStyle w:val="ListParagraph"/>
        <w:numPr>
          <w:ilvl w:val="0"/>
          <w:numId w:val="6"/>
        </w:numPr>
      </w:pPr>
      <w:r>
        <w:rPr>
          <w:rFonts w:eastAsiaTheme="minorEastAsia" w:cstheme="minorBidi"/>
          <w:color w:val="000000" w:themeColor="text1"/>
          <w:kern w:val="24"/>
        </w:rPr>
        <w:t>UK citizens to contribute to international development.</w:t>
      </w:r>
      <w:r w:rsidR="00F82FF5">
        <w:rPr>
          <w:rFonts w:eastAsiaTheme="minorEastAsia" w:cstheme="minorBidi"/>
          <w:color w:val="000000" w:themeColor="text1"/>
          <w:kern w:val="24"/>
        </w:rPr>
        <w:t xml:space="preserve"> </w:t>
      </w:r>
    </w:p>
    <w:p w:rsidR="00817271" w:rsidRDefault="00F82FF5" w:rsidP="00817271">
      <w:pPr>
        <w:rPr>
          <w:rFonts w:eastAsiaTheme="minorEastAsia" w:cstheme="minorBidi"/>
          <w:color w:val="000000" w:themeColor="text1"/>
          <w:kern w:val="24"/>
        </w:rPr>
      </w:pPr>
      <w:r>
        <w:rPr>
          <w:rFonts w:eastAsiaTheme="minorEastAsia" w:cstheme="minorBidi"/>
          <w:color w:val="000000" w:themeColor="text1"/>
          <w:kern w:val="24"/>
        </w:rPr>
        <w:lastRenderedPageBreak/>
        <w:t xml:space="preserve"> </w:t>
      </w:r>
    </w:p>
    <w:p w:rsidR="00BC2D17" w:rsidRDefault="00FB757E" w:rsidP="00BC2D17">
      <w:r>
        <w:t xml:space="preserve">The review </w:t>
      </w:r>
      <w:r w:rsidR="00B620C1">
        <w:t>noted</w:t>
      </w:r>
      <w:r w:rsidR="00F82FF5">
        <w:t xml:space="preserve"> that </w:t>
      </w:r>
      <w:r w:rsidR="006B71E7">
        <w:t xml:space="preserve">although </w:t>
      </w:r>
      <w:r w:rsidR="00F82FF5">
        <w:t xml:space="preserve">much could be achieved by focusing on </w:t>
      </w:r>
      <w:r w:rsidR="000D5E8F">
        <w:t>th</w:t>
      </w:r>
      <w:r w:rsidR="006B71E7">
        <w:t>e</w:t>
      </w:r>
      <w:r w:rsidR="00B02601">
        <w:t xml:space="preserve"> t</w:t>
      </w:r>
      <w:r w:rsidR="00F82FF5">
        <w:t>hree objectives,</w:t>
      </w:r>
      <w:r w:rsidR="00BC2D17">
        <w:t xml:space="preserve"> there were two </w:t>
      </w:r>
      <w:r w:rsidR="00370EE5">
        <w:t xml:space="preserve">specific </w:t>
      </w:r>
      <w:r w:rsidR="00BC2D17">
        <w:t xml:space="preserve">factors that prevented the achievement of </w:t>
      </w:r>
      <w:r w:rsidR="00F82FF5">
        <w:t>better</w:t>
      </w:r>
      <w:r w:rsidR="00613EFF">
        <w:t xml:space="preserve"> outcomes for poor people</w:t>
      </w:r>
      <w:r w:rsidR="00AA7103">
        <w:t xml:space="preserve"> in many countries</w:t>
      </w:r>
      <w:r w:rsidR="00613EFF">
        <w:t xml:space="preserve">. </w:t>
      </w:r>
    </w:p>
    <w:p w:rsidR="00BC2D17" w:rsidRDefault="00BC2D17" w:rsidP="00BC2D17"/>
    <w:p w:rsidR="00B6767C" w:rsidRDefault="00613EFF" w:rsidP="00A62FAE">
      <w:r>
        <w:t xml:space="preserve">The first was </w:t>
      </w:r>
      <w:r w:rsidR="00BC2D17">
        <w:t xml:space="preserve">where </w:t>
      </w:r>
      <w:r w:rsidR="00277F65">
        <w:t xml:space="preserve">governments </w:t>
      </w:r>
      <w:r w:rsidR="00661E2C">
        <w:t xml:space="preserve">were </w:t>
      </w:r>
      <w:r w:rsidR="00277F65">
        <w:t xml:space="preserve">introducing regulations </w:t>
      </w:r>
      <w:r w:rsidR="00B6767C">
        <w:t xml:space="preserve">and practices </w:t>
      </w:r>
      <w:r w:rsidR="00277F65">
        <w:t>that would severely constrain</w:t>
      </w:r>
      <w:r w:rsidR="00116CBE">
        <w:t xml:space="preserve"> </w:t>
      </w:r>
      <w:r w:rsidR="00277F65">
        <w:t xml:space="preserve">the activities of </w:t>
      </w:r>
      <w:r w:rsidR="00CC460D">
        <w:t xml:space="preserve">national and international </w:t>
      </w:r>
      <w:proofErr w:type="spellStart"/>
      <w:r w:rsidR="00277F65">
        <w:t>CSOs</w:t>
      </w:r>
      <w:proofErr w:type="spellEnd"/>
      <w:r w:rsidR="00277F65">
        <w:t>.</w:t>
      </w:r>
      <w:r w:rsidR="00AA7103">
        <w:t xml:space="preserve"> </w:t>
      </w:r>
      <w:r w:rsidR="00B6767C">
        <w:t xml:space="preserve">This acted a barrier to </w:t>
      </w:r>
      <w:r w:rsidR="00AA7103">
        <w:t xml:space="preserve">the scope and </w:t>
      </w:r>
      <w:r w:rsidR="00B6767C">
        <w:t>scale of civil society work.</w:t>
      </w:r>
      <w:r w:rsidR="00AA7103">
        <w:t xml:space="preserve"> </w:t>
      </w:r>
    </w:p>
    <w:p w:rsidR="00B6767C" w:rsidRDefault="00B6767C" w:rsidP="00A62FAE"/>
    <w:p w:rsidR="00AF40D0" w:rsidRDefault="00277F65" w:rsidP="00A62FAE">
      <w:r>
        <w:t>Whilst some degre</w:t>
      </w:r>
      <w:r w:rsidR="00A62FAE">
        <w:t xml:space="preserve">e of regulation </w:t>
      </w:r>
      <w:r w:rsidR="00B6767C">
        <w:t xml:space="preserve">was </w:t>
      </w:r>
      <w:r w:rsidR="00374635">
        <w:t xml:space="preserve">required and could </w:t>
      </w:r>
      <w:r w:rsidR="000E4F19">
        <w:t xml:space="preserve">be </w:t>
      </w:r>
      <w:r w:rsidR="00A62FAE">
        <w:t>justified</w:t>
      </w:r>
      <w:r w:rsidR="00B6767C">
        <w:t xml:space="preserve"> -</w:t>
      </w:r>
      <w:r w:rsidR="00A62FAE">
        <w:t xml:space="preserve"> for example </w:t>
      </w:r>
      <w:r w:rsidR="00E646B3">
        <w:t xml:space="preserve">ensuring that </w:t>
      </w:r>
      <w:r w:rsidR="00EE1643">
        <w:t xml:space="preserve">international and national </w:t>
      </w:r>
      <w:proofErr w:type="spellStart"/>
      <w:r w:rsidR="00656D1F">
        <w:t>CSOs</w:t>
      </w:r>
      <w:proofErr w:type="spellEnd"/>
      <w:r w:rsidR="00656D1F">
        <w:t xml:space="preserve"> </w:t>
      </w:r>
      <w:r w:rsidR="00E646B3">
        <w:t xml:space="preserve">operating in a country </w:t>
      </w:r>
      <w:r w:rsidR="00EE1643">
        <w:t xml:space="preserve">are </w:t>
      </w:r>
      <w:r w:rsidR="00116CBE">
        <w:t xml:space="preserve">properly </w:t>
      </w:r>
      <w:r w:rsidR="00E646B3">
        <w:t xml:space="preserve">registered and </w:t>
      </w:r>
      <w:r w:rsidR="00116CBE">
        <w:t>constituted</w:t>
      </w:r>
      <w:r w:rsidR="006A3347">
        <w:t>, transparent</w:t>
      </w:r>
      <w:r w:rsidR="00116CBE">
        <w:t xml:space="preserve"> </w:t>
      </w:r>
      <w:r w:rsidR="006A3347">
        <w:t xml:space="preserve">about their work, </w:t>
      </w:r>
      <w:r w:rsidR="00116CBE">
        <w:t>and compl</w:t>
      </w:r>
      <w:r w:rsidR="00EE1643">
        <w:t>y</w:t>
      </w:r>
      <w:r w:rsidR="00116CBE">
        <w:t xml:space="preserve"> </w:t>
      </w:r>
      <w:r w:rsidR="00E646B3">
        <w:t>with employment, tax and other requirements</w:t>
      </w:r>
      <w:r w:rsidR="000E4F19">
        <w:t xml:space="preserve"> -</w:t>
      </w:r>
      <w:r w:rsidR="00A62FAE">
        <w:t xml:space="preserve"> it </w:t>
      </w:r>
      <w:r w:rsidR="00EE1643">
        <w:t>was</w:t>
      </w:r>
      <w:r w:rsidR="00E646B3">
        <w:t xml:space="preserve"> </w:t>
      </w:r>
      <w:r w:rsidR="00A62FAE">
        <w:t xml:space="preserve">clear that in </w:t>
      </w:r>
      <w:r w:rsidR="00BC2D17">
        <w:t>many instances</w:t>
      </w:r>
      <w:r w:rsidR="00E646B3">
        <w:t xml:space="preserve">, </w:t>
      </w:r>
      <w:r w:rsidR="00A62FAE">
        <w:t xml:space="preserve">governments </w:t>
      </w:r>
      <w:r w:rsidR="00116CBE">
        <w:t>appeared to be</w:t>
      </w:r>
      <w:r w:rsidR="00A62FAE">
        <w:t xml:space="preserve"> </w:t>
      </w:r>
      <w:r>
        <w:t>seeking to</w:t>
      </w:r>
      <w:r w:rsidR="00E646B3">
        <w:t xml:space="preserve"> </w:t>
      </w:r>
      <w:r w:rsidR="00B6767C">
        <w:t xml:space="preserve">exert much more direct </w:t>
      </w:r>
      <w:r w:rsidR="00E646B3">
        <w:t>control</w:t>
      </w:r>
      <w:r w:rsidR="000E4F19">
        <w:t xml:space="preserve"> </w:t>
      </w:r>
      <w:r w:rsidR="00B6767C">
        <w:t xml:space="preserve">on the work of </w:t>
      </w:r>
      <w:r w:rsidR="00EE1643">
        <w:t>civil society</w:t>
      </w:r>
      <w:r w:rsidR="00B6767C">
        <w:t xml:space="preserve"> groups</w:t>
      </w:r>
      <w:r w:rsidR="006A3347">
        <w:t xml:space="preserve">. This included </w:t>
      </w:r>
      <w:r w:rsidR="00EE1643">
        <w:t xml:space="preserve">by </w:t>
      </w:r>
      <w:r w:rsidR="00A616D6">
        <w:t xml:space="preserve">limiting or </w:t>
      </w:r>
      <w:r w:rsidR="00CC460D">
        <w:t xml:space="preserve">constraining </w:t>
      </w:r>
      <w:r w:rsidR="00EE1643">
        <w:t xml:space="preserve">certain </w:t>
      </w:r>
      <w:r w:rsidR="00CC460D">
        <w:t>activities</w:t>
      </w:r>
      <w:r w:rsidR="006A3347">
        <w:t xml:space="preserve"> such as advocacy and human rights work, introducing new reporting </w:t>
      </w:r>
      <w:r w:rsidR="00CE51A5">
        <w:t>require</w:t>
      </w:r>
      <w:r w:rsidR="00EE0C77">
        <w:t>ments</w:t>
      </w:r>
      <w:r w:rsidR="00EE1643">
        <w:t xml:space="preserve">, </w:t>
      </w:r>
      <w:r w:rsidR="006A3347">
        <w:t xml:space="preserve">restraining work in some </w:t>
      </w:r>
      <w:r w:rsidR="00CC460D">
        <w:t>geographical location</w:t>
      </w:r>
      <w:r w:rsidR="006A3347">
        <w:t>s</w:t>
      </w:r>
      <w:r w:rsidR="00CC460D">
        <w:t xml:space="preserve"> and </w:t>
      </w:r>
      <w:r w:rsidR="006A3347">
        <w:t xml:space="preserve">with specific interest </w:t>
      </w:r>
      <w:r w:rsidR="00CC460D">
        <w:t>groups</w:t>
      </w:r>
      <w:r w:rsidR="00EE1643">
        <w:t xml:space="preserve"> and in some cases harassing staff and supporters of organisations</w:t>
      </w:r>
      <w:r w:rsidR="00CC460D">
        <w:t xml:space="preserve">. </w:t>
      </w:r>
      <w:r w:rsidR="00350BF2">
        <w:t xml:space="preserve"> </w:t>
      </w:r>
    </w:p>
    <w:p w:rsidR="00742872" w:rsidRDefault="00742872" w:rsidP="00A62FAE"/>
    <w:p w:rsidR="00CC460D" w:rsidRDefault="00D04F4F" w:rsidP="00D04F4F">
      <w:r>
        <w:t xml:space="preserve">For DFID, it </w:t>
      </w:r>
      <w:r w:rsidR="00A616D6">
        <w:t xml:space="preserve">was </w:t>
      </w:r>
      <w:r>
        <w:t>clear that the issue of legitimate space for civil socie</w:t>
      </w:r>
      <w:r w:rsidR="006B71E7">
        <w:t>ty</w:t>
      </w:r>
      <w:r>
        <w:t xml:space="preserve">, </w:t>
      </w:r>
      <w:r w:rsidR="00BC2D17">
        <w:t>needed to</w:t>
      </w:r>
      <w:r>
        <w:t xml:space="preserve"> be part of the regular dialogue between development partners and national governments. The findings of the review showed that whilst DFID and other donors had at times raised such issues with host governments</w:t>
      </w:r>
      <w:r w:rsidR="00424ED8">
        <w:t xml:space="preserve"> in the past</w:t>
      </w:r>
      <w:r>
        <w:t xml:space="preserve">, this had not been a consistent feature in our discussions. The review noted that the issue of ‘democratic space, including space for civil society’ was also of </w:t>
      </w:r>
      <w:r w:rsidR="00B6767C">
        <w:t xml:space="preserve">concern </w:t>
      </w:r>
      <w:r>
        <w:t xml:space="preserve">to </w:t>
      </w:r>
      <w:r w:rsidR="00B6767C">
        <w:t xml:space="preserve">diplomats </w:t>
      </w:r>
      <w:r>
        <w:t xml:space="preserve">who were </w:t>
      </w:r>
      <w:r w:rsidR="006B71E7">
        <w:t>sometimes</w:t>
      </w:r>
      <w:r>
        <w:t xml:space="preserve"> better placed to raise such issues </w:t>
      </w:r>
      <w:r w:rsidR="00C006DB">
        <w:t>through diplomacy with</w:t>
      </w:r>
      <w:r>
        <w:t xml:space="preserve"> counterparts.</w:t>
      </w:r>
    </w:p>
    <w:p w:rsidR="00D04F4F" w:rsidRDefault="00D04F4F" w:rsidP="00A62FAE"/>
    <w:p w:rsidR="000F46D1" w:rsidRDefault="00BC2D17" w:rsidP="00A616D6">
      <w:r>
        <w:t xml:space="preserve">The review recognised </w:t>
      </w:r>
      <w:r w:rsidR="00A616D6">
        <w:t xml:space="preserve">that </w:t>
      </w:r>
      <w:r>
        <w:t xml:space="preserve">protecting civil society space by itself would not </w:t>
      </w:r>
      <w:r w:rsidR="00374635">
        <w:t xml:space="preserve">by itself </w:t>
      </w:r>
      <w:r>
        <w:t xml:space="preserve">necessarily </w:t>
      </w:r>
      <w:r w:rsidR="00374635">
        <w:t>result in improved lead</w:t>
      </w:r>
      <w:r>
        <w:t xml:space="preserve"> outcomes for poor people. For this to be achieved, DFID also needed to put </w:t>
      </w:r>
      <w:r w:rsidR="00370EE5">
        <w:t xml:space="preserve">more </w:t>
      </w:r>
      <w:r>
        <w:t xml:space="preserve">emphasis </w:t>
      </w:r>
      <w:r w:rsidR="000F46D1">
        <w:t xml:space="preserve">in its work </w:t>
      </w:r>
      <w:r>
        <w:t>on genuinely enabling</w:t>
      </w:r>
      <w:r w:rsidR="00A616D6">
        <w:t xml:space="preserve"> </w:t>
      </w:r>
      <w:r w:rsidR="00A616D6" w:rsidRPr="002C0335">
        <w:t xml:space="preserve">citizens </w:t>
      </w:r>
      <w:r w:rsidR="00A616D6">
        <w:t>to do things for themselves.</w:t>
      </w:r>
      <w:r w:rsidR="00374635">
        <w:rPr>
          <w:rStyle w:val="FootnoteReference"/>
        </w:rPr>
        <w:footnoteReference w:id="6"/>
      </w:r>
      <w:r w:rsidR="00374635">
        <w:t xml:space="preserve"> </w:t>
      </w:r>
      <w:r w:rsidR="00A616D6">
        <w:t xml:space="preserve"> </w:t>
      </w:r>
    </w:p>
    <w:p w:rsidR="000F46D1" w:rsidRDefault="000F46D1" w:rsidP="00A616D6"/>
    <w:p w:rsidR="000F46D1" w:rsidRDefault="00A616D6" w:rsidP="00A616D6">
      <w:r>
        <w:t xml:space="preserve">Although </w:t>
      </w:r>
      <w:r w:rsidR="000F46D1">
        <w:t xml:space="preserve">some </w:t>
      </w:r>
      <w:r>
        <w:t xml:space="preserve">DFID supported </w:t>
      </w:r>
      <w:proofErr w:type="spellStart"/>
      <w:r>
        <w:t>CSOs</w:t>
      </w:r>
      <w:proofErr w:type="spellEnd"/>
      <w:r>
        <w:t xml:space="preserve"> were able to provide information about specific groups of people </w:t>
      </w:r>
      <w:r w:rsidR="000F46D1">
        <w:t xml:space="preserve">that they </w:t>
      </w:r>
      <w:r w:rsidR="00374635">
        <w:t xml:space="preserve">were </w:t>
      </w:r>
      <w:r w:rsidR="000F46D1">
        <w:t xml:space="preserve">supporting to do things for themselves, </w:t>
      </w:r>
      <w:r>
        <w:t xml:space="preserve">it was difficult to find </w:t>
      </w:r>
      <w:r w:rsidR="000F46D1">
        <w:t>strong</w:t>
      </w:r>
      <w:r>
        <w:t xml:space="preserve"> evidence </w:t>
      </w:r>
      <w:r w:rsidR="000F46D1">
        <w:t xml:space="preserve">demonstrating </w:t>
      </w:r>
      <w:r>
        <w:t xml:space="preserve">that </w:t>
      </w:r>
      <w:proofErr w:type="spellStart"/>
      <w:r w:rsidR="000F46D1">
        <w:t>DFID’s</w:t>
      </w:r>
      <w:proofErr w:type="spellEnd"/>
      <w:r w:rsidR="000F46D1">
        <w:t xml:space="preserve"> w</w:t>
      </w:r>
      <w:r w:rsidR="00374635">
        <w:t xml:space="preserve">ork was </w:t>
      </w:r>
      <w:r w:rsidR="000F46D1">
        <w:t xml:space="preserve">enabling  people </w:t>
      </w:r>
      <w:r w:rsidR="00374635">
        <w:t xml:space="preserve">and communities </w:t>
      </w:r>
      <w:r>
        <w:t xml:space="preserve">to </w:t>
      </w:r>
      <w:r w:rsidR="00374635">
        <w:t>gain</w:t>
      </w:r>
      <w:r w:rsidR="000F46D1">
        <w:t xml:space="preserve"> confiden</w:t>
      </w:r>
      <w:r w:rsidR="00374635">
        <w:t>ce and</w:t>
      </w:r>
      <w:r w:rsidR="000F46D1">
        <w:t xml:space="preserve"> take initiatives themselves that </w:t>
      </w:r>
      <w:r w:rsidR="00B10A78">
        <w:t xml:space="preserve">to </w:t>
      </w:r>
      <w:r w:rsidR="00374635">
        <w:t xml:space="preserve">improve </w:t>
      </w:r>
      <w:r w:rsidR="00B10A78">
        <w:t>their lives</w:t>
      </w:r>
      <w:r w:rsidR="000F46D1">
        <w:t xml:space="preserve">. </w:t>
      </w:r>
    </w:p>
    <w:p w:rsidR="000F46D1" w:rsidRDefault="000F46D1" w:rsidP="00A616D6"/>
    <w:p w:rsidR="00A616D6" w:rsidRDefault="009C1647" w:rsidP="00A62FAE">
      <w:pPr>
        <w:rPr>
          <w:b/>
        </w:rPr>
      </w:pPr>
      <w:r>
        <w:rPr>
          <w:b/>
        </w:rPr>
        <w:t xml:space="preserve">Progress </w:t>
      </w:r>
      <w:r w:rsidR="00CC47AB">
        <w:rPr>
          <w:b/>
        </w:rPr>
        <w:t>to date</w:t>
      </w:r>
    </w:p>
    <w:p w:rsidR="00C116FF" w:rsidRPr="00A616D6" w:rsidRDefault="00C116FF" w:rsidP="00A62FAE">
      <w:pPr>
        <w:rPr>
          <w:b/>
        </w:rPr>
      </w:pPr>
    </w:p>
    <w:p w:rsidR="00EC0552" w:rsidRDefault="00A616D6" w:rsidP="00A62FAE">
      <w:r>
        <w:t>In 2010 DFID</w:t>
      </w:r>
      <w:r w:rsidR="000F46D1">
        <w:t xml:space="preserve"> confirmed that </w:t>
      </w:r>
      <w:r>
        <w:t>the five broad objectives (mentioned above) for its work with civil society</w:t>
      </w:r>
      <w:r w:rsidR="000F46D1">
        <w:t xml:space="preserve"> globally</w:t>
      </w:r>
      <w:r w:rsidR="00EC0552">
        <w:t>.</w:t>
      </w:r>
      <w:r w:rsidR="00B10A78">
        <w:rPr>
          <w:rStyle w:val="FootnoteReference"/>
        </w:rPr>
        <w:footnoteReference w:id="7"/>
      </w:r>
      <w:r w:rsidR="00EC0552">
        <w:t xml:space="preserve"> </w:t>
      </w:r>
    </w:p>
    <w:p w:rsidR="00EC0552" w:rsidRDefault="00EC0552" w:rsidP="00A62FAE"/>
    <w:p w:rsidR="00932051" w:rsidRDefault="00EC0552" w:rsidP="00EC0552">
      <w:r>
        <w:lastRenderedPageBreak/>
        <w:t>To protect space for civil society</w:t>
      </w:r>
      <w:r w:rsidR="00B10A78">
        <w:t xml:space="preserve">, DFID officials agreed with colleagues from the </w:t>
      </w:r>
      <w:r w:rsidR="006A3347">
        <w:t>Foreign and Commonwealth Office and the Charity Commission</w:t>
      </w:r>
      <w:r w:rsidR="00B10A78">
        <w:t xml:space="preserve"> </w:t>
      </w:r>
      <w:r w:rsidR="00FD6178">
        <w:t xml:space="preserve">for </w:t>
      </w:r>
      <w:r w:rsidR="00B6767C">
        <w:t xml:space="preserve">England and Wales </w:t>
      </w:r>
      <w:r w:rsidR="00B10A78">
        <w:t>that the</w:t>
      </w:r>
      <w:r w:rsidR="00FD6178">
        <w:t xml:space="preserve">re was scope for the </w:t>
      </w:r>
      <w:r w:rsidR="00B10A78">
        <w:t xml:space="preserve">UK </w:t>
      </w:r>
      <w:r w:rsidR="00FD6178">
        <w:t xml:space="preserve">contribute more </w:t>
      </w:r>
      <w:r>
        <w:t>active</w:t>
      </w:r>
      <w:r w:rsidR="00FD6178">
        <w:t xml:space="preserve">ly in an established Donor </w:t>
      </w:r>
      <w:r w:rsidR="00424ED8">
        <w:t>“Working Group on Enabling and Protecting Civil Society’</w:t>
      </w:r>
      <w:r w:rsidR="00A55387">
        <w:t xml:space="preserve">. </w:t>
      </w:r>
      <w:r>
        <w:t xml:space="preserve">The Working Group consists of representatives from a variety of </w:t>
      </w:r>
      <w:r w:rsidR="00FD6178">
        <w:t xml:space="preserve">bilateral and multilateral </w:t>
      </w:r>
      <w:r>
        <w:t xml:space="preserve">donors. It is chaired by Canada and monitors developments likely to detrimentally affecting the work of </w:t>
      </w:r>
      <w:proofErr w:type="spellStart"/>
      <w:r>
        <w:t>CSOs</w:t>
      </w:r>
      <w:proofErr w:type="spellEnd"/>
      <w:r>
        <w:t>.</w:t>
      </w:r>
      <w:r w:rsidR="00FD6178">
        <w:rPr>
          <w:rStyle w:val="FootnoteReference"/>
        </w:rPr>
        <w:footnoteReference w:id="8"/>
      </w:r>
      <w:r>
        <w:t xml:space="preserve"> </w:t>
      </w:r>
    </w:p>
    <w:p w:rsidR="00932051" w:rsidRDefault="00932051" w:rsidP="00EC0552"/>
    <w:p w:rsidR="00A55387" w:rsidRDefault="00EC0552" w:rsidP="00A62FAE">
      <w:pPr>
        <w:rPr>
          <w:rFonts w:cs="Arial"/>
        </w:rPr>
      </w:pPr>
      <w:r>
        <w:t>The UK is represented on the Group by the Head of the Charity Commission’s International Programme, who keep</w:t>
      </w:r>
      <w:r w:rsidR="00CC47AB">
        <w:t xml:space="preserve"> the relevant</w:t>
      </w:r>
      <w:r>
        <w:t xml:space="preserve"> DFID and </w:t>
      </w:r>
      <w:proofErr w:type="spellStart"/>
      <w:r>
        <w:t>FCO</w:t>
      </w:r>
      <w:proofErr w:type="spellEnd"/>
      <w:r>
        <w:t xml:space="preserve"> </w:t>
      </w:r>
      <w:r w:rsidR="00CC47AB">
        <w:t xml:space="preserve">officials </w:t>
      </w:r>
      <w:r>
        <w:t xml:space="preserve">informed of developments. The Group issues regular ‘calls for action’ for development partners and diplomats to ensure that priority issues are raised in-country with the relevant authorities. </w:t>
      </w:r>
      <w:r w:rsidR="00B10A78">
        <w:t>This has meant that</w:t>
      </w:r>
      <w:r w:rsidR="00932051">
        <w:t xml:space="preserve"> </w:t>
      </w:r>
      <w:r w:rsidRPr="00CC47AB">
        <w:t xml:space="preserve">in </w:t>
      </w:r>
      <w:r w:rsidR="005D1F06" w:rsidRPr="00CC47AB">
        <w:rPr>
          <w:rFonts w:cs="Arial"/>
        </w:rPr>
        <w:t xml:space="preserve">countries where the space for legitimate civil society activities is </w:t>
      </w:r>
      <w:r w:rsidRPr="00CC47AB">
        <w:rPr>
          <w:rFonts w:cs="Arial"/>
        </w:rPr>
        <w:t xml:space="preserve">being, or likely to be, </w:t>
      </w:r>
      <w:r w:rsidR="005D1F06" w:rsidRPr="00CC47AB">
        <w:rPr>
          <w:rFonts w:cs="Arial"/>
        </w:rPr>
        <w:t xml:space="preserve">curtailed, the UK government </w:t>
      </w:r>
      <w:r w:rsidR="00CC47AB">
        <w:rPr>
          <w:rFonts w:cs="Arial"/>
        </w:rPr>
        <w:t xml:space="preserve">has been </w:t>
      </w:r>
      <w:r w:rsidR="00932051">
        <w:rPr>
          <w:rFonts w:cs="Arial"/>
        </w:rPr>
        <w:t xml:space="preserve">able to </w:t>
      </w:r>
      <w:r w:rsidR="005D1F06" w:rsidRPr="00CC47AB">
        <w:rPr>
          <w:rFonts w:cs="Arial"/>
        </w:rPr>
        <w:t>rais</w:t>
      </w:r>
      <w:r w:rsidR="00932051">
        <w:rPr>
          <w:rFonts w:cs="Arial"/>
        </w:rPr>
        <w:t>e</w:t>
      </w:r>
      <w:r w:rsidRPr="00CC47AB">
        <w:rPr>
          <w:rFonts w:cs="Arial"/>
        </w:rPr>
        <w:t xml:space="preserve"> </w:t>
      </w:r>
      <w:r w:rsidR="00932051">
        <w:rPr>
          <w:rFonts w:cs="Arial"/>
        </w:rPr>
        <w:t>specific concerns</w:t>
      </w:r>
      <w:r w:rsidR="00B10A78">
        <w:rPr>
          <w:rFonts w:cs="Arial"/>
        </w:rPr>
        <w:t xml:space="preserve"> </w:t>
      </w:r>
      <w:r w:rsidR="005D1F06" w:rsidRPr="00CC47AB">
        <w:rPr>
          <w:rFonts w:cs="Arial"/>
        </w:rPr>
        <w:t xml:space="preserve">with </w:t>
      </w:r>
      <w:r w:rsidRPr="00CC47AB">
        <w:rPr>
          <w:rFonts w:cs="Arial"/>
        </w:rPr>
        <w:t xml:space="preserve">the </w:t>
      </w:r>
      <w:r w:rsidR="00B10A78">
        <w:rPr>
          <w:rFonts w:cs="Arial"/>
        </w:rPr>
        <w:t>relevant authorities</w:t>
      </w:r>
      <w:r w:rsidR="005D1F06" w:rsidRPr="00CC47AB">
        <w:rPr>
          <w:rFonts w:cs="Arial"/>
        </w:rPr>
        <w:t>.</w:t>
      </w:r>
      <w:r w:rsidR="00B10A78">
        <w:rPr>
          <w:rFonts w:cs="Arial"/>
        </w:rPr>
        <w:t xml:space="preserve"> This has </w:t>
      </w:r>
      <w:r w:rsidR="00CC47AB">
        <w:rPr>
          <w:rFonts w:cs="Arial"/>
        </w:rPr>
        <w:t xml:space="preserve">led </w:t>
      </w:r>
      <w:r w:rsidR="00B10A78">
        <w:rPr>
          <w:rFonts w:cs="Arial"/>
        </w:rPr>
        <w:t>in some cases to</w:t>
      </w:r>
      <w:r w:rsidR="00932051">
        <w:rPr>
          <w:rFonts w:cs="Arial"/>
        </w:rPr>
        <w:t xml:space="preserve"> </w:t>
      </w:r>
      <w:r w:rsidR="00CC47AB">
        <w:rPr>
          <w:rFonts w:cs="Arial"/>
        </w:rPr>
        <w:t>government’s seeking advice and support to improve draft legislation likely to affect the work of civil society.</w:t>
      </w:r>
      <w:r w:rsidR="00B10A78">
        <w:rPr>
          <w:rFonts w:cs="Arial"/>
        </w:rPr>
        <w:t xml:space="preserve"> In other </w:t>
      </w:r>
      <w:r w:rsidR="009535E0">
        <w:rPr>
          <w:rFonts w:cs="Arial"/>
        </w:rPr>
        <w:t>instances</w:t>
      </w:r>
      <w:r w:rsidR="00B10A78">
        <w:rPr>
          <w:rFonts w:cs="Arial"/>
        </w:rPr>
        <w:t>, it has led to more concerted international pressure being brought to bear on the relevant authorities.</w:t>
      </w:r>
      <w:r w:rsidR="009535E0">
        <w:rPr>
          <w:rStyle w:val="FootnoteReference"/>
          <w:rFonts w:cs="Arial"/>
        </w:rPr>
        <w:footnoteReference w:id="9"/>
      </w:r>
      <w:r w:rsidR="00CC47AB">
        <w:rPr>
          <w:rFonts w:cs="Arial"/>
        </w:rPr>
        <w:t xml:space="preserve"> </w:t>
      </w:r>
    </w:p>
    <w:p w:rsidR="00CC47AB" w:rsidRPr="00CC47AB" w:rsidRDefault="00CC47AB" w:rsidP="00A62FAE">
      <w:pPr>
        <w:rPr>
          <w:rFonts w:cs="Arial"/>
        </w:rPr>
      </w:pPr>
    </w:p>
    <w:p w:rsidR="00A616D6" w:rsidRDefault="000949AE" w:rsidP="002E6A70">
      <w:r>
        <w:t>P</w:t>
      </w:r>
      <w:r w:rsidR="007A4727">
        <w:t xml:space="preserve">rotecting space for civil society </w:t>
      </w:r>
      <w:r w:rsidR="00EC0552">
        <w:t xml:space="preserve">now </w:t>
      </w:r>
      <w:r w:rsidR="007A4727">
        <w:t xml:space="preserve">forms an </w:t>
      </w:r>
      <w:r>
        <w:t xml:space="preserve">integral part </w:t>
      </w:r>
      <w:r w:rsidR="007A4727">
        <w:t>of the UK</w:t>
      </w:r>
      <w:r w:rsidR="00B10A78">
        <w:t xml:space="preserve"> Government</w:t>
      </w:r>
      <w:r w:rsidR="007A4727">
        <w:t>’s approach to improving accountability and promoting transparency and open, democratic societies.</w:t>
      </w:r>
      <w:r w:rsidR="00B10A78">
        <w:rPr>
          <w:rStyle w:val="FootnoteReference"/>
        </w:rPr>
        <w:footnoteReference w:id="10"/>
      </w:r>
      <w:r w:rsidR="007A4727">
        <w:t xml:space="preserve"> </w:t>
      </w:r>
      <w:r w:rsidR="00A616D6">
        <w:t xml:space="preserve">DFID </w:t>
      </w:r>
      <w:r w:rsidR="00CC47AB">
        <w:t xml:space="preserve">is </w:t>
      </w:r>
      <w:r>
        <w:t xml:space="preserve">also </w:t>
      </w:r>
      <w:r w:rsidR="00CC47AB">
        <w:t xml:space="preserve">encouraging </w:t>
      </w:r>
      <w:proofErr w:type="spellStart"/>
      <w:r w:rsidR="009535E0">
        <w:t>CSOs</w:t>
      </w:r>
      <w:proofErr w:type="spellEnd"/>
      <w:r w:rsidR="009535E0">
        <w:t xml:space="preserve"> and other </w:t>
      </w:r>
      <w:r w:rsidR="00CC47AB">
        <w:t xml:space="preserve">organisations to </w:t>
      </w:r>
      <w:r>
        <w:t xml:space="preserve">focus more systematically </w:t>
      </w:r>
      <w:r w:rsidR="009535E0">
        <w:t xml:space="preserve">on enabling citizens to do things for themselves and to </w:t>
      </w:r>
      <w:r w:rsidR="00CC47AB">
        <w:t>collect information</w:t>
      </w:r>
      <w:r w:rsidR="0099794C">
        <w:t xml:space="preserve">, case studies </w:t>
      </w:r>
      <w:r w:rsidR="00CC47AB">
        <w:t xml:space="preserve">and evidence </w:t>
      </w:r>
      <w:r w:rsidR="009535E0">
        <w:t xml:space="preserve">on </w:t>
      </w:r>
      <w:r w:rsidR="0099794C">
        <w:t>th</w:t>
      </w:r>
      <w:r w:rsidR="009535E0">
        <w:t>is</w:t>
      </w:r>
      <w:r w:rsidR="00A616D6">
        <w:t>.</w:t>
      </w:r>
      <w:r w:rsidR="0099794C">
        <w:rPr>
          <w:rStyle w:val="FootnoteReference"/>
        </w:rPr>
        <w:footnoteReference w:id="11"/>
      </w:r>
      <w:r w:rsidR="00CC47AB">
        <w:t xml:space="preserve"> </w:t>
      </w:r>
      <w:r w:rsidR="00A616D6">
        <w:t xml:space="preserve">This </w:t>
      </w:r>
      <w:r w:rsidR="00CC47AB">
        <w:t xml:space="preserve">forms </w:t>
      </w:r>
      <w:r w:rsidR="00A616D6">
        <w:t xml:space="preserve">an important element in </w:t>
      </w:r>
      <w:proofErr w:type="spellStart"/>
      <w:r w:rsidR="00A616D6">
        <w:t>DFID</w:t>
      </w:r>
      <w:r w:rsidR="00CC47AB">
        <w:t>’s</w:t>
      </w:r>
      <w:proofErr w:type="spellEnd"/>
      <w:r w:rsidR="00A616D6">
        <w:t xml:space="preserve"> approach to </w:t>
      </w:r>
      <w:r w:rsidR="000F6C0A">
        <w:t xml:space="preserve">delivering </w:t>
      </w:r>
      <w:r w:rsidR="00CC47AB">
        <w:t xml:space="preserve">tangible </w:t>
      </w:r>
      <w:r w:rsidR="000F6C0A">
        <w:t xml:space="preserve">results and </w:t>
      </w:r>
      <w:r w:rsidR="00A616D6">
        <w:t>redu</w:t>
      </w:r>
      <w:r w:rsidR="00C116FF">
        <w:t xml:space="preserve">cing </w:t>
      </w:r>
      <w:r w:rsidR="007A4727">
        <w:t>dependence</w:t>
      </w:r>
      <w:r w:rsidR="00173E85">
        <w:t xml:space="preserve"> on aid</w:t>
      </w:r>
      <w:r w:rsidR="007A4727">
        <w:t>.</w:t>
      </w:r>
    </w:p>
    <w:p w:rsidR="00370EE5" w:rsidRDefault="00370EE5" w:rsidP="002E6A70"/>
    <w:p w:rsidR="00CC47AB" w:rsidRDefault="00CC04BE" w:rsidP="002E6A70">
      <w:r>
        <w:t xml:space="preserve">Roy </w:t>
      </w:r>
      <w:proofErr w:type="spellStart"/>
      <w:r>
        <w:t>Trivedy</w:t>
      </w:r>
      <w:proofErr w:type="spellEnd"/>
    </w:p>
    <w:p w:rsidR="00CC04BE" w:rsidRDefault="00CC04BE" w:rsidP="002E6A70">
      <w:r>
        <w:t>Civil Society Department, DFID</w:t>
      </w:r>
    </w:p>
    <w:sectPr w:rsidR="00CC04BE" w:rsidSect="007428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CD" w:rsidRDefault="00305CCD" w:rsidP="00CE51A5">
      <w:r>
        <w:separator/>
      </w:r>
    </w:p>
  </w:endnote>
  <w:endnote w:type="continuationSeparator" w:id="0">
    <w:p w:rsidR="00305CCD" w:rsidRDefault="00305CCD" w:rsidP="00C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10635"/>
      <w:docPartObj>
        <w:docPartGallery w:val="Page Numbers (Bottom of Page)"/>
        <w:docPartUnique/>
      </w:docPartObj>
    </w:sdtPr>
    <w:sdtEndPr>
      <w:rPr>
        <w:noProof/>
      </w:rPr>
    </w:sdtEndPr>
    <w:sdtContent>
      <w:p w:rsidR="00CE51A5" w:rsidRDefault="00CE51A5">
        <w:pPr>
          <w:pStyle w:val="Footer"/>
          <w:jc w:val="right"/>
        </w:pPr>
        <w:r>
          <w:fldChar w:fldCharType="begin"/>
        </w:r>
        <w:r>
          <w:instrText xml:space="preserve"> PAGE   \* MERGEFORMAT </w:instrText>
        </w:r>
        <w:r>
          <w:fldChar w:fldCharType="separate"/>
        </w:r>
        <w:r w:rsidR="006339DA">
          <w:rPr>
            <w:noProof/>
          </w:rPr>
          <w:t>3</w:t>
        </w:r>
        <w:r>
          <w:rPr>
            <w:noProof/>
          </w:rPr>
          <w:fldChar w:fldCharType="end"/>
        </w:r>
      </w:p>
    </w:sdtContent>
  </w:sdt>
  <w:p w:rsidR="00CE51A5" w:rsidRDefault="00CE5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CD" w:rsidRDefault="00305CCD" w:rsidP="00CE51A5">
      <w:r>
        <w:separator/>
      </w:r>
    </w:p>
  </w:footnote>
  <w:footnote w:type="continuationSeparator" w:id="0">
    <w:p w:rsidR="00305CCD" w:rsidRDefault="00305CCD" w:rsidP="00CE51A5">
      <w:r>
        <w:continuationSeparator/>
      </w:r>
    </w:p>
  </w:footnote>
  <w:footnote w:id="1">
    <w:p w:rsidR="002C11BE" w:rsidRDefault="002C11BE">
      <w:pPr>
        <w:pStyle w:val="FootnoteText"/>
      </w:pPr>
      <w:r>
        <w:rPr>
          <w:rStyle w:val="FootnoteReference"/>
        </w:rPr>
        <w:footnoteRef/>
      </w:r>
      <w:r>
        <w:t xml:space="preserve"> Dead Aid: Why Aid is not working and why there is a better way for Africa’ </w:t>
      </w:r>
      <w:proofErr w:type="spellStart"/>
      <w:r>
        <w:t>Moyo</w:t>
      </w:r>
      <w:proofErr w:type="spellEnd"/>
      <w:r>
        <w:t>, D 2009</w:t>
      </w:r>
    </w:p>
  </w:footnote>
  <w:footnote w:id="2">
    <w:p w:rsidR="002C11BE" w:rsidRDefault="002C11BE">
      <w:pPr>
        <w:pStyle w:val="FootnoteText"/>
      </w:pPr>
      <w:r>
        <w:rPr>
          <w:rStyle w:val="FootnoteReference"/>
        </w:rPr>
        <w:footnoteRef/>
      </w:r>
      <w:r>
        <w:t xml:space="preserve"> </w:t>
      </w:r>
      <w:r w:rsidR="00B32351">
        <w:t>See for example ‘From Poverty to Power’ 2009. M</w:t>
      </w:r>
      <w:r w:rsidR="00EE1643">
        <w:t>ore recently,</w:t>
      </w:r>
      <w:r>
        <w:t xml:space="preserve"> ‘</w:t>
      </w:r>
      <w:r w:rsidRPr="00F20C70">
        <w:t>S</w:t>
      </w:r>
      <w:r>
        <w:t>o</w:t>
      </w:r>
      <w:r w:rsidRPr="00F20C70">
        <w:t xml:space="preserve"> what difference does it make?  Mapping the outcomes of citizen engagement</w:t>
      </w:r>
      <w:r>
        <w:t>’</w:t>
      </w:r>
      <w:r w:rsidRPr="00F20C70">
        <w:t xml:space="preserve">, </w:t>
      </w:r>
      <w:proofErr w:type="spellStart"/>
      <w:r w:rsidRPr="00F20C70">
        <w:t>Gaventa</w:t>
      </w:r>
      <w:proofErr w:type="spellEnd"/>
      <w:r w:rsidRPr="00F20C70">
        <w:t xml:space="preserve"> </w:t>
      </w:r>
      <w:r>
        <w:t>J</w:t>
      </w:r>
      <w:r w:rsidRPr="00F20C70">
        <w:t xml:space="preserve"> and Barrett</w:t>
      </w:r>
      <w:r>
        <w:t>, G</w:t>
      </w:r>
      <w:r w:rsidRPr="00F20C70">
        <w:t>.</w:t>
      </w:r>
      <w:r w:rsidR="00374635">
        <w:t xml:space="preserve"> 2010</w:t>
      </w:r>
    </w:p>
  </w:footnote>
  <w:footnote w:id="3">
    <w:p w:rsidR="00D8462C" w:rsidRDefault="00D8462C" w:rsidP="00D8462C">
      <w:pPr>
        <w:pStyle w:val="EndnoteText"/>
        <w:spacing w:after="120"/>
      </w:pPr>
      <w:r>
        <w:rPr>
          <w:rStyle w:val="FootnoteReference"/>
        </w:rPr>
        <w:footnoteRef/>
      </w:r>
      <w:r>
        <w:t xml:space="preserve"> </w:t>
      </w:r>
      <w:r w:rsidR="00374635">
        <w:t xml:space="preserve">See: </w:t>
      </w:r>
      <w:r w:rsidR="003418D7">
        <w:t xml:space="preserve">(i) </w:t>
      </w:r>
      <w:r w:rsidR="008A4662">
        <w:t>‘</w:t>
      </w:r>
      <w:r>
        <w:t>Citizen Action and National Policy Reform</w:t>
      </w:r>
      <w:r w:rsidR="008A4662">
        <w:t>’</w:t>
      </w:r>
      <w:r>
        <w:t xml:space="preserve"> (John </w:t>
      </w:r>
      <w:proofErr w:type="spellStart"/>
      <w:r>
        <w:t>Gaventa</w:t>
      </w:r>
      <w:proofErr w:type="spellEnd"/>
      <w:r>
        <w:t xml:space="preserve">), and IDS Policy Briefing 05 2008, available online at </w:t>
      </w:r>
      <w:hyperlink r:id="rId1" w:history="1">
        <w:r w:rsidRPr="00995E39">
          <w:rPr>
            <w:rStyle w:val="Hyperlink"/>
          </w:rPr>
          <w:t>http://www.powercube.net/wp-content/uploads/2009/11/InFocus5.pdf</w:t>
        </w:r>
      </w:hyperlink>
      <w:r>
        <w:t xml:space="preserve"> </w:t>
      </w:r>
      <w:r w:rsidR="003418D7">
        <w:t>;</w:t>
      </w:r>
      <w:proofErr w:type="gramStart"/>
      <w:r w:rsidR="003418D7">
        <w:t>(ii</w:t>
      </w:r>
      <w:proofErr w:type="gramEnd"/>
      <w:r w:rsidR="003418D7">
        <w:t xml:space="preserve">) </w:t>
      </w:r>
      <w:r w:rsidRPr="00D06550">
        <w:t>Joint Evaluation of Citizens’ Voice and Accountability: Synthesis Report</w:t>
      </w:r>
      <w:r w:rsidR="003418D7">
        <w:t xml:space="preserve">’: </w:t>
      </w:r>
      <w:r w:rsidR="003418D7" w:rsidRPr="00D06550">
        <w:t xml:space="preserve">Rocha </w:t>
      </w:r>
      <w:proofErr w:type="spellStart"/>
      <w:r w:rsidR="003418D7" w:rsidRPr="00D06550">
        <w:t>Menocal</w:t>
      </w:r>
      <w:proofErr w:type="spellEnd"/>
      <w:r w:rsidR="003418D7" w:rsidRPr="00D06550">
        <w:t>, A. and Sharma, B. (2008)</w:t>
      </w:r>
      <w:smartTag w:uri="urn:schemas-microsoft-com:office:smarttags" w:element="City">
        <w:smartTag w:uri="urn:schemas-microsoft-com:office:smarttags" w:element="place">
          <w:r w:rsidRPr="00D06550">
            <w:t>London</w:t>
          </w:r>
        </w:smartTag>
      </w:smartTag>
      <w:r w:rsidRPr="00D06550">
        <w:t>: DFID</w:t>
      </w:r>
      <w:r>
        <w:t>.  Available online at</w:t>
      </w:r>
      <w:r w:rsidR="008A4662">
        <w:t xml:space="preserve">: </w:t>
      </w:r>
      <w:hyperlink r:id="rId2" w:history="1">
        <w:r w:rsidRPr="007347EE">
          <w:rPr>
            <w:rStyle w:val="Hyperlink"/>
          </w:rPr>
          <w:t>http://www.odi.org.uk/resources/details.asp?id=2560&amp;title=evaluation-citizens-voice-accountability</w:t>
        </w:r>
      </w:hyperlink>
    </w:p>
  </w:footnote>
  <w:footnote w:id="4">
    <w:p w:rsidR="005E08E7" w:rsidRDefault="008A4662">
      <w:pPr>
        <w:pStyle w:val="FootnoteText"/>
      </w:pPr>
      <w:r>
        <w:rPr>
          <w:rStyle w:val="FootnoteReference"/>
        </w:rPr>
        <w:footnoteRef/>
      </w:r>
      <w:r>
        <w:t xml:space="preserve"> </w:t>
      </w:r>
      <w:r w:rsidR="003418D7">
        <w:t xml:space="preserve">‘Defending Civil Society’ Report of the </w:t>
      </w:r>
      <w:r>
        <w:t xml:space="preserve">International Centre for Not-for-Profit-Law </w:t>
      </w:r>
      <w:r w:rsidR="003418D7">
        <w:t>2012</w:t>
      </w:r>
      <w:r>
        <w:t>available a</w:t>
      </w:r>
      <w:r w:rsidR="003418D7">
        <w:t>t:</w:t>
      </w:r>
      <w:r w:rsidR="003418D7" w:rsidRPr="003418D7">
        <w:t xml:space="preserve"> </w:t>
      </w:r>
      <w:hyperlink r:id="rId3" w:history="1">
        <w:r w:rsidR="00EE1643" w:rsidRPr="00CC1413">
          <w:rPr>
            <w:rStyle w:val="Hyperlink"/>
          </w:rPr>
          <w:t>http://www.icnl.org/about/reports/</w:t>
        </w:r>
      </w:hyperlink>
      <w:r w:rsidR="00EE1643">
        <w:t>.</w:t>
      </w:r>
      <w:r w:rsidR="00AA7103">
        <w:t xml:space="preserve"> </w:t>
      </w:r>
      <w:r w:rsidR="005E08E7">
        <w:t xml:space="preserve">See also: ‘Is there a global crackdown on civil </w:t>
      </w:r>
      <w:proofErr w:type="spellStart"/>
      <w:r w:rsidR="005E08E7">
        <w:t>society</w:t>
      </w:r>
      <w:proofErr w:type="gramStart"/>
      <w:r w:rsidR="005E08E7">
        <w:t>..</w:t>
      </w:r>
      <w:proofErr w:type="gramEnd"/>
      <w:r w:rsidR="005E08E7">
        <w:t>and</w:t>
      </w:r>
      <w:proofErr w:type="spellEnd"/>
      <w:r w:rsidR="005E08E7">
        <w:t xml:space="preserve"> how should we respond’, Duncan Green’s recent blog at: </w:t>
      </w:r>
      <w:hyperlink r:id="rId4" w:history="1">
        <w:r w:rsidR="005E08E7" w:rsidRPr="0074123B">
          <w:rPr>
            <w:rStyle w:val="Hyperlink"/>
          </w:rPr>
          <w:t>http://www.oxfamblogs.org/fp2p/?p=10896</w:t>
        </w:r>
      </w:hyperlink>
    </w:p>
    <w:p w:rsidR="00EE1643" w:rsidRDefault="005E08E7">
      <w:pPr>
        <w:pStyle w:val="FootnoteText"/>
      </w:pPr>
      <w:r>
        <w:t xml:space="preserve">Note: </w:t>
      </w:r>
      <w:r w:rsidR="00AA7103">
        <w:t>The idea of protecting the space for civil society is not new. See for example ‘Effective Work in Difficult Political environments: a Case S</w:t>
      </w:r>
      <w:r>
        <w:t>t</w:t>
      </w:r>
      <w:r w:rsidR="00AA7103">
        <w:t xml:space="preserve">udy from Malawi’ </w:t>
      </w:r>
      <w:proofErr w:type="spellStart"/>
      <w:r w:rsidR="00AA7103">
        <w:t>Trivedy</w:t>
      </w:r>
      <w:proofErr w:type="spellEnd"/>
      <w:r w:rsidR="00AA7103">
        <w:t xml:space="preserve"> R in ‘NGOs, Civil Society and the State: Building Democracy in Transitional Societies’ (Ed)’Clayton A, </w:t>
      </w:r>
      <w:proofErr w:type="spellStart"/>
      <w:r w:rsidR="00AA7103">
        <w:t>INTRAC</w:t>
      </w:r>
      <w:proofErr w:type="spellEnd"/>
      <w:r w:rsidR="00AA7103">
        <w:t xml:space="preserve">, 1996 </w:t>
      </w:r>
    </w:p>
    <w:p w:rsidR="00EE1643" w:rsidRDefault="008A4662">
      <w:pPr>
        <w:pStyle w:val="FootnoteText"/>
      </w:pPr>
      <w:r>
        <w:t xml:space="preserve"> </w:t>
      </w:r>
    </w:p>
  </w:footnote>
  <w:footnote w:id="5">
    <w:p w:rsidR="003418D7" w:rsidRDefault="003418D7">
      <w:pPr>
        <w:pStyle w:val="FootnoteText"/>
      </w:pPr>
      <w:r>
        <w:rPr>
          <w:rStyle w:val="FootnoteReference"/>
        </w:rPr>
        <w:footnoteRef/>
      </w:r>
      <w:r>
        <w:t xml:space="preserve"> Civil Society Portfolio Review’:</w:t>
      </w:r>
      <w:r w:rsidR="00374635">
        <w:t xml:space="preserve"> unpublished</w:t>
      </w:r>
      <w:r w:rsidR="00932051">
        <w:t xml:space="preserve"> p</w:t>
      </w:r>
      <w:r w:rsidR="0012422F">
        <w:t>aper</w:t>
      </w:r>
      <w:r w:rsidR="00AA7103">
        <w:t xml:space="preserve"> for </w:t>
      </w:r>
      <w:proofErr w:type="spellStart"/>
      <w:r w:rsidR="00AA7103">
        <w:t>DFID’sDevelopment</w:t>
      </w:r>
      <w:proofErr w:type="spellEnd"/>
      <w:r w:rsidR="00AA7103">
        <w:t xml:space="preserve"> Policy Committee</w:t>
      </w:r>
      <w:r w:rsidR="0012422F">
        <w:t xml:space="preserve"> </w:t>
      </w:r>
      <w:r>
        <w:t xml:space="preserve">2010. </w:t>
      </w:r>
    </w:p>
  </w:footnote>
  <w:footnote w:id="6">
    <w:p w:rsidR="00374635" w:rsidRDefault="00374635">
      <w:pPr>
        <w:pStyle w:val="FootnoteText"/>
      </w:pPr>
      <w:r>
        <w:rPr>
          <w:rStyle w:val="FootnoteReference"/>
        </w:rPr>
        <w:footnoteRef/>
      </w:r>
      <w:r>
        <w:t xml:space="preserve"> Examples </w:t>
      </w:r>
      <w:r w:rsidR="00370EE5">
        <w:t>of this are provided in the article on Effective Work in Difficult Political environments</w:t>
      </w:r>
      <w:proofErr w:type="gramStart"/>
      <w:r w:rsidR="00370EE5">
        <w:t>..’</w:t>
      </w:r>
      <w:proofErr w:type="gramEnd"/>
      <w:r w:rsidR="00370EE5">
        <w:t xml:space="preserve"> see note 4 above. Other examples </w:t>
      </w:r>
      <w:r>
        <w:t xml:space="preserve">include establishing savings and lending schemes, pooling labour to assist in farming, campaigning for land and other rights etc... </w:t>
      </w:r>
    </w:p>
  </w:footnote>
  <w:footnote w:id="7">
    <w:p w:rsidR="00B10A78" w:rsidRDefault="00B10A78">
      <w:pPr>
        <w:pStyle w:val="FootnoteText"/>
      </w:pPr>
      <w:r>
        <w:rPr>
          <w:rStyle w:val="FootnoteReference"/>
        </w:rPr>
        <w:footnoteRef/>
      </w:r>
      <w:r>
        <w:t xml:space="preserve"> A summary of </w:t>
      </w:r>
      <w:proofErr w:type="spellStart"/>
      <w:r>
        <w:t>DFID’s</w:t>
      </w:r>
      <w:proofErr w:type="spellEnd"/>
      <w:r>
        <w:t xml:space="preserve"> work with civil society is available at:</w:t>
      </w:r>
      <w:r w:rsidRPr="00B10A78">
        <w:t xml:space="preserve"> </w:t>
      </w:r>
      <w:hyperlink r:id="rId5" w:history="1">
        <w:r w:rsidRPr="00CC1413">
          <w:rPr>
            <w:rStyle w:val="Hyperlink"/>
          </w:rPr>
          <w:t>http://www.dfid.gov.uk/</w:t>
        </w:r>
      </w:hyperlink>
    </w:p>
    <w:p w:rsidR="00B10A78" w:rsidRDefault="00B10A78">
      <w:pPr>
        <w:pStyle w:val="FootnoteText"/>
      </w:pPr>
      <w:r>
        <w:t xml:space="preserve"> </w:t>
      </w:r>
    </w:p>
  </w:footnote>
  <w:footnote w:id="8">
    <w:p w:rsidR="00FD6178" w:rsidRDefault="00FD6178">
      <w:pPr>
        <w:pStyle w:val="FootnoteText"/>
      </w:pPr>
      <w:r>
        <w:rPr>
          <w:rStyle w:val="FootnoteReference"/>
        </w:rPr>
        <w:footnoteRef/>
      </w:r>
      <w:r>
        <w:t xml:space="preserve"> </w:t>
      </w:r>
      <w:r w:rsidR="005E08E7">
        <w:t xml:space="preserve">Many of the agencies represented on the Working Group are also actively involved </w:t>
      </w:r>
      <w:proofErr w:type="gramStart"/>
      <w:r w:rsidR="005E08E7">
        <w:t xml:space="preserve">in  </w:t>
      </w:r>
      <w:r w:rsidR="00173E85">
        <w:t>the</w:t>
      </w:r>
      <w:proofErr w:type="gramEnd"/>
      <w:r w:rsidR="00173E85">
        <w:t xml:space="preserve"> Community of Democracies. See: </w:t>
      </w:r>
      <w:hyperlink r:id="rId6" w:history="1">
        <w:r w:rsidR="00173E85" w:rsidRPr="0074123B">
          <w:rPr>
            <w:rStyle w:val="Hyperlink"/>
          </w:rPr>
          <w:t>http://www.community-democracies.org/</w:t>
        </w:r>
      </w:hyperlink>
      <w:r w:rsidR="00173E85">
        <w:t>.</w:t>
      </w:r>
    </w:p>
    <w:p w:rsidR="00173E85" w:rsidRDefault="00173E85">
      <w:pPr>
        <w:pStyle w:val="FootnoteText"/>
      </w:pPr>
    </w:p>
  </w:footnote>
  <w:footnote w:id="9">
    <w:p w:rsidR="009535E0" w:rsidRDefault="009535E0">
      <w:pPr>
        <w:pStyle w:val="FootnoteText"/>
      </w:pPr>
      <w:r>
        <w:rPr>
          <w:rStyle w:val="FootnoteReference"/>
        </w:rPr>
        <w:footnoteRef/>
      </w:r>
      <w:r>
        <w:t xml:space="preserve"> Specific examples of both are available on the </w:t>
      </w:r>
      <w:proofErr w:type="spellStart"/>
      <w:r>
        <w:t>ICNL</w:t>
      </w:r>
      <w:proofErr w:type="spellEnd"/>
      <w:r>
        <w:t xml:space="preserve"> website.</w:t>
      </w:r>
    </w:p>
  </w:footnote>
  <w:footnote w:id="10">
    <w:p w:rsidR="00B10A78" w:rsidRDefault="00B10A78">
      <w:pPr>
        <w:pStyle w:val="FootnoteText"/>
      </w:pPr>
      <w:r>
        <w:rPr>
          <w:rStyle w:val="FootnoteReference"/>
        </w:rPr>
        <w:footnoteRef/>
      </w:r>
      <w:r>
        <w:t xml:space="preserve"> See also the work of the Open Go</w:t>
      </w:r>
      <w:r w:rsidR="0099794C">
        <w:t>vernment Partnership Initiative at:</w:t>
      </w:r>
      <w:r w:rsidR="0099794C" w:rsidRPr="0099794C">
        <w:t xml:space="preserve"> </w:t>
      </w:r>
      <w:hyperlink r:id="rId7" w:history="1">
        <w:r w:rsidR="0099794C" w:rsidRPr="00CC1413">
          <w:rPr>
            <w:rStyle w:val="Hyperlink"/>
          </w:rPr>
          <w:t>http://www.opengovpartnership.org/</w:t>
        </w:r>
      </w:hyperlink>
    </w:p>
  </w:footnote>
  <w:footnote w:id="11">
    <w:p w:rsidR="0099794C" w:rsidRPr="000949AE" w:rsidRDefault="0099794C" w:rsidP="000949AE">
      <w:pPr>
        <w:pStyle w:val="NormalWeb"/>
        <w:rPr>
          <w:rFonts w:ascii="Arial" w:hAnsi="Arial" w:cs="Arial"/>
          <w:sz w:val="20"/>
          <w:szCs w:val="20"/>
        </w:rPr>
      </w:pPr>
      <w:r>
        <w:rPr>
          <w:rStyle w:val="FootnoteReference"/>
        </w:rPr>
        <w:footnoteRef/>
      </w:r>
      <w:r>
        <w:t xml:space="preserve"> </w:t>
      </w:r>
      <w:r w:rsidRPr="000949AE">
        <w:rPr>
          <w:rFonts w:ascii="Arial" w:hAnsi="Arial" w:cs="Arial"/>
          <w:sz w:val="20"/>
          <w:szCs w:val="20"/>
        </w:rPr>
        <w:t xml:space="preserve">Several recent studies have confirmed the fact that citizen engagement contributes to more responsive states, which in turn are able to meet </w:t>
      </w:r>
      <w:r w:rsidR="000949AE">
        <w:rPr>
          <w:rFonts w:ascii="Arial" w:hAnsi="Arial" w:cs="Arial"/>
          <w:sz w:val="20"/>
          <w:szCs w:val="20"/>
        </w:rPr>
        <w:t xml:space="preserve">peoples </w:t>
      </w:r>
      <w:r w:rsidRPr="000949AE">
        <w:rPr>
          <w:rFonts w:ascii="Arial" w:hAnsi="Arial" w:cs="Arial"/>
          <w:sz w:val="20"/>
          <w:szCs w:val="20"/>
        </w:rPr>
        <w:t xml:space="preserve">development needs, and guarantee and uphold democratic rights.  </w:t>
      </w:r>
      <w:proofErr w:type="spellStart"/>
      <w:r w:rsidRPr="000949AE">
        <w:rPr>
          <w:rFonts w:ascii="Arial" w:hAnsi="Arial" w:cs="Arial"/>
          <w:sz w:val="20"/>
          <w:szCs w:val="20"/>
        </w:rPr>
        <w:t>Gaventa</w:t>
      </w:r>
      <w:proofErr w:type="spellEnd"/>
      <w:r w:rsidRPr="000949AE">
        <w:rPr>
          <w:rFonts w:ascii="Arial" w:hAnsi="Arial" w:cs="Arial"/>
          <w:sz w:val="20"/>
          <w:szCs w:val="20"/>
        </w:rPr>
        <w:t xml:space="preserve"> and Barrett’s (2010) ten-year research </w:t>
      </w:r>
      <w:proofErr w:type="spellStart"/>
      <w:r w:rsidRPr="000949AE">
        <w:rPr>
          <w:rFonts w:ascii="Arial" w:hAnsi="Arial" w:cs="Arial"/>
          <w:sz w:val="20"/>
          <w:szCs w:val="20"/>
        </w:rPr>
        <w:t>programme</w:t>
      </w:r>
      <w:proofErr w:type="spellEnd"/>
      <w:r w:rsidRPr="000949AE">
        <w:rPr>
          <w:rFonts w:ascii="Arial" w:hAnsi="Arial" w:cs="Arial"/>
          <w:sz w:val="20"/>
          <w:szCs w:val="20"/>
        </w:rPr>
        <w:t xml:space="preserve"> on citizenship, participation and accountability </w:t>
      </w:r>
      <w:r w:rsidR="000949AE">
        <w:rPr>
          <w:rFonts w:ascii="Arial" w:hAnsi="Arial" w:cs="Arial"/>
          <w:sz w:val="20"/>
          <w:szCs w:val="20"/>
        </w:rPr>
        <w:t>took</w:t>
      </w:r>
      <w:r w:rsidRPr="000949AE">
        <w:rPr>
          <w:rFonts w:ascii="Arial" w:hAnsi="Arial" w:cs="Arial"/>
          <w:sz w:val="20"/>
          <w:szCs w:val="20"/>
        </w:rPr>
        <w:t xml:space="preserve"> a sample of 100 research studies of four types of citizen engagement in 20 countries. By mapping the observable effects of citizen participation through a close reading of these studies, they create</w:t>
      </w:r>
      <w:r w:rsidR="000949AE">
        <w:rPr>
          <w:rFonts w:ascii="Arial" w:hAnsi="Arial" w:cs="Arial"/>
          <w:sz w:val="20"/>
          <w:szCs w:val="20"/>
        </w:rPr>
        <w:t>d</w:t>
      </w:r>
      <w:r w:rsidRPr="000949AE">
        <w:rPr>
          <w:rFonts w:ascii="Arial" w:hAnsi="Arial" w:cs="Arial"/>
          <w:sz w:val="20"/>
          <w:szCs w:val="20"/>
        </w:rPr>
        <w:t xml:space="preserve"> a typology of four democratic and developmental outcomes, including: (a) the construction of citizenship;(b) the strengthening of practices of participation; (c) the strengthening of responsive and accountable states; and (d) the development of inclusive and cohesive societies. </w:t>
      </w:r>
      <w:r w:rsidR="00370EE5">
        <w:rPr>
          <w:rFonts w:ascii="Arial" w:hAnsi="Arial" w:cs="Arial"/>
          <w:sz w:val="20"/>
          <w:szCs w:val="20"/>
        </w:rPr>
        <w:t xml:space="preserve"> They </w:t>
      </w:r>
      <w:r w:rsidRPr="000949AE">
        <w:rPr>
          <w:rFonts w:ascii="Arial" w:hAnsi="Arial" w:cs="Arial"/>
          <w:sz w:val="20"/>
          <w:szCs w:val="20"/>
        </w:rPr>
        <w:t>f</w:t>
      </w:r>
      <w:r w:rsidR="009535E0">
        <w:rPr>
          <w:rFonts w:ascii="Arial" w:hAnsi="Arial" w:cs="Arial"/>
          <w:sz w:val="20"/>
          <w:szCs w:val="20"/>
        </w:rPr>
        <w:t xml:space="preserve">ound </w:t>
      </w:r>
      <w:r w:rsidR="000949AE" w:rsidRPr="000949AE">
        <w:rPr>
          <w:rFonts w:ascii="Arial" w:hAnsi="Arial" w:cs="Arial"/>
          <w:sz w:val="20"/>
          <w:szCs w:val="20"/>
        </w:rPr>
        <w:t>that in more than 70 per cent of citizen engagement initiatives studied “positive outcomes” were achieved</w:t>
      </w:r>
      <w:r w:rsidRPr="000949AE">
        <w:rPr>
          <w:rFonts w:ascii="Arial" w:hAnsi="Arial" w:cs="Arial"/>
          <w:sz w:val="20"/>
          <w:szCs w:val="20"/>
        </w:rPr>
        <w:t>. They also f</w:t>
      </w:r>
      <w:r w:rsidR="000949AE" w:rsidRPr="000949AE">
        <w:rPr>
          <w:rFonts w:ascii="Arial" w:hAnsi="Arial" w:cs="Arial"/>
          <w:sz w:val="20"/>
          <w:szCs w:val="20"/>
        </w:rPr>
        <w:t xml:space="preserve">ound </w:t>
      </w:r>
      <w:r w:rsidRPr="000949AE">
        <w:rPr>
          <w:rFonts w:ascii="Arial" w:hAnsi="Arial" w:cs="Arial"/>
          <w:sz w:val="20"/>
          <w:szCs w:val="20"/>
        </w:rPr>
        <w:t>that outcomes vary according to the type of citizen engagement and to political context</w:t>
      </w:r>
      <w:r w:rsidR="000949AE" w:rsidRPr="000949AE">
        <w:rPr>
          <w:rFonts w:ascii="Arial" w:hAnsi="Arial" w:cs="Arial"/>
          <w:sz w:val="20"/>
          <w:szCs w:val="20"/>
        </w:rPr>
        <w:t xml:space="preserve">. </w:t>
      </w:r>
      <w:r w:rsidRPr="000949AE">
        <w:rPr>
          <w:rFonts w:ascii="Arial" w:hAnsi="Arial" w:cs="Arial"/>
          <w:sz w:val="20"/>
          <w:szCs w:val="20"/>
        </w:rPr>
        <w:t xml:space="preserve">Their analysis suggests that citizen mobilisation and engagement has led to national level policy changes in Brazil, Mexico, Chile, South Africa and Philippines. They note that in many more cases, citizen mobilisation has made concrete contributions to improved development outcomes and services. </w:t>
      </w:r>
    </w:p>
    <w:p w:rsidR="0099794C" w:rsidRPr="000949AE" w:rsidRDefault="0099794C">
      <w:pPr>
        <w:pStyle w:val="FootnoteText"/>
        <w:rPr>
          <w:rFonts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9E2"/>
    <w:multiLevelType w:val="hybridMultilevel"/>
    <w:tmpl w:val="5F6C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02905"/>
    <w:multiLevelType w:val="hybridMultilevel"/>
    <w:tmpl w:val="BDC486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459F6"/>
    <w:multiLevelType w:val="hybridMultilevel"/>
    <w:tmpl w:val="C62AE294"/>
    <w:lvl w:ilvl="0" w:tplc="0EAE79E4">
      <w:start w:val="1"/>
      <w:numFmt w:val="lowerRoman"/>
      <w:lvlText w:val="(%1)"/>
      <w:lvlJc w:val="left"/>
      <w:pPr>
        <w:ind w:left="1080" w:hanging="720"/>
      </w:pPr>
      <w:rPr>
        <w:rFonts w:eastAsiaTheme="minorEastAsia" w:cstheme="minorBidi" w:hint="default"/>
        <w:b w:val="0"/>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E6C81"/>
    <w:multiLevelType w:val="hybridMultilevel"/>
    <w:tmpl w:val="928A5538"/>
    <w:lvl w:ilvl="0" w:tplc="C1EC33CC">
      <w:start w:val="1"/>
      <w:numFmt w:val="decimal"/>
      <w:lvlText w:val="%1."/>
      <w:lvlJc w:val="left"/>
      <w:pPr>
        <w:tabs>
          <w:tab w:val="num" w:pos="720"/>
        </w:tabs>
        <w:ind w:left="720" w:hanging="72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562E730A"/>
    <w:multiLevelType w:val="hybridMultilevel"/>
    <w:tmpl w:val="3AA424EA"/>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nsid w:val="65E30C9A"/>
    <w:multiLevelType w:val="hybridMultilevel"/>
    <w:tmpl w:val="357A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1B"/>
    <w:rsid w:val="000159E8"/>
    <w:rsid w:val="00021192"/>
    <w:rsid w:val="000340E3"/>
    <w:rsid w:val="00040009"/>
    <w:rsid w:val="000654B2"/>
    <w:rsid w:val="000949AE"/>
    <w:rsid w:val="00094D72"/>
    <w:rsid w:val="000B6C34"/>
    <w:rsid w:val="000D5E8F"/>
    <w:rsid w:val="000E4F19"/>
    <w:rsid w:val="000F46D1"/>
    <w:rsid w:val="000F6C0A"/>
    <w:rsid w:val="00116CBE"/>
    <w:rsid w:val="0012422F"/>
    <w:rsid w:val="0013262B"/>
    <w:rsid w:val="00173E85"/>
    <w:rsid w:val="001B7659"/>
    <w:rsid w:val="00217E2B"/>
    <w:rsid w:val="0023444C"/>
    <w:rsid w:val="002428B6"/>
    <w:rsid w:val="00250B60"/>
    <w:rsid w:val="0026211B"/>
    <w:rsid w:val="00277F65"/>
    <w:rsid w:val="00281799"/>
    <w:rsid w:val="002B06A7"/>
    <w:rsid w:val="002C0335"/>
    <w:rsid w:val="002C11BE"/>
    <w:rsid w:val="002E6A70"/>
    <w:rsid w:val="002E7B1F"/>
    <w:rsid w:val="002F4241"/>
    <w:rsid w:val="00305CCD"/>
    <w:rsid w:val="00313ED2"/>
    <w:rsid w:val="0032430C"/>
    <w:rsid w:val="00330D5F"/>
    <w:rsid w:val="003418D7"/>
    <w:rsid w:val="00350BF2"/>
    <w:rsid w:val="00351ECC"/>
    <w:rsid w:val="00370EE5"/>
    <w:rsid w:val="0037365C"/>
    <w:rsid w:val="00374635"/>
    <w:rsid w:val="00383232"/>
    <w:rsid w:val="00395660"/>
    <w:rsid w:val="003A4C92"/>
    <w:rsid w:val="003B5EE3"/>
    <w:rsid w:val="003C303D"/>
    <w:rsid w:val="003C4BEB"/>
    <w:rsid w:val="00424ED8"/>
    <w:rsid w:val="004424C5"/>
    <w:rsid w:val="00443CC1"/>
    <w:rsid w:val="00521737"/>
    <w:rsid w:val="00534E41"/>
    <w:rsid w:val="00594F3F"/>
    <w:rsid w:val="00596F60"/>
    <w:rsid w:val="005C28AA"/>
    <w:rsid w:val="005C4968"/>
    <w:rsid w:val="005D1F06"/>
    <w:rsid w:val="005D642D"/>
    <w:rsid w:val="005E08E7"/>
    <w:rsid w:val="00613EFF"/>
    <w:rsid w:val="006339DA"/>
    <w:rsid w:val="00635FBB"/>
    <w:rsid w:val="00656D1F"/>
    <w:rsid w:val="00661E2C"/>
    <w:rsid w:val="00667592"/>
    <w:rsid w:val="0067097D"/>
    <w:rsid w:val="006A3347"/>
    <w:rsid w:val="006B71E7"/>
    <w:rsid w:val="006D4931"/>
    <w:rsid w:val="00742872"/>
    <w:rsid w:val="00786E49"/>
    <w:rsid w:val="007A4727"/>
    <w:rsid w:val="00817271"/>
    <w:rsid w:val="00832FCC"/>
    <w:rsid w:val="00851294"/>
    <w:rsid w:val="00886542"/>
    <w:rsid w:val="008876E2"/>
    <w:rsid w:val="008A4662"/>
    <w:rsid w:val="008F3A1C"/>
    <w:rsid w:val="00931E5F"/>
    <w:rsid w:val="00932051"/>
    <w:rsid w:val="009535E0"/>
    <w:rsid w:val="00970996"/>
    <w:rsid w:val="0099794C"/>
    <w:rsid w:val="009B4AFB"/>
    <w:rsid w:val="009C0C73"/>
    <w:rsid w:val="009C0E2C"/>
    <w:rsid w:val="009C1647"/>
    <w:rsid w:val="009F64B9"/>
    <w:rsid w:val="00A10ACE"/>
    <w:rsid w:val="00A427F7"/>
    <w:rsid w:val="00A55387"/>
    <w:rsid w:val="00A616D6"/>
    <w:rsid w:val="00A62FAE"/>
    <w:rsid w:val="00A86067"/>
    <w:rsid w:val="00A91083"/>
    <w:rsid w:val="00AA7103"/>
    <w:rsid w:val="00AB181C"/>
    <w:rsid w:val="00AF40D0"/>
    <w:rsid w:val="00B01C5D"/>
    <w:rsid w:val="00B02601"/>
    <w:rsid w:val="00B10A78"/>
    <w:rsid w:val="00B32351"/>
    <w:rsid w:val="00B36DE7"/>
    <w:rsid w:val="00B620C1"/>
    <w:rsid w:val="00B6767C"/>
    <w:rsid w:val="00BB1497"/>
    <w:rsid w:val="00BC2D17"/>
    <w:rsid w:val="00C006DB"/>
    <w:rsid w:val="00C116FF"/>
    <w:rsid w:val="00C162CA"/>
    <w:rsid w:val="00C530CB"/>
    <w:rsid w:val="00CC04BE"/>
    <w:rsid w:val="00CC460D"/>
    <w:rsid w:val="00CC47AB"/>
    <w:rsid w:val="00CD3783"/>
    <w:rsid w:val="00CE51A5"/>
    <w:rsid w:val="00CE74D5"/>
    <w:rsid w:val="00D04F4F"/>
    <w:rsid w:val="00D20C7E"/>
    <w:rsid w:val="00D312CB"/>
    <w:rsid w:val="00D70711"/>
    <w:rsid w:val="00D7244B"/>
    <w:rsid w:val="00D8462C"/>
    <w:rsid w:val="00D94767"/>
    <w:rsid w:val="00DC0E2A"/>
    <w:rsid w:val="00DD6298"/>
    <w:rsid w:val="00DF0899"/>
    <w:rsid w:val="00E002D2"/>
    <w:rsid w:val="00E646B3"/>
    <w:rsid w:val="00EC0552"/>
    <w:rsid w:val="00EE0C77"/>
    <w:rsid w:val="00EE1643"/>
    <w:rsid w:val="00F16A46"/>
    <w:rsid w:val="00F72B2F"/>
    <w:rsid w:val="00F82FF5"/>
    <w:rsid w:val="00F93FA8"/>
    <w:rsid w:val="00FB4AE0"/>
    <w:rsid w:val="00FB6C25"/>
    <w:rsid w:val="00FB757E"/>
    <w:rsid w:val="00FC47B2"/>
    <w:rsid w:val="00FD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424C5"/>
    <w:pPr>
      <w:ind w:left="720"/>
      <w:contextualSpacing/>
    </w:pPr>
  </w:style>
  <w:style w:type="paragraph" w:customStyle="1" w:styleId="CharCharChar">
    <w:name w:val="Char Char Char"/>
    <w:basedOn w:val="Normal"/>
    <w:rsid w:val="005C4968"/>
    <w:pPr>
      <w:spacing w:after="160" w:line="240" w:lineRule="exact"/>
    </w:pPr>
    <w:rPr>
      <w:rFonts w:cs="Arial"/>
      <w:sz w:val="20"/>
      <w:szCs w:val="20"/>
      <w:lang w:val="en-US"/>
    </w:rPr>
  </w:style>
  <w:style w:type="character" w:styleId="Hyperlink">
    <w:name w:val="Hyperlink"/>
    <w:rsid w:val="003B5EE3"/>
    <w:rPr>
      <w:color w:val="0000FF"/>
      <w:u w:val="single"/>
    </w:rPr>
  </w:style>
  <w:style w:type="paragraph" w:styleId="EndnoteText">
    <w:name w:val="endnote text"/>
    <w:basedOn w:val="Normal"/>
    <w:link w:val="EndnoteTextChar"/>
    <w:rsid w:val="003B5EE3"/>
    <w:rPr>
      <w:sz w:val="20"/>
      <w:szCs w:val="20"/>
    </w:rPr>
  </w:style>
  <w:style w:type="character" w:customStyle="1" w:styleId="EndnoteTextChar">
    <w:name w:val="Endnote Text Char"/>
    <w:basedOn w:val="DefaultParagraphFont"/>
    <w:link w:val="EndnoteText"/>
    <w:rsid w:val="003B5EE3"/>
    <w:rPr>
      <w:rFonts w:ascii="Arial" w:hAnsi="Arial"/>
      <w:lang w:eastAsia="en-US"/>
    </w:rPr>
  </w:style>
  <w:style w:type="character" w:styleId="EndnoteReference">
    <w:name w:val="endnote reference"/>
    <w:rsid w:val="003B5EE3"/>
    <w:rPr>
      <w:vertAlign w:val="superscript"/>
    </w:rPr>
  </w:style>
  <w:style w:type="paragraph" w:styleId="NormalWeb">
    <w:name w:val="Normal (Web)"/>
    <w:basedOn w:val="Normal"/>
    <w:uiPriority w:val="99"/>
    <w:unhideWhenUsed/>
    <w:rsid w:val="00F72B2F"/>
    <w:pPr>
      <w:spacing w:before="100" w:beforeAutospacing="1" w:after="100" w:afterAutospacing="1"/>
    </w:pPr>
    <w:rPr>
      <w:rFonts w:ascii="Times New Roman" w:hAnsi="Times New Roman"/>
      <w:lang w:val="en-US"/>
    </w:rPr>
  </w:style>
  <w:style w:type="paragraph" w:customStyle="1" w:styleId="Char1">
    <w:name w:val="Char1"/>
    <w:basedOn w:val="Normal"/>
    <w:rsid w:val="000654B2"/>
    <w:pPr>
      <w:spacing w:after="160" w:line="240" w:lineRule="exact"/>
    </w:pPr>
    <w:rPr>
      <w:rFonts w:ascii="Verdana" w:hAnsi="Verdana"/>
      <w:sz w:val="20"/>
      <w:szCs w:val="20"/>
      <w:lang w:val="en-US"/>
    </w:rPr>
  </w:style>
  <w:style w:type="paragraph" w:styleId="Header">
    <w:name w:val="header"/>
    <w:basedOn w:val="Normal"/>
    <w:link w:val="HeaderChar"/>
    <w:rsid w:val="00CE51A5"/>
    <w:pPr>
      <w:tabs>
        <w:tab w:val="center" w:pos="4680"/>
        <w:tab w:val="right" w:pos="9360"/>
      </w:tabs>
    </w:pPr>
  </w:style>
  <w:style w:type="character" w:customStyle="1" w:styleId="HeaderChar">
    <w:name w:val="Header Char"/>
    <w:basedOn w:val="DefaultParagraphFont"/>
    <w:link w:val="Header"/>
    <w:rsid w:val="00CE51A5"/>
    <w:rPr>
      <w:rFonts w:ascii="Arial" w:hAnsi="Arial"/>
      <w:sz w:val="24"/>
      <w:szCs w:val="24"/>
      <w:lang w:eastAsia="en-US"/>
    </w:rPr>
  </w:style>
  <w:style w:type="paragraph" w:styleId="Footer">
    <w:name w:val="footer"/>
    <w:basedOn w:val="Normal"/>
    <w:link w:val="FooterChar"/>
    <w:uiPriority w:val="99"/>
    <w:rsid w:val="00CE51A5"/>
    <w:pPr>
      <w:tabs>
        <w:tab w:val="center" w:pos="4680"/>
        <w:tab w:val="right" w:pos="9360"/>
      </w:tabs>
    </w:pPr>
  </w:style>
  <w:style w:type="character" w:customStyle="1" w:styleId="FooterChar">
    <w:name w:val="Footer Char"/>
    <w:basedOn w:val="DefaultParagraphFont"/>
    <w:link w:val="Footer"/>
    <w:uiPriority w:val="99"/>
    <w:rsid w:val="00CE51A5"/>
    <w:rPr>
      <w:rFonts w:ascii="Arial" w:hAnsi="Arial"/>
      <w:sz w:val="24"/>
      <w:szCs w:val="24"/>
      <w:lang w:eastAsia="en-US"/>
    </w:rPr>
  </w:style>
  <w:style w:type="paragraph" w:styleId="FootnoteText">
    <w:name w:val="footnote text"/>
    <w:basedOn w:val="Normal"/>
    <w:link w:val="FootnoteTextChar"/>
    <w:rsid w:val="00D8462C"/>
    <w:rPr>
      <w:sz w:val="20"/>
      <w:szCs w:val="20"/>
    </w:rPr>
  </w:style>
  <w:style w:type="character" w:customStyle="1" w:styleId="FootnoteTextChar">
    <w:name w:val="Footnote Text Char"/>
    <w:basedOn w:val="DefaultParagraphFont"/>
    <w:link w:val="FootnoteText"/>
    <w:rsid w:val="00D8462C"/>
    <w:rPr>
      <w:rFonts w:ascii="Arial" w:hAnsi="Arial"/>
      <w:lang w:eastAsia="en-US"/>
    </w:rPr>
  </w:style>
  <w:style w:type="character" w:styleId="FootnoteReference">
    <w:name w:val="footnote reference"/>
    <w:basedOn w:val="DefaultParagraphFont"/>
    <w:rsid w:val="00D846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424C5"/>
    <w:pPr>
      <w:ind w:left="720"/>
      <w:contextualSpacing/>
    </w:pPr>
  </w:style>
  <w:style w:type="paragraph" w:customStyle="1" w:styleId="CharCharChar">
    <w:name w:val="Char Char Char"/>
    <w:basedOn w:val="Normal"/>
    <w:rsid w:val="005C4968"/>
    <w:pPr>
      <w:spacing w:after="160" w:line="240" w:lineRule="exact"/>
    </w:pPr>
    <w:rPr>
      <w:rFonts w:cs="Arial"/>
      <w:sz w:val="20"/>
      <w:szCs w:val="20"/>
      <w:lang w:val="en-US"/>
    </w:rPr>
  </w:style>
  <w:style w:type="character" w:styleId="Hyperlink">
    <w:name w:val="Hyperlink"/>
    <w:rsid w:val="003B5EE3"/>
    <w:rPr>
      <w:color w:val="0000FF"/>
      <w:u w:val="single"/>
    </w:rPr>
  </w:style>
  <w:style w:type="paragraph" w:styleId="EndnoteText">
    <w:name w:val="endnote text"/>
    <w:basedOn w:val="Normal"/>
    <w:link w:val="EndnoteTextChar"/>
    <w:rsid w:val="003B5EE3"/>
    <w:rPr>
      <w:sz w:val="20"/>
      <w:szCs w:val="20"/>
    </w:rPr>
  </w:style>
  <w:style w:type="character" w:customStyle="1" w:styleId="EndnoteTextChar">
    <w:name w:val="Endnote Text Char"/>
    <w:basedOn w:val="DefaultParagraphFont"/>
    <w:link w:val="EndnoteText"/>
    <w:rsid w:val="003B5EE3"/>
    <w:rPr>
      <w:rFonts w:ascii="Arial" w:hAnsi="Arial"/>
      <w:lang w:eastAsia="en-US"/>
    </w:rPr>
  </w:style>
  <w:style w:type="character" w:styleId="EndnoteReference">
    <w:name w:val="endnote reference"/>
    <w:rsid w:val="003B5EE3"/>
    <w:rPr>
      <w:vertAlign w:val="superscript"/>
    </w:rPr>
  </w:style>
  <w:style w:type="paragraph" w:styleId="NormalWeb">
    <w:name w:val="Normal (Web)"/>
    <w:basedOn w:val="Normal"/>
    <w:uiPriority w:val="99"/>
    <w:unhideWhenUsed/>
    <w:rsid w:val="00F72B2F"/>
    <w:pPr>
      <w:spacing w:before="100" w:beforeAutospacing="1" w:after="100" w:afterAutospacing="1"/>
    </w:pPr>
    <w:rPr>
      <w:rFonts w:ascii="Times New Roman" w:hAnsi="Times New Roman"/>
      <w:lang w:val="en-US"/>
    </w:rPr>
  </w:style>
  <w:style w:type="paragraph" w:customStyle="1" w:styleId="Char1">
    <w:name w:val="Char1"/>
    <w:basedOn w:val="Normal"/>
    <w:rsid w:val="000654B2"/>
    <w:pPr>
      <w:spacing w:after="160" w:line="240" w:lineRule="exact"/>
    </w:pPr>
    <w:rPr>
      <w:rFonts w:ascii="Verdana" w:hAnsi="Verdana"/>
      <w:sz w:val="20"/>
      <w:szCs w:val="20"/>
      <w:lang w:val="en-US"/>
    </w:rPr>
  </w:style>
  <w:style w:type="paragraph" w:styleId="Header">
    <w:name w:val="header"/>
    <w:basedOn w:val="Normal"/>
    <w:link w:val="HeaderChar"/>
    <w:rsid w:val="00CE51A5"/>
    <w:pPr>
      <w:tabs>
        <w:tab w:val="center" w:pos="4680"/>
        <w:tab w:val="right" w:pos="9360"/>
      </w:tabs>
    </w:pPr>
  </w:style>
  <w:style w:type="character" w:customStyle="1" w:styleId="HeaderChar">
    <w:name w:val="Header Char"/>
    <w:basedOn w:val="DefaultParagraphFont"/>
    <w:link w:val="Header"/>
    <w:rsid w:val="00CE51A5"/>
    <w:rPr>
      <w:rFonts w:ascii="Arial" w:hAnsi="Arial"/>
      <w:sz w:val="24"/>
      <w:szCs w:val="24"/>
      <w:lang w:eastAsia="en-US"/>
    </w:rPr>
  </w:style>
  <w:style w:type="paragraph" w:styleId="Footer">
    <w:name w:val="footer"/>
    <w:basedOn w:val="Normal"/>
    <w:link w:val="FooterChar"/>
    <w:uiPriority w:val="99"/>
    <w:rsid w:val="00CE51A5"/>
    <w:pPr>
      <w:tabs>
        <w:tab w:val="center" w:pos="4680"/>
        <w:tab w:val="right" w:pos="9360"/>
      </w:tabs>
    </w:pPr>
  </w:style>
  <w:style w:type="character" w:customStyle="1" w:styleId="FooterChar">
    <w:name w:val="Footer Char"/>
    <w:basedOn w:val="DefaultParagraphFont"/>
    <w:link w:val="Footer"/>
    <w:uiPriority w:val="99"/>
    <w:rsid w:val="00CE51A5"/>
    <w:rPr>
      <w:rFonts w:ascii="Arial" w:hAnsi="Arial"/>
      <w:sz w:val="24"/>
      <w:szCs w:val="24"/>
      <w:lang w:eastAsia="en-US"/>
    </w:rPr>
  </w:style>
  <w:style w:type="paragraph" w:styleId="FootnoteText">
    <w:name w:val="footnote text"/>
    <w:basedOn w:val="Normal"/>
    <w:link w:val="FootnoteTextChar"/>
    <w:rsid w:val="00D8462C"/>
    <w:rPr>
      <w:sz w:val="20"/>
      <w:szCs w:val="20"/>
    </w:rPr>
  </w:style>
  <w:style w:type="character" w:customStyle="1" w:styleId="FootnoteTextChar">
    <w:name w:val="Footnote Text Char"/>
    <w:basedOn w:val="DefaultParagraphFont"/>
    <w:link w:val="FootnoteText"/>
    <w:rsid w:val="00D8462C"/>
    <w:rPr>
      <w:rFonts w:ascii="Arial" w:hAnsi="Arial"/>
      <w:lang w:eastAsia="en-US"/>
    </w:rPr>
  </w:style>
  <w:style w:type="character" w:styleId="FootnoteReference">
    <w:name w:val="footnote reference"/>
    <w:basedOn w:val="DefaultParagraphFont"/>
    <w:rsid w:val="00D84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64037">
      <w:bodyDiv w:val="1"/>
      <w:marLeft w:val="0"/>
      <w:marRight w:val="0"/>
      <w:marTop w:val="0"/>
      <w:marBottom w:val="0"/>
      <w:divBdr>
        <w:top w:val="none" w:sz="0" w:space="0" w:color="auto"/>
        <w:left w:val="none" w:sz="0" w:space="0" w:color="auto"/>
        <w:bottom w:val="none" w:sz="0" w:space="0" w:color="auto"/>
        <w:right w:val="none" w:sz="0" w:space="0" w:color="auto"/>
      </w:divBdr>
    </w:div>
    <w:div w:id="1970478040">
      <w:bodyDiv w:val="1"/>
      <w:marLeft w:val="0"/>
      <w:marRight w:val="0"/>
      <w:marTop w:val="0"/>
      <w:marBottom w:val="0"/>
      <w:divBdr>
        <w:top w:val="none" w:sz="0" w:space="0" w:color="auto"/>
        <w:left w:val="none" w:sz="0" w:space="0" w:color="auto"/>
        <w:bottom w:val="none" w:sz="0" w:space="0" w:color="auto"/>
        <w:right w:val="none" w:sz="0" w:space="0" w:color="auto"/>
      </w:divBdr>
      <w:divsChild>
        <w:div w:id="1927305645">
          <w:marLeft w:val="0"/>
          <w:marRight w:val="0"/>
          <w:marTop w:val="0"/>
          <w:marBottom w:val="0"/>
          <w:divBdr>
            <w:top w:val="none" w:sz="0" w:space="0" w:color="auto"/>
            <w:left w:val="none" w:sz="0" w:space="0" w:color="auto"/>
            <w:bottom w:val="none" w:sz="0" w:space="0" w:color="auto"/>
            <w:right w:val="none" w:sz="0" w:space="0" w:color="auto"/>
          </w:divBdr>
          <w:divsChild>
            <w:div w:id="1663389134">
              <w:marLeft w:val="0"/>
              <w:marRight w:val="0"/>
              <w:marTop w:val="0"/>
              <w:marBottom w:val="0"/>
              <w:divBdr>
                <w:top w:val="none" w:sz="0" w:space="0" w:color="auto"/>
                <w:left w:val="none" w:sz="0" w:space="0" w:color="auto"/>
                <w:bottom w:val="none" w:sz="0" w:space="0" w:color="auto"/>
                <w:right w:val="none" w:sz="0" w:space="0" w:color="auto"/>
              </w:divBdr>
              <w:divsChild>
                <w:div w:id="150754065">
                  <w:marLeft w:val="0"/>
                  <w:marRight w:val="0"/>
                  <w:marTop w:val="0"/>
                  <w:marBottom w:val="0"/>
                  <w:divBdr>
                    <w:top w:val="none" w:sz="0" w:space="0" w:color="auto"/>
                    <w:left w:val="none" w:sz="0" w:space="0" w:color="auto"/>
                    <w:bottom w:val="none" w:sz="0" w:space="0" w:color="auto"/>
                    <w:right w:val="none" w:sz="0" w:space="0" w:color="auto"/>
                  </w:divBdr>
                  <w:divsChild>
                    <w:div w:id="156893985">
                      <w:marLeft w:val="0"/>
                      <w:marRight w:val="0"/>
                      <w:marTop w:val="0"/>
                      <w:marBottom w:val="0"/>
                      <w:divBdr>
                        <w:top w:val="none" w:sz="0" w:space="0" w:color="auto"/>
                        <w:left w:val="none" w:sz="0" w:space="0" w:color="auto"/>
                        <w:bottom w:val="none" w:sz="0" w:space="0" w:color="auto"/>
                        <w:right w:val="none" w:sz="0" w:space="0" w:color="auto"/>
                      </w:divBdr>
                      <w:divsChild>
                        <w:div w:id="2002541081">
                          <w:marLeft w:val="0"/>
                          <w:marRight w:val="0"/>
                          <w:marTop w:val="0"/>
                          <w:marBottom w:val="0"/>
                          <w:divBdr>
                            <w:top w:val="none" w:sz="0" w:space="0" w:color="auto"/>
                            <w:left w:val="none" w:sz="0" w:space="0" w:color="auto"/>
                            <w:bottom w:val="none" w:sz="0" w:space="0" w:color="auto"/>
                            <w:right w:val="none" w:sz="0" w:space="0" w:color="auto"/>
                          </w:divBdr>
                          <w:divsChild>
                            <w:div w:id="499199095">
                              <w:marLeft w:val="0"/>
                              <w:marRight w:val="0"/>
                              <w:marTop w:val="0"/>
                              <w:marBottom w:val="0"/>
                              <w:divBdr>
                                <w:top w:val="none" w:sz="0" w:space="0" w:color="auto"/>
                                <w:left w:val="none" w:sz="0" w:space="0" w:color="auto"/>
                                <w:bottom w:val="none" w:sz="0" w:space="0" w:color="auto"/>
                                <w:right w:val="none" w:sz="0" w:space="0" w:color="auto"/>
                              </w:divBdr>
                              <w:divsChild>
                                <w:div w:id="16885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cnl.org/about/reports/" TargetMode="External"/><Relationship Id="rId7" Type="http://schemas.openxmlformats.org/officeDocument/2006/relationships/hyperlink" Target="http://www.opengovpartnership.org/" TargetMode="External"/><Relationship Id="rId2" Type="http://schemas.openxmlformats.org/officeDocument/2006/relationships/hyperlink" Target="http://www.odi.org.uk/resources/details.asp?id=2560&amp;title=evaluation-citizens-voice-accountability" TargetMode="External"/><Relationship Id="rId1" Type="http://schemas.openxmlformats.org/officeDocument/2006/relationships/hyperlink" Target="http://www.powercube.net/wp-content/uploads/2009/11/InFocus5.pdf" TargetMode="External"/><Relationship Id="rId6" Type="http://schemas.openxmlformats.org/officeDocument/2006/relationships/hyperlink" Target="http://www.community-democracies.org/" TargetMode="External"/><Relationship Id="rId5" Type="http://schemas.openxmlformats.org/officeDocument/2006/relationships/hyperlink" Target="http://www.dfid.gov.uk/" TargetMode="External"/><Relationship Id="rId4" Type="http://schemas.openxmlformats.org/officeDocument/2006/relationships/hyperlink" Target="http://www.oxfamblogs.org/fp2p/?p=10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Trivedy</dc:creator>
  <cp:keywords/>
  <dc:description/>
  <cp:lastModifiedBy>Roy Trivedy</cp:lastModifiedBy>
  <cp:revision>2</cp:revision>
  <dcterms:created xsi:type="dcterms:W3CDTF">2012-08-21T14:26:00Z</dcterms:created>
  <dcterms:modified xsi:type="dcterms:W3CDTF">2012-08-21T14:26:00Z</dcterms:modified>
</cp:coreProperties>
</file>