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A0973" w14:textId="77777777" w:rsidR="009A60C1" w:rsidRDefault="00813DCA">
      <w:pPr>
        <w:rPr>
          <w:rFonts w:ascii="Arial" w:hAnsi="Arial" w:cs="Arial"/>
          <w:b/>
        </w:rPr>
      </w:pPr>
      <w:r w:rsidRPr="00813DCA">
        <w:rPr>
          <w:rFonts w:ascii="Arial" w:hAnsi="Arial" w:cs="Arial"/>
          <w:b/>
        </w:rPr>
        <w:t>Summary notes from “Aid delivery modalities and approaches” Working Group</w:t>
      </w:r>
      <w:r w:rsidR="00365AB5">
        <w:rPr>
          <w:rFonts w:ascii="Arial" w:hAnsi="Arial" w:cs="Arial"/>
          <w:b/>
        </w:rPr>
        <w:t xml:space="preserve"> Plenary Report</w:t>
      </w:r>
    </w:p>
    <w:p w14:paraId="5EB969C0" w14:textId="77777777" w:rsidR="00813DCA" w:rsidRDefault="00813DCA" w:rsidP="00813DC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Alignment</w:t>
      </w:r>
    </w:p>
    <w:p w14:paraId="0A1AD6F3" w14:textId="77777777" w:rsidR="00813DCA" w:rsidRDefault="00813DCA" w:rsidP="00813DC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3DCA">
        <w:rPr>
          <w:rFonts w:ascii="Arial" w:hAnsi="Arial" w:cs="Arial"/>
        </w:rPr>
        <w:t>Tendency to move more into budget support (in the context of the Paris Declaration)</w:t>
      </w:r>
    </w:p>
    <w:p w14:paraId="42B4E6D8" w14:textId="42FBCA75" w:rsidR="00813DCA" w:rsidRDefault="00813DCA" w:rsidP="00813DC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not to lose the climate dimension with budget support </w:t>
      </w:r>
      <w:proofErr w:type="spellStart"/>
      <w:r>
        <w:rPr>
          <w:rFonts w:ascii="Arial" w:hAnsi="Arial" w:cs="Arial"/>
        </w:rPr>
        <w:t>e.g</w:t>
      </w:r>
      <w:proofErr w:type="spellEnd"/>
      <w:r>
        <w:rPr>
          <w:rFonts w:ascii="Arial" w:hAnsi="Arial" w:cs="Arial"/>
        </w:rPr>
        <w:t xml:space="preserve"> Seychelles </w:t>
      </w:r>
      <w:proofErr w:type="spellStart"/>
      <w:r>
        <w:rPr>
          <w:rFonts w:ascii="Arial" w:hAnsi="Arial" w:cs="Arial"/>
        </w:rPr>
        <w:t>MoFin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MoEnv</w:t>
      </w:r>
      <w:proofErr w:type="spellEnd"/>
      <w:r>
        <w:rPr>
          <w:rFonts w:ascii="Arial" w:hAnsi="Arial" w:cs="Arial"/>
        </w:rPr>
        <w:t xml:space="preserve"> </w:t>
      </w:r>
      <w:r w:rsidR="00D41444">
        <w:rPr>
          <w:rFonts w:ascii="Arial" w:hAnsi="Arial" w:cs="Arial"/>
        </w:rPr>
        <w:t xml:space="preserve">agreed to use </w:t>
      </w:r>
      <w:r>
        <w:rPr>
          <w:rFonts w:ascii="Arial" w:hAnsi="Arial" w:cs="Arial"/>
        </w:rPr>
        <w:t xml:space="preserve">all </w:t>
      </w:r>
      <w:r w:rsidR="00D41444">
        <w:rPr>
          <w:rFonts w:ascii="Arial" w:hAnsi="Arial" w:cs="Arial"/>
        </w:rPr>
        <w:t xml:space="preserve">GCCA funds for </w:t>
      </w:r>
      <w:r>
        <w:rPr>
          <w:rFonts w:ascii="Arial" w:hAnsi="Arial" w:cs="Arial"/>
        </w:rPr>
        <w:t>climate change</w:t>
      </w:r>
    </w:p>
    <w:p w14:paraId="3108B9A5" w14:textId="77777777" w:rsidR="00813DCA" w:rsidRDefault="00813DCA" w:rsidP="00813DC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Risk to lose the money</w:t>
      </w:r>
    </w:p>
    <w:p w14:paraId="36C6CC3A" w14:textId="2AF04538" w:rsidR="00813DCA" w:rsidRDefault="00813DCA" w:rsidP="00813DC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Calendars of different processes make alignment difficult (political / GCCA / other donors) e.g. Burkina Faso: had funds in place so had to use project approach </w:t>
      </w:r>
      <w:r w:rsidR="00D41444">
        <w:rPr>
          <w:rFonts w:ascii="Arial" w:hAnsi="Arial" w:cs="Arial"/>
        </w:rPr>
        <w:t>as there was no time to allow for budget support readiness</w:t>
      </w:r>
      <w:r>
        <w:rPr>
          <w:rFonts w:ascii="Arial" w:hAnsi="Arial" w:cs="Arial"/>
        </w:rPr>
        <w:t xml:space="preserve">; Lesotho: </w:t>
      </w:r>
      <w:r w:rsidR="00D41444">
        <w:rPr>
          <w:rFonts w:ascii="Arial" w:hAnsi="Arial" w:cs="Arial"/>
        </w:rPr>
        <w:t>resorted to use funds as a top-up to existing GBS programme due to time pressures to have Financing Agreement signed</w:t>
      </w:r>
    </w:p>
    <w:p w14:paraId="0395AC62" w14:textId="77777777" w:rsidR="00813DCA" w:rsidRPr="00813DCA" w:rsidRDefault="00813DCA" w:rsidP="00813DC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Harmonisation</w:t>
      </w:r>
    </w:p>
    <w:p w14:paraId="2002E0E1" w14:textId="7AB30874" w:rsidR="00813DCA" w:rsidRDefault="00010E22" w:rsidP="00813DC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Issue of coordination: </w:t>
      </w:r>
      <w:r w:rsidR="00D41444">
        <w:rPr>
          <w:rFonts w:ascii="Arial" w:hAnsi="Arial" w:cs="Arial"/>
        </w:rPr>
        <w:t xml:space="preserve">different donors have different </w:t>
      </w:r>
      <w:r>
        <w:rPr>
          <w:rFonts w:ascii="Arial" w:hAnsi="Arial" w:cs="Arial"/>
        </w:rPr>
        <w:t>approaches</w:t>
      </w:r>
      <w:r w:rsidR="00D41444">
        <w:rPr>
          <w:rFonts w:ascii="Arial" w:hAnsi="Arial" w:cs="Arial"/>
        </w:rPr>
        <w:t>, which does not help to secure harmonisation</w:t>
      </w:r>
    </w:p>
    <w:p w14:paraId="2979D0D6" w14:textId="77777777" w:rsidR="00010E22" w:rsidRDefault="00010E22" w:rsidP="00813DC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Donor priorities leading to duplication and donor fatigue</w:t>
      </w:r>
    </w:p>
    <w:p w14:paraId="414D64F4" w14:textId="70B0802A" w:rsidR="00010E22" w:rsidRDefault="00010E22" w:rsidP="00813DC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Coordination can be ineffective, as not necessarily the donor bringing more money to a sector (lead donor) is the best placed </w:t>
      </w:r>
      <w:r w:rsidR="00D41444">
        <w:rPr>
          <w:rFonts w:ascii="Arial" w:hAnsi="Arial" w:cs="Arial"/>
        </w:rPr>
        <w:t xml:space="preserve">to implement </w:t>
      </w:r>
      <w:r>
        <w:rPr>
          <w:rFonts w:ascii="Arial" w:hAnsi="Arial" w:cs="Arial"/>
        </w:rPr>
        <w:t>(</w:t>
      </w:r>
      <w:r w:rsidR="00D41444">
        <w:rPr>
          <w:rFonts w:ascii="Arial" w:hAnsi="Arial" w:cs="Arial"/>
        </w:rPr>
        <w:t>e.g. management</w:t>
      </w:r>
      <w:r>
        <w:rPr>
          <w:rFonts w:ascii="Arial" w:hAnsi="Arial" w:cs="Arial"/>
        </w:rPr>
        <w:t xml:space="preserve"> issues</w:t>
      </w:r>
      <w:r w:rsidR="00D41444">
        <w:rPr>
          <w:rFonts w:ascii="Arial" w:hAnsi="Arial" w:cs="Arial"/>
        </w:rPr>
        <w:t xml:space="preserve"> may be more burdensome</w:t>
      </w:r>
      <w:r>
        <w:rPr>
          <w:rFonts w:ascii="Arial" w:hAnsi="Arial" w:cs="Arial"/>
        </w:rPr>
        <w:t>)</w:t>
      </w:r>
    </w:p>
    <w:p w14:paraId="5126BBDB" w14:textId="77777777" w:rsidR="00010E22" w:rsidRDefault="00010E22" w:rsidP="00813DC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Various good experiences: (1) Dedicated steering committee on climate change e.g. Guyana wide and deep through membership, part of </w:t>
      </w:r>
      <w:proofErr w:type="spellStart"/>
      <w:r>
        <w:rPr>
          <w:rFonts w:ascii="Arial" w:hAnsi="Arial" w:cs="Arial"/>
        </w:rPr>
        <w:t>MoU</w:t>
      </w:r>
      <w:proofErr w:type="spellEnd"/>
      <w:r>
        <w:rPr>
          <w:rFonts w:ascii="Arial" w:hAnsi="Arial" w:cs="Arial"/>
        </w:rPr>
        <w:t xml:space="preserve"> between </w:t>
      </w:r>
      <w:proofErr w:type="spellStart"/>
      <w:r>
        <w:rPr>
          <w:rFonts w:ascii="Arial" w:hAnsi="Arial" w:cs="Arial"/>
        </w:rPr>
        <w:t>GoG</w:t>
      </w:r>
      <w:proofErr w:type="spellEnd"/>
      <w:r>
        <w:rPr>
          <w:rFonts w:ascii="Arial" w:hAnsi="Arial" w:cs="Arial"/>
        </w:rPr>
        <w:t xml:space="preserve"> and Norway, high level political support chaired by President; (2) Strategy in place on which to base division of labour amongst donors e.g. Caribbean regional strategy.</w:t>
      </w:r>
    </w:p>
    <w:p w14:paraId="5601AAE1" w14:textId="3E31C3E5" w:rsidR="00010E22" w:rsidRPr="00010E22" w:rsidRDefault="00010E22" w:rsidP="00813DC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41735">
        <w:rPr>
          <w:rFonts w:ascii="Arial" w:hAnsi="Arial" w:cs="Arial"/>
        </w:rPr>
        <w:t>Climate change as a sector or only as cross-cutting</w:t>
      </w:r>
      <w:proofErr w:type="gramStart"/>
      <w:r w:rsidR="00D41444" w:rsidRPr="00641735">
        <w:rPr>
          <w:rFonts w:ascii="Arial" w:hAnsi="Arial" w:cs="Arial"/>
        </w:rPr>
        <w:t>?</w:t>
      </w:r>
      <w:r w:rsidRPr="00641735">
        <w:rPr>
          <w:rFonts w:ascii="Arial" w:hAnsi="Arial" w:cs="Arial"/>
        </w:rPr>
        <w:t>:</w:t>
      </w:r>
      <w:proofErr w:type="gramEnd"/>
      <w:r w:rsidRPr="00641735">
        <w:rPr>
          <w:rFonts w:ascii="Arial" w:hAnsi="Arial" w:cs="Arial"/>
        </w:rPr>
        <w:t xml:space="preserve"> no conclusion on this. Also from an EU point of view </w:t>
      </w:r>
      <w:r w:rsidR="00D41444" w:rsidRPr="00641735">
        <w:rPr>
          <w:rFonts w:ascii="Arial" w:hAnsi="Arial" w:cs="Arial"/>
        </w:rPr>
        <w:t xml:space="preserve">it is not clear if ‘climate change’ is an eligible ‘narrowly defined sector’ under the new programming guidelines. In the case of the </w:t>
      </w:r>
      <w:r w:rsidRPr="00641735">
        <w:rPr>
          <w:rFonts w:ascii="Arial" w:hAnsi="Arial" w:cs="Arial"/>
        </w:rPr>
        <w:t>Caribbean climate change impact is quite concrete and evident</w:t>
      </w:r>
      <w:r w:rsidR="00D41444" w:rsidRPr="00641735">
        <w:rPr>
          <w:rFonts w:ascii="Arial" w:hAnsi="Arial" w:cs="Arial"/>
        </w:rPr>
        <w:t>, and thus it is</w:t>
      </w:r>
      <w:r w:rsidR="00D41444">
        <w:rPr>
          <w:rFonts w:ascii="Arial" w:hAnsi="Arial" w:cs="Arial"/>
        </w:rPr>
        <w:t xml:space="preserve"> easy to envisage ‘climate change’ as a sector in itself.</w:t>
      </w:r>
    </w:p>
    <w:p w14:paraId="19057047" w14:textId="77777777" w:rsidR="00010E22" w:rsidRDefault="00010E22" w:rsidP="00010E2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Indicators</w:t>
      </w:r>
    </w:p>
    <w:p w14:paraId="00B114E9" w14:textId="77777777" w:rsidR="00010E22" w:rsidRDefault="00010E22" w:rsidP="00010E2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General Budget Support: mostly process indicators e.g. setting up climate change committee, passing laws…</w:t>
      </w:r>
    </w:p>
    <w:p w14:paraId="247BDC34" w14:textId="77777777" w:rsidR="00010E22" w:rsidRDefault="00010E22" w:rsidP="00010E2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Some countries are looking at outcome indicators e.g. Lesotho, and/or taking these from national strategies. This is good but not always possible</w:t>
      </w:r>
      <w:r w:rsidR="00365AB5">
        <w:rPr>
          <w:rFonts w:ascii="Arial" w:hAnsi="Arial" w:cs="Arial"/>
        </w:rPr>
        <w:t>, depending how advanced climate change process has advanced in the country</w:t>
      </w:r>
    </w:p>
    <w:p w14:paraId="3EBB7B27" w14:textId="77777777" w:rsidR="00365AB5" w:rsidRDefault="00365AB5" w:rsidP="00010E2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SMART indicators. National structures to implement indicators can be an issue. Also associated baseline (quality, credibility – examples from Bhutan, Lesotho and Jamaica where this is an issue). TA can be helpful here to assist with selecting and setting indicators e.g. Bhutan</w:t>
      </w:r>
    </w:p>
    <w:p w14:paraId="3970585A" w14:textId="77777777" w:rsidR="00365AB5" w:rsidRDefault="00365AB5" w:rsidP="00010E2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GCCA can fund primary data collection / monitoring systems e.g. Lesotho.</w:t>
      </w:r>
    </w:p>
    <w:p w14:paraId="25FA5A4D" w14:textId="77777777" w:rsidR="00365AB5" w:rsidRDefault="00365AB5" w:rsidP="00010E2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Note Link with Alignment – “losing the money” / role of indicators in delays</w:t>
      </w:r>
    </w:p>
    <w:p w14:paraId="3694D66A" w14:textId="77777777" w:rsidR="00641735" w:rsidRDefault="0064173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66FB24" w14:textId="113843FC" w:rsidR="00365AB5" w:rsidRDefault="00365AB5" w:rsidP="00365A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>Management</w:t>
      </w:r>
    </w:p>
    <w:p w14:paraId="59BD4C46" w14:textId="307EDE52" w:rsidR="00365AB5" w:rsidRPr="00641735" w:rsidRDefault="00365AB5" w:rsidP="00365AB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41735">
        <w:rPr>
          <w:rFonts w:ascii="Arial" w:hAnsi="Arial" w:cs="Arial"/>
        </w:rPr>
        <w:t xml:space="preserve">Positive: use of TA to support processes (e.g. Bhutan on defining indicators); planners and climate change ministry representatives coming together at GCCA mainstreaming workshops; allow for strengthening, project components to prepare for budget support – </w:t>
      </w:r>
      <w:r w:rsidR="000C05A1" w:rsidRPr="00641735">
        <w:rPr>
          <w:rFonts w:ascii="Arial" w:hAnsi="Arial" w:cs="Arial"/>
        </w:rPr>
        <w:t xml:space="preserve">TA </w:t>
      </w:r>
      <w:r w:rsidRPr="00641735">
        <w:rPr>
          <w:rFonts w:ascii="Arial" w:hAnsi="Arial" w:cs="Arial"/>
        </w:rPr>
        <w:t>can be incorporated into GCCA supported programmes</w:t>
      </w:r>
    </w:p>
    <w:p w14:paraId="4E23FC1C" w14:textId="0E23CD9A" w:rsidR="00365AB5" w:rsidRPr="00641735" w:rsidRDefault="00365AB5" w:rsidP="00365AB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41735">
        <w:rPr>
          <w:rFonts w:ascii="Arial" w:hAnsi="Arial" w:cs="Arial"/>
        </w:rPr>
        <w:t>Negative: Ownership compromised because of heavy admin</w:t>
      </w:r>
      <w:r w:rsidR="000C05A1" w:rsidRPr="00641735">
        <w:rPr>
          <w:rFonts w:ascii="Arial" w:hAnsi="Arial" w:cs="Arial"/>
        </w:rPr>
        <w:t>istrative</w:t>
      </w:r>
      <w:r w:rsidRPr="00641735">
        <w:rPr>
          <w:rFonts w:ascii="Arial" w:hAnsi="Arial" w:cs="Arial"/>
        </w:rPr>
        <w:t xml:space="preserve"> procedures, which with capacities in EUDs has implications for selected implementation modality; Lack of awareness of procedures can lead to missed opportunities; tight calendars in the IF/AF procedure for funding approvals leads to little time for detailed consultations</w:t>
      </w:r>
    </w:p>
    <w:p w14:paraId="558BA07A" w14:textId="77777777" w:rsidR="00365AB5" w:rsidRPr="00641735" w:rsidRDefault="00365AB5" w:rsidP="00365A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41735">
        <w:rPr>
          <w:rFonts w:ascii="Arial" w:hAnsi="Arial" w:cs="Arial"/>
        </w:rPr>
        <w:t>General</w:t>
      </w:r>
    </w:p>
    <w:p w14:paraId="68984E25" w14:textId="77777777" w:rsidR="00365AB5" w:rsidRPr="00641735" w:rsidRDefault="00DA0545" w:rsidP="00365AB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41735">
        <w:rPr>
          <w:rFonts w:ascii="Arial" w:hAnsi="Arial" w:cs="Arial"/>
        </w:rPr>
        <w:t>Sharing of experiences (at the GLE) through networking found to be useful in defining modality</w:t>
      </w:r>
    </w:p>
    <w:sectPr w:rsidR="00365AB5" w:rsidRPr="0064173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F21FF" w14:textId="77777777" w:rsidR="00813DCA" w:rsidRDefault="00813DCA" w:rsidP="00813DCA">
      <w:pPr>
        <w:spacing w:after="0" w:line="240" w:lineRule="auto"/>
      </w:pPr>
      <w:r>
        <w:separator/>
      </w:r>
    </w:p>
  </w:endnote>
  <w:endnote w:type="continuationSeparator" w:id="0">
    <w:p w14:paraId="7A245576" w14:textId="77777777" w:rsidR="00813DCA" w:rsidRDefault="00813DCA" w:rsidP="00813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ADBE0" w14:textId="77777777" w:rsidR="00813DCA" w:rsidRDefault="00813DCA" w:rsidP="00813DCA">
      <w:pPr>
        <w:spacing w:after="0" w:line="240" w:lineRule="auto"/>
      </w:pPr>
      <w:r>
        <w:separator/>
      </w:r>
    </w:p>
  </w:footnote>
  <w:footnote w:type="continuationSeparator" w:id="0">
    <w:p w14:paraId="5853AED8" w14:textId="77777777" w:rsidR="00813DCA" w:rsidRDefault="00813DCA" w:rsidP="00813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28" w:type="dxa"/>
      <w:tblInd w:w="-176" w:type="dxa"/>
      <w:tblLook w:val="04A0" w:firstRow="1" w:lastRow="0" w:firstColumn="1" w:lastColumn="0" w:noHBand="0" w:noVBand="1"/>
    </w:tblPr>
    <w:tblGrid>
      <w:gridCol w:w="2119"/>
      <w:gridCol w:w="5633"/>
      <w:gridCol w:w="2076"/>
    </w:tblGrid>
    <w:tr w:rsidR="00813DCA" w:rsidRPr="001B44B1" w14:paraId="33DCA4FC" w14:textId="77777777" w:rsidTr="007D4C82">
      <w:trPr>
        <w:trHeight w:val="1337"/>
      </w:trPr>
      <w:tc>
        <w:tcPr>
          <w:tcW w:w="2119" w:type="dxa"/>
          <w:shd w:val="clear" w:color="auto" w:fill="auto"/>
        </w:tcPr>
        <w:p w14:paraId="28A1C6D6" w14:textId="77777777" w:rsidR="00813DCA" w:rsidRPr="001B44B1" w:rsidRDefault="00813DCA" w:rsidP="007D4C82">
          <w:pPr>
            <w:pStyle w:val="Header"/>
            <w:tabs>
              <w:tab w:val="clear" w:pos="4513"/>
            </w:tabs>
            <w:jc w:val="center"/>
            <w:rPr>
              <w:rFonts w:ascii="Arial" w:hAnsi="Arial" w:cs="Arial"/>
              <w:color w:val="333333"/>
              <w:sz w:val="18"/>
              <w:szCs w:val="18"/>
            </w:rPr>
          </w:pPr>
        </w:p>
        <w:p w14:paraId="6155D981" w14:textId="77777777" w:rsidR="00813DCA" w:rsidRPr="001B44B1" w:rsidRDefault="00813DCA" w:rsidP="007D4C82">
          <w:pPr>
            <w:pStyle w:val="Header"/>
            <w:tabs>
              <w:tab w:val="clear" w:pos="4513"/>
            </w:tabs>
            <w:rPr>
              <w:rFonts w:ascii="Arial" w:hAnsi="Arial" w:cs="Arial"/>
              <w:color w:val="333333"/>
              <w:sz w:val="18"/>
              <w:szCs w:val="18"/>
            </w:rPr>
          </w:pPr>
          <w:r>
            <w:rPr>
              <w:rFonts w:ascii="Arial" w:hAnsi="Arial" w:cs="Arial"/>
              <w:noProof/>
              <w:color w:val="333333"/>
              <w:sz w:val="18"/>
              <w:szCs w:val="18"/>
              <w:lang w:eastAsia="en-GB"/>
            </w:rPr>
            <w:drawing>
              <wp:inline distT="0" distB="0" distL="0" distR="0" wp14:anchorId="2EDCF803" wp14:editId="6E23592A">
                <wp:extent cx="980440" cy="667385"/>
                <wp:effectExtent l="0" t="0" r="0" b="0"/>
                <wp:docPr id="2" name="Picture 2" descr="logo_ce-en-rvb-l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e-en-rvb-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044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3" w:type="dxa"/>
          <w:shd w:val="clear" w:color="auto" w:fill="auto"/>
        </w:tcPr>
        <w:p w14:paraId="35861AEE" w14:textId="77777777" w:rsidR="00813DCA" w:rsidRPr="001B44B1" w:rsidRDefault="00813DCA" w:rsidP="007D4C82">
          <w:pPr>
            <w:pStyle w:val="Header"/>
            <w:tabs>
              <w:tab w:val="clear" w:pos="4513"/>
            </w:tabs>
            <w:jc w:val="center"/>
            <w:rPr>
              <w:rFonts w:ascii="Arial" w:hAnsi="Arial" w:cs="Arial"/>
              <w:color w:val="333333"/>
              <w:sz w:val="18"/>
              <w:szCs w:val="18"/>
            </w:rPr>
          </w:pPr>
        </w:p>
        <w:p w14:paraId="74C3F9F8" w14:textId="77777777" w:rsidR="00813DCA" w:rsidRDefault="00813DCA" w:rsidP="007D4C82">
          <w:pPr>
            <w:pStyle w:val="Header"/>
            <w:tabs>
              <w:tab w:val="clear" w:pos="4513"/>
            </w:tabs>
            <w:ind w:right="-250"/>
            <w:jc w:val="center"/>
            <w:rPr>
              <w:rFonts w:ascii="Verdana" w:hAnsi="Verdana" w:cs="Arial"/>
              <w:b/>
              <w:color w:val="333333"/>
            </w:rPr>
          </w:pPr>
          <w:r w:rsidRPr="001B44B1">
            <w:rPr>
              <w:rFonts w:ascii="Verdana" w:hAnsi="Verdana" w:cs="Arial"/>
              <w:b/>
              <w:color w:val="333333"/>
            </w:rPr>
            <w:t>Global Climate Change Alliance</w:t>
          </w:r>
        </w:p>
        <w:p w14:paraId="1D59934F" w14:textId="77777777" w:rsidR="00813DCA" w:rsidRPr="000E494B" w:rsidRDefault="00813DCA" w:rsidP="007D4C82">
          <w:pPr>
            <w:pStyle w:val="Header"/>
            <w:tabs>
              <w:tab w:val="clear" w:pos="4513"/>
            </w:tabs>
            <w:ind w:right="-250"/>
            <w:jc w:val="center"/>
            <w:rPr>
              <w:rFonts w:ascii="Verdana" w:hAnsi="Verdana" w:cs="Arial"/>
              <w:b/>
              <w:color w:val="333333"/>
            </w:rPr>
          </w:pPr>
          <w:r w:rsidRPr="00137D2A">
            <w:rPr>
              <w:rFonts w:ascii="Arial" w:hAnsi="Arial" w:cs="Arial"/>
              <w:b/>
              <w:color w:val="333333"/>
            </w:rPr>
            <w:t>- Global Learning Event</w:t>
          </w:r>
          <w:r>
            <w:rPr>
              <w:rFonts w:ascii="Arial" w:hAnsi="Arial" w:cs="Arial"/>
              <w:b/>
              <w:color w:val="333333"/>
            </w:rPr>
            <w:t xml:space="preserve"> 2012</w:t>
          </w:r>
        </w:p>
        <w:p w14:paraId="10750D0D" w14:textId="77777777" w:rsidR="00813DCA" w:rsidRPr="001B44B1" w:rsidRDefault="00813DCA" w:rsidP="007D4C82">
          <w:pPr>
            <w:pStyle w:val="Header"/>
            <w:tabs>
              <w:tab w:val="clear" w:pos="4513"/>
            </w:tabs>
            <w:jc w:val="center"/>
            <w:rPr>
              <w:rFonts w:ascii="Arial" w:hAnsi="Arial" w:cs="Arial"/>
              <w:color w:val="333333"/>
              <w:sz w:val="18"/>
              <w:szCs w:val="18"/>
            </w:rPr>
          </w:pPr>
          <w:r>
            <w:rPr>
              <w:rFonts w:ascii="Arial" w:hAnsi="Arial" w:cs="Arial"/>
              <w:b/>
              <w:color w:val="333333"/>
              <w:sz w:val="18"/>
              <w:szCs w:val="18"/>
            </w:rPr>
            <w:t xml:space="preserve">Brussels </w:t>
          </w:r>
          <w:r w:rsidRPr="00137D2A">
            <w:rPr>
              <w:rFonts w:ascii="Arial" w:hAnsi="Arial" w:cs="Arial"/>
              <w:b/>
              <w:color w:val="333333"/>
              <w:sz w:val="18"/>
              <w:szCs w:val="18"/>
            </w:rPr>
            <w:t>12-14</w:t>
          </w:r>
          <w:r w:rsidRPr="00F7628D">
            <w:rPr>
              <w:rFonts w:ascii="Arial" w:hAnsi="Arial" w:cs="Arial"/>
              <w:b/>
              <w:color w:val="333333"/>
              <w:sz w:val="18"/>
              <w:szCs w:val="18"/>
              <w:vertAlign w:val="superscript"/>
            </w:rPr>
            <w:t>th</w:t>
          </w:r>
          <w:r>
            <w:rPr>
              <w:rFonts w:ascii="Arial" w:hAnsi="Arial" w:cs="Arial"/>
              <w:b/>
              <w:color w:val="333333"/>
              <w:sz w:val="18"/>
              <w:szCs w:val="18"/>
            </w:rPr>
            <w:t xml:space="preserve"> </w:t>
          </w:r>
          <w:r w:rsidRPr="00137D2A">
            <w:rPr>
              <w:rFonts w:ascii="Arial" w:hAnsi="Arial" w:cs="Arial"/>
              <w:b/>
              <w:color w:val="333333"/>
              <w:sz w:val="18"/>
              <w:szCs w:val="18"/>
            </w:rPr>
            <w:t>September</w:t>
          </w:r>
        </w:p>
      </w:tc>
      <w:tc>
        <w:tcPr>
          <w:tcW w:w="2076" w:type="dxa"/>
          <w:shd w:val="clear" w:color="auto" w:fill="auto"/>
        </w:tcPr>
        <w:p w14:paraId="75826CE8" w14:textId="77777777" w:rsidR="00813DCA" w:rsidRPr="001B44B1" w:rsidRDefault="00813DCA" w:rsidP="007D4C82">
          <w:pPr>
            <w:pStyle w:val="Header"/>
            <w:tabs>
              <w:tab w:val="clear" w:pos="4513"/>
            </w:tabs>
            <w:jc w:val="center"/>
            <w:rPr>
              <w:rFonts w:ascii="Arial" w:hAnsi="Arial" w:cs="Arial"/>
              <w:color w:val="333333"/>
              <w:sz w:val="18"/>
              <w:szCs w:val="18"/>
            </w:rPr>
          </w:pPr>
        </w:p>
        <w:p w14:paraId="27990189" w14:textId="77777777" w:rsidR="00813DCA" w:rsidRPr="001B44B1" w:rsidRDefault="00813DCA" w:rsidP="007D4C82">
          <w:pPr>
            <w:pStyle w:val="Header"/>
            <w:tabs>
              <w:tab w:val="clear" w:pos="4513"/>
            </w:tabs>
            <w:jc w:val="center"/>
            <w:rPr>
              <w:rFonts w:ascii="Arial" w:hAnsi="Arial" w:cs="Arial"/>
              <w:color w:val="333333"/>
              <w:sz w:val="18"/>
              <w:szCs w:val="18"/>
            </w:rPr>
          </w:pPr>
          <w:r>
            <w:rPr>
              <w:rFonts w:ascii="Arial" w:hAnsi="Arial" w:cs="Arial"/>
              <w:noProof/>
              <w:color w:val="333333"/>
              <w:sz w:val="18"/>
              <w:szCs w:val="18"/>
              <w:lang w:eastAsia="en-GB"/>
            </w:rPr>
            <w:drawing>
              <wp:inline distT="0" distB="0" distL="0" distR="0" wp14:anchorId="5D20846F" wp14:editId="438590FB">
                <wp:extent cx="831850" cy="667385"/>
                <wp:effectExtent l="0" t="0" r="6350" b="0"/>
                <wp:docPr id="1" name="Picture 1" descr="GCCA-logo-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CCA-logo-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B22493" w14:textId="77777777" w:rsidR="00813DCA" w:rsidRDefault="00813DCA" w:rsidP="00813D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70CFC"/>
    <w:multiLevelType w:val="hybridMultilevel"/>
    <w:tmpl w:val="38207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D4A5B"/>
    <w:multiLevelType w:val="hybridMultilevel"/>
    <w:tmpl w:val="AF861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CA"/>
    <w:rsid w:val="00010E22"/>
    <w:rsid w:val="000C05A1"/>
    <w:rsid w:val="00365AB5"/>
    <w:rsid w:val="00641735"/>
    <w:rsid w:val="007A52AF"/>
    <w:rsid w:val="00813DCA"/>
    <w:rsid w:val="009A60C1"/>
    <w:rsid w:val="00D41444"/>
    <w:rsid w:val="00DA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7C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DCA"/>
  </w:style>
  <w:style w:type="paragraph" w:styleId="Footer">
    <w:name w:val="footer"/>
    <w:basedOn w:val="Normal"/>
    <w:link w:val="FooterChar"/>
    <w:uiPriority w:val="99"/>
    <w:unhideWhenUsed/>
    <w:rsid w:val="00813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DCA"/>
  </w:style>
  <w:style w:type="paragraph" w:styleId="BalloonText">
    <w:name w:val="Balloon Text"/>
    <w:basedOn w:val="Normal"/>
    <w:link w:val="BalloonTextChar"/>
    <w:uiPriority w:val="99"/>
    <w:semiHidden/>
    <w:unhideWhenUsed/>
    <w:rsid w:val="0081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3D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DCA"/>
  </w:style>
  <w:style w:type="paragraph" w:styleId="Footer">
    <w:name w:val="footer"/>
    <w:basedOn w:val="Normal"/>
    <w:link w:val="FooterChar"/>
    <w:uiPriority w:val="99"/>
    <w:unhideWhenUsed/>
    <w:rsid w:val="00813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DCA"/>
  </w:style>
  <w:style w:type="paragraph" w:styleId="BalloonText">
    <w:name w:val="Balloon Text"/>
    <w:basedOn w:val="Normal"/>
    <w:link w:val="BalloonTextChar"/>
    <w:uiPriority w:val="99"/>
    <w:semiHidden/>
    <w:unhideWhenUsed/>
    <w:rsid w:val="0081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3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Futter</dc:creator>
  <cp:lastModifiedBy>Mark Futter</cp:lastModifiedBy>
  <cp:revision>2</cp:revision>
  <dcterms:created xsi:type="dcterms:W3CDTF">2012-09-21T12:39:00Z</dcterms:created>
  <dcterms:modified xsi:type="dcterms:W3CDTF">2012-09-21T12:39:00Z</dcterms:modified>
</cp:coreProperties>
</file>