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B2D4F9" w14:textId="77777777" w:rsidR="005B0515" w:rsidRDefault="005B0515">
      <w:pPr>
        <w:rPr>
          <w:b/>
        </w:rPr>
      </w:pPr>
    </w:p>
    <w:p w14:paraId="530C166A" w14:textId="77777777" w:rsidR="00285969" w:rsidRPr="00476969" w:rsidRDefault="00476969">
      <w:pPr>
        <w:rPr>
          <w:b/>
        </w:rPr>
      </w:pPr>
      <w:r w:rsidRPr="00476969">
        <w:rPr>
          <w:b/>
        </w:rPr>
        <w:t>Coral bleaching and coastal hazard forecasting service</w:t>
      </w:r>
    </w:p>
    <w:p w14:paraId="11C4B268" w14:textId="77777777" w:rsidR="00476969" w:rsidRDefault="00476969"/>
    <w:p w14:paraId="08437BDC" w14:textId="1BA32B90" w:rsidR="00740957" w:rsidRPr="00740957" w:rsidRDefault="00740957">
      <w:pPr>
        <w:rPr>
          <w:i/>
          <w:sz w:val="22"/>
          <w:szCs w:val="22"/>
        </w:rPr>
      </w:pPr>
      <w:r w:rsidRPr="00740957">
        <w:rPr>
          <w:i/>
          <w:sz w:val="22"/>
          <w:szCs w:val="22"/>
        </w:rPr>
        <w:t>This document has been circulated to UNESCO-IOC, WIOMSA, ICPAC, GMES Africa/BRAGMA.</w:t>
      </w:r>
    </w:p>
    <w:p w14:paraId="121A7264" w14:textId="77777777" w:rsidR="00740957" w:rsidRDefault="00740957"/>
    <w:p w14:paraId="41FD07B6" w14:textId="0A69355A" w:rsidR="00476969" w:rsidRPr="005B0515" w:rsidRDefault="00476969">
      <w:pPr>
        <w:rPr>
          <w:sz w:val="22"/>
          <w:szCs w:val="22"/>
        </w:rPr>
      </w:pPr>
      <w:r w:rsidRPr="005B0515">
        <w:rPr>
          <w:sz w:val="22"/>
          <w:szCs w:val="22"/>
        </w:rPr>
        <w:t>The coral bleaching component of this system has been developed by CORDIO East Africa and operational since 2007, and has been evaluated for accuracy in two stages – up to 2010 (Obura et al, in review) and up to 2012 (Obura &amp; Gamoyo, in prep.). In a project funded by the Western Indian Ocean Marine Science Association and in collaboration with the Kenya Meteorological Department (KMD), the International Union for the Conservation of Nature (IUCN)</w:t>
      </w:r>
      <w:r w:rsidR="00661699">
        <w:rPr>
          <w:sz w:val="22"/>
          <w:szCs w:val="22"/>
        </w:rPr>
        <w:t xml:space="preserve">, </w:t>
      </w:r>
      <w:r w:rsidRPr="005B0515">
        <w:rPr>
          <w:sz w:val="22"/>
          <w:szCs w:val="22"/>
        </w:rPr>
        <w:t>and the University of Cape Town (UCT), we have undertaken trials to broaden the approach to identify the key climate hazards to which coastal communities are vulnerable (extreme rain and wind events, drought), and develop tools to also generate useful fore</w:t>
      </w:r>
      <w:r w:rsidR="00661699">
        <w:rPr>
          <w:sz w:val="22"/>
          <w:szCs w:val="22"/>
        </w:rPr>
        <w:t xml:space="preserve">casts for these (dry/wet spells, extreme </w:t>
      </w:r>
      <w:r w:rsidRPr="005B0515">
        <w:rPr>
          <w:sz w:val="22"/>
          <w:szCs w:val="22"/>
        </w:rPr>
        <w:t>wind</w:t>
      </w:r>
      <w:r w:rsidR="00661699">
        <w:rPr>
          <w:sz w:val="22"/>
          <w:szCs w:val="22"/>
        </w:rPr>
        <w:t>/rain/drought</w:t>
      </w:r>
      <w:r w:rsidRPr="005B0515">
        <w:rPr>
          <w:sz w:val="22"/>
          <w:szCs w:val="22"/>
        </w:rPr>
        <w:t>).</w:t>
      </w:r>
    </w:p>
    <w:p w14:paraId="231DB958" w14:textId="77777777" w:rsidR="00476969" w:rsidRPr="005B0515" w:rsidRDefault="00476969">
      <w:pPr>
        <w:rPr>
          <w:sz w:val="22"/>
          <w:szCs w:val="22"/>
        </w:rPr>
      </w:pPr>
    </w:p>
    <w:p w14:paraId="465C31D8" w14:textId="603CAA04" w:rsidR="00476969" w:rsidRPr="005B0515" w:rsidRDefault="00476969">
      <w:pPr>
        <w:rPr>
          <w:sz w:val="22"/>
          <w:szCs w:val="22"/>
        </w:rPr>
      </w:pPr>
      <w:r w:rsidRPr="005B0515">
        <w:rPr>
          <w:sz w:val="22"/>
          <w:szCs w:val="22"/>
        </w:rPr>
        <w:t xml:space="preserve">This document </w:t>
      </w:r>
      <w:r w:rsidR="005B0515" w:rsidRPr="005B0515">
        <w:rPr>
          <w:sz w:val="22"/>
          <w:szCs w:val="22"/>
        </w:rPr>
        <w:t>gives some background on</w:t>
      </w:r>
      <w:r w:rsidRPr="005B0515">
        <w:rPr>
          <w:sz w:val="22"/>
          <w:szCs w:val="22"/>
        </w:rPr>
        <w:t xml:space="preserve"> how this system could be expanded and rolled out at a regional level, and including the following key components. </w:t>
      </w:r>
    </w:p>
    <w:p w14:paraId="01027BC9" w14:textId="148C452A" w:rsidR="00ED7237" w:rsidRDefault="00ED7237" w:rsidP="00476969">
      <w:pPr>
        <w:pStyle w:val="ListParagraph"/>
        <w:numPr>
          <w:ilvl w:val="0"/>
          <w:numId w:val="1"/>
        </w:numPr>
        <w:rPr>
          <w:sz w:val="22"/>
          <w:szCs w:val="22"/>
        </w:rPr>
      </w:pPr>
      <w:r>
        <w:rPr>
          <w:sz w:val="22"/>
          <w:szCs w:val="22"/>
        </w:rPr>
        <w:t xml:space="preserve">Consolidation of coral bleaching forecasting with pilot components on dry/wet spells, extreme </w:t>
      </w:r>
      <w:r w:rsidRPr="005B0515">
        <w:rPr>
          <w:sz w:val="22"/>
          <w:szCs w:val="22"/>
        </w:rPr>
        <w:t>wind</w:t>
      </w:r>
      <w:r>
        <w:rPr>
          <w:sz w:val="22"/>
          <w:szCs w:val="22"/>
        </w:rPr>
        <w:t>/rain/drought;</w:t>
      </w:r>
    </w:p>
    <w:p w14:paraId="59F1133E" w14:textId="3875AD8C" w:rsidR="00476969" w:rsidRPr="005B0515" w:rsidRDefault="00476969" w:rsidP="00476969">
      <w:pPr>
        <w:pStyle w:val="ListParagraph"/>
        <w:numPr>
          <w:ilvl w:val="0"/>
          <w:numId w:val="1"/>
        </w:numPr>
        <w:rPr>
          <w:sz w:val="22"/>
          <w:szCs w:val="22"/>
        </w:rPr>
      </w:pPr>
      <w:r w:rsidRPr="005B0515">
        <w:rPr>
          <w:sz w:val="22"/>
          <w:szCs w:val="22"/>
        </w:rPr>
        <w:t>improved stakeholder involvement</w:t>
      </w:r>
      <w:r w:rsidR="00661699">
        <w:rPr>
          <w:sz w:val="22"/>
          <w:szCs w:val="22"/>
        </w:rPr>
        <w:t xml:space="preserve"> and ground reporting stations,</w:t>
      </w:r>
      <w:r w:rsidRPr="005B0515">
        <w:rPr>
          <w:sz w:val="22"/>
          <w:szCs w:val="22"/>
        </w:rPr>
        <w:t xml:space="preserve"> to provide confirmations of forecasted events that allows improving</w:t>
      </w:r>
      <w:r w:rsidR="00661699">
        <w:rPr>
          <w:sz w:val="22"/>
          <w:szCs w:val="22"/>
        </w:rPr>
        <w:t xml:space="preserve"> the</w:t>
      </w:r>
      <w:r w:rsidRPr="005B0515">
        <w:rPr>
          <w:sz w:val="22"/>
          <w:szCs w:val="22"/>
        </w:rPr>
        <w:t xml:space="preserve"> skill of the system;</w:t>
      </w:r>
    </w:p>
    <w:p w14:paraId="107C2152" w14:textId="5E6C4B85" w:rsidR="00476969" w:rsidRPr="005B0515" w:rsidRDefault="00476969" w:rsidP="00476969">
      <w:pPr>
        <w:pStyle w:val="ListParagraph"/>
        <w:numPr>
          <w:ilvl w:val="0"/>
          <w:numId w:val="1"/>
        </w:numPr>
        <w:rPr>
          <w:sz w:val="22"/>
          <w:szCs w:val="22"/>
        </w:rPr>
      </w:pPr>
      <w:r w:rsidRPr="005B0515">
        <w:rPr>
          <w:sz w:val="22"/>
          <w:szCs w:val="22"/>
        </w:rPr>
        <w:t>integration with regional and distant climate infor</w:t>
      </w:r>
      <w:r w:rsidR="00661699">
        <w:rPr>
          <w:sz w:val="22"/>
          <w:szCs w:val="22"/>
        </w:rPr>
        <w:t>mation service providers (</w:t>
      </w:r>
      <w:r w:rsidRPr="005B0515">
        <w:rPr>
          <w:sz w:val="22"/>
          <w:szCs w:val="22"/>
        </w:rPr>
        <w:t>GHACOF</w:t>
      </w:r>
      <w:r w:rsidR="00661699">
        <w:rPr>
          <w:sz w:val="22"/>
          <w:szCs w:val="22"/>
        </w:rPr>
        <w:t>/ICPAC</w:t>
      </w:r>
      <w:r w:rsidRPr="005B0515">
        <w:rPr>
          <w:sz w:val="22"/>
          <w:szCs w:val="22"/>
        </w:rPr>
        <w:t>, SARCOF and SWIOCOF)</w:t>
      </w:r>
    </w:p>
    <w:p w14:paraId="0516FA92" w14:textId="6E7794BF" w:rsidR="00476969" w:rsidRPr="005B0515" w:rsidRDefault="00476969" w:rsidP="00476969">
      <w:pPr>
        <w:pStyle w:val="ListParagraph"/>
        <w:numPr>
          <w:ilvl w:val="0"/>
          <w:numId w:val="1"/>
        </w:numPr>
        <w:rPr>
          <w:sz w:val="22"/>
          <w:szCs w:val="22"/>
        </w:rPr>
      </w:pPr>
      <w:r w:rsidRPr="005B0515">
        <w:rPr>
          <w:sz w:val="22"/>
          <w:szCs w:val="22"/>
        </w:rPr>
        <w:t>integration at national levels with meteorological departments and disaster response networks.</w:t>
      </w:r>
    </w:p>
    <w:p w14:paraId="5D9753DB" w14:textId="77777777" w:rsidR="00476969" w:rsidRPr="005B0515" w:rsidRDefault="00476969" w:rsidP="00476969">
      <w:pPr>
        <w:rPr>
          <w:sz w:val="22"/>
          <w:szCs w:val="22"/>
        </w:rPr>
      </w:pPr>
    </w:p>
    <w:p w14:paraId="1178E7D5" w14:textId="47C4C0F9" w:rsidR="00DA35B7" w:rsidRPr="005B0515" w:rsidRDefault="00476969" w:rsidP="00DA35B7">
      <w:pPr>
        <w:rPr>
          <w:sz w:val="22"/>
          <w:szCs w:val="22"/>
        </w:rPr>
      </w:pPr>
      <w:r w:rsidRPr="005B0515">
        <w:rPr>
          <w:sz w:val="22"/>
          <w:szCs w:val="22"/>
        </w:rPr>
        <w:t>The relevance of this forecasting system to coastal communities and economies of the region is high, and has been discussed at the following regional fora</w:t>
      </w:r>
      <w:r w:rsidR="00DA35B7" w:rsidRPr="005B0515">
        <w:rPr>
          <w:sz w:val="22"/>
          <w:szCs w:val="22"/>
        </w:rPr>
        <w:t xml:space="preserve">. </w:t>
      </w:r>
    </w:p>
    <w:p w14:paraId="66627FBD" w14:textId="7D963AE4" w:rsidR="00476969" w:rsidRPr="005B0515" w:rsidRDefault="00D55862" w:rsidP="00D55862">
      <w:pPr>
        <w:pStyle w:val="ListParagraph"/>
        <w:numPr>
          <w:ilvl w:val="0"/>
          <w:numId w:val="3"/>
        </w:numPr>
        <w:rPr>
          <w:sz w:val="22"/>
          <w:szCs w:val="22"/>
        </w:rPr>
      </w:pPr>
      <w:r w:rsidRPr="005B0515">
        <w:rPr>
          <w:sz w:val="22"/>
          <w:szCs w:val="22"/>
        </w:rPr>
        <w:t>Thirty Second Greater Horn of Africa Climate Outlook Forum (GHACOF 32):  29 – 31 August 2012, Zanzibar, Tanzania</w:t>
      </w:r>
    </w:p>
    <w:p w14:paraId="6BCB59B0" w14:textId="57D4EB4B" w:rsidR="00476969" w:rsidRPr="005B0515" w:rsidRDefault="00D55862" w:rsidP="00D55862">
      <w:pPr>
        <w:pStyle w:val="ListParagraph"/>
        <w:numPr>
          <w:ilvl w:val="0"/>
          <w:numId w:val="2"/>
        </w:numPr>
        <w:rPr>
          <w:sz w:val="22"/>
          <w:szCs w:val="22"/>
          <w:lang w:val="en-ZA"/>
        </w:rPr>
      </w:pPr>
      <w:r w:rsidRPr="005B0515">
        <w:rPr>
          <w:sz w:val="22"/>
          <w:szCs w:val="22"/>
          <w:lang w:val="en-GB"/>
        </w:rPr>
        <w:t>GMES &amp; Africa Workshop on Marine and Coastal Areas, 9-10th October 2012, Mombasa - Kenya</w:t>
      </w:r>
    </w:p>
    <w:p w14:paraId="733CA195" w14:textId="413293E2" w:rsidR="00476969" w:rsidRPr="005B0515" w:rsidRDefault="00D55862" w:rsidP="00D55862">
      <w:pPr>
        <w:pStyle w:val="ListParagraph"/>
        <w:numPr>
          <w:ilvl w:val="0"/>
          <w:numId w:val="2"/>
        </w:numPr>
        <w:rPr>
          <w:bCs/>
          <w:sz w:val="22"/>
          <w:szCs w:val="22"/>
          <w:lang w:val="en-ZA"/>
        </w:rPr>
      </w:pPr>
      <w:r w:rsidRPr="005B0515">
        <w:rPr>
          <w:sz w:val="22"/>
          <w:szCs w:val="22"/>
        </w:rPr>
        <w:t>Western Indian Ocean Marine Science Association (</w:t>
      </w:r>
      <w:r w:rsidR="00476969" w:rsidRPr="005B0515">
        <w:rPr>
          <w:sz w:val="22"/>
          <w:szCs w:val="22"/>
        </w:rPr>
        <w:t>WIOMSA</w:t>
      </w:r>
      <w:r w:rsidRPr="005B0515">
        <w:rPr>
          <w:sz w:val="22"/>
          <w:szCs w:val="22"/>
        </w:rPr>
        <w:t xml:space="preserve">), </w:t>
      </w:r>
      <w:r w:rsidRPr="005B0515">
        <w:rPr>
          <w:sz w:val="22"/>
          <w:szCs w:val="22"/>
          <w:lang w:val="en-ZA"/>
        </w:rPr>
        <w:t xml:space="preserve">Inception And Partnership Building Meeting, </w:t>
      </w:r>
      <w:r w:rsidRPr="005B0515">
        <w:rPr>
          <w:bCs/>
          <w:sz w:val="22"/>
          <w:szCs w:val="22"/>
          <w:lang w:val="en-ZA"/>
        </w:rPr>
        <w:t>24-25 October, 2012 Mombasa, Kenya.</w:t>
      </w:r>
    </w:p>
    <w:p w14:paraId="780FB9A7" w14:textId="48EB37D8" w:rsidR="00476969" w:rsidRPr="005B0515" w:rsidRDefault="00476969" w:rsidP="00476969">
      <w:pPr>
        <w:rPr>
          <w:sz w:val="22"/>
          <w:szCs w:val="22"/>
        </w:rPr>
      </w:pPr>
    </w:p>
    <w:p w14:paraId="004ED41D" w14:textId="644627C9" w:rsidR="00DA35B7" w:rsidRPr="005B0515" w:rsidRDefault="005F1CC6" w:rsidP="00476969">
      <w:pPr>
        <w:rPr>
          <w:sz w:val="22"/>
          <w:szCs w:val="22"/>
        </w:rPr>
      </w:pPr>
      <w:r w:rsidRPr="005F1CC6">
        <w:t xml:space="preserve"> </w:t>
      </w:r>
      <w:r w:rsidR="00DA35B7" w:rsidRPr="005B0515">
        <w:rPr>
          <w:sz w:val="22"/>
          <w:szCs w:val="22"/>
        </w:rPr>
        <w:t xml:space="preserve">These </w:t>
      </w:r>
      <w:r w:rsidR="00661699">
        <w:rPr>
          <w:sz w:val="22"/>
          <w:szCs w:val="22"/>
        </w:rPr>
        <w:t xml:space="preserve">meetings </w:t>
      </w:r>
      <w:r w:rsidR="00DA35B7" w:rsidRPr="005B0515">
        <w:rPr>
          <w:sz w:val="22"/>
          <w:szCs w:val="22"/>
        </w:rPr>
        <w:t>provide a guiding regional framework and partners for building up this system, as an example of a needs-oriented collaborative climate forecasting system suited to the African context, and that could be replicated in other social and environmental contexts on the continent.</w:t>
      </w:r>
    </w:p>
    <w:p w14:paraId="128CBD03" w14:textId="77777777" w:rsidR="00ED7237" w:rsidRDefault="00ED7237" w:rsidP="00476969">
      <w:pPr>
        <w:rPr>
          <w:sz w:val="22"/>
          <w:szCs w:val="22"/>
        </w:rPr>
      </w:pPr>
    </w:p>
    <w:p w14:paraId="12533346" w14:textId="1E537497" w:rsidR="005B0515" w:rsidRDefault="00ED7237" w:rsidP="00476969">
      <w:pPr>
        <w:rPr>
          <w:sz w:val="22"/>
          <w:szCs w:val="22"/>
        </w:rPr>
      </w:pPr>
      <w:r w:rsidRPr="005F1CC6">
        <w:rPr>
          <w:noProof/>
        </w:rPr>
        <w:drawing>
          <wp:anchor distT="0" distB="0" distL="114300" distR="114300" simplePos="0" relativeHeight="251659264" behindDoc="0" locked="0" layoutInCell="1" allowOverlap="1" wp14:anchorId="4E1720B8" wp14:editId="5F90A896">
            <wp:simplePos x="0" y="0"/>
            <wp:positionH relativeFrom="column">
              <wp:posOffset>2971800</wp:posOffset>
            </wp:positionH>
            <wp:positionV relativeFrom="paragraph">
              <wp:posOffset>3175</wp:posOffset>
            </wp:positionV>
            <wp:extent cx="3339465" cy="29718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9465" cy="297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0515" w:rsidRPr="005B0515">
        <w:rPr>
          <w:sz w:val="22"/>
          <w:szCs w:val="22"/>
        </w:rPr>
        <w:t>The region of focus is defined by marine and coastal dynamics, and covers the Western Indian Ocean, including mainland East Africa and the Indian Ocean island states in the SW Indian Ocean.</w:t>
      </w:r>
      <w:bookmarkStart w:id="0" w:name="_GoBack"/>
      <w:bookmarkEnd w:id="0"/>
    </w:p>
    <w:p w14:paraId="4038993C" w14:textId="59F48772" w:rsidR="00661699" w:rsidRPr="005B0515" w:rsidRDefault="00661699" w:rsidP="00476969">
      <w:pPr>
        <w:rPr>
          <w:sz w:val="22"/>
          <w:szCs w:val="22"/>
        </w:rPr>
      </w:pPr>
      <w:r>
        <w:rPr>
          <w:noProof/>
          <w:sz w:val="22"/>
          <w:szCs w:val="22"/>
        </w:rPr>
        <w:drawing>
          <wp:anchor distT="0" distB="0" distL="114300" distR="114300" simplePos="0" relativeHeight="251660288" behindDoc="0" locked="0" layoutInCell="1" allowOverlap="1" wp14:anchorId="72712774" wp14:editId="03FCC135">
            <wp:simplePos x="0" y="0"/>
            <wp:positionH relativeFrom="column">
              <wp:posOffset>1143000</wp:posOffset>
            </wp:positionH>
            <wp:positionV relativeFrom="paragraph">
              <wp:posOffset>33655</wp:posOffset>
            </wp:positionV>
            <wp:extent cx="1595755" cy="2227580"/>
            <wp:effectExtent l="0" t="0" r="4445" b="7620"/>
            <wp:wrapSquare wrapText="bothSides"/>
            <wp:docPr id="1" name="Picture 1" descr="Macintosh HD:Users:dobura:GIS:Non-georeferenced:WIO:WIO-Coral reef at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obura:GIS:Non-georeferenced:WIO:WIO-Coral reef atla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5755" cy="2227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E56AF0" w14:textId="77777777" w:rsidR="00D55862" w:rsidRDefault="00D55862">
      <w:r>
        <w:br w:type="page"/>
      </w:r>
    </w:p>
    <w:p w14:paraId="6B2C03F2" w14:textId="3EE02C05" w:rsidR="00476969" w:rsidRDefault="00C60181" w:rsidP="00476969">
      <w:r>
        <w:lastRenderedPageBreak/>
        <w:t>The table</w:t>
      </w:r>
      <w:r w:rsidR="00476969">
        <w:t xml:space="preserve"> below</w:t>
      </w:r>
      <w:r w:rsidR="00ED7237">
        <w:t xml:space="preserve"> adds additional detail,</w:t>
      </w:r>
      <w:r w:rsidR="00476969">
        <w:t xml:space="preserve"> follow</w:t>
      </w:r>
      <w:r w:rsidR="00ED7237">
        <w:t>ing</w:t>
      </w:r>
      <w:r w:rsidR="00476969">
        <w:t xml:space="preserve"> the outline of the GMES Africa marine and coastal workshop</w:t>
      </w:r>
    </w:p>
    <w:p w14:paraId="20313A0E" w14:textId="77777777" w:rsidR="00DA35B7" w:rsidRDefault="00DA35B7" w:rsidP="00476969"/>
    <w:tbl>
      <w:tblPr>
        <w:tblStyle w:val="TableGrid"/>
        <w:tblW w:w="0" w:type="auto"/>
        <w:tblLook w:val="04A0" w:firstRow="1" w:lastRow="0" w:firstColumn="1" w:lastColumn="0" w:noHBand="0" w:noVBand="1"/>
      </w:tblPr>
      <w:tblGrid>
        <w:gridCol w:w="4811"/>
        <w:gridCol w:w="117"/>
        <w:gridCol w:w="294"/>
        <w:gridCol w:w="4401"/>
      </w:tblGrid>
      <w:tr w:rsidR="00DA35B7" w:rsidRPr="00EC4720" w14:paraId="0A2B5EFC" w14:textId="77777777" w:rsidTr="00DA35B7">
        <w:tc>
          <w:tcPr>
            <w:tcW w:w="9623" w:type="dxa"/>
            <w:gridSpan w:val="4"/>
          </w:tcPr>
          <w:p w14:paraId="1B8CF8A4" w14:textId="15D252C9" w:rsidR="00DA35B7" w:rsidRPr="001122A8" w:rsidRDefault="00DA35B7" w:rsidP="00DA35B7">
            <w:pPr>
              <w:widowControl w:val="0"/>
              <w:autoSpaceDE w:val="0"/>
              <w:autoSpaceDN w:val="0"/>
              <w:adjustRightInd w:val="0"/>
              <w:rPr>
                <w:rFonts w:ascii="Arial Narrow" w:hAnsi="Arial Narrow" w:cs="Times"/>
                <w:b/>
                <w:sz w:val="22"/>
                <w:szCs w:val="22"/>
              </w:rPr>
            </w:pPr>
            <w:r w:rsidRPr="001122A8">
              <w:rPr>
                <w:rFonts w:ascii="Arial Narrow" w:hAnsi="Arial Narrow" w:cs="Times"/>
                <w:b/>
                <w:color w:val="13284B"/>
                <w:sz w:val="22"/>
                <w:szCs w:val="22"/>
              </w:rPr>
              <w:t>2.2 An</w:t>
            </w:r>
            <w:r w:rsidR="00C325F1" w:rsidRPr="001122A8">
              <w:rPr>
                <w:rFonts w:ascii="Arial Narrow" w:hAnsi="Arial Narrow" w:cs="Times"/>
                <w:b/>
                <w:color w:val="13284B"/>
                <w:sz w:val="22"/>
                <w:szCs w:val="22"/>
              </w:rPr>
              <w:t xml:space="preserve"> </w:t>
            </w:r>
            <w:r w:rsidRPr="001122A8">
              <w:rPr>
                <w:rFonts w:ascii="Arial Narrow" w:hAnsi="Arial Narrow" w:cs="Times"/>
                <w:b/>
                <w:color w:val="13284B"/>
                <w:sz w:val="22"/>
                <w:szCs w:val="22"/>
              </w:rPr>
              <w:t>African</w:t>
            </w:r>
            <w:r w:rsidR="00C325F1" w:rsidRPr="001122A8">
              <w:rPr>
                <w:rFonts w:ascii="Arial Narrow" w:hAnsi="Arial Narrow" w:cs="Times"/>
                <w:b/>
                <w:color w:val="13284B"/>
                <w:sz w:val="22"/>
                <w:szCs w:val="22"/>
              </w:rPr>
              <w:t xml:space="preserve"> </w:t>
            </w:r>
            <w:r w:rsidRPr="001122A8">
              <w:rPr>
                <w:rFonts w:ascii="Arial Narrow" w:hAnsi="Arial Narrow" w:cs="Times"/>
                <w:b/>
                <w:color w:val="13284B"/>
                <w:sz w:val="22"/>
                <w:szCs w:val="22"/>
              </w:rPr>
              <w:t>Forecast</w:t>
            </w:r>
            <w:r w:rsidR="00C325F1" w:rsidRPr="001122A8">
              <w:rPr>
                <w:rFonts w:ascii="Arial Narrow" w:hAnsi="Arial Narrow" w:cs="Times"/>
                <w:b/>
                <w:color w:val="13284B"/>
                <w:sz w:val="22"/>
                <w:szCs w:val="22"/>
              </w:rPr>
              <w:t xml:space="preserve"> </w:t>
            </w:r>
            <w:r w:rsidRPr="001122A8">
              <w:rPr>
                <w:rFonts w:ascii="Arial Narrow" w:hAnsi="Arial Narrow" w:cs="Times"/>
                <w:b/>
                <w:color w:val="13284B"/>
                <w:sz w:val="22"/>
                <w:szCs w:val="22"/>
              </w:rPr>
              <w:t>System</w:t>
            </w:r>
            <w:r w:rsidR="00C325F1" w:rsidRPr="001122A8">
              <w:rPr>
                <w:rFonts w:ascii="Arial Narrow" w:hAnsi="Arial Narrow" w:cs="Times"/>
                <w:b/>
                <w:color w:val="13284B"/>
                <w:sz w:val="22"/>
                <w:szCs w:val="22"/>
              </w:rPr>
              <w:t xml:space="preserve"> and </w:t>
            </w:r>
            <w:r w:rsidRPr="001122A8">
              <w:rPr>
                <w:rFonts w:ascii="Arial Narrow" w:hAnsi="Arial Narrow" w:cs="Times"/>
                <w:b/>
                <w:color w:val="13284B"/>
                <w:sz w:val="22"/>
                <w:szCs w:val="22"/>
              </w:rPr>
              <w:t>Disaster</w:t>
            </w:r>
            <w:r w:rsidR="00C325F1" w:rsidRPr="001122A8">
              <w:rPr>
                <w:rFonts w:ascii="Arial Narrow" w:hAnsi="Arial Narrow" w:cs="Times"/>
                <w:b/>
                <w:color w:val="13284B"/>
                <w:sz w:val="22"/>
                <w:szCs w:val="22"/>
              </w:rPr>
              <w:t xml:space="preserve"> </w:t>
            </w:r>
            <w:r w:rsidRPr="001122A8">
              <w:rPr>
                <w:rFonts w:ascii="Arial Narrow" w:hAnsi="Arial Narrow" w:cs="Times"/>
                <w:b/>
                <w:color w:val="13284B"/>
                <w:sz w:val="22"/>
                <w:szCs w:val="22"/>
              </w:rPr>
              <w:t>Early</w:t>
            </w:r>
            <w:r w:rsidR="00C325F1" w:rsidRPr="001122A8">
              <w:rPr>
                <w:rFonts w:ascii="Arial Narrow" w:hAnsi="Arial Narrow" w:cs="Times"/>
                <w:b/>
                <w:color w:val="13284B"/>
                <w:sz w:val="22"/>
                <w:szCs w:val="22"/>
              </w:rPr>
              <w:t xml:space="preserve"> </w:t>
            </w:r>
            <w:r w:rsidRPr="001122A8">
              <w:rPr>
                <w:rFonts w:ascii="Arial Narrow" w:hAnsi="Arial Narrow" w:cs="Times"/>
                <w:b/>
                <w:color w:val="13284B"/>
                <w:sz w:val="22"/>
                <w:szCs w:val="22"/>
              </w:rPr>
              <w:t>Warning</w:t>
            </w:r>
            <w:r w:rsidR="00C325F1" w:rsidRPr="001122A8">
              <w:rPr>
                <w:rFonts w:ascii="Arial Narrow" w:hAnsi="Arial Narrow" w:cs="Times"/>
                <w:b/>
                <w:color w:val="13284B"/>
                <w:sz w:val="22"/>
                <w:szCs w:val="22"/>
              </w:rPr>
              <w:t xml:space="preserve"> </w:t>
            </w:r>
            <w:r w:rsidRPr="001122A8">
              <w:rPr>
                <w:rFonts w:ascii="Arial Narrow" w:hAnsi="Arial Narrow" w:cs="Times"/>
                <w:b/>
                <w:color w:val="13284B"/>
                <w:sz w:val="22"/>
                <w:szCs w:val="22"/>
              </w:rPr>
              <w:t>System</w:t>
            </w:r>
          </w:p>
        </w:tc>
      </w:tr>
      <w:tr w:rsidR="00DA35B7" w:rsidRPr="00EC4720" w14:paraId="1A3B1AFA" w14:textId="77777777" w:rsidTr="00DA35B7">
        <w:tc>
          <w:tcPr>
            <w:tcW w:w="9623" w:type="dxa"/>
            <w:gridSpan w:val="4"/>
          </w:tcPr>
          <w:p w14:paraId="3CE78DE3" w14:textId="77777777" w:rsidR="00DA35B7" w:rsidRPr="001122A8" w:rsidRDefault="00DA35B7" w:rsidP="00DA35B7">
            <w:pPr>
              <w:widowControl w:val="0"/>
              <w:numPr>
                <w:ilvl w:val="0"/>
                <w:numId w:val="4"/>
              </w:numPr>
              <w:tabs>
                <w:tab w:val="left" w:pos="220"/>
                <w:tab w:val="left" w:pos="720"/>
              </w:tabs>
              <w:autoSpaceDE w:val="0"/>
              <w:autoSpaceDN w:val="0"/>
              <w:adjustRightInd w:val="0"/>
              <w:ind w:hanging="720"/>
              <w:rPr>
                <w:rFonts w:ascii="Arial Narrow" w:hAnsi="Arial Narrow" w:cs="Times"/>
                <w:b/>
                <w:sz w:val="22"/>
                <w:szCs w:val="22"/>
              </w:rPr>
            </w:pPr>
            <w:r w:rsidRPr="001122A8">
              <w:rPr>
                <w:rFonts w:ascii="Arial Narrow" w:hAnsi="Arial Narrow" w:cs="Arial Narrow"/>
                <w:b/>
                <w:color w:val="13284B"/>
                <w:sz w:val="22"/>
                <w:szCs w:val="22"/>
              </w:rPr>
              <w:t xml:space="preserve">2.2.1  What forecast and disaster-early-warning systems do already exist? </w:t>
            </w:r>
          </w:p>
        </w:tc>
      </w:tr>
      <w:tr w:rsidR="00EC4720" w:rsidRPr="00DA35B7" w14:paraId="42053369" w14:textId="77777777" w:rsidTr="00C60181">
        <w:tc>
          <w:tcPr>
            <w:tcW w:w="4928" w:type="dxa"/>
            <w:gridSpan w:val="2"/>
          </w:tcPr>
          <w:p w14:paraId="6886B6AB" w14:textId="77777777" w:rsidR="00DA35B7" w:rsidRPr="001122A8" w:rsidRDefault="00DA35B7" w:rsidP="00DA35B7">
            <w:pPr>
              <w:widowControl w:val="0"/>
              <w:tabs>
                <w:tab w:val="left" w:pos="220"/>
                <w:tab w:val="left" w:pos="720"/>
              </w:tabs>
              <w:autoSpaceDE w:val="0"/>
              <w:autoSpaceDN w:val="0"/>
              <w:adjustRightInd w:val="0"/>
              <w:rPr>
                <w:rFonts w:ascii="Arial Narrow" w:hAnsi="Arial Narrow" w:cs="Arial Narrow"/>
                <w:b/>
                <w:color w:val="13284B"/>
                <w:sz w:val="22"/>
                <w:szCs w:val="22"/>
              </w:rPr>
            </w:pPr>
            <w:r w:rsidRPr="001122A8">
              <w:rPr>
                <w:rFonts w:ascii="Arial Narrow" w:hAnsi="Arial Narrow" w:cs="Arial Narrow"/>
                <w:b/>
                <w:color w:val="13284B"/>
                <w:sz w:val="22"/>
                <w:szCs w:val="22"/>
              </w:rPr>
              <w:t>Description</w:t>
            </w:r>
          </w:p>
          <w:p w14:paraId="579F504F" w14:textId="77777777" w:rsidR="00DA35B7" w:rsidRPr="001122A8" w:rsidRDefault="00C325F1" w:rsidP="00DA35B7">
            <w:pPr>
              <w:widowControl w:val="0"/>
              <w:tabs>
                <w:tab w:val="left" w:pos="220"/>
                <w:tab w:val="left" w:pos="720"/>
              </w:tabs>
              <w:autoSpaceDE w:val="0"/>
              <w:autoSpaceDN w:val="0"/>
              <w:adjustRightInd w:val="0"/>
              <w:rPr>
                <w:rFonts w:ascii="Arial Narrow" w:hAnsi="Arial Narrow" w:cs="Arial Narrow"/>
                <w:color w:val="13284B"/>
                <w:sz w:val="22"/>
                <w:szCs w:val="22"/>
              </w:rPr>
            </w:pPr>
            <w:r w:rsidRPr="001122A8">
              <w:rPr>
                <w:rFonts w:ascii="Arial Narrow" w:hAnsi="Arial Narrow" w:cs="Arial Narrow"/>
                <w:color w:val="13284B"/>
                <w:sz w:val="22"/>
                <w:szCs w:val="22"/>
              </w:rPr>
              <w:t>T</w:t>
            </w:r>
            <w:r w:rsidR="00DA35B7" w:rsidRPr="001122A8">
              <w:rPr>
                <w:rFonts w:ascii="Arial Narrow" w:hAnsi="Arial Narrow" w:cs="Arial Narrow"/>
                <w:color w:val="13284B"/>
                <w:sz w:val="22"/>
                <w:szCs w:val="22"/>
              </w:rPr>
              <w:t>he coral bleaching forecast/early warning system</w:t>
            </w:r>
            <w:r w:rsidRPr="001122A8">
              <w:rPr>
                <w:rFonts w:ascii="Arial Narrow" w:hAnsi="Arial Narrow" w:cs="Arial Narrow"/>
                <w:color w:val="13284B"/>
                <w:sz w:val="22"/>
                <w:szCs w:val="22"/>
              </w:rPr>
              <w:t xml:space="preserve"> uses global temperature, ENSO and IOD data/models/outputs to determine the overall risk of coral bleaching in the local summer season (Jan-May each year), followed by SST-derived datasets focused on corals (Coral Watch, NOAA) and other weather-related sources (clouds, cyclones, etc) to develop 2-week update forecasts of bleaching risk. 5 subregions of the WIO appear optimal for forecasting, based on SST/marine climate zones within the region.</w:t>
            </w:r>
          </w:p>
          <w:p w14:paraId="131AB3C3" w14:textId="6D77CF6F" w:rsidR="00C325F1" w:rsidRPr="001122A8" w:rsidRDefault="00C325F1" w:rsidP="00DA35B7">
            <w:pPr>
              <w:widowControl w:val="0"/>
              <w:tabs>
                <w:tab w:val="left" w:pos="220"/>
                <w:tab w:val="left" w:pos="720"/>
              </w:tabs>
              <w:autoSpaceDE w:val="0"/>
              <w:autoSpaceDN w:val="0"/>
              <w:adjustRightInd w:val="0"/>
              <w:rPr>
                <w:rFonts w:ascii="Arial Narrow" w:hAnsi="Arial Narrow" w:cs="Arial Narrow"/>
                <w:color w:val="13284B"/>
                <w:sz w:val="22"/>
                <w:szCs w:val="22"/>
              </w:rPr>
            </w:pPr>
            <w:r w:rsidRPr="001122A8">
              <w:rPr>
                <w:rFonts w:ascii="Arial Narrow" w:hAnsi="Arial Narrow" w:cs="Arial Narrow"/>
                <w:color w:val="13284B"/>
                <w:sz w:val="22"/>
                <w:szCs w:val="22"/>
              </w:rPr>
              <w:t>Rainfall events (dry/wet spells) have been analyzed in relation to SST/ENSO/IOD signals providing a foundation for building up rainfall forecasting ability (Tanzania), along with statistical modeling/forecasting for short term forecasts (Kenya).</w:t>
            </w:r>
          </w:p>
        </w:tc>
        <w:tc>
          <w:tcPr>
            <w:tcW w:w="4695" w:type="dxa"/>
            <w:gridSpan w:val="2"/>
          </w:tcPr>
          <w:p w14:paraId="026EFA10" w14:textId="6AB0E46E" w:rsidR="00DA35B7" w:rsidRPr="001122A8" w:rsidRDefault="00DA35B7" w:rsidP="00DA35B7">
            <w:pPr>
              <w:widowControl w:val="0"/>
              <w:tabs>
                <w:tab w:val="left" w:pos="220"/>
                <w:tab w:val="left" w:pos="720"/>
              </w:tabs>
              <w:autoSpaceDE w:val="0"/>
              <w:autoSpaceDN w:val="0"/>
              <w:adjustRightInd w:val="0"/>
              <w:rPr>
                <w:rFonts w:ascii="Arial Narrow" w:hAnsi="Arial Narrow" w:cs="Arial Narrow"/>
                <w:b/>
                <w:color w:val="13284B"/>
                <w:sz w:val="22"/>
                <w:szCs w:val="22"/>
              </w:rPr>
            </w:pPr>
            <w:r w:rsidRPr="001122A8">
              <w:rPr>
                <w:rFonts w:ascii="Arial Narrow" w:hAnsi="Arial Narrow" w:cs="Arial Narrow"/>
                <w:b/>
                <w:color w:val="13284B"/>
                <w:sz w:val="22"/>
                <w:szCs w:val="22"/>
              </w:rPr>
              <w:t xml:space="preserve">Actions </w:t>
            </w:r>
          </w:p>
          <w:p w14:paraId="767BF075" w14:textId="77777777" w:rsidR="00EC4720" w:rsidRPr="001122A8" w:rsidRDefault="00DA35B7" w:rsidP="00DA35B7">
            <w:pPr>
              <w:widowControl w:val="0"/>
              <w:tabs>
                <w:tab w:val="left" w:pos="220"/>
                <w:tab w:val="left" w:pos="720"/>
              </w:tabs>
              <w:autoSpaceDE w:val="0"/>
              <w:autoSpaceDN w:val="0"/>
              <w:adjustRightInd w:val="0"/>
              <w:rPr>
                <w:rFonts w:ascii="Arial Narrow" w:hAnsi="Arial Narrow" w:cs="Arial Narrow"/>
                <w:b/>
                <w:color w:val="13284B"/>
                <w:sz w:val="22"/>
                <w:szCs w:val="22"/>
              </w:rPr>
            </w:pPr>
            <w:r w:rsidRPr="001122A8">
              <w:rPr>
                <w:rFonts w:ascii="Arial Narrow" w:hAnsi="Arial Narrow" w:cs="Arial Narrow"/>
                <w:b/>
                <w:color w:val="13284B"/>
                <w:sz w:val="22"/>
                <w:szCs w:val="22"/>
              </w:rPr>
              <w:t xml:space="preserve">Short term </w:t>
            </w:r>
          </w:p>
          <w:p w14:paraId="0BC49EA3" w14:textId="77777777" w:rsidR="00DA35B7" w:rsidRPr="001122A8" w:rsidRDefault="00EC4720" w:rsidP="00DA35B7">
            <w:pPr>
              <w:widowControl w:val="0"/>
              <w:tabs>
                <w:tab w:val="left" w:pos="220"/>
                <w:tab w:val="left" w:pos="720"/>
              </w:tabs>
              <w:autoSpaceDE w:val="0"/>
              <w:autoSpaceDN w:val="0"/>
              <w:adjustRightInd w:val="0"/>
              <w:rPr>
                <w:rFonts w:ascii="Arial Narrow" w:hAnsi="Arial Narrow" w:cs="Arial Narrow"/>
                <w:color w:val="13284B"/>
                <w:sz w:val="22"/>
                <w:szCs w:val="22"/>
              </w:rPr>
            </w:pPr>
            <w:r w:rsidRPr="001122A8">
              <w:rPr>
                <w:rFonts w:ascii="Arial Narrow" w:hAnsi="Arial Narrow" w:cs="Arial Narrow"/>
                <w:color w:val="13284B"/>
                <w:sz w:val="22"/>
                <w:szCs w:val="22"/>
              </w:rPr>
              <w:t>S</w:t>
            </w:r>
            <w:r w:rsidR="00DA35B7" w:rsidRPr="001122A8">
              <w:rPr>
                <w:rFonts w:ascii="Arial Narrow" w:hAnsi="Arial Narrow" w:cs="Arial Narrow"/>
                <w:color w:val="13284B"/>
                <w:sz w:val="22"/>
                <w:szCs w:val="22"/>
              </w:rPr>
              <w:t>upport the rollout of the bleaching warning system</w:t>
            </w:r>
            <w:r w:rsidRPr="001122A8">
              <w:rPr>
                <w:rFonts w:ascii="Arial Narrow" w:hAnsi="Arial Narrow" w:cs="Arial Narrow"/>
                <w:color w:val="13284B"/>
                <w:sz w:val="22"/>
                <w:szCs w:val="22"/>
              </w:rPr>
              <w:t xml:space="preserve"> so that it is integrated with regional EO and climate information systems for access to datasets and communicating the forecasts to different regional/international audiences (regional)</w:t>
            </w:r>
          </w:p>
          <w:p w14:paraId="11068D70" w14:textId="77777777" w:rsidR="00EC4720" w:rsidRPr="001122A8" w:rsidRDefault="00EC4720" w:rsidP="00DA35B7">
            <w:pPr>
              <w:widowControl w:val="0"/>
              <w:tabs>
                <w:tab w:val="left" w:pos="220"/>
                <w:tab w:val="left" w:pos="720"/>
              </w:tabs>
              <w:autoSpaceDE w:val="0"/>
              <w:autoSpaceDN w:val="0"/>
              <w:adjustRightInd w:val="0"/>
              <w:rPr>
                <w:rFonts w:ascii="Arial Narrow" w:hAnsi="Arial Narrow" w:cs="Arial Narrow"/>
                <w:color w:val="13284B"/>
                <w:sz w:val="22"/>
                <w:szCs w:val="22"/>
              </w:rPr>
            </w:pPr>
            <w:r w:rsidRPr="001122A8">
              <w:rPr>
                <w:rFonts w:ascii="Arial Narrow" w:hAnsi="Arial Narrow" w:cs="Arial Narrow"/>
                <w:color w:val="13284B"/>
                <w:sz w:val="22"/>
                <w:szCs w:val="22"/>
              </w:rPr>
              <w:t>Support trials of a wet/dry spell and extreme wind event forecasting system emphasizing the information base needed (regional) and forecasts in some selected trial countries (national).</w:t>
            </w:r>
          </w:p>
          <w:p w14:paraId="436CBA55" w14:textId="77777777" w:rsidR="00EC4720" w:rsidRPr="001122A8" w:rsidRDefault="00EC4720" w:rsidP="00DA35B7">
            <w:pPr>
              <w:widowControl w:val="0"/>
              <w:tabs>
                <w:tab w:val="left" w:pos="220"/>
                <w:tab w:val="left" w:pos="720"/>
              </w:tabs>
              <w:autoSpaceDE w:val="0"/>
              <w:autoSpaceDN w:val="0"/>
              <w:adjustRightInd w:val="0"/>
              <w:rPr>
                <w:rFonts w:ascii="Arial Narrow" w:hAnsi="Arial Narrow" w:cs="Arial Narrow"/>
                <w:b/>
                <w:color w:val="13284B"/>
                <w:sz w:val="22"/>
                <w:szCs w:val="22"/>
              </w:rPr>
            </w:pPr>
            <w:r w:rsidRPr="001122A8">
              <w:rPr>
                <w:rFonts w:ascii="Arial Narrow" w:hAnsi="Arial Narrow" w:cs="Arial Narrow"/>
                <w:b/>
                <w:color w:val="13284B"/>
                <w:sz w:val="22"/>
                <w:szCs w:val="22"/>
              </w:rPr>
              <w:t>Medium term</w:t>
            </w:r>
          </w:p>
          <w:p w14:paraId="3D3F574F" w14:textId="7E5F11F1" w:rsidR="00EC4720" w:rsidRPr="001122A8" w:rsidRDefault="00EC4720" w:rsidP="00DA35B7">
            <w:pPr>
              <w:widowControl w:val="0"/>
              <w:tabs>
                <w:tab w:val="left" w:pos="220"/>
                <w:tab w:val="left" w:pos="720"/>
              </w:tabs>
              <w:autoSpaceDE w:val="0"/>
              <w:autoSpaceDN w:val="0"/>
              <w:adjustRightInd w:val="0"/>
              <w:rPr>
                <w:rFonts w:ascii="Arial Narrow" w:hAnsi="Arial Narrow" w:cs="Arial Narrow"/>
                <w:color w:val="13284B"/>
                <w:sz w:val="22"/>
                <w:szCs w:val="22"/>
              </w:rPr>
            </w:pPr>
            <w:r w:rsidRPr="001122A8">
              <w:rPr>
                <w:rFonts w:ascii="Arial Narrow" w:hAnsi="Arial Narrow" w:cs="Arial Narrow"/>
                <w:color w:val="13284B"/>
                <w:sz w:val="22"/>
                <w:szCs w:val="22"/>
              </w:rPr>
              <w:t>Scoping and project development to integrate such a user-oriented/collaborative forecasting system at regional levels with relevant downscaling to meet diverse national and local needs</w:t>
            </w:r>
          </w:p>
        </w:tc>
      </w:tr>
      <w:tr w:rsidR="00DA35B7" w:rsidRPr="00EC4720" w14:paraId="6E268D6E" w14:textId="77777777" w:rsidTr="00DA35B7">
        <w:tc>
          <w:tcPr>
            <w:tcW w:w="9623" w:type="dxa"/>
            <w:gridSpan w:val="4"/>
          </w:tcPr>
          <w:p w14:paraId="5C922872" w14:textId="1B536544" w:rsidR="00DA35B7" w:rsidRPr="001122A8" w:rsidRDefault="00DA35B7" w:rsidP="00DA35B7">
            <w:pPr>
              <w:widowControl w:val="0"/>
              <w:numPr>
                <w:ilvl w:val="0"/>
                <w:numId w:val="4"/>
              </w:numPr>
              <w:tabs>
                <w:tab w:val="left" w:pos="220"/>
                <w:tab w:val="left" w:pos="720"/>
              </w:tabs>
              <w:autoSpaceDE w:val="0"/>
              <w:autoSpaceDN w:val="0"/>
              <w:adjustRightInd w:val="0"/>
              <w:ind w:hanging="720"/>
              <w:rPr>
                <w:rFonts w:ascii="Arial Narrow" w:hAnsi="Arial Narrow" w:cs="Times"/>
                <w:b/>
                <w:sz w:val="22"/>
                <w:szCs w:val="22"/>
              </w:rPr>
            </w:pPr>
            <w:r w:rsidRPr="001122A8">
              <w:rPr>
                <w:rFonts w:ascii="Arial Narrow" w:hAnsi="Arial Narrow" w:cs="Arial Narrow"/>
                <w:b/>
                <w:color w:val="13284B"/>
                <w:sz w:val="22"/>
                <w:szCs w:val="22"/>
              </w:rPr>
              <w:t>2.2.2  What</w:t>
            </w:r>
            <w:r w:rsidR="00EC4720"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would</w:t>
            </w:r>
            <w:r w:rsidR="00EC4720"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be</w:t>
            </w:r>
            <w:r w:rsidR="00EC4720"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the</w:t>
            </w:r>
            <w:r w:rsidR="00EC4720"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benefits</w:t>
            </w:r>
            <w:r w:rsidR="00110C09"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of</w:t>
            </w:r>
            <w:r w:rsidR="00110C09"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a</w:t>
            </w:r>
            <w:r w:rsidR="00110C09"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forecast</w:t>
            </w:r>
            <w:r w:rsidR="00110C09"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and</w:t>
            </w:r>
            <w:r w:rsidR="00110C09"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disaster-early-warning</w:t>
            </w:r>
            <w:r w:rsidR="00EC4720"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system</w:t>
            </w:r>
            <w:r w:rsidR="00110C09"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at</w:t>
            </w:r>
            <w:r w:rsidR="00110C09"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an</w:t>
            </w:r>
            <w:r w:rsidR="00110C09"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Africa-wide</w:t>
            </w:r>
            <w:r w:rsidR="00EC4720"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scale</w:t>
            </w:r>
            <w:r w:rsidR="00EC4720"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against</w:t>
            </w:r>
            <w:r w:rsidR="00EC4720"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 xml:space="preserve">more national/ regional systems? </w:t>
            </w:r>
          </w:p>
        </w:tc>
      </w:tr>
      <w:tr w:rsidR="00EC4720" w:rsidRPr="00DA35B7" w14:paraId="30EDD3A2" w14:textId="77777777" w:rsidTr="00EC4720">
        <w:tc>
          <w:tcPr>
            <w:tcW w:w="5222" w:type="dxa"/>
            <w:gridSpan w:val="3"/>
          </w:tcPr>
          <w:p w14:paraId="580CA401" w14:textId="38D7BC6D" w:rsidR="00EC4720" w:rsidRPr="001122A8" w:rsidRDefault="00EC4720" w:rsidP="00110C09">
            <w:pPr>
              <w:widowControl w:val="0"/>
              <w:tabs>
                <w:tab w:val="left" w:pos="220"/>
                <w:tab w:val="left" w:pos="720"/>
              </w:tabs>
              <w:autoSpaceDE w:val="0"/>
              <w:autoSpaceDN w:val="0"/>
              <w:adjustRightInd w:val="0"/>
              <w:rPr>
                <w:rFonts w:ascii="Arial Narrow" w:hAnsi="Arial Narrow" w:cs="Arial Narrow"/>
                <w:color w:val="13284B"/>
                <w:sz w:val="22"/>
                <w:szCs w:val="22"/>
              </w:rPr>
            </w:pPr>
            <w:r w:rsidRPr="001122A8">
              <w:rPr>
                <w:rFonts w:ascii="Arial Narrow" w:hAnsi="Arial Narrow" w:cs="Arial Narrow"/>
                <w:color w:val="13284B"/>
                <w:sz w:val="22"/>
                <w:szCs w:val="22"/>
              </w:rPr>
              <w:t xml:space="preserve">Because the marine systems determine coastal climate, a regional focus determined by marine/maritime provinces is essential. Continent-wide action would add value where it can integrate and link </w:t>
            </w:r>
            <w:r w:rsidR="00110C09" w:rsidRPr="001122A8">
              <w:rPr>
                <w:rFonts w:ascii="Arial Narrow" w:hAnsi="Arial Narrow" w:cs="Arial Narrow"/>
                <w:color w:val="13284B"/>
                <w:sz w:val="22"/>
                <w:szCs w:val="22"/>
              </w:rPr>
              <w:t>different</w:t>
            </w:r>
            <w:r w:rsidRPr="001122A8">
              <w:rPr>
                <w:rFonts w:ascii="Arial Narrow" w:hAnsi="Arial Narrow" w:cs="Arial Narrow"/>
                <w:color w:val="13284B"/>
                <w:sz w:val="22"/>
                <w:szCs w:val="22"/>
              </w:rPr>
              <w:t xml:space="preserve"> regional efforts together for larger scale data use/interpretation, lessons sharing, etc.</w:t>
            </w:r>
          </w:p>
        </w:tc>
        <w:tc>
          <w:tcPr>
            <w:tcW w:w="4401" w:type="dxa"/>
          </w:tcPr>
          <w:p w14:paraId="77FC9BB1" w14:textId="77777777" w:rsidR="00EC4720" w:rsidRPr="001122A8" w:rsidRDefault="00EC4720" w:rsidP="00EC4720">
            <w:pPr>
              <w:widowControl w:val="0"/>
              <w:tabs>
                <w:tab w:val="left" w:pos="220"/>
                <w:tab w:val="left" w:pos="720"/>
              </w:tabs>
              <w:autoSpaceDE w:val="0"/>
              <w:autoSpaceDN w:val="0"/>
              <w:adjustRightInd w:val="0"/>
              <w:rPr>
                <w:rFonts w:ascii="Arial Narrow" w:hAnsi="Arial Narrow" w:cs="Arial Narrow"/>
                <w:color w:val="13284B"/>
                <w:sz w:val="22"/>
                <w:szCs w:val="22"/>
              </w:rPr>
            </w:pPr>
            <w:r w:rsidRPr="001122A8">
              <w:rPr>
                <w:rFonts w:ascii="Arial Narrow" w:hAnsi="Arial Narrow" w:cs="Arial Narrow"/>
                <w:color w:val="13284B"/>
                <w:sz w:val="22"/>
                <w:szCs w:val="22"/>
              </w:rPr>
              <w:t>Medium term</w:t>
            </w:r>
          </w:p>
        </w:tc>
      </w:tr>
      <w:tr w:rsidR="00DA35B7" w:rsidRPr="008B7B84" w14:paraId="6295D4A2" w14:textId="77777777" w:rsidTr="00DA35B7">
        <w:tc>
          <w:tcPr>
            <w:tcW w:w="9623" w:type="dxa"/>
            <w:gridSpan w:val="4"/>
          </w:tcPr>
          <w:p w14:paraId="2EDCAAEB" w14:textId="446AC9A0" w:rsidR="00DA35B7" w:rsidRPr="001122A8" w:rsidRDefault="00DA35B7" w:rsidP="00DA35B7">
            <w:pPr>
              <w:widowControl w:val="0"/>
              <w:numPr>
                <w:ilvl w:val="0"/>
                <w:numId w:val="4"/>
              </w:numPr>
              <w:tabs>
                <w:tab w:val="left" w:pos="220"/>
                <w:tab w:val="left" w:pos="720"/>
              </w:tabs>
              <w:autoSpaceDE w:val="0"/>
              <w:autoSpaceDN w:val="0"/>
              <w:adjustRightInd w:val="0"/>
              <w:ind w:hanging="720"/>
              <w:rPr>
                <w:rFonts w:ascii="Arial Narrow" w:hAnsi="Arial Narrow" w:cs="Times"/>
                <w:b/>
                <w:sz w:val="22"/>
                <w:szCs w:val="22"/>
              </w:rPr>
            </w:pPr>
            <w:r w:rsidRPr="001122A8">
              <w:rPr>
                <w:rFonts w:ascii="Arial Narrow" w:hAnsi="Arial Narrow" w:cs="Arial Narrow"/>
                <w:b/>
                <w:color w:val="13284B"/>
                <w:sz w:val="22"/>
                <w:szCs w:val="22"/>
              </w:rPr>
              <w:t>2.2.3  Wha</w:t>
            </w:r>
            <w:r w:rsidR="00EC4720" w:rsidRPr="001122A8">
              <w:rPr>
                <w:rFonts w:ascii="Arial Narrow" w:hAnsi="Arial Narrow" w:cs="Arial Narrow"/>
                <w:b/>
                <w:color w:val="13284B"/>
                <w:sz w:val="22"/>
                <w:szCs w:val="22"/>
              </w:rPr>
              <w:t xml:space="preserve">t </w:t>
            </w:r>
            <w:r w:rsidRPr="001122A8">
              <w:rPr>
                <w:rFonts w:ascii="Arial Narrow" w:hAnsi="Arial Narrow" w:cs="Arial Narrow"/>
                <w:b/>
                <w:color w:val="13284B"/>
                <w:sz w:val="22"/>
                <w:szCs w:val="22"/>
              </w:rPr>
              <w:t>information</w:t>
            </w:r>
            <w:r w:rsidR="00EC4720"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and</w:t>
            </w:r>
            <w:r w:rsidR="00EC4720"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analyses</w:t>
            </w:r>
            <w:r w:rsidR="00EC4720"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and</w:t>
            </w:r>
            <w:r w:rsidR="00110C09"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in</w:t>
            </w:r>
            <w:r w:rsidR="00EC4720"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which</w:t>
            </w:r>
            <w:r w:rsidR="00EC4720"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from</w:t>
            </w:r>
            <w:r w:rsidR="00EC4720"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would</w:t>
            </w:r>
            <w:r w:rsidR="00EC4720" w:rsidRPr="001122A8">
              <w:rPr>
                <w:rFonts w:ascii="Arial Narrow" w:hAnsi="Arial Narrow" w:cs="Arial Narrow"/>
                <w:b/>
                <w:color w:val="13284B"/>
                <w:sz w:val="22"/>
                <w:szCs w:val="22"/>
              </w:rPr>
              <w:t xml:space="preserve"> need t</w:t>
            </w:r>
            <w:r w:rsidRPr="001122A8">
              <w:rPr>
                <w:rFonts w:ascii="Arial Narrow" w:hAnsi="Arial Narrow" w:cs="Arial Narrow"/>
                <w:b/>
                <w:color w:val="13284B"/>
                <w:sz w:val="22"/>
                <w:szCs w:val="22"/>
              </w:rPr>
              <w:t>o</w:t>
            </w:r>
            <w:r w:rsidR="00110C09"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be</w:t>
            </w:r>
            <w:r w:rsidR="00110C09"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provided</w:t>
            </w:r>
            <w:r w:rsidR="00110C09"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to</w:t>
            </w:r>
            <w:r w:rsidR="00110C09"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by</w:t>
            </w:r>
            <w:r w:rsidR="00110C09"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an</w:t>
            </w:r>
            <w:r w:rsidR="00110C09"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African</w:t>
            </w:r>
            <w:r w:rsidR="00110C09"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forecast</w:t>
            </w:r>
            <w:r w:rsidR="00110C09"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and</w:t>
            </w:r>
            <w:r w:rsidR="00110C09"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 xml:space="preserve">disaster- early-information system and to which authorities and institutions in your Country? </w:t>
            </w:r>
          </w:p>
        </w:tc>
      </w:tr>
      <w:tr w:rsidR="00EC4720" w:rsidRPr="00D55862" w14:paraId="2C487F82" w14:textId="77777777" w:rsidTr="00EC4720">
        <w:tc>
          <w:tcPr>
            <w:tcW w:w="4811" w:type="dxa"/>
          </w:tcPr>
          <w:p w14:paraId="290B2DD5" w14:textId="4FC5DF55" w:rsidR="00EC4720" w:rsidRPr="001122A8" w:rsidRDefault="00EC4720" w:rsidP="00D55862">
            <w:pPr>
              <w:widowControl w:val="0"/>
              <w:tabs>
                <w:tab w:val="left" w:pos="220"/>
                <w:tab w:val="left" w:pos="720"/>
              </w:tabs>
              <w:autoSpaceDE w:val="0"/>
              <w:autoSpaceDN w:val="0"/>
              <w:adjustRightInd w:val="0"/>
              <w:rPr>
                <w:rFonts w:ascii="Arial Narrow" w:hAnsi="Arial Narrow" w:cs="Arial Narrow"/>
                <w:color w:val="13284B"/>
                <w:sz w:val="22"/>
                <w:szCs w:val="22"/>
              </w:rPr>
            </w:pPr>
            <w:r w:rsidRPr="001122A8">
              <w:rPr>
                <w:rFonts w:ascii="Arial Narrow" w:hAnsi="Arial Narrow" w:cs="Arial Narrow"/>
                <w:color w:val="13284B"/>
                <w:sz w:val="22"/>
                <w:szCs w:val="22"/>
              </w:rPr>
              <w:t>The form of the information can be in sim</w:t>
            </w:r>
            <w:r w:rsidR="00110C09" w:rsidRPr="001122A8">
              <w:rPr>
                <w:rFonts w:ascii="Arial Narrow" w:hAnsi="Arial Narrow" w:cs="Arial Narrow"/>
                <w:color w:val="13284B"/>
                <w:sz w:val="22"/>
                <w:szCs w:val="22"/>
              </w:rPr>
              <w:t>p</w:t>
            </w:r>
            <w:r w:rsidRPr="001122A8">
              <w:rPr>
                <w:rFonts w:ascii="Arial Narrow" w:hAnsi="Arial Narrow" w:cs="Arial Narrow"/>
                <w:color w:val="13284B"/>
                <w:sz w:val="22"/>
                <w:szCs w:val="22"/>
              </w:rPr>
              <w:t>le risk/alert levels (e.g. 1, 2, 3) and/or the higher/lower than normal terciles as used in ICPAC climate alerts. This can then be further interpreted, or guidelines given to the receiving instiutions, on how to interpret these for stakeholders.</w:t>
            </w:r>
          </w:p>
        </w:tc>
        <w:tc>
          <w:tcPr>
            <w:tcW w:w="4812" w:type="dxa"/>
            <w:gridSpan w:val="3"/>
          </w:tcPr>
          <w:p w14:paraId="2CEA1C32" w14:textId="77777777" w:rsidR="00EC4720" w:rsidRPr="001122A8" w:rsidRDefault="00EC4720" w:rsidP="00D55862">
            <w:pPr>
              <w:widowControl w:val="0"/>
              <w:tabs>
                <w:tab w:val="left" w:pos="220"/>
                <w:tab w:val="left" w:pos="720"/>
              </w:tabs>
              <w:autoSpaceDE w:val="0"/>
              <w:autoSpaceDN w:val="0"/>
              <w:adjustRightInd w:val="0"/>
              <w:rPr>
                <w:rFonts w:ascii="Arial Narrow" w:hAnsi="Arial Narrow" w:cs="Arial Narrow"/>
                <w:color w:val="13284B"/>
                <w:sz w:val="22"/>
                <w:szCs w:val="22"/>
              </w:rPr>
            </w:pPr>
            <w:r w:rsidRPr="001122A8">
              <w:rPr>
                <w:rFonts w:ascii="Arial Narrow" w:hAnsi="Arial Narrow" w:cs="Arial Narrow"/>
                <w:color w:val="13284B"/>
                <w:sz w:val="22"/>
                <w:szCs w:val="22"/>
              </w:rPr>
              <w:t>Relevant institutions in a country would include: disaster/response offices/networks, media (print, radio, TV), fisheries and agriculture departments and extension systems, fisheries and agriculture stakeholder/community group associations, coastal towns/municipalities, police stations, schools, tourism associations/operators/hotels</w:t>
            </w:r>
          </w:p>
        </w:tc>
      </w:tr>
      <w:tr w:rsidR="00DA35B7" w:rsidRPr="008B7B84" w14:paraId="4D771D38" w14:textId="77777777" w:rsidTr="00DA35B7">
        <w:tc>
          <w:tcPr>
            <w:tcW w:w="9623" w:type="dxa"/>
            <w:gridSpan w:val="4"/>
          </w:tcPr>
          <w:p w14:paraId="745073CB" w14:textId="77777777" w:rsidR="00DA35B7" w:rsidRPr="001122A8" w:rsidRDefault="00DA35B7" w:rsidP="00DA35B7">
            <w:pPr>
              <w:widowControl w:val="0"/>
              <w:numPr>
                <w:ilvl w:val="0"/>
                <w:numId w:val="5"/>
              </w:numPr>
              <w:tabs>
                <w:tab w:val="left" w:pos="220"/>
                <w:tab w:val="left" w:pos="720"/>
              </w:tabs>
              <w:autoSpaceDE w:val="0"/>
              <w:autoSpaceDN w:val="0"/>
              <w:adjustRightInd w:val="0"/>
              <w:ind w:hanging="720"/>
              <w:rPr>
                <w:rFonts w:ascii="Arial Narrow" w:hAnsi="Arial Narrow" w:cs="Times"/>
                <w:b/>
                <w:sz w:val="22"/>
                <w:szCs w:val="22"/>
              </w:rPr>
            </w:pPr>
            <w:r w:rsidRPr="001122A8">
              <w:rPr>
                <w:rFonts w:ascii="Arial Narrow" w:hAnsi="Arial Narrow" w:cs="Arial Narrow"/>
                <w:b/>
                <w:color w:val="13284B"/>
                <w:sz w:val="22"/>
                <w:szCs w:val="22"/>
              </w:rPr>
              <w:t>2.2.4  Which</w:t>
            </w:r>
            <w:r w:rsidR="00EC4720"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are</w:t>
            </w:r>
            <w:r w:rsidR="00EC4720"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your</w:t>
            </w:r>
            <w:r w:rsidR="00EC4720"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Country’s</w:t>
            </w:r>
            <w:r w:rsidR="00EC4720"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current</w:t>
            </w:r>
            <w:r w:rsidR="00EC4720"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partner</w:t>
            </w:r>
            <w:r w:rsidR="00EC4720"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organisations</w:t>
            </w:r>
            <w:r w:rsidR="00EC4720"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(IO,RO,REC,etc.),programmes</w:t>
            </w:r>
            <w:r w:rsidR="00EC4720"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and</w:t>
            </w:r>
            <w:r w:rsidR="00EC4720"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projects</w:t>
            </w:r>
            <w:r w:rsidR="00EC4720"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 xml:space="preserve">supporting existing, or the development of new forecast and disaster-early-warning systems and does this support include networking aspects (targets)? </w:t>
            </w:r>
          </w:p>
        </w:tc>
      </w:tr>
      <w:tr w:rsidR="00EC4720" w:rsidRPr="00DA35B7" w14:paraId="7F94E03E" w14:textId="77777777" w:rsidTr="00DA35B7">
        <w:tc>
          <w:tcPr>
            <w:tcW w:w="9623" w:type="dxa"/>
            <w:gridSpan w:val="4"/>
          </w:tcPr>
          <w:p w14:paraId="6DA8CB87" w14:textId="77777777" w:rsidR="00EC4720" w:rsidRPr="001122A8" w:rsidRDefault="008B7B84" w:rsidP="008B7B84">
            <w:pPr>
              <w:widowControl w:val="0"/>
              <w:tabs>
                <w:tab w:val="left" w:pos="220"/>
                <w:tab w:val="left" w:pos="720"/>
              </w:tabs>
              <w:autoSpaceDE w:val="0"/>
              <w:autoSpaceDN w:val="0"/>
              <w:adjustRightInd w:val="0"/>
              <w:rPr>
                <w:rFonts w:ascii="Arial Narrow" w:hAnsi="Arial Narrow" w:cs="Arial Narrow"/>
                <w:color w:val="13284B"/>
                <w:sz w:val="22"/>
                <w:szCs w:val="22"/>
              </w:rPr>
            </w:pPr>
            <w:r w:rsidRPr="001122A8">
              <w:rPr>
                <w:rFonts w:ascii="Arial Narrow" w:hAnsi="Arial Narrow" w:cs="Arial Narrow"/>
                <w:color w:val="13284B"/>
                <w:sz w:val="22"/>
                <w:szCs w:val="22"/>
              </w:rPr>
              <w:t>At present, these actions have not been supported nationally, so this needs to be built up.</w:t>
            </w:r>
          </w:p>
        </w:tc>
      </w:tr>
      <w:tr w:rsidR="00DA35B7" w:rsidRPr="008B7B84" w14:paraId="751D035A" w14:textId="77777777" w:rsidTr="00DA35B7">
        <w:tc>
          <w:tcPr>
            <w:tcW w:w="9623" w:type="dxa"/>
            <w:gridSpan w:val="4"/>
          </w:tcPr>
          <w:p w14:paraId="0D6BA170" w14:textId="77777777" w:rsidR="00DA35B7" w:rsidRPr="001122A8" w:rsidRDefault="00DA35B7" w:rsidP="00DA35B7">
            <w:pPr>
              <w:widowControl w:val="0"/>
              <w:numPr>
                <w:ilvl w:val="0"/>
                <w:numId w:val="5"/>
              </w:numPr>
              <w:tabs>
                <w:tab w:val="left" w:pos="220"/>
                <w:tab w:val="left" w:pos="720"/>
              </w:tabs>
              <w:autoSpaceDE w:val="0"/>
              <w:autoSpaceDN w:val="0"/>
              <w:adjustRightInd w:val="0"/>
              <w:ind w:hanging="720"/>
              <w:rPr>
                <w:rFonts w:ascii="Arial Narrow" w:hAnsi="Arial Narrow" w:cs="Times"/>
                <w:b/>
                <w:sz w:val="22"/>
                <w:szCs w:val="22"/>
              </w:rPr>
            </w:pPr>
            <w:r w:rsidRPr="001122A8">
              <w:rPr>
                <w:rFonts w:ascii="Arial Narrow" w:hAnsi="Arial Narrow" w:cs="Arial Narrow"/>
                <w:b/>
                <w:color w:val="13284B"/>
                <w:sz w:val="22"/>
                <w:szCs w:val="22"/>
              </w:rPr>
              <w:t>2.2.5  Which</w:t>
            </w:r>
            <w:r w:rsidR="008B7B84"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regional</w:t>
            </w:r>
            <w:r w:rsidR="008B7B84"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or</w:t>
            </w:r>
            <w:r w:rsidR="008B7B84"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international</w:t>
            </w:r>
            <w:r w:rsidR="008B7B84"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organisations,</w:t>
            </w:r>
            <w:r w:rsidR="008B7B84"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programmes</w:t>
            </w:r>
            <w:r w:rsidR="008B7B84"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or</w:t>
            </w:r>
            <w:r w:rsidR="008B7B84"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projects</w:t>
            </w:r>
            <w:r w:rsidR="008B7B84"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would</w:t>
            </w:r>
            <w:r w:rsidR="008B7B84"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you</w:t>
            </w:r>
            <w:r w:rsidR="008B7B84"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identify/suggest</w:t>
            </w:r>
            <w:r w:rsidR="008B7B84"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for</w:t>
            </w:r>
            <w:r w:rsidR="008B7B84" w:rsidRPr="001122A8">
              <w:rPr>
                <w:rFonts w:ascii="Arial Narrow" w:hAnsi="Arial Narrow" w:cs="Arial Narrow"/>
                <w:b/>
                <w:color w:val="13284B"/>
                <w:sz w:val="22"/>
                <w:szCs w:val="22"/>
              </w:rPr>
              <w:t xml:space="preserve"> </w:t>
            </w:r>
            <w:r w:rsidRPr="001122A8">
              <w:rPr>
                <w:rFonts w:ascii="Arial Narrow" w:hAnsi="Arial Narrow" w:cs="Arial Narrow"/>
                <w:b/>
                <w:color w:val="13284B"/>
                <w:sz w:val="22"/>
                <w:szCs w:val="22"/>
              </w:rPr>
              <w:t xml:space="preserve">intermediate technical and financial support to such a forecast and disaster-early-warning system? </w:t>
            </w:r>
          </w:p>
        </w:tc>
      </w:tr>
      <w:tr w:rsidR="008B7B84" w:rsidRPr="00DA35B7" w14:paraId="7B467221" w14:textId="77777777" w:rsidTr="00DA35B7">
        <w:tc>
          <w:tcPr>
            <w:tcW w:w="9623" w:type="dxa"/>
            <w:gridSpan w:val="4"/>
          </w:tcPr>
          <w:p w14:paraId="75168057" w14:textId="2774DA5A" w:rsidR="008B7B84" w:rsidRPr="001122A8" w:rsidRDefault="00C325F1" w:rsidP="00C325F1">
            <w:pPr>
              <w:widowControl w:val="0"/>
              <w:tabs>
                <w:tab w:val="left" w:pos="220"/>
                <w:tab w:val="left" w:pos="720"/>
              </w:tabs>
              <w:autoSpaceDE w:val="0"/>
              <w:autoSpaceDN w:val="0"/>
              <w:adjustRightInd w:val="0"/>
              <w:rPr>
                <w:rFonts w:ascii="Arial Narrow" w:hAnsi="Arial Narrow" w:cs="Arial Narrow"/>
                <w:color w:val="13284B"/>
                <w:sz w:val="22"/>
                <w:szCs w:val="22"/>
              </w:rPr>
            </w:pPr>
            <w:r w:rsidRPr="001122A8">
              <w:rPr>
                <w:rFonts w:ascii="Arial Narrow" w:hAnsi="Arial Narrow" w:cs="Arial Narrow"/>
                <w:color w:val="13284B"/>
                <w:sz w:val="22"/>
                <w:szCs w:val="22"/>
              </w:rPr>
              <w:t>For providing support to this system, the African/regional economic fora should eventually support this, as t</w:t>
            </w:r>
            <w:r w:rsidR="001122A8" w:rsidRPr="001122A8">
              <w:rPr>
                <w:rFonts w:ascii="Arial Narrow" w:hAnsi="Arial Narrow" w:cs="Arial Narrow"/>
                <w:color w:val="13284B"/>
                <w:sz w:val="22"/>
                <w:szCs w:val="22"/>
              </w:rPr>
              <w:t>h</w:t>
            </w:r>
            <w:r w:rsidRPr="001122A8">
              <w:rPr>
                <w:rFonts w:ascii="Arial Narrow" w:hAnsi="Arial Narrow" w:cs="Arial Narrow"/>
                <w:color w:val="13284B"/>
                <w:sz w:val="22"/>
                <w:szCs w:val="22"/>
              </w:rPr>
              <w:t>e benefits to coastal economies in avoided costs/lost income will be substantial. In the short term however, funding through the international mechanisms, such as EU and bilateral programmes, or through the service contracts of the international EO data</w:t>
            </w:r>
            <w:r w:rsidR="001122A8" w:rsidRPr="001122A8">
              <w:rPr>
                <w:rFonts w:ascii="Arial Narrow" w:hAnsi="Arial Narrow" w:cs="Arial Narrow"/>
                <w:color w:val="13284B"/>
                <w:sz w:val="22"/>
                <w:szCs w:val="22"/>
              </w:rPr>
              <w:t>. Further, technical support and collaboration could be obtained through climate cooperation programmes of national/international agencies such as the Hadley Climate Center, etc.</w:t>
            </w:r>
          </w:p>
        </w:tc>
      </w:tr>
    </w:tbl>
    <w:p w14:paraId="717DBDE5" w14:textId="77777777" w:rsidR="00DA35B7" w:rsidRDefault="00DA35B7" w:rsidP="00476969"/>
    <w:sectPr w:rsidR="00DA35B7" w:rsidSect="00361D0F">
      <w:headerReference w:type="default" r:id="rId10"/>
      <w:pgSz w:w="11901" w:h="16840"/>
      <w:pgMar w:top="1247" w:right="1247" w:bottom="1247" w:left="1247"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9C9107" w14:textId="77777777" w:rsidR="00740957" w:rsidRDefault="00740957" w:rsidP="00C60181">
      <w:r>
        <w:separator/>
      </w:r>
    </w:p>
  </w:endnote>
  <w:endnote w:type="continuationSeparator" w:id="0">
    <w:p w14:paraId="1627B54D" w14:textId="77777777" w:rsidR="00740957" w:rsidRDefault="00740957" w:rsidP="00C60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Narrow">
    <w:panose1 w:val="020B0506020202030204"/>
    <w:charset w:val="00"/>
    <w:family w:val="auto"/>
    <w:pitch w:val="variable"/>
    <w:sig w:usb0="00000287" w:usb1="00000800" w:usb2="00000000" w:usb3="00000000" w:csb0="0000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C2AB3" w14:textId="77777777" w:rsidR="00740957" w:rsidRDefault="00740957" w:rsidP="00C60181">
      <w:r>
        <w:separator/>
      </w:r>
    </w:p>
  </w:footnote>
  <w:footnote w:type="continuationSeparator" w:id="0">
    <w:p w14:paraId="37980121" w14:textId="77777777" w:rsidR="00740957" w:rsidRDefault="00740957" w:rsidP="00C6018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8629E" w14:textId="36928462" w:rsidR="00740957" w:rsidRPr="005B0515" w:rsidRDefault="00740957" w:rsidP="005B0515">
    <w:pPr>
      <w:pStyle w:val="Header"/>
      <w:tabs>
        <w:tab w:val="clear" w:pos="8640"/>
        <w:tab w:val="right" w:pos="9356"/>
      </w:tabs>
      <w:rPr>
        <w:sz w:val="20"/>
        <w:szCs w:val="20"/>
      </w:rPr>
    </w:pPr>
    <w:r w:rsidRPr="005B0515">
      <w:rPr>
        <w:sz w:val="20"/>
        <w:szCs w:val="20"/>
      </w:rPr>
      <w:t>CORDIO East Africa – Coral bleaching and coastal hazard forecasting. Concept.</w:t>
    </w:r>
    <w:r w:rsidRPr="005B0515">
      <w:rPr>
        <w:sz w:val="20"/>
        <w:szCs w:val="20"/>
      </w:rPr>
      <w:tab/>
      <w:t xml:space="preserve">Page </w:t>
    </w:r>
    <w:r w:rsidRPr="005B0515">
      <w:rPr>
        <w:rStyle w:val="PageNumber"/>
        <w:sz w:val="20"/>
        <w:szCs w:val="20"/>
      </w:rPr>
      <w:fldChar w:fldCharType="begin"/>
    </w:r>
    <w:r w:rsidRPr="005B0515">
      <w:rPr>
        <w:rStyle w:val="PageNumber"/>
        <w:sz w:val="20"/>
        <w:szCs w:val="20"/>
      </w:rPr>
      <w:instrText xml:space="preserve"> PAGE </w:instrText>
    </w:r>
    <w:r w:rsidRPr="005B0515">
      <w:rPr>
        <w:rStyle w:val="PageNumber"/>
        <w:sz w:val="20"/>
        <w:szCs w:val="20"/>
      </w:rPr>
      <w:fldChar w:fldCharType="separate"/>
    </w:r>
    <w:r w:rsidR="00D246F5">
      <w:rPr>
        <w:rStyle w:val="PageNumber"/>
        <w:noProof/>
        <w:sz w:val="20"/>
        <w:szCs w:val="20"/>
      </w:rPr>
      <w:t>1</w:t>
    </w:r>
    <w:r w:rsidRPr="005B0515">
      <w:rPr>
        <w:rStyle w:val="PageNumber"/>
        <w:sz w:val="20"/>
        <w:szCs w:val="20"/>
      </w:rPr>
      <w:fldChar w:fldCharType="end"/>
    </w:r>
  </w:p>
  <w:p w14:paraId="56EE7D3F" w14:textId="297AE506" w:rsidR="00740957" w:rsidRPr="00C60181" w:rsidRDefault="00740957" w:rsidP="005B0515">
    <w:pPr>
      <w:pStyle w:val="Header"/>
      <w:pBdr>
        <w:bottom w:val="single" w:sz="4" w:space="1" w:color="auto"/>
      </w:pBdr>
      <w:rPr>
        <w:sz w:val="20"/>
        <w:szCs w:val="20"/>
      </w:rPr>
    </w:pPr>
    <w:r w:rsidRPr="00C60181">
      <w:rPr>
        <w:sz w:val="20"/>
        <w:szCs w:val="20"/>
      </w:rPr>
      <w:t>Dr. David Obura</w:t>
    </w:r>
    <w:r>
      <w:rPr>
        <w:sz w:val="20"/>
        <w:szCs w:val="20"/>
      </w:rPr>
      <w:t>, Majambo Gamoyo</w:t>
    </w:r>
    <w:r w:rsidRPr="00C60181">
      <w:rPr>
        <w:sz w:val="20"/>
        <w:szCs w:val="20"/>
      </w:rPr>
      <w:t xml:space="preserve">; </w:t>
    </w:r>
    <w:hyperlink r:id="rId1" w:history="1">
      <w:r w:rsidRPr="00C60181">
        <w:rPr>
          <w:rStyle w:val="Hyperlink"/>
          <w:sz w:val="20"/>
          <w:szCs w:val="20"/>
        </w:rPr>
        <w:t>dobura@cordioea.net</w:t>
      </w:r>
    </w:hyperlink>
    <w:r w:rsidRPr="00C60181">
      <w:rPr>
        <w:sz w:val="20"/>
        <w:szCs w:val="20"/>
      </w:rPr>
      <w:t xml:space="preserve">; </w:t>
    </w:r>
    <w:hyperlink r:id="rId2" w:history="1">
      <w:r w:rsidRPr="00C60181">
        <w:rPr>
          <w:rStyle w:val="Hyperlink"/>
          <w:sz w:val="20"/>
          <w:szCs w:val="20"/>
        </w:rPr>
        <w:t>www.cordioea.net/bleaching</w:t>
      </w:r>
    </w:hyperlink>
    <w:r w:rsidRPr="00C60181">
      <w:rPr>
        <w:sz w:val="20"/>
        <w:szCs w:val="20"/>
      </w:rPr>
      <w:t>; +254-715-067417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4"/>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F73789"/>
    <w:multiLevelType w:val="hybridMultilevel"/>
    <w:tmpl w:val="9BA450C8"/>
    <w:lvl w:ilvl="0" w:tplc="BE0EAB8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FF2B7F"/>
    <w:multiLevelType w:val="hybridMultilevel"/>
    <w:tmpl w:val="EADEE140"/>
    <w:lvl w:ilvl="0" w:tplc="BE0EAB8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EE5386"/>
    <w:multiLevelType w:val="hybridMultilevel"/>
    <w:tmpl w:val="5DFE37F0"/>
    <w:lvl w:ilvl="0" w:tplc="BE0EAB8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969"/>
    <w:rsid w:val="0009591F"/>
    <w:rsid w:val="00110C09"/>
    <w:rsid w:val="001122A8"/>
    <w:rsid w:val="0025314F"/>
    <w:rsid w:val="00285969"/>
    <w:rsid w:val="002B25F1"/>
    <w:rsid w:val="00361D0F"/>
    <w:rsid w:val="00476969"/>
    <w:rsid w:val="005B0515"/>
    <w:rsid w:val="005F1CC6"/>
    <w:rsid w:val="00661699"/>
    <w:rsid w:val="00740957"/>
    <w:rsid w:val="007F2534"/>
    <w:rsid w:val="008B7B84"/>
    <w:rsid w:val="00B87D6B"/>
    <w:rsid w:val="00C325F1"/>
    <w:rsid w:val="00C60181"/>
    <w:rsid w:val="00D246F5"/>
    <w:rsid w:val="00D55862"/>
    <w:rsid w:val="00DA35B7"/>
    <w:rsid w:val="00EC4720"/>
    <w:rsid w:val="00ED7237"/>
    <w:rsid w:val="00FA5F70"/>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C5F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969"/>
    <w:pPr>
      <w:ind w:left="720"/>
      <w:contextualSpacing/>
    </w:pPr>
  </w:style>
  <w:style w:type="table" w:styleId="TableGrid">
    <w:name w:val="Table Grid"/>
    <w:basedOn w:val="TableNormal"/>
    <w:uiPriority w:val="59"/>
    <w:rsid w:val="00DA3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60181"/>
    <w:pPr>
      <w:tabs>
        <w:tab w:val="center" w:pos="4320"/>
        <w:tab w:val="right" w:pos="8640"/>
      </w:tabs>
    </w:pPr>
  </w:style>
  <w:style w:type="character" w:customStyle="1" w:styleId="HeaderChar">
    <w:name w:val="Header Char"/>
    <w:basedOn w:val="DefaultParagraphFont"/>
    <w:link w:val="Header"/>
    <w:uiPriority w:val="99"/>
    <w:rsid w:val="00C60181"/>
  </w:style>
  <w:style w:type="paragraph" w:styleId="Footer">
    <w:name w:val="footer"/>
    <w:basedOn w:val="Normal"/>
    <w:link w:val="FooterChar"/>
    <w:uiPriority w:val="99"/>
    <w:unhideWhenUsed/>
    <w:rsid w:val="00C60181"/>
    <w:pPr>
      <w:tabs>
        <w:tab w:val="center" w:pos="4320"/>
        <w:tab w:val="right" w:pos="8640"/>
      </w:tabs>
    </w:pPr>
  </w:style>
  <w:style w:type="character" w:customStyle="1" w:styleId="FooterChar">
    <w:name w:val="Footer Char"/>
    <w:basedOn w:val="DefaultParagraphFont"/>
    <w:link w:val="Footer"/>
    <w:uiPriority w:val="99"/>
    <w:rsid w:val="00C60181"/>
  </w:style>
  <w:style w:type="character" w:styleId="Hyperlink">
    <w:name w:val="Hyperlink"/>
    <w:basedOn w:val="DefaultParagraphFont"/>
    <w:uiPriority w:val="99"/>
    <w:unhideWhenUsed/>
    <w:rsid w:val="00C60181"/>
    <w:rPr>
      <w:color w:val="0000FF" w:themeColor="hyperlink"/>
      <w:u w:val="single"/>
    </w:rPr>
  </w:style>
  <w:style w:type="character" w:styleId="PageNumber">
    <w:name w:val="page number"/>
    <w:basedOn w:val="DefaultParagraphFont"/>
    <w:uiPriority w:val="99"/>
    <w:semiHidden/>
    <w:unhideWhenUsed/>
    <w:rsid w:val="005B0515"/>
  </w:style>
  <w:style w:type="paragraph" w:styleId="BalloonText">
    <w:name w:val="Balloon Text"/>
    <w:basedOn w:val="Normal"/>
    <w:link w:val="BalloonTextChar"/>
    <w:uiPriority w:val="99"/>
    <w:semiHidden/>
    <w:unhideWhenUsed/>
    <w:rsid w:val="006616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169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969"/>
    <w:pPr>
      <w:ind w:left="720"/>
      <w:contextualSpacing/>
    </w:pPr>
  </w:style>
  <w:style w:type="table" w:styleId="TableGrid">
    <w:name w:val="Table Grid"/>
    <w:basedOn w:val="TableNormal"/>
    <w:uiPriority w:val="59"/>
    <w:rsid w:val="00DA3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60181"/>
    <w:pPr>
      <w:tabs>
        <w:tab w:val="center" w:pos="4320"/>
        <w:tab w:val="right" w:pos="8640"/>
      </w:tabs>
    </w:pPr>
  </w:style>
  <w:style w:type="character" w:customStyle="1" w:styleId="HeaderChar">
    <w:name w:val="Header Char"/>
    <w:basedOn w:val="DefaultParagraphFont"/>
    <w:link w:val="Header"/>
    <w:uiPriority w:val="99"/>
    <w:rsid w:val="00C60181"/>
  </w:style>
  <w:style w:type="paragraph" w:styleId="Footer">
    <w:name w:val="footer"/>
    <w:basedOn w:val="Normal"/>
    <w:link w:val="FooterChar"/>
    <w:uiPriority w:val="99"/>
    <w:unhideWhenUsed/>
    <w:rsid w:val="00C60181"/>
    <w:pPr>
      <w:tabs>
        <w:tab w:val="center" w:pos="4320"/>
        <w:tab w:val="right" w:pos="8640"/>
      </w:tabs>
    </w:pPr>
  </w:style>
  <w:style w:type="character" w:customStyle="1" w:styleId="FooterChar">
    <w:name w:val="Footer Char"/>
    <w:basedOn w:val="DefaultParagraphFont"/>
    <w:link w:val="Footer"/>
    <w:uiPriority w:val="99"/>
    <w:rsid w:val="00C60181"/>
  </w:style>
  <w:style w:type="character" w:styleId="Hyperlink">
    <w:name w:val="Hyperlink"/>
    <w:basedOn w:val="DefaultParagraphFont"/>
    <w:uiPriority w:val="99"/>
    <w:unhideWhenUsed/>
    <w:rsid w:val="00C60181"/>
    <w:rPr>
      <w:color w:val="0000FF" w:themeColor="hyperlink"/>
      <w:u w:val="single"/>
    </w:rPr>
  </w:style>
  <w:style w:type="character" w:styleId="PageNumber">
    <w:name w:val="page number"/>
    <w:basedOn w:val="DefaultParagraphFont"/>
    <w:uiPriority w:val="99"/>
    <w:semiHidden/>
    <w:unhideWhenUsed/>
    <w:rsid w:val="005B0515"/>
  </w:style>
  <w:style w:type="paragraph" w:styleId="BalloonText">
    <w:name w:val="Balloon Text"/>
    <w:basedOn w:val="Normal"/>
    <w:link w:val="BalloonTextChar"/>
    <w:uiPriority w:val="99"/>
    <w:semiHidden/>
    <w:unhideWhenUsed/>
    <w:rsid w:val="006616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169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dobura@cordioea.net" TargetMode="External"/><Relationship Id="rId2" Type="http://schemas.openxmlformats.org/officeDocument/2006/relationships/hyperlink" Target="http://www.cordioea.net/bleach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980</Words>
  <Characters>5589</Characters>
  <Application>Microsoft Macintosh Word</Application>
  <DocSecurity>0</DocSecurity>
  <Lines>46</Lines>
  <Paragraphs>13</Paragraphs>
  <ScaleCrop>false</ScaleCrop>
  <Company>CORDIO East Africa</Company>
  <LinksUpToDate>false</LinksUpToDate>
  <CharactersWithSpaces>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Obura</dc:creator>
  <cp:keywords/>
  <dc:description/>
  <cp:lastModifiedBy>David Obura</cp:lastModifiedBy>
  <cp:revision>10</cp:revision>
  <dcterms:created xsi:type="dcterms:W3CDTF">2012-10-10T07:03:00Z</dcterms:created>
  <dcterms:modified xsi:type="dcterms:W3CDTF">2012-10-17T12:35:00Z</dcterms:modified>
</cp:coreProperties>
</file>