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DE5" w:rsidRPr="00B247DB" w:rsidRDefault="00B247DB" w:rsidP="00B247DB">
      <w:pPr>
        <w:rPr>
          <w:rFonts w:ascii="Bookman Old Style" w:hAnsi="Bookman Old Style"/>
          <w:b/>
          <w:sz w:val="28"/>
        </w:rPr>
      </w:pPr>
      <w:r w:rsidRPr="00B247DB">
        <w:rPr>
          <w:rFonts w:ascii="Bookman Old Style" w:hAnsi="Bookman Old Style"/>
          <w:b/>
          <w:sz w:val="28"/>
        </w:rPr>
        <w:t xml:space="preserve">8. </w:t>
      </w:r>
      <w:r w:rsidR="00E7381A" w:rsidRPr="00B247DB">
        <w:rPr>
          <w:rFonts w:ascii="Bookman Old Style" w:hAnsi="Bookman Old Style"/>
          <w:b/>
          <w:sz w:val="28"/>
        </w:rPr>
        <w:t>Mapeo de las A</w:t>
      </w:r>
      <w:r w:rsidR="00D24DE5" w:rsidRPr="00B247DB">
        <w:rPr>
          <w:rFonts w:ascii="Bookman Old Style" w:hAnsi="Bookman Old Style"/>
          <w:b/>
          <w:sz w:val="28"/>
        </w:rPr>
        <w:t xml:space="preserve">sistencia técnicas </w:t>
      </w:r>
      <w:r w:rsidR="00E7381A" w:rsidRPr="00B247DB">
        <w:rPr>
          <w:rFonts w:ascii="Bookman Old Style" w:hAnsi="Bookman Old Style"/>
          <w:b/>
          <w:sz w:val="28"/>
        </w:rPr>
        <w:t>en marcha en el marco del Programa Comunidades Solidarias</w:t>
      </w:r>
      <w:r w:rsidR="006D4E93" w:rsidRPr="00B247DB">
        <w:rPr>
          <w:rStyle w:val="FootnoteReference"/>
          <w:rFonts w:ascii="Bookman Old Style" w:hAnsi="Bookman Old Style"/>
          <w:b/>
          <w:sz w:val="28"/>
        </w:rPr>
        <w:footnoteReference w:id="2"/>
      </w:r>
    </w:p>
    <w:p w:rsidR="00D24DE5" w:rsidRPr="009F0A23" w:rsidRDefault="00D24DE5" w:rsidP="009F0A23">
      <w:pPr>
        <w:jc w:val="center"/>
        <w:rPr>
          <w:sz w:val="28"/>
        </w:rPr>
      </w:pPr>
    </w:p>
    <w:tbl>
      <w:tblPr>
        <w:tblStyle w:val="TableColorful1"/>
        <w:tblW w:w="13858" w:type="dxa"/>
        <w:tblLayout w:type="fixed"/>
        <w:tblLook w:val="01E0"/>
      </w:tblPr>
      <w:tblGrid>
        <w:gridCol w:w="2660"/>
        <w:gridCol w:w="1701"/>
        <w:gridCol w:w="3260"/>
        <w:gridCol w:w="1559"/>
        <w:gridCol w:w="2120"/>
        <w:gridCol w:w="7"/>
        <w:gridCol w:w="2551"/>
      </w:tblGrid>
      <w:tr w:rsidR="009F0A23" w:rsidRPr="009F0A23" w:rsidTr="0071442E">
        <w:trPr>
          <w:cnfStyle w:val="100000000000"/>
        </w:trPr>
        <w:tc>
          <w:tcPr>
            <w:cnfStyle w:val="001000000100"/>
            <w:tcW w:w="2660" w:type="dxa"/>
            <w:tcBorders>
              <w:bottom w:val="single" w:sz="4" w:space="0" w:color="002060"/>
            </w:tcBorders>
            <w:vAlign w:val="center"/>
          </w:tcPr>
          <w:p w:rsidR="00D24DE5" w:rsidRPr="00BB5990" w:rsidRDefault="00D24DE5" w:rsidP="00BB5990">
            <w:pPr>
              <w:jc w:val="center"/>
              <w:rPr>
                <w:b w:val="0"/>
                <w:i w:val="0"/>
                <w:sz w:val="28"/>
              </w:rPr>
            </w:pPr>
            <w:r w:rsidRPr="00BB5990">
              <w:rPr>
                <w:i w:val="0"/>
                <w:sz w:val="28"/>
              </w:rPr>
              <w:t>Área de la Asistencia Técnica</w:t>
            </w:r>
          </w:p>
        </w:tc>
        <w:tc>
          <w:tcPr>
            <w:tcW w:w="1701" w:type="dxa"/>
            <w:tcBorders>
              <w:bottom w:val="single" w:sz="4" w:space="0" w:color="002060"/>
            </w:tcBorders>
            <w:vAlign w:val="center"/>
          </w:tcPr>
          <w:p w:rsidR="00D24DE5" w:rsidRPr="00C4221C" w:rsidRDefault="00D24DE5" w:rsidP="00BB5990">
            <w:pPr>
              <w:jc w:val="center"/>
              <w:cnfStyle w:val="100000000000"/>
              <w:rPr>
                <w:b w:val="0"/>
                <w:i w:val="0"/>
                <w:color w:val="auto"/>
                <w:sz w:val="28"/>
              </w:rPr>
            </w:pPr>
            <w:r w:rsidRPr="00C4221C">
              <w:rPr>
                <w:i w:val="0"/>
                <w:color w:val="auto"/>
                <w:sz w:val="28"/>
              </w:rPr>
              <w:t>Institución</w:t>
            </w:r>
            <w:r w:rsidR="00984452">
              <w:rPr>
                <w:rStyle w:val="FootnoteReference"/>
                <w:i w:val="0"/>
                <w:color w:val="auto"/>
                <w:sz w:val="28"/>
              </w:rPr>
              <w:footnoteReference w:id="3"/>
            </w:r>
          </w:p>
        </w:tc>
        <w:tc>
          <w:tcPr>
            <w:tcW w:w="3260" w:type="dxa"/>
            <w:tcBorders>
              <w:bottom w:val="single" w:sz="4" w:space="0" w:color="002060"/>
            </w:tcBorders>
            <w:vAlign w:val="center"/>
          </w:tcPr>
          <w:p w:rsidR="0071442E" w:rsidRPr="00C4221C" w:rsidRDefault="0071442E" w:rsidP="00BB5990">
            <w:pPr>
              <w:jc w:val="center"/>
              <w:cnfStyle w:val="100000000000"/>
              <w:rPr>
                <w:i w:val="0"/>
                <w:color w:val="auto"/>
                <w:sz w:val="28"/>
              </w:rPr>
            </w:pPr>
          </w:p>
          <w:p w:rsidR="00807BBF" w:rsidRPr="00C4221C" w:rsidRDefault="00D24DE5" w:rsidP="00BB5990">
            <w:pPr>
              <w:jc w:val="center"/>
              <w:cnfStyle w:val="100000000000"/>
              <w:rPr>
                <w:b w:val="0"/>
                <w:i w:val="0"/>
                <w:color w:val="auto"/>
                <w:sz w:val="28"/>
              </w:rPr>
            </w:pPr>
            <w:r w:rsidRPr="00C4221C">
              <w:rPr>
                <w:i w:val="0"/>
                <w:color w:val="auto"/>
                <w:sz w:val="28"/>
              </w:rPr>
              <w:t xml:space="preserve">Breve Descripción </w:t>
            </w:r>
            <w:r w:rsidR="00807BBF" w:rsidRPr="00C4221C">
              <w:rPr>
                <w:i w:val="0"/>
                <w:color w:val="auto"/>
                <w:sz w:val="28"/>
              </w:rPr>
              <w:t>de la Necesidad Institucional</w:t>
            </w:r>
          </w:p>
          <w:p w:rsidR="00D24DE5" w:rsidRPr="00C4221C" w:rsidRDefault="00D24DE5" w:rsidP="00BB5990">
            <w:pPr>
              <w:jc w:val="center"/>
              <w:cnfStyle w:val="100000000000"/>
              <w:rPr>
                <w:i w:val="0"/>
                <w:color w:val="auto"/>
                <w:sz w:val="28"/>
              </w:rPr>
            </w:pPr>
            <w:r w:rsidRPr="00C4221C">
              <w:rPr>
                <w:i w:val="0"/>
                <w:color w:val="auto"/>
                <w:sz w:val="28"/>
              </w:rPr>
              <w:t>(Objetivos y resultados esperados)</w:t>
            </w:r>
          </w:p>
          <w:p w:rsidR="00BB5990" w:rsidRPr="00C4221C" w:rsidRDefault="00BB5990" w:rsidP="00BB5990">
            <w:pPr>
              <w:jc w:val="center"/>
              <w:cnfStyle w:val="100000000000"/>
              <w:rPr>
                <w:b w:val="0"/>
                <w:i w:val="0"/>
                <w:color w:val="auto"/>
                <w:sz w:val="28"/>
              </w:rPr>
            </w:pPr>
          </w:p>
        </w:tc>
        <w:tc>
          <w:tcPr>
            <w:tcW w:w="1559" w:type="dxa"/>
            <w:tcBorders>
              <w:bottom w:val="single" w:sz="4" w:space="0" w:color="002060"/>
            </w:tcBorders>
            <w:vAlign w:val="center"/>
          </w:tcPr>
          <w:p w:rsidR="00D24DE5" w:rsidRPr="00C4221C" w:rsidRDefault="00D24DE5" w:rsidP="00BB5990">
            <w:pPr>
              <w:jc w:val="center"/>
              <w:cnfStyle w:val="100000000000"/>
              <w:rPr>
                <w:b w:val="0"/>
                <w:i w:val="0"/>
                <w:color w:val="auto"/>
                <w:sz w:val="28"/>
              </w:rPr>
            </w:pPr>
            <w:r w:rsidRPr="00C4221C">
              <w:rPr>
                <w:i w:val="0"/>
                <w:color w:val="auto"/>
                <w:sz w:val="28"/>
              </w:rPr>
              <w:t>Duración</w:t>
            </w:r>
          </w:p>
        </w:tc>
        <w:tc>
          <w:tcPr>
            <w:tcW w:w="2120" w:type="dxa"/>
            <w:tcBorders>
              <w:bottom w:val="single" w:sz="4" w:space="0" w:color="002060"/>
            </w:tcBorders>
            <w:vAlign w:val="center"/>
          </w:tcPr>
          <w:p w:rsidR="00D24DE5" w:rsidRPr="00C4221C" w:rsidRDefault="00D24DE5" w:rsidP="00BB5990">
            <w:pPr>
              <w:jc w:val="center"/>
              <w:cnfStyle w:val="100000000000"/>
              <w:rPr>
                <w:b w:val="0"/>
                <w:i w:val="0"/>
                <w:color w:val="auto"/>
                <w:sz w:val="28"/>
              </w:rPr>
            </w:pPr>
            <w:r w:rsidRPr="00C4221C">
              <w:rPr>
                <w:i w:val="0"/>
                <w:color w:val="auto"/>
                <w:sz w:val="28"/>
              </w:rPr>
              <w:t>Monto asignado</w:t>
            </w:r>
          </w:p>
        </w:tc>
        <w:tc>
          <w:tcPr>
            <w:tcW w:w="2558" w:type="dxa"/>
            <w:gridSpan w:val="2"/>
            <w:tcBorders>
              <w:bottom w:val="single" w:sz="4" w:space="0" w:color="002060"/>
            </w:tcBorders>
            <w:vAlign w:val="center"/>
          </w:tcPr>
          <w:p w:rsidR="00D24DE5" w:rsidRPr="00C4221C" w:rsidRDefault="00D24DE5" w:rsidP="00BB5990">
            <w:pPr>
              <w:jc w:val="center"/>
              <w:cnfStyle w:val="100000000000"/>
              <w:rPr>
                <w:b w:val="0"/>
                <w:i w:val="0"/>
                <w:color w:val="auto"/>
                <w:sz w:val="28"/>
              </w:rPr>
            </w:pPr>
            <w:r w:rsidRPr="00C4221C">
              <w:rPr>
                <w:i w:val="0"/>
                <w:color w:val="auto"/>
                <w:sz w:val="28"/>
              </w:rPr>
              <w:t>Socio cooperante/ Financiador</w:t>
            </w:r>
          </w:p>
        </w:tc>
      </w:tr>
      <w:tr w:rsidR="00196CDD" w:rsidRPr="009F0A23" w:rsidTr="0071442E">
        <w:trPr>
          <w:trHeight w:val="712"/>
        </w:trPr>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Fortalecimiento institucional</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STP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both"/>
              <w:cnfStyle w:val="000000000000"/>
              <w:rPr>
                <w:color w:val="auto"/>
                <w:sz w:val="22"/>
                <w:szCs w:val="22"/>
              </w:rPr>
            </w:pPr>
            <w:r w:rsidRPr="00C4221C">
              <w:rPr>
                <w:color w:val="auto"/>
                <w:sz w:val="22"/>
                <w:szCs w:val="22"/>
              </w:rPr>
              <w:t>Asistencia técnica para la definición de una propuesta de fortalecimiento institucional de la coordinación de la Unidad del SPSU de la STP y otras unidades relevantes para garantizar el cumplimiento objetivos, metas y resultados del PCS.</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B37DF5">
            <w:pPr>
              <w:jc w:val="center"/>
              <w:cnfStyle w:val="000000000000"/>
              <w:rPr>
                <w:color w:val="auto"/>
                <w:sz w:val="22"/>
                <w:szCs w:val="22"/>
              </w:rPr>
            </w:pPr>
            <w:r>
              <w:rPr>
                <w:color w:val="auto"/>
                <w:sz w:val="22"/>
                <w:szCs w:val="22"/>
              </w:rPr>
              <w:t>2,5 meses adjudicado  26-mar-12</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B37DF5">
            <w:pPr>
              <w:jc w:val="center"/>
              <w:cnfStyle w:val="000000000000"/>
              <w:rPr>
                <w:color w:val="auto"/>
                <w:sz w:val="22"/>
                <w:szCs w:val="22"/>
              </w:rPr>
            </w:pPr>
            <w:r>
              <w:rPr>
                <w:color w:val="auto"/>
                <w:sz w:val="22"/>
                <w:szCs w:val="22"/>
              </w:rPr>
              <w:t>$29,900.00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AECID</w:t>
            </w:r>
            <w:r>
              <w:rPr>
                <w:rStyle w:val="FootnoteReference"/>
                <w:color w:val="auto"/>
                <w:sz w:val="22"/>
                <w:szCs w:val="22"/>
              </w:rPr>
              <w:footnoteReference w:id="4"/>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Fortalecimiento institucional</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STP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both"/>
              <w:cnfStyle w:val="000000000000"/>
              <w:rPr>
                <w:color w:val="auto"/>
                <w:sz w:val="22"/>
                <w:szCs w:val="22"/>
              </w:rPr>
            </w:pPr>
            <w:r w:rsidRPr="00C4221C">
              <w:rPr>
                <w:color w:val="auto"/>
                <w:sz w:val="22"/>
                <w:szCs w:val="22"/>
              </w:rPr>
              <w:t>Apoyo a la STP en el Seguimiento de Apoyos Presupuestarios a Comunidades Solidarias en el marco del SPSU.</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Pr>
                <w:color w:val="auto"/>
                <w:sz w:val="22"/>
                <w:szCs w:val="22"/>
              </w:rPr>
              <w:t xml:space="preserve">01-mar-12 al 31-sep-12 </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Pr>
                <w:color w:val="auto"/>
                <w:sz w:val="22"/>
                <w:szCs w:val="22"/>
              </w:rPr>
              <w:t>$16,800.00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AECID</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 xml:space="preserve">Fortalecimiento </w:t>
            </w:r>
            <w:r w:rsidRPr="009F0A23">
              <w:rPr>
                <w:b w:val="0"/>
                <w:sz w:val="22"/>
                <w:szCs w:val="22"/>
              </w:rPr>
              <w:lastRenderedPageBreak/>
              <w:t>Institucional</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lastRenderedPageBreak/>
              <w:t>STP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both"/>
              <w:cnfStyle w:val="000000000000"/>
              <w:rPr>
                <w:color w:val="auto"/>
                <w:sz w:val="22"/>
                <w:szCs w:val="22"/>
              </w:rPr>
            </w:pPr>
            <w:r>
              <w:rPr>
                <w:color w:val="auto"/>
                <w:sz w:val="22"/>
                <w:szCs w:val="22"/>
              </w:rPr>
              <w:t xml:space="preserve">Apoyo </w:t>
            </w:r>
            <w:r w:rsidRPr="00C4221C">
              <w:rPr>
                <w:color w:val="auto"/>
                <w:sz w:val="22"/>
                <w:szCs w:val="22"/>
              </w:rPr>
              <w:t xml:space="preserve">en el Seguimiento </w:t>
            </w:r>
            <w:r w:rsidRPr="00C4221C">
              <w:rPr>
                <w:color w:val="auto"/>
                <w:sz w:val="22"/>
                <w:szCs w:val="22"/>
              </w:rPr>
              <w:lastRenderedPageBreak/>
              <w:t>administrativo de Apoyos Presupuestarios a Comunidades Solidarias en el marco del SPSU.</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Pr>
                <w:color w:val="auto"/>
                <w:sz w:val="22"/>
                <w:szCs w:val="22"/>
              </w:rPr>
              <w:lastRenderedPageBreak/>
              <w:t xml:space="preserve">05-mar-12 al </w:t>
            </w:r>
            <w:r>
              <w:rPr>
                <w:color w:val="auto"/>
                <w:sz w:val="22"/>
                <w:szCs w:val="22"/>
              </w:rPr>
              <w:lastRenderedPageBreak/>
              <w:t xml:space="preserve">04-jul-12 </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Pr>
                <w:color w:val="auto"/>
                <w:sz w:val="22"/>
                <w:szCs w:val="22"/>
              </w:rPr>
              <w:lastRenderedPageBreak/>
              <w:t>$8,000.00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AECID</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lastRenderedPageBreak/>
              <w:t>Herramientas de gestión</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STP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15792E">
            <w:pPr>
              <w:jc w:val="both"/>
              <w:cnfStyle w:val="000000000000"/>
              <w:rPr>
                <w:color w:val="auto"/>
                <w:sz w:val="22"/>
                <w:szCs w:val="22"/>
              </w:rPr>
            </w:pPr>
            <w:r w:rsidRPr="00C4221C">
              <w:rPr>
                <w:color w:val="auto"/>
                <w:sz w:val="22"/>
                <w:szCs w:val="22"/>
              </w:rPr>
              <w:t>Apoyo en el desarrollo de herramientas del SPSU y en la preparación de estadísticas sociales</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Pr>
                <w:color w:val="auto"/>
                <w:sz w:val="22"/>
                <w:szCs w:val="22"/>
              </w:rPr>
              <w:t>20-feb-12 al 19-ago-12</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Pr>
                <w:color w:val="auto"/>
                <w:sz w:val="22"/>
                <w:szCs w:val="22"/>
              </w:rPr>
              <w:t>$17,500.00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AECID</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Seguimiento y Evaluación</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STP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both"/>
              <w:cnfStyle w:val="000000000000"/>
              <w:rPr>
                <w:color w:val="auto"/>
                <w:sz w:val="22"/>
                <w:szCs w:val="22"/>
              </w:rPr>
            </w:pPr>
            <w:r w:rsidRPr="00C4221C">
              <w:rPr>
                <w:color w:val="auto"/>
                <w:sz w:val="22"/>
                <w:szCs w:val="22"/>
              </w:rPr>
              <w:t>Apoyo a la incorporación de la perspectiva de derechos humanos y género en el sistema de planificación, monitoreo y evaluación de la STP.</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196CDD">
            <w:pPr>
              <w:cnfStyle w:val="000000000000"/>
              <w:rPr>
                <w:color w:val="auto"/>
                <w:sz w:val="22"/>
                <w:szCs w:val="22"/>
              </w:rPr>
            </w:pPr>
            <w:r>
              <w:rPr>
                <w:color w:val="auto"/>
                <w:sz w:val="22"/>
                <w:szCs w:val="22"/>
              </w:rPr>
              <w:t xml:space="preserve">15- feb-12 al 14-ago-12 </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Pr>
                <w:color w:val="auto"/>
                <w:sz w:val="22"/>
                <w:szCs w:val="22"/>
              </w:rPr>
              <w:t>$13,200.00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AECID</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Coordinación del Programa</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STP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both"/>
              <w:cnfStyle w:val="000000000000"/>
              <w:rPr>
                <w:color w:val="auto"/>
                <w:sz w:val="22"/>
                <w:szCs w:val="22"/>
              </w:rPr>
            </w:pPr>
            <w:r w:rsidRPr="00C4221C">
              <w:rPr>
                <w:color w:val="auto"/>
                <w:sz w:val="22"/>
                <w:szCs w:val="22"/>
              </w:rPr>
              <w:t>La AT incluye:</w:t>
            </w:r>
          </w:p>
          <w:p w:rsidR="00196CDD" w:rsidRPr="00C4221C" w:rsidRDefault="00196CDD" w:rsidP="006D4E93">
            <w:pPr>
              <w:pStyle w:val="ListParagraph"/>
              <w:numPr>
                <w:ilvl w:val="0"/>
                <w:numId w:val="3"/>
              </w:numPr>
              <w:spacing w:after="0" w:line="240" w:lineRule="auto"/>
              <w:jc w:val="both"/>
              <w:cnfStyle w:val="000000000000"/>
              <w:rPr>
                <w:rFonts w:ascii="Times New Roman" w:hAnsi="Times New Roman"/>
                <w:color w:val="auto"/>
              </w:rPr>
            </w:pPr>
            <w:r w:rsidRPr="00C4221C">
              <w:rPr>
                <w:rFonts w:ascii="Times New Roman" w:hAnsi="Times New Roman"/>
                <w:color w:val="auto"/>
              </w:rPr>
              <w:t>Mapeo del Programa SVD/022 por parte de Lux.</w:t>
            </w:r>
          </w:p>
          <w:p w:rsidR="00196CDD" w:rsidRPr="00C4221C" w:rsidRDefault="00196CDD" w:rsidP="006D4E93">
            <w:pPr>
              <w:pStyle w:val="ListParagraph"/>
              <w:numPr>
                <w:ilvl w:val="0"/>
                <w:numId w:val="3"/>
              </w:numPr>
              <w:spacing w:after="0" w:line="240" w:lineRule="auto"/>
              <w:jc w:val="both"/>
              <w:cnfStyle w:val="000000000000"/>
              <w:rPr>
                <w:rFonts w:ascii="Times New Roman" w:hAnsi="Times New Roman"/>
                <w:color w:val="auto"/>
              </w:rPr>
            </w:pPr>
            <w:r w:rsidRPr="00C4221C">
              <w:rPr>
                <w:rFonts w:ascii="Times New Roman" w:hAnsi="Times New Roman"/>
                <w:color w:val="auto"/>
              </w:rPr>
              <w:t>Contribución al FOCAP por 10 millones de euros.</w:t>
            </w:r>
          </w:p>
          <w:p w:rsidR="00196CDD" w:rsidRPr="00C4221C" w:rsidRDefault="00196CDD" w:rsidP="006D4E93">
            <w:pPr>
              <w:pStyle w:val="ListParagraph"/>
              <w:numPr>
                <w:ilvl w:val="0"/>
                <w:numId w:val="3"/>
              </w:numPr>
              <w:spacing w:after="0" w:line="240" w:lineRule="auto"/>
              <w:jc w:val="both"/>
              <w:cnfStyle w:val="000000000000"/>
              <w:rPr>
                <w:rFonts w:ascii="Times New Roman" w:hAnsi="Times New Roman"/>
                <w:color w:val="auto"/>
              </w:rPr>
            </w:pPr>
            <w:r w:rsidRPr="00C4221C">
              <w:rPr>
                <w:rFonts w:ascii="Times New Roman" w:hAnsi="Times New Roman"/>
                <w:color w:val="auto"/>
              </w:rPr>
              <w:t>Seguimiento de AT (2 millones de euros)</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Luxemburgo</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Cadena de Procesos</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STP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both"/>
              <w:cnfStyle w:val="000000000000"/>
              <w:rPr>
                <w:color w:val="auto"/>
                <w:sz w:val="22"/>
                <w:szCs w:val="22"/>
              </w:rPr>
            </w:pPr>
            <w:r w:rsidRPr="00C4221C">
              <w:rPr>
                <w:color w:val="auto"/>
                <w:sz w:val="22"/>
                <w:szCs w:val="22"/>
              </w:rPr>
              <w:t>La AT incluye:</w:t>
            </w:r>
          </w:p>
          <w:p w:rsidR="00196CDD" w:rsidRPr="00C4221C" w:rsidRDefault="00196CDD" w:rsidP="006D4E93">
            <w:pPr>
              <w:pStyle w:val="ListParagraph"/>
              <w:numPr>
                <w:ilvl w:val="0"/>
                <w:numId w:val="4"/>
              </w:numPr>
              <w:spacing w:after="0" w:line="240" w:lineRule="auto"/>
              <w:jc w:val="both"/>
              <w:cnfStyle w:val="000000000000"/>
              <w:rPr>
                <w:rFonts w:ascii="Times New Roman" w:hAnsi="Times New Roman"/>
                <w:color w:val="auto"/>
              </w:rPr>
            </w:pPr>
            <w:r w:rsidRPr="00C4221C">
              <w:rPr>
                <w:rFonts w:ascii="Times New Roman" w:hAnsi="Times New Roman"/>
                <w:color w:val="auto"/>
              </w:rPr>
              <w:t>Apoyo a aspectos normativos (manual operativo)</w:t>
            </w:r>
          </w:p>
          <w:p w:rsidR="00196CDD" w:rsidRPr="00C4221C" w:rsidRDefault="00196CDD" w:rsidP="006D4E93">
            <w:pPr>
              <w:pStyle w:val="ListParagraph"/>
              <w:numPr>
                <w:ilvl w:val="0"/>
                <w:numId w:val="4"/>
              </w:numPr>
              <w:spacing w:after="0" w:line="240" w:lineRule="auto"/>
              <w:jc w:val="both"/>
              <w:cnfStyle w:val="000000000000"/>
              <w:rPr>
                <w:rFonts w:ascii="Times New Roman" w:hAnsi="Times New Roman"/>
                <w:color w:val="auto"/>
              </w:rPr>
            </w:pPr>
            <w:r w:rsidRPr="00C4221C">
              <w:rPr>
                <w:rFonts w:ascii="Times New Roman" w:hAnsi="Times New Roman"/>
                <w:color w:val="auto"/>
              </w:rPr>
              <w:t>Respuesta a cuellos de botella (streamlining) Flujos de fondos y ejecución.</w:t>
            </w:r>
          </w:p>
          <w:p w:rsidR="00196CDD" w:rsidRPr="00C4221C" w:rsidRDefault="00196CDD" w:rsidP="006D4E93">
            <w:pPr>
              <w:pStyle w:val="ListParagraph"/>
              <w:numPr>
                <w:ilvl w:val="0"/>
                <w:numId w:val="4"/>
              </w:numPr>
              <w:spacing w:after="0" w:line="240" w:lineRule="auto"/>
              <w:jc w:val="both"/>
              <w:cnfStyle w:val="000000000000"/>
              <w:rPr>
                <w:rFonts w:ascii="Times New Roman" w:hAnsi="Times New Roman"/>
                <w:color w:val="auto"/>
              </w:rPr>
            </w:pPr>
            <w:r w:rsidRPr="00C4221C">
              <w:rPr>
                <w:rFonts w:ascii="Times New Roman" w:hAnsi="Times New Roman"/>
                <w:color w:val="auto"/>
              </w:rPr>
              <w:t>Fortalecimiento de capacidades y procesos en el programa e IE en base a las recomendaciones de las consultorías</w:t>
            </w:r>
          </w:p>
          <w:p w:rsidR="00196CDD" w:rsidRPr="00C4221C" w:rsidRDefault="00196CDD" w:rsidP="006D4E93">
            <w:pPr>
              <w:pStyle w:val="ListParagraph"/>
              <w:spacing w:after="0" w:line="240" w:lineRule="auto"/>
              <w:jc w:val="both"/>
              <w:cnfStyle w:val="000000000000"/>
              <w:rPr>
                <w:rFonts w:ascii="Times New Roman" w:hAnsi="Times New Roman"/>
                <w:color w:val="auto"/>
              </w:rPr>
            </w:pP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Luxemburgo</w:t>
            </w:r>
          </w:p>
          <w:p w:rsidR="00196CDD" w:rsidRPr="00C4221C" w:rsidRDefault="00196CDD" w:rsidP="006D4E93">
            <w:pPr>
              <w:jc w:val="center"/>
              <w:cnfStyle w:val="000000000000"/>
              <w:rPr>
                <w:color w:val="auto"/>
                <w:sz w:val="22"/>
                <w:szCs w:val="22"/>
              </w:rPr>
            </w:pPr>
          </w:p>
          <w:p w:rsidR="00196CDD" w:rsidRPr="00C4221C" w:rsidRDefault="00196CDD" w:rsidP="006D4E93">
            <w:pPr>
              <w:jc w:val="center"/>
              <w:cnfStyle w:val="000000000000"/>
              <w:rPr>
                <w:color w:val="auto"/>
                <w:sz w:val="22"/>
                <w:szCs w:val="22"/>
              </w:rPr>
            </w:pPr>
          </w:p>
          <w:p w:rsidR="00196CDD" w:rsidRPr="00C4221C" w:rsidRDefault="00196CDD" w:rsidP="006D4E93">
            <w:pPr>
              <w:jc w:val="center"/>
              <w:cnfStyle w:val="000000000000"/>
              <w:rPr>
                <w:color w:val="auto"/>
                <w:sz w:val="22"/>
                <w:szCs w:val="22"/>
              </w:rPr>
            </w:pPr>
          </w:p>
          <w:p w:rsidR="00196CDD" w:rsidRPr="00C4221C" w:rsidRDefault="00196CDD" w:rsidP="006D4E93">
            <w:pPr>
              <w:jc w:val="center"/>
              <w:cnfStyle w:val="000000000000"/>
              <w:rPr>
                <w:color w:val="auto"/>
                <w:sz w:val="22"/>
                <w:szCs w:val="22"/>
              </w:rPr>
            </w:pPr>
          </w:p>
          <w:p w:rsidR="00196CDD" w:rsidRPr="00C4221C" w:rsidRDefault="00196CDD" w:rsidP="006D4E93">
            <w:pPr>
              <w:jc w:val="center"/>
              <w:cnfStyle w:val="000000000000"/>
              <w:rPr>
                <w:color w:val="auto"/>
                <w:sz w:val="22"/>
                <w:szCs w:val="22"/>
              </w:rPr>
            </w:pPr>
          </w:p>
          <w:p w:rsidR="00196CDD" w:rsidRPr="00C4221C" w:rsidRDefault="00196CDD" w:rsidP="006D4E93">
            <w:pPr>
              <w:jc w:val="center"/>
              <w:cnfStyle w:val="000000000000"/>
              <w:rPr>
                <w:color w:val="auto"/>
                <w:sz w:val="22"/>
                <w:szCs w:val="22"/>
              </w:rPr>
            </w:pP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lastRenderedPageBreak/>
              <w:t>Sistematización y capitalización de experiencias</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STP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both"/>
              <w:cnfStyle w:val="000000000000"/>
              <w:rPr>
                <w:color w:val="auto"/>
                <w:sz w:val="22"/>
                <w:szCs w:val="22"/>
              </w:rPr>
            </w:pPr>
            <w:r w:rsidRPr="00C4221C">
              <w:rPr>
                <w:color w:val="auto"/>
                <w:sz w:val="22"/>
                <w:szCs w:val="22"/>
              </w:rPr>
              <w:t>La AT incluye:</w:t>
            </w:r>
          </w:p>
          <w:p w:rsidR="00196CDD" w:rsidRPr="00C4221C" w:rsidRDefault="00196CDD" w:rsidP="006D4E93">
            <w:pPr>
              <w:pStyle w:val="ListParagraph"/>
              <w:numPr>
                <w:ilvl w:val="0"/>
                <w:numId w:val="4"/>
              </w:numPr>
              <w:spacing w:after="0" w:line="240" w:lineRule="auto"/>
              <w:jc w:val="both"/>
              <w:cnfStyle w:val="000000000000"/>
              <w:rPr>
                <w:rFonts w:ascii="Times New Roman" w:hAnsi="Times New Roman"/>
                <w:color w:val="auto"/>
              </w:rPr>
            </w:pPr>
            <w:r w:rsidRPr="00C4221C">
              <w:rPr>
                <w:rFonts w:ascii="Times New Roman" w:hAnsi="Times New Roman"/>
                <w:color w:val="auto"/>
              </w:rPr>
              <w:t>Capitalización de experiencias con el FISDL –MOP</w:t>
            </w:r>
          </w:p>
          <w:p w:rsidR="00196CDD" w:rsidRPr="00C4221C" w:rsidRDefault="00196CDD" w:rsidP="006D4E93">
            <w:pPr>
              <w:pStyle w:val="ListParagraph"/>
              <w:numPr>
                <w:ilvl w:val="0"/>
                <w:numId w:val="4"/>
              </w:numPr>
              <w:spacing w:after="0" w:line="240" w:lineRule="auto"/>
              <w:jc w:val="both"/>
              <w:cnfStyle w:val="000000000000"/>
              <w:rPr>
                <w:rFonts w:ascii="Times New Roman" w:hAnsi="Times New Roman"/>
                <w:color w:val="auto"/>
              </w:rPr>
            </w:pPr>
            <w:r w:rsidRPr="00C4221C">
              <w:rPr>
                <w:rFonts w:ascii="Times New Roman" w:hAnsi="Times New Roman"/>
                <w:color w:val="auto"/>
              </w:rPr>
              <w:t>Fondo de CSS, que facilite las gestiones de fondos, movilización, organización de talleres. Que sirvan como recursos de apoyo.</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Luxemburgo</w:t>
            </w:r>
          </w:p>
        </w:tc>
      </w:tr>
      <w:tr w:rsidR="00196CDD" w:rsidRPr="00A936BC" w:rsidTr="00A936BC">
        <w:tc>
          <w:tcPr>
            <w:cnfStyle w:val="001000000000"/>
            <w:tcW w:w="13858" w:type="dxa"/>
            <w:gridSpan w:val="7"/>
            <w:tcBorders>
              <w:top w:val="single" w:sz="4" w:space="0" w:color="002060"/>
              <w:left w:val="single" w:sz="4" w:space="0" w:color="002060"/>
              <w:bottom w:val="single" w:sz="4" w:space="0" w:color="002060"/>
              <w:right w:val="single" w:sz="4" w:space="0" w:color="002060"/>
            </w:tcBorders>
          </w:tcPr>
          <w:p w:rsidR="00196CDD" w:rsidRPr="00C4221C" w:rsidRDefault="00196CDD" w:rsidP="00A936BC">
            <w:pPr>
              <w:jc w:val="both"/>
              <w:rPr>
                <w:i w:val="0"/>
                <w:color w:val="auto"/>
                <w:sz w:val="28"/>
                <w:szCs w:val="22"/>
              </w:rPr>
            </w:pPr>
            <w:r w:rsidRPr="00C4221C">
              <w:rPr>
                <w:i w:val="0"/>
                <w:color w:val="auto"/>
                <w:sz w:val="28"/>
                <w:szCs w:val="22"/>
              </w:rPr>
              <w:t>Asistencias Técnicas Financiadas por la Unión Europea – Monto Total 2 millones de euros</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Resultado 1: Fortalecimiento institucional</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STP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both"/>
              <w:cnfStyle w:val="000000000000"/>
              <w:rPr>
                <w:color w:val="auto"/>
                <w:sz w:val="22"/>
                <w:szCs w:val="22"/>
              </w:rPr>
            </w:pPr>
            <w:r w:rsidRPr="00C4221C">
              <w:rPr>
                <w:color w:val="auto"/>
                <w:sz w:val="22"/>
                <w:szCs w:val="22"/>
              </w:rPr>
              <w:t>Contratación de un experto Administración Pública para el fortalecimiento de la STP en su papel de coordinadora del SPSU y el fortalecimiento de las instituciones del GOES en su rol de ejecutoras del SPSU</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3 años</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UE</w:t>
            </w:r>
            <w:r w:rsidRPr="00C4221C">
              <w:rPr>
                <w:rStyle w:val="FootnoteReference"/>
                <w:color w:val="auto"/>
                <w:sz w:val="22"/>
                <w:szCs w:val="22"/>
              </w:rPr>
              <w:footnoteReference w:id="5"/>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Resultado 2: Comunicación e información</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STP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both"/>
              <w:cnfStyle w:val="000000000000"/>
              <w:rPr>
                <w:color w:val="auto"/>
                <w:sz w:val="22"/>
                <w:szCs w:val="22"/>
              </w:rPr>
            </w:pPr>
            <w:r w:rsidRPr="00C4221C">
              <w:rPr>
                <w:color w:val="auto"/>
                <w:sz w:val="22"/>
                <w:szCs w:val="22"/>
              </w:rPr>
              <w:t>Contratación de un experto en Comunicación social para la implementación de estrategias de información y comunicación social del SPSU.</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3 años</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UE</w:t>
            </w:r>
          </w:p>
        </w:tc>
      </w:tr>
      <w:tr w:rsidR="00196CDD" w:rsidRPr="009F0A23" w:rsidTr="00A936BC">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A936BC">
            <w:pPr>
              <w:jc w:val="center"/>
              <w:rPr>
                <w:b w:val="0"/>
                <w:sz w:val="22"/>
                <w:szCs w:val="22"/>
              </w:rPr>
            </w:pPr>
            <w:r w:rsidRPr="009F0A23">
              <w:rPr>
                <w:b w:val="0"/>
                <w:sz w:val="22"/>
                <w:szCs w:val="22"/>
              </w:rPr>
              <w:t>Resultado 3: Seguimiento y evaluación</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A936BC">
            <w:pPr>
              <w:jc w:val="center"/>
              <w:cnfStyle w:val="000000000000"/>
              <w:rPr>
                <w:color w:val="auto"/>
                <w:sz w:val="22"/>
                <w:szCs w:val="22"/>
              </w:rPr>
            </w:pPr>
            <w:r w:rsidRPr="00C4221C">
              <w:rPr>
                <w:color w:val="auto"/>
                <w:sz w:val="22"/>
                <w:szCs w:val="22"/>
              </w:rPr>
              <w:t>STP-FISDL</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A936BC">
            <w:pPr>
              <w:jc w:val="both"/>
              <w:cnfStyle w:val="000000000000"/>
              <w:rPr>
                <w:color w:val="auto"/>
                <w:sz w:val="22"/>
                <w:szCs w:val="22"/>
              </w:rPr>
            </w:pPr>
            <w:r w:rsidRPr="00C4221C">
              <w:rPr>
                <w:color w:val="auto"/>
                <w:sz w:val="22"/>
                <w:szCs w:val="22"/>
              </w:rPr>
              <w:t>Contratación de un experto en monitoreo y evaluación social, para brindar asistencia técnica en el sistema de seguimiento y evaluación del SPSU para todas las instituciones, basado en la gestión por resultados.</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A936BC">
            <w:pPr>
              <w:jc w:val="center"/>
              <w:cnfStyle w:val="000000000000"/>
              <w:rPr>
                <w:color w:val="auto"/>
                <w:sz w:val="22"/>
                <w:szCs w:val="22"/>
              </w:rPr>
            </w:pPr>
            <w:r w:rsidRPr="00C4221C">
              <w:rPr>
                <w:color w:val="auto"/>
                <w:sz w:val="22"/>
                <w:szCs w:val="22"/>
              </w:rPr>
              <w:t>3 años</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A936BC">
            <w:pPr>
              <w:jc w:val="center"/>
              <w:cnfStyle w:val="000000000000"/>
              <w:rPr>
                <w:color w:val="auto"/>
                <w:sz w:val="22"/>
                <w:szCs w:val="22"/>
              </w:rPr>
            </w:pP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A936BC">
            <w:pPr>
              <w:jc w:val="center"/>
              <w:cnfStyle w:val="000000000000"/>
              <w:rPr>
                <w:color w:val="auto"/>
                <w:sz w:val="22"/>
                <w:szCs w:val="22"/>
              </w:rPr>
            </w:pPr>
            <w:r w:rsidRPr="00C4221C">
              <w:rPr>
                <w:color w:val="auto"/>
                <w:sz w:val="22"/>
                <w:szCs w:val="22"/>
              </w:rPr>
              <w:t>UE</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A936BC" w:rsidRDefault="00196CDD" w:rsidP="00A936BC">
            <w:pPr>
              <w:jc w:val="center"/>
            </w:pPr>
            <w:r w:rsidRPr="00A936BC">
              <w:lastRenderedPageBreak/>
              <w:t>Resultado 4: Herramientas de gestión</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A936BC">
            <w:pPr>
              <w:jc w:val="center"/>
              <w:cnfStyle w:val="000000000000"/>
              <w:rPr>
                <w:color w:val="auto"/>
              </w:rPr>
            </w:pPr>
            <w:r w:rsidRPr="00C4221C">
              <w:rPr>
                <w:color w:val="auto"/>
              </w:rPr>
              <w:t>STP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both"/>
              <w:cnfStyle w:val="000000000000"/>
              <w:rPr>
                <w:color w:val="auto"/>
                <w:sz w:val="22"/>
                <w:szCs w:val="22"/>
              </w:rPr>
            </w:pPr>
            <w:r w:rsidRPr="00C4221C">
              <w:rPr>
                <w:color w:val="auto"/>
              </w:rPr>
              <w:t>Contratación de un experto en sistemas de la información para la gestión del conocimiento, que brinde asistencia técnica en el diseño e implementación de herramientas que permitan una gestión eficiente y eficaz del SPSU.</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3 años</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UE</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Componente 3.2</w:t>
            </w:r>
          </w:p>
          <w:p w:rsidR="00196CDD" w:rsidRPr="009F0A23" w:rsidRDefault="00196CDD" w:rsidP="009F0A23">
            <w:pPr>
              <w:jc w:val="center"/>
              <w:rPr>
                <w:b w:val="0"/>
                <w:sz w:val="22"/>
                <w:szCs w:val="22"/>
              </w:rPr>
            </w:pPr>
            <w:r w:rsidRPr="009F0A23">
              <w:rPr>
                <w:b w:val="0"/>
                <w:sz w:val="22"/>
                <w:szCs w:val="22"/>
              </w:rPr>
              <w:t xml:space="preserve"> Diseño e implementación de herramientas clave para el SPSU</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STP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pStyle w:val="HeaderFooterA"/>
              <w:cnfStyle w:val="000000000000"/>
              <w:rPr>
                <w:rFonts w:ascii="Times New Roman" w:hAnsi="Times New Roman"/>
                <w:b w:val="0"/>
                <w:color w:val="auto"/>
                <w:sz w:val="22"/>
                <w:szCs w:val="22"/>
              </w:rPr>
            </w:pPr>
            <w:r w:rsidRPr="00C4221C">
              <w:rPr>
                <w:rFonts w:ascii="Times New Roman" w:hAnsi="Times New Roman"/>
                <w:b w:val="0"/>
                <w:color w:val="auto"/>
                <w:sz w:val="22"/>
                <w:szCs w:val="22"/>
              </w:rPr>
              <w:t>Apoyo a la definición de empleabilidad de poblaciones vulnerables: Estrategia de empleabilidad para la población en situación de vulnerabilidad social.</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D9323D">
            <w:pPr>
              <w:jc w:val="center"/>
              <w:cnfStyle w:val="000000000000"/>
              <w:rPr>
                <w:color w:val="auto"/>
                <w:sz w:val="22"/>
                <w:szCs w:val="22"/>
                <w:lang w:val="es-ES"/>
              </w:rPr>
            </w:pPr>
            <w:r>
              <w:rPr>
                <w:color w:val="auto"/>
                <w:sz w:val="22"/>
                <w:szCs w:val="22"/>
                <w:lang w:val="es-ES"/>
              </w:rPr>
              <w:t xml:space="preserve">30-sep-12 al 30-enero-13 </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$30,000.00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Banco Mundial</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Todos los componentes</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STP</w:t>
            </w:r>
          </w:p>
          <w:p w:rsidR="00196CDD" w:rsidRPr="00C4221C" w:rsidRDefault="00196CDD" w:rsidP="006D4E93">
            <w:pPr>
              <w:jc w:val="center"/>
              <w:cnfStyle w:val="000000000000"/>
              <w:rPr>
                <w:color w:val="auto"/>
                <w:sz w:val="22"/>
                <w:szCs w:val="22"/>
              </w:rPr>
            </w:pP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pStyle w:val="HeaderFooterA"/>
              <w:cnfStyle w:val="000000000000"/>
              <w:rPr>
                <w:rFonts w:ascii="Times New Roman" w:hAnsi="Times New Roman"/>
                <w:b w:val="0"/>
                <w:color w:val="auto"/>
                <w:sz w:val="22"/>
                <w:szCs w:val="22"/>
              </w:rPr>
            </w:pPr>
            <w:r w:rsidRPr="00C4221C">
              <w:rPr>
                <w:rFonts w:ascii="Times New Roman" w:hAnsi="Times New Roman"/>
                <w:b w:val="0"/>
                <w:color w:val="auto"/>
                <w:sz w:val="22"/>
                <w:szCs w:val="22"/>
              </w:rPr>
              <w:t>Auditoría externa</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Pr>
                <w:color w:val="auto"/>
                <w:sz w:val="22"/>
                <w:szCs w:val="22"/>
              </w:rPr>
              <w:t>25-may-12 al 25-sep-12</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$20,000.00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Banco Mundial</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Default="00196CDD" w:rsidP="009F0A23">
            <w:pPr>
              <w:jc w:val="center"/>
              <w:rPr>
                <w:b w:val="0"/>
                <w:sz w:val="22"/>
                <w:szCs w:val="22"/>
              </w:rPr>
            </w:pPr>
            <w:r>
              <w:rPr>
                <w:b w:val="0"/>
                <w:sz w:val="22"/>
                <w:szCs w:val="22"/>
              </w:rPr>
              <w:t xml:space="preserve">Componente 3.2 </w:t>
            </w:r>
          </w:p>
          <w:p w:rsidR="00196CDD" w:rsidRDefault="00196CDD" w:rsidP="009F0A23">
            <w:pPr>
              <w:jc w:val="center"/>
              <w:rPr>
                <w:b w:val="0"/>
                <w:sz w:val="22"/>
                <w:szCs w:val="22"/>
              </w:rPr>
            </w:pPr>
            <w:r>
              <w:rPr>
                <w:b w:val="0"/>
                <w:sz w:val="22"/>
                <w:szCs w:val="22"/>
              </w:rPr>
              <w:t>Diseño e implementación de herramientas claves para el SPSU</w:t>
            </w:r>
          </w:p>
          <w:p w:rsidR="00196CDD" w:rsidRPr="009F0A23" w:rsidRDefault="00196CDD" w:rsidP="009F0A23">
            <w:pPr>
              <w:jc w:val="center"/>
              <w:rPr>
                <w:b w:val="0"/>
                <w:sz w:val="22"/>
                <w:szCs w:val="22"/>
              </w:rPr>
            </w:pP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D9323D" w:rsidRDefault="00196CDD" w:rsidP="006D4E93">
            <w:pPr>
              <w:jc w:val="center"/>
              <w:cnfStyle w:val="000000000000"/>
              <w:rPr>
                <w:color w:val="auto"/>
                <w:sz w:val="22"/>
                <w:szCs w:val="22"/>
              </w:rPr>
            </w:pPr>
            <w:r w:rsidRPr="00D9323D">
              <w:rPr>
                <w:color w:val="auto"/>
                <w:sz w:val="22"/>
                <w:szCs w:val="22"/>
              </w:rPr>
              <w:t>STP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D9323D" w:rsidRDefault="00196CDD" w:rsidP="006D4E93">
            <w:pPr>
              <w:pStyle w:val="HeaderFooterA"/>
              <w:cnfStyle w:val="000000000000"/>
              <w:rPr>
                <w:rFonts w:ascii="Times New Roman" w:hAnsi="Times New Roman"/>
                <w:b w:val="0"/>
                <w:color w:val="auto"/>
                <w:sz w:val="22"/>
                <w:szCs w:val="22"/>
              </w:rPr>
            </w:pPr>
            <w:r>
              <w:rPr>
                <w:rFonts w:ascii="Times New Roman" w:hAnsi="Times New Roman"/>
                <w:b w:val="0"/>
                <w:color w:val="auto"/>
                <w:sz w:val="22"/>
                <w:szCs w:val="22"/>
              </w:rPr>
              <w:t>Evaluación de Medio Término del Programa Equipos Comunitarios de Salud Familiar - ECOS</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D9323D" w:rsidRDefault="00196CDD" w:rsidP="006D4E93">
            <w:pPr>
              <w:jc w:val="center"/>
              <w:cnfStyle w:val="000000000000"/>
              <w:rPr>
                <w:color w:val="auto"/>
                <w:sz w:val="22"/>
                <w:szCs w:val="22"/>
              </w:rPr>
            </w:pPr>
            <w:r>
              <w:rPr>
                <w:color w:val="auto"/>
                <w:sz w:val="22"/>
                <w:szCs w:val="22"/>
              </w:rPr>
              <w:t>09-oct-12 al 09-ene-13</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D9323D" w:rsidRDefault="00196CDD" w:rsidP="006D4E93">
            <w:pPr>
              <w:jc w:val="center"/>
              <w:cnfStyle w:val="000000000000"/>
              <w:rPr>
                <w:color w:val="auto"/>
                <w:sz w:val="22"/>
                <w:szCs w:val="22"/>
              </w:rPr>
            </w:pPr>
            <w:r>
              <w:rPr>
                <w:color w:val="auto"/>
                <w:sz w:val="22"/>
                <w:szCs w:val="22"/>
              </w:rPr>
              <w:t>$150,000.00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D9323D" w:rsidRDefault="00196CDD" w:rsidP="006D4E93">
            <w:pPr>
              <w:jc w:val="center"/>
              <w:cnfStyle w:val="000000000000"/>
              <w:rPr>
                <w:color w:val="auto"/>
                <w:sz w:val="22"/>
                <w:szCs w:val="22"/>
              </w:rPr>
            </w:pPr>
            <w:r>
              <w:rPr>
                <w:color w:val="auto"/>
                <w:sz w:val="22"/>
                <w:szCs w:val="22"/>
              </w:rPr>
              <w:t>Banco Mundial</w:t>
            </w:r>
          </w:p>
        </w:tc>
      </w:tr>
      <w:tr w:rsidR="00196CDD" w:rsidRPr="009F0A23" w:rsidTr="00D9323D">
        <w:trPr>
          <w:trHeight w:val="1194"/>
        </w:trPr>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Componente 3.1 Fortalecimiento de la capacidad institucional de STP</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STP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pStyle w:val="HeaderFooterA"/>
              <w:cnfStyle w:val="000000000000"/>
              <w:rPr>
                <w:rFonts w:ascii="Times New Roman" w:hAnsi="Times New Roman"/>
                <w:b w:val="0"/>
                <w:color w:val="auto"/>
                <w:sz w:val="22"/>
                <w:szCs w:val="22"/>
              </w:rPr>
            </w:pPr>
            <w:r w:rsidRPr="00C4221C">
              <w:rPr>
                <w:rFonts w:ascii="Times New Roman" w:hAnsi="Times New Roman"/>
                <w:b w:val="0"/>
                <w:color w:val="auto"/>
                <w:sz w:val="22"/>
                <w:szCs w:val="22"/>
              </w:rPr>
              <w:t>Consultoría: Facilitación para la implementación de cambios en la STP</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Pr>
                <w:color w:val="auto"/>
                <w:sz w:val="22"/>
                <w:szCs w:val="22"/>
              </w:rPr>
              <w:t xml:space="preserve">30-mar-12 </w:t>
            </w:r>
            <w:r w:rsidRPr="00C4221C">
              <w:rPr>
                <w:color w:val="auto"/>
                <w:sz w:val="22"/>
                <w:szCs w:val="22"/>
              </w:rPr>
              <w:t xml:space="preserve"> a</w:t>
            </w:r>
            <w:r>
              <w:rPr>
                <w:color w:val="auto"/>
                <w:sz w:val="22"/>
                <w:szCs w:val="22"/>
              </w:rPr>
              <w:t>l</w:t>
            </w:r>
            <w:r w:rsidRPr="00C4221C">
              <w:rPr>
                <w:color w:val="auto"/>
                <w:sz w:val="22"/>
                <w:szCs w:val="22"/>
              </w:rPr>
              <w:t xml:space="preserve"> 30-ago-12</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$30,000.00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Banco Mundial</w:t>
            </w:r>
          </w:p>
        </w:tc>
      </w:tr>
      <w:tr w:rsidR="00196CDD" w:rsidRPr="009F0A23" w:rsidTr="000E79E1">
        <w:trPr>
          <w:trHeight w:val="1285"/>
        </w:trPr>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Default="00196CDD" w:rsidP="009F0A23">
            <w:pPr>
              <w:jc w:val="center"/>
              <w:rPr>
                <w:b w:val="0"/>
                <w:sz w:val="22"/>
                <w:szCs w:val="22"/>
              </w:rPr>
            </w:pPr>
            <w:r w:rsidRPr="009F0A23">
              <w:rPr>
                <w:b w:val="0"/>
                <w:sz w:val="22"/>
                <w:szCs w:val="22"/>
              </w:rPr>
              <w:t>Componente 3.1 Fortalecimiento de la capacidad institucional de STP</w:t>
            </w:r>
          </w:p>
          <w:p w:rsidR="00196CDD" w:rsidRPr="009F0A23" w:rsidRDefault="00196CDD" w:rsidP="009F0A23">
            <w:pPr>
              <w:jc w:val="center"/>
              <w:rPr>
                <w:b w:val="0"/>
                <w:sz w:val="22"/>
                <w:szCs w:val="22"/>
              </w:rPr>
            </w:pP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D9323D" w:rsidRDefault="00196CDD" w:rsidP="006D4E93">
            <w:pPr>
              <w:jc w:val="center"/>
              <w:cnfStyle w:val="000000000000"/>
              <w:rPr>
                <w:color w:val="auto"/>
                <w:sz w:val="22"/>
                <w:szCs w:val="22"/>
              </w:rPr>
            </w:pPr>
            <w:r w:rsidRPr="00D9323D">
              <w:rPr>
                <w:color w:val="auto"/>
                <w:sz w:val="22"/>
                <w:szCs w:val="22"/>
              </w:rPr>
              <w:t>STP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D9323D" w:rsidRDefault="00196CDD" w:rsidP="006D4E93">
            <w:pPr>
              <w:pStyle w:val="HeaderFooterA"/>
              <w:cnfStyle w:val="000000000000"/>
              <w:rPr>
                <w:rFonts w:ascii="Times New Roman" w:hAnsi="Times New Roman"/>
                <w:b w:val="0"/>
                <w:color w:val="auto"/>
                <w:sz w:val="22"/>
                <w:szCs w:val="22"/>
              </w:rPr>
            </w:pPr>
            <w:r>
              <w:rPr>
                <w:rFonts w:ascii="Times New Roman" w:hAnsi="Times New Roman"/>
                <w:b w:val="0"/>
                <w:color w:val="auto"/>
                <w:sz w:val="22"/>
                <w:szCs w:val="22"/>
              </w:rPr>
              <w:t>Consultoría para apoyar los procesos de comunicación social del SPSU.</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D9323D" w:rsidRDefault="00196CDD" w:rsidP="006D4E93">
            <w:pPr>
              <w:jc w:val="center"/>
              <w:cnfStyle w:val="000000000000"/>
              <w:rPr>
                <w:color w:val="auto"/>
                <w:sz w:val="22"/>
                <w:szCs w:val="22"/>
              </w:rPr>
            </w:pPr>
            <w:r>
              <w:rPr>
                <w:color w:val="auto"/>
                <w:sz w:val="22"/>
                <w:szCs w:val="22"/>
              </w:rPr>
              <w:t>01-sep-12 al 01-dic-12</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D9323D" w:rsidRDefault="00196CDD" w:rsidP="006D4E93">
            <w:pPr>
              <w:jc w:val="center"/>
              <w:cnfStyle w:val="000000000000"/>
              <w:rPr>
                <w:color w:val="auto"/>
                <w:sz w:val="22"/>
                <w:szCs w:val="22"/>
              </w:rPr>
            </w:pPr>
            <w:r>
              <w:rPr>
                <w:color w:val="auto"/>
                <w:sz w:val="22"/>
                <w:szCs w:val="22"/>
              </w:rPr>
              <w:t>$15,000.00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D9323D" w:rsidRDefault="00196CDD" w:rsidP="006D4E93">
            <w:pPr>
              <w:jc w:val="center"/>
              <w:cnfStyle w:val="000000000000"/>
              <w:rPr>
                <w:color w:val="auto"/>
                <w:sz w:val="22"/>
                <w:szCs w:val="22"/>
              </w:rPr>
            </w:pPr>
            <w:r>
              <w:rPr>
                <w:color w:val="auto"/>
                <w:sz w:val="22"/>
                <w:szCs w:val="22"/>
              </w:rPr>
              <w:t>Banco Mundial</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Pr>
                <w:b w:val="0"/>
                <w:sz w:val="22"/>
                <w:szCs w:val="22"/>
              </w:rPr>
              <w:t xml:space="preserve">Componente 3.1 </w:t>
            </w:r>
            <w:r w:rsidRPr="009F0A23">
              <w:rPr>
                <w:b w:val="0"/>
                <w:sz w:val="22"/>
                <w:szCs w:val="22"/>
              </w:rPr>
              <w:lastRenderedPageBreak/>
              <w:t>Fortalecimiento de la capacidad institucional de la STP</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Default="00196CDD" w:rsidP="006D4E93">
            <w:pPr>
              <w:jc w:val="center"/>
              <w:cnfStyle w:val="000000000000"/>
              <w:rPr>
                <w:color w:val="auto"/>
                <w:sz w:val="22"/>
                <w:szCs w:val="22"/>
              </w:rPr>
            </w:pPr>
            <w:r w:rsidRPr="00C4221C">
              <w:rPr>
                <w:color w:val="auto"/>
                <w:sz w:val="22"/>
                <w:szCs w:val="22"/>
              </w:rPr>
              <w:lastRenderedPageBreak/>
              <w:t>STP</w:t>
            </w:r>
          </w:p>
          <w:p w:rsidR="00196CDD" w:rsidRDefault="00196CDD" w:rsidP="006D4E93">
            <w:pPr>
              <w:jc w:val="center"/>
              <w:cnfStyle w:val="000000000000"/>
              <w:rPr>
                <w:color w:val="auto"/>
                <w:sz w:val="22"/>
                <w:szCs w:val="22"/>
              </w:rPr>
            </w:pPr>
          </w:p>
          <w:p w:rsidR="00196CDD" w:rsidRDefault="00196CDD" w:rsidP="006D4E93">
            <w:pPr>
              <w:jc w:val="center"/>
              <w:cnfStyle w:val="000000000000"/>
              <w:rPr>
                <w:color w:val="auto"/>
                <w:sz w:val="22"/>
                <w:szCs w:val="22"/>
              </w:rPr>
            </w:pPr>
          </w:p>
          <w:p w:rsidR="00196CDD" w:rsidRDefault="00196CDD" w:rsidP="006D4E93">
            <w:pPr>
              <w:jc w:val="center"/>
              <w:cnfStyle w:val="000000000000"/>
              <w:rPr>
                <w:color w:val="auto"/>
                <w:sz w:val="22"/>
                <w:szCs w:val="22"/>
              </w:rPr>
            </w:pPr>
          </w:p>
          <w:p w:rsidR="00196CDD" w:rsidRPr="00C4221C" w:rsidRDefault="00196CDD" w:rsidP="006D4E93">
            <w:pPr>
              <w:jc w:val="center"/>
              <w:cnfStyle w:val="000000000000"/>
              <w:rPr>
                <w:color w:val="auto"/>
                <w:sz w:val="22"/>
                <w:szCs w:val="22"/>
              </w:rPr>
            </w:pP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pStyle w:val="HeaderFooterA"/>
              <w:cnfStyle w:val="000000000000"/>
              <w:rPr>
                <w:rFonts w:ascii="Times New Roman" w:hAnsi="Times New Roman"/>
                <w:b w:val="0"/>
                <w:color w:val="auto"/>
                <w:sz w:val="22"/>
                <w:szCs w:val="22"/>
              </w:rPr>
            </w:pPr>
            <w:r w:rsidRPr="00C4221C">
              <w:rPr>
                <w:rFonts w:ascii="Times New Roman" w:hAnsi="Times New Roman"/>
                <w:b w:val="0"/>
                <w:color w:val="auto"/>
                <w:sz w:val="22"/>
                <w:szCs w:val="22"/>
              </w:rPr>
              <w:lastRenderedPageBreak/>
              <w:t xml:space="preserve">Consultoría para apoyar el </w:t>
            </w:r>
            <w:r w:rsidRPr="00C4221C">
              <w:rPr>
                <w:rFonts w:ascii="Times New Roman" w:hAnsi="Times New Roman"/>
                <w:b w:val="0"/>
                <w:color w:val="auto"/>
                <w:sz w:val="22"/>
                <w:szCs w:val="22"/>
              </w:rPr>
              <w:lastRenderedPageBreak/>
              <w:t xml:space="preserve">funcionamiento de la unidad ejecutora del proyecto en el área de </w:t>
            </w:r>
            <w:r w:rsidRPr="00C4221C">
              <w:rPr>
                <w:rFonts w:ascii="Times New Roman" w:hAnsi="Times New Roman"/>
                <w:b w:val="0"/>
                <w:color w:val="auto"/>
                <w:sz w:val="22"/>
                <w:szCs w:val="22"/>
                <w:lang w:val="es-SV"/>
              </w:rPr>
              <w:t>adquisiciones</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Pr>
                <w:color w:val="auto"/>
                <w:sz w:val="22"/>
                <w:szCs w:val="22"/>
              </w:rPr>
              <w:lastRenderedPageBreak/>
              <w:t>07-sep-11</w:t>
            </w:r>
            <w:r w:rsidRPr="00C4221C">
              <w:rPr>
                <w:color w:val="auto"/>
                <w:sz w:val="22"/>
                <w:szCs w:val="22"/>
              </w:rPr>
              <w:t xml:space="preserve"> a</w:t>
            </w:r>
            <w:r>
              <w:rPr>
                <w:color w:val="auto"/>
                <w:sz w:val="22"/>
                <w:szCs w:val="22"/>
              </w:rPr>
              <w:t>l</w:t>
            </w:r>
            <w:r w:rsidRPr="00C4221C">
              <w:rPr>
                <w:color w:val="auto"/>
                <w:sz w:val="22"/>
                <w:szCs w:val="22"/>
              </w:rPr>
              <w:t xml:space="preserve"> </w:t>
            </w:r>
            <w:r w:rsidRPr="00C4221C">
              <w:rPr>
                <w:color w:val="auto"/>
                <w:sz w:val="22"/>
                <w:szCs w:val="22"/>
              </w:rPr>
              <w:lastRenderedPageBreak/>
              <w:t>01-dic-2014</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lastRenderedPageBreak/>
              <w:t>$94,500.00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Banco Mundial</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Default="00196CDD" w:rsidP="009F0A23">
            <w:pPr>
              <w:jc w:val="center"/>
              <w:rPr>
                <w:b w:val="0"/>
                <w:sz w:val="22"/>
                <w:szCs w:val="22"/>
              </w:rPr>
            </w:pPr>
            <w:r>
              <w:rPr>
                <w:b w:val="0"/>
                <w:sz w:val="22"/>
                <w:szCs w:val="22"/>
              </w:rPr>
              <w:lastRenderedPageBreak/>
              <w:t xml:space="preserve">Componente 3.1 </w:t>
            </w:r>
            <w:r w:rsidRPr="009F0A23">
              <w:rPr>
                <w:b w:val="0"/>
                <w:sz w:val="22"/>
                <w:szCs w:val="22"/>
              </w:rPr>
              <w:t>Fortalecimiento de la capacidad institucional de la STP</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0E79E1" w:rsidRDefault="00196CDD" w:rsidP="006D4E93">
            <w:pPr>
              <w:jc w:val="center"/>
              <w:cnfStyle w:val="000000000000"/>
              <w:rPr>
                <w:color w:val="auto"/>
                <w:sz w:val="22"/>
                <w:szCs w:val="22"/>
              </w:rPr>
            </w:pPr>
            <w:r>
              <w:rPr>
                <w:color w:val="auto"/>
                <w:sz w:val="22"/>
                <w:szCs w:val="22"/>
              </w:rPr>
              <w:t>STP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0E79E1" w:rsidRDefault="00196CDD" w:rsidP="006D4E93">
            <w:pPr>
              <w:pStyle w:val="HeaderFooterA"/>
              <w:cnfStyle w:val="000000000000"/>
              <w:rPr>
                <w:rFonts w:ascii="Times New Roman" w:hAnsi="Times New Roman"/>
                <w:b w:val="0"/>
                <w:color w:val="auto"/>
                <w:sz w:val="22"/>
                <w:szCs w:val="22"/>
              </w:rPr>
            </w:pPr>
            <w:r>
              <w:rPr>
                <w:rFonts w:ascii="Times New Roman" w:hAnsi="Times New Roman"/>
                <w:b w:val="0"/>
                <w:color w:val="auto"/>
                <w:sz w:val="22"/>
                <w:szCs w:val="22"/>
              </w:rPr>
              <w:t xml:space="preserve">Consultoría para apoyar el funcionamiento de la unidad ejecutora del proyecto en el área de adquisiciones. Técnico II </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0E79E1" w:rsidRDefault="00196CDD" w:rsidP="006D4E93">
            <w:pPr>
              <w:jc w:val="center"/>
              <w:cnfStyle w:val="000000000000"/>
              <w:rPr>
                <w:color w:val="auto"/>
                <w:sz w:val="22"/>
                <w:szCs w:val="22"/>
              </w:rPr>
            </w:pPr>
            <w:r>
              <w:rPr>
                <w:color w:val="auto"/>
                <w:sz w:val="22"/>
                <w:szCs w:val="22"/>
              </w:rPr>
              <w:t>30-jul-12 al 01-dic-14</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0E79E1" w:rsidRDefault="00196CDD" w:rsidP="006D4E93">
            <w:pPr>
              <w:jc w:val="center"/>
              <w:cnfStyle w:val="000000000000"/>
              <w:rPr>
                <w:color w:val="auto"/>
                <w:sz w:val="22"/>
                <w:szCs w:val="22"/>
              </w:rPr>
            </w:pPr>
            <w:r w:rsidRPr="00C4221C">
              <w:rPr>
                <w:color w:val="auto"/>
                <w:sz w:val="22"/>
                <w:szCs w:val="22"/>
              </w:rPr>
              <w:t>$94,500.00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0E79E1" w:rsidRDefault="00196CDD" w:rsidP="006D4E93">
            <w:pPr>
              <w:jc w:val="center"/>
              <w:cnfStyle w:val="000000000000"/>
              <w:rPr>
                <w:color w:val="auto"/>
                <w:sz w:val="22"/>
                <w:szCs w:val="22"/>
              </w:rPr>
            </w:pPr>
            <w:r>
              <w:rPr>
                <w:color w:val="auto"/>
                <w:sz w:val="22"/>
                <w:szCs w:val="22"/>
              </w:rPr>
              <w:t>Banco Mundial</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Pr>
                <w:b w:val="0"/>
                <w:sz w:val="22"/>
                <w:szCs w:val="22"/>
              </w:rPr>
              <w:t xml:space="preserve">Componente 3.1 </w:t>
            </w:r>
            <w:r w:rsidRPr="009F0A23">
              <w:rPr>
                <w:b w:val="0"/>
                <w:sz w:val="22"/>
                <w:szCs w:val="22"/>
              </w:rPr>
              <w:t>Fortalecimiento de la capacidad institucional de STP</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STP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pStyle w:val="HeaderFooterA"/>
              <w:cnfStyle w:val="000000000000"/>
              <w:rPr>
                <w:rFonts w:ascii="Times New Roman" w:hAnsi="Times New Roman"/>
                <w:b w:val="0"/>
                <w:color w:val="auto"/>
                <w:sz w:val="22"/>
                <w:szCs w:val="22"/>
              </w:rPr>
            </w:pPr>
            <w:r w:rsidRPr="00C4221C">
              <w:rPr>
                <w:rFonts w:ascii="Times New Roman" w:hAnsi="Times New Roman"/>
                <w:b w:val="0"/>
                <w:color w:val="auto"/>
                <w:sz w:val="22"/>
                <w:szCs w:val="22"/>
              </w:rPr>
              <w:t xml:space="preserve">Consultoría para apoyar el funcionamiento de la unidad ejecutora del proyecto </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Pr>
                <w:color w:val="auto"/>
                <w:sz w:val="22"/>
                <w:szCs w:val="22"/>
              </w:rPr>
              <w:t>07-nov</w:t>
            </w:r>
            <w:r w:rsidRPr="00C4221C">
              <w:rPr>
                <w:color w:val="auto"/>
                <w:sz w:val="22"/>
                <w:szCs w:val="22"/>
              </w:rPr>
              <w:t>-11 a</w:t>
            </w:r>
            <w:r>
              <w:rPr>
                <w:color w:val="auto"/>
                <w:sz w:val="22"/>
                <w:szCs w:val="22"/>
              </w:rPr>
              <w:t>l</w:t>
            </w:r>
            <w:r w:rsidRPr="00C4221C">
              <w:rPr>
                <w:color w:val="auto"/>
                <w:sz w:val="22"/>
                <w:szCs w:val="22"/>
              </w:rPr>
              <w:t xml:space="preserve"> 01-dic-14</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$100,800.00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Banco Mundial</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Componente 3.1 Fortalecimiento de la capacidad institucional de STP</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STP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pStyle w:val="HeaderFooterA"/>
              <w:cnfStyle w:val="000000000000"/>
              <w:rPr>
                <w:rFonts w:ascii="Times New Roman" w:hAnsi="Times New Roman"/>
                <w:b w:val="0"/>
                <w:color w:val="auto"/>
                <w:sz w:val="22"/>
                <w:szCs w:val="22"/>
              </w:rPr>
            </w:pPr>
            <w:r w:rsidRPr="00C4221C">
              <w:rPr>
                <w:rFonts w:ascii="Times New Roman" w:hAnsi="Times New Roman"/>
                <w:b w:val="0"/>
                <w:color w:val="auto"/>
                <w:sz w:val="22"/>
                <w:szCs w:val="22"/>
              </w:rPr>
              <w:t xml:space="preserve">Actividades de capacitación, intercambio de experiencias, misiones de investigación y exploración a experiencias exitosas en gestión y gerenciamiento de programas sociales, viajes, viáticos y matrículas. </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01-sep-11 a</w:t>
            </w:r>
            <w:r>
              <w:rPr>
                <w:color w:val="auto"/>
                <w:sz w:val="22"/>
                <w:szCs w:val="22"/>
              </w:rPr>
              <w:t>l</w:t>
            </w:r>
            <w:r w:rsidRPr="00C4221C">
              <w:rPr>
                <w:color w:val="auto"/>
                <w:sz w:val="22"/>
                <w:szCs w:val="22"/>
              </w:rPr>
              <w:t xml:space="preserve"> 31-dic-12</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$50,000.00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Banco Mundial</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Componente 3.1 Fortalecimiento de la capacidad institucional de STP</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AD55A4" w:rsidRDefault="00196CDD" w:rsidP="006D4E93">
            <w:pPr>
              <w:jc w:val="center"/>
              <w:cnfStyle w:val="000000000000"/>
              <w:rPr>
                <w:color w:val="auto"/>
                <w:sz w:val="22"/>
                <w:szCs w:val="22"/>
              </w:rPr>
            </w:pPr>
            <w:r w:rsidRPr="00AD55A4">
              <w:rPr>
                <w:color w:val="auto"/>
                <w:sz w:val="22"/>
                <w:szCs w:val="22"/>
              </w:rPr>
              <w:t>STP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AD55A4" w:rsidRDefault="00196CDD" w:rsidP="006D4E93">
            <w:pPr>
              <w:pStyle w:val="HeaderFooterA"/>
              <w:cnfStyle w:val="000000000000"/>
              <w:rPr>
                <w:rFonts w:ascii="Times New Roman" w:hAnsi="Times New Roman"/>
                <w:b w:val="0"/>
                <w:color w:val="auto"/>
                <w:sz w:val="22"/>
                <w:szCs w:val="22"/>
              </w:rPr>
            </w:pPr>
            <w:r>
              <w:rPr>
                <w:rFonts w:ascii="Times New Roman" w:hAnsi="Times New Roman"/>
                <w:b w:val="0"/>
                <w:color w:val="auto"/>
                <w:sz w:val="22"/>
                <w:szCs w:val="22"/>
              </w:rPr>
              <w:t>Consultoría para apoyar el funcionamiento de la unidad ejecutora del proyecto en el seguimiento de las adquisiciones y contrataciones.</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AD55A4" w:rsidRDefault="00196CDD" w:rsidP="006D4E93">
            <w:pPr>
              <w:jc w:val="center"/>
              <w:cnfStyle w:val="000000000000"/>
              <w:rPr>
                <w:color w:val="auto"/>
                <w:sz w:val="22"/>
                <w:szCs w:val="22"/>
              </w:rPr>
            </w:pPr>
            <w:r>
              <w:rPr>
                <w:color w:val="auto"/>
                <w:sz w:val="22"/>
                <w:szCs w:val="22"/>
              </w:rPr>
              <w:t>30-jul-12 al 01-dic-14</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AD55A4" w:rsidRDefault="00196CDD" w:rsidP="006D4E93">
            <w:pPr>
              <w:jc w:val="center"/>
              <w:cnfStyle w:val="000000000000"/>
              <w:rPr>
                <w:color w:val="auto"/>
                <w:sz w:val="22"/>
                <w:szCs w:val="22"/>
              </w:rPr>
            </w:pPr>
            <w:r>
              <w:rPr>
                <w:color w:val="auto"/>
                <w:sz w:val="22"/>
                <w:szCs w:val="22"/>
              </w:rPr>
              <w:t>$94,500.00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AD55A4" w:rsidRDefault="00196CDD" w:rsidP="006D4E93">
            <w:pPr>
              <w:jc w:val="center"/>
              <w:cnfStyle w:val="000000000000"/>
              <w:rPr>
                <w:color w:val="auto"/>
                <w:sz w:val="22"/>
                <w:szCs w:val="22"/>
              </w:rPr>
            </w:pPr>
            <w:r>
              <w:rPr>
                <w:color w:val="auto"/>
                <w:sz w:val="22"/>
                <w:szCs w:val="22"/>
              </w:rPr>
              <w:t>Banco Mundial</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Default="00196CDD" w:rsidP="009F0A23">
            <w:pPr>
              <w:jc w:val="center"/>
              <w:rPr>
                <w:b w:val="0"/>
                <w:sz w:val="22"/>
                <w:szCs w:val="22"/>
              </w:rPr>
            </w:pPr>
            <w:r w:rsidRPr="009F0A23">
              <w:rPr>
                <w:b w:val="0"/>
                <w:sz w:val="22"/>
                <w:szCs w:val="22"/>
              </w:rPr>
              <w:t xml:space="preserve">Componente 3.2 </w:t>
            </w:r>
          </w:p>
          <w:p w:rsidR="00196CDD" w:rsidRDefault="00196CDD" w:rsidP="009F0A23">
            <w:pPr>
              <w:jc w:val="center"/>
              <w:rPr>
                <w:b w:val="0"/>
                <w:sz w:val="22"/>
                <w:szCs w:val="22"/>
              </w:rPr>
            </w:pPr>
            <w:r w:rsidRPr="009F0A23">
              <w:rPr>
                <w:b w:val="0"/>
                <w:sz w:val="22"/>
                <w:szCs w:val="22"/>
              </w:rPr>
              <w:t>Diseño e implementación de herramientas claves para el SPSU</w:t>
            </w:r>
          </w:p>
          <w:p w:rsidR="00196CDD" w:rsidRPr="009F0A23" w:rsidRDefault="00196CDD" w:rsidP="009F0A23">
            <w:pPr>
              <w:jc w:val="center"/>
              <w:rPr>
                <w:b w:val="0"/>
                <w:sz w:val="22"/>
                <w:szCs w:val="22"/>
              </w:rPr>
            </w:pP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9F3D55" w:rsidRDefault="00196CDD" w:rsidP="006D4E93">
            <w:pPr>
              <w:jc w:val="center"/>
              <w:cnfStyle w:val="000000000000"/>
              <w:rPr>
                <w:color w:val="auto"/>
                <w:sz w:val="22"/>
                <w:szCs w:val="22"/>
              </w:rPr>
            </w:pPr>
            <w:r>
              <w:rPr>
                <w:color w:val="auto"/>
                <w:sz w:val="22"/>
                <w:szCs w:val="22"/>
              </w:rPr>
              <w:t>STP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9F3D55" w:rsidRDefault="00196CDD" w:rsidP="006D4E93">
            <w:pPr>
              <w:pStyle w:val="HeaderFooterA"/>
              <w:cnfStyle w:val="000000000000"/>
              <w:rPr>
                <w:rFonts w:ascii="Times New Roman" w:hAnsi="Times New Roman"/>
                <w:b w:val="0"/>
                <w:color w:val="auto"/>
                <w:sz w:val="22"/>
                <w:szCs w:val="22"/>
              </w:rPr>
            </w:pPr>
            <w:r>
              <w:rPr>
                <w:rFonts w:ascii="Times New Roman" w:hAnsi="Times New Roman"/>
                <w:b w:val="0"/>
                <w:color w:val="auto"/>
                <w:sz w:val="22"/>
                <w:szCs w:val="22"/>
              </w:rPr>
              <w:t xml:space="preserve">Contratación de consultoría para diagnostico de bases de datos institucionales, propuesta de integración y construcción del prototipo del registro (incluye el desarrollo </w:t>
            </w:r>
            <w:r>
              <w:rPr>
                <w:rFonts w:ascii="Times New Roman" w:hAnsi="Times New Roman"/>
                <w:b w:val="0"/>
                <w:color w:val="auto"/>
                <w:sz w:val="22"/>
                <w:szCs w:val="22"/>
              </w:rPr>
              <w:lastRenderedPageBreak/>
              <w:t xml:space="preserve">de la solución informática) </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9F3D55" w:rsidRDefault="00196CDD" w:rsidP="006D4E93">
            <w:pPr>
              <w:jc w:val="center"/>
              <w:cnfStyle w:val="000000000000"/>
              <w:rPr>
                <w:color w:val="auto"/>
                <w:sz w:val="22"/>
                <w:szCs w:val="22"/>
              </w:rPr>
            </w:pPr>
            <w:r>
              <w:rPr>
                <w:color w:val="auto"/>
                <w:sz w:val="22"/>
                <w:szCs w:val="22"/>
              </w:rPr>
              <w:lastRenderedPageBreak/>
              <w:t>15-abr-12 al 15-oct-12</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9F3D55" w:rsidRDefault="00196CDD" w:rsidP="006D4E93">
            <w:pPr>
              <w:jc w:val="center"/>
              <w:cnfStyle w:val="000000000000"/>
              <w:rPr>
                <w:color w:val="auto"/>
                <w:sz w:val="22"/>
                <w:szCs w:val="22"/>
              </w:rPr>
            </w:pPr>
            <w:r>
              <w:rPr>
                <w:color w:val="auto"/>
                <w:sz w:val="22"/>
                <w:szCs w:val="22"/>
              </w:rPr>
              <w:t>$92,000.00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9F3D55" w:rsidRDefault="00196CDD" w:rsidP="006D4E93">
            <w:pPr>
              <w:jc w:val="center"/>
              <w:cnfStyle w:val="000000000000"/>
              <w:rPr>
                <w:color w:val="auto"/>
                <w:sz w:val="22"/>
                <w:szCs w:val="22"/>
              </w:rPr>
            </w:pPr>
            <w:r>
              <w:rPr>
                <w:color w:val="auto"/>
                <w:sz w:val="22"/>
                <w:szCs w:val="22"/>
              </w:rPr>
              <w:t>Banco Mundial</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Default="00196CDD" w:rsidP="00ED0274">
            <w:pPr>
              <w:jc w:val="center"/>
              <w:rPr>
                <w:b w:val="0"/>
                <w:sz w:val="22"/>
                <w:szCs w:val="22"/>
              </w:rPr>
            </w:pPr>
            <w:r w:rsidRPr="009F0A23">
              <w:rPr>
                <w:b w:val="0"/>
                <w:sz w:val="22"/>
                <w:szCs w:val="22"/>
              </w:rPr>
              <w:lastRenderedPageBreak/>
              <w:t xml:space="preserve">Componente 3.2 </w:t>
            </w:r>
          </w:p>
          <w:p w:rsidR="00196CDD" w:rsidRDefault="00196CDD" w:rsidP="00ED0274">
            <w:pPr>
              <w:jc w:val="center"/>
              <w:rPr>
                <w:b w:val="0"/>
                <w:sz w:val="22"/>
                <w:szCs w:val="22"/>
              </w:rPr>
            </w:pPr>
            <w:r w:rsidRPr="009F0A23">
              <w:rPr>
                <w:b w:val="0"/>
                <w:sz w:val="22"/>
                <w:szCs w:val="22"/>
              </w:rPr>
              <w:t>Diseño e implementación de herramientas claves para el SPSU</w:t>
            </w:r>
          </w:p>
          <w:p w:rsidR="00196CDD" w:rsidRPr="009F0A23" w:rsidRDefault="00196CDD" w:rsidP="00ED0274">
            <w:pPr>
              <w:jc w:val="center"/>
              <w:rPr>
                <w:b w:val="0"/>
                <w:sz w:val="22"/>
                <w:szCs w:val="22"/>
              </w:rPr>
            </w:pP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ED0274" w:rsidRDefault="00196CDD" w:rsidP="006D4E93">
            <w:pPr>
              <w:jc w:val="center"/>
              <w:cnfStyle w:val="000000000000"/>
              <w:rPr>
                <w:color w:val="auto"/>
                <w:sz w:val="22"/>
                <w:szCs w:val="22"/>
              </w:rPr>
            </w:pPr>
            <w:r>
              <w:rPr>
                <w:color w:val="auto"/>
                <w:sz w:val="22"/>
                <w:szCs w:val="22"/>
              </w:rPr>
              <w:t>STP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ED0274" w:rsidRDefault="00196CDD" w:rsidP="006D4E93">
            <w:pPr>
              <w:pStyle w:val="HeaderFooterA"/>
              <w:cnfStyle w:val="000000000000"/>
              <w:rPr>
                <w:rFonts w:ascii="Times New Roman" w:hAnsi="Times New Roman"/>
                <w:b w:val="0"/>
                <w:color w:val="auto"/>
                <w:sz w:val="22"/>
                <w:szCs w:val="22"/>
              </w:rPr>
            </w:pPr>
            <w:r>
              <w:rPr>
                <w:rFonts w:ascii="Times New Roman" w:hAnsi="Times New Roman"/>
                <w:b w:val="0"/>
                <w:color w:val="auto"/>
                <w:sz w:val="22"/>
                <w:szCs w:val="22"/>
              </w:rPr>
              <w:t>Consultoría para elaborar y desarrollar marco normativo y legal para el registro</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ED0274" w:rsidRDefault="00196CDD" w:rsidP="006D4E93">
            <w:pPr>
              <w:jc w:val="center"/>
              <w:cnfStyle w:val="000000000000"/>
              <w:rPr>
                <w:color w:val="auto"/>
                <w:sz w:val="22"/>
                <w:szCs w:val="22"/>
              </w:rPr>
            </w:pPr>
            <w:r>
              <w:rPr>
                <w:color w:val="auto"/>
                <w:sz w:val="22"/>
                <w:szCs w:val="22"/>
              </w:rPr>
              <w:t>15-jul-12 al 10-sep-12</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ED0274" w:rsidRDefault="00196CDD" w:rsidP="006D4E93">
            <w:pPr>
              <w:jc w:val="center"/>
              <w:cnfStyle w:val="000000000000"/>
              <w:rPr>
                <w:color w:val="auto"/>
                <w:sz w:val="22"/>
                <w:szCs w:val="22"/>
              </w:rPr>
            </w:pPr>
            <w:r>
              <w:rPr>
                <w:color w:val="auto"/>
                <w:sz w:val="22"/>
                <w:szCs w:val="22"/>
              </w:rPr>
              <w:t>$18,000.00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ED0274" w:rsidRDefault="00196CDD" w:rsidP="006D4E93">
            <w:pPr>
              <w:jc w:val="center"/>
              <w:cnfStyle w:val="000000000000"/>
              <w:rPr>
                <w:color w:val="auto"/>
                <w:sz w:val="22"/>
                <w:szCs w:val="22"/>
              </w:rPr>
            </w:pPr>
            <w:r>
              <w:rPr>
                <w:color w:val="auto"/>
                <w:sz w:val="22"/>
                <w:szCs w:val="22"/>
              </w:rPr>
              <w:t>Banco Mundial</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Default="00196CDD" w:rsidP="00ED0274">
            <w:pPr>
              <w:jc w:val="center"/>
              <w:rPr>
                <w:b w:val="0"/>
                <w:sz w:val="22"/>
                <w:szCs w:val="22"/>
              </w:rPr>
            </w:pPr>
            <w:r w:rsidRPr="009F0A23">
              <w:rPr>
                <w:b w:val="0"/>
                <w:sz w:val="22"/>
                <w:szCs w:val="22"/>
              </w:rPr>
              <w:t xml:space="preserve">Componente 3.2 </w:t>
            </w:r>
          </w:p>
          <w:p w:rsidR="00196CDD" w:rsidRDefault="00196CDD" w:rsidP="00ED0274">
            <w:pPr>
              <w:jc w:val="center"/>
              <w:rPr>
                <w:b w:val="0"/>
                <w:sz w:val="22"/>
                <w:szCs w:val="22"/>
              </w:rPr>
            </w:pPr>
            <w:r w:rsidRPr="009F0A23">
              <w:rPr>
                <w:b w:val="0"/>
                <w:sz w:val="22"/>
                <w:szCs w:val="22"/>
              </w:rPr>
              <w:t>Diseño e implementación de herramientas claves para el SPSU</w:t>
            </w:r>
          </w:p>
          <w:p w:rsidR="00196CDD" w:rsidRPr="009F0A23" w:rsidRDefault="00196CDD" w:rsidP="00ED0274">
            <w:pPr>
              <w:jc w:val="center"/>
              <w:rPr>
                <w:b w:val="0"/>
                <w:sz w:val="22"/>
                <w:szCs w:val="22"/>
              </w:rPr>
            </w:pP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ED0274" w:rsidRDefault="00196CDD" w:rsidP="006D4E93">
            <w:pPr>
              <w:jc w:val="center"/>
              <w:cnfStyle w:val="000000000000"/>
              <w:rPr>
                <w:color w:val="auto"/>
                <w:sz w:val="22"/>
                <w:szCs w:val="22"/>
              </w:rPr>
            </w:pPr>
            <w:r>
              <w:rPr>
                <w:color w:val="auto"/>
                <w:sz w:val="22"/>
                <w:szCs w:val="22"/>
              </w:rPr>
              <w:t>STP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ED0274" w:rsidRDefault="00196CDD" w:rsidP="006D4E93">
            <w:pPr>
              <w:pStyle w:val="HeaderFooterA"/>
              <w:cnfStyle w:val="000000000000"/>
              <w:rPr>
                <w:rFonts w:ascii="Times New Roman" w:hAnsi="Times New Roman"/>
                <w:b w:val="0"/>
                <w:color w:val="auto"/>
                <w:sz w:val="22"/>
                <w:szCs w:val="22"/>
              </w:rPr>
            </w:pPr>
            <w:r>
              <w:rPr>
                <w:rFonts w:ascii="Times New Roman" w:hAnsi="Times New Roman"/>
                <w:b w:val="0"/>
                <w:color w:val="auto"/>
                <w:sz w:val="22"/>
                <w:szCs w:val="22"/>
              </w:rPr>
              <w:t>Apoyo a la implementación y Sistematización del proceso del registro único de participantes.</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ED0274" w:rsidRDefault="00196CDD" w:rsidP="006D4E93">
            <w:pPr>
              <w:jc w:val="center"/>
              <w:cnfStyle w:val="000000000000"/>
              <w:rPr>
                <w:color w:val="auto"/>
                <w:sz w:val="22"/>
                <w:szCs w:val="22"/>
              </w:rPr>
            </w:pPr>
            <w:r>
              <w:rPr>
                <w:color w:val="auto"/>
                <w:sz w:val="22"/>
                <w:szCs w:val="22"/>
              </w:rPr>
              <w:t>30-jun-12 al 30-dic-14</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ED0274" w:rsidRDefault="00196CDD" w:rsidP="006D4E93">
            <w:pPr>
              <w:jc w:val="center"/>
              <w:cnfStyle w:val="000000000000"/>
              <w:rPr>
                <w:color w:val="auto"/>
                <w:sz w:val="22"/>
                <w:szCs w:val="22"/>
              </w:rPr>
            </w:pPr>
            <w:r>
              <w:rPr>
                <w:color w:val="auto"/>
                <w:sz w:val="22"/>
                <w:szCs w:val="22"/>
              </w:rPr>
              <w:t>$75,000.00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ED0274" w:rsidRDefault="00196CDD" w:rsidP="006D4E93">
            <w:pPr>
              <w:jc w:val="center"/>
              <w:cnfStyle w:val="000000000000"/>
              <w:rPr>
                <w:color w:val="auto"/>
                <w:sz w:val="22"/>
                <w:szCs w:val="22"/>
              </w:rPr>
            </w:pPr>
            <w:r>
              <w:rPr>
                <w:color w:val="auto"/>
                <w:sz w:val="22"/>
                <w:szCs w:val="22"/>
              </w:rPr>
              <w:t>Banco Mundial</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Default="00196CDD" w:rsidP="00ED0274">
            <w:pPr>
              <w:jc w:val="center"/>
              <w:rPr>
                <w:b w:val="0"/>
                <w:sz w:val="22"/>
                <w:szCs w:val="22"/>
              </w:rPr>
            </w:pPr>
            <w:r w:rsidRPr="009F0A23">
              <w:rPr>
                <w:b w:val="0"/>
                <w:sz w:val="22"/>
                <w:szCs w:val="22"/>
              </w:rPr>
              <w:t xml:space="preserve">Componente 3.2 </w:t>
            </w:r>
          </w:p>
          <w:p w:rsidR="00196CDD" w:rsidRDefault="00196CDD" w:rsidP="00ED0274">
            <w:pPr>
              <w:jc w:val="center"/>
              <w:rPr>
                <w:b w:val="0"/>
                <w:sz w:val="22"/>
                <w:szCs w:val="22"/>
              </w:rPr>
            </w:pPr>
            <w:r w:rsidRPr="009F0A23">
              <w:rPr>
                <w:b w:val="0"/>
                <w:sz w:val="22"/>
                <w:szCs w:val="22"/>
              </w:rPr>
              <w:t>Diseño e implementación de herramientas claves para el SPSU</w:t>
            </w:r>
          </w:p>
          <w:p w:rsidR="00196CDD" w:rsidRPr="009F0A23" w:rsidRDefault="00196CDD" w:rsidP="00ED0274">
            <w:pPr>
              <w:jc w:val="center"/>
              <w:rPr>
                <w:b w:val="0"/>
                <w:sz w:val="22"/>
                <w:szCs w:val="22"/>
              </w:rPr>
            </w:pP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ED0274" w:rsidRDefault="00196CDD" w:rsidP="006D4E93">
            <w:pPr>
              <w:jc w:val="center"/>
              <w:cnfStyle w:val="000000000000"/>
              <w:rPr>
                <w:color w:val="auto"/>
                <w:sz w:val="22"/>
                <w:szCs w:val="22"/>
              </w:rPr>
            </w:pPr>
            <w:r w:rsidRPr="00ED0274">
              <w:rPr>
                <w:color w:val="auto"/>
                <w:sz w:val="22"/>
                <w:szCs w:val="22"/>
              </w:rPr>
              <w:t>STP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ED0274" w:rsidRDefault="00196CDD" w:rsidP="006D4E93">
            <w:pPr>
              <w:pStyle w:val="HeaderFooterA"/>
              <w:cnfStyle w:val="000000000000"/>
              <w:rPr>
                <w:rFonts w:ascii="Times New Roman" w:hAnsi="Times New Roman"/>
                <w:b w:val="0"/>
                <w:color w:val="auto"/>
                <w:sz w:val="22"/>
                <w:szCs w:val="22"/>
              </w:rPr>
            </w:pPr>
            <w:r>
              <w:rPr>
                <w:rFonts w:ascii="Times New Roman" w:hAnsi="Times New Roman"/>
                <w:b w:val="0"/>
                <w:color w:val="auto"/>
                <w:sz w:val="22"/>
                <w:szCs w:val="22"/>
              </w:rPr>
              <w:t xml:space="preserve">Consultoría para diseño de plataforma informática del sistema de monitoreo y evaluación. </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ED0274" w:rsidRDefault="00196CDD" w:rsidP="006D4E93">
            <w:pPr>
              <w:jc w:val="center"/>
              <w:cnfStyle w:val="000000000000"/>
              <w:rPr>
                <w:color w:val="auto"/>
                <w:sz w:val="22"/>
                <w:szCs w:val="22"/>
              </w:rPr>
            </w:pPr>
            <w:r>
              <w:rPr>
                <w:color w:val="auto"/>
                <w:sz w:val="22"/>
                <w:szCs w:val="22"/>
              </w:rPr>
              <w:t>23-jun-12 al 23-dic-14</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ED0274" w:rsidRDefault="00196CDD" w:rsidP="006D4E93">
            <w:pPr>
              <w:jc w:val="center"/>
              <w:cnfStyle w:val="000000000000"/>
              <w:rPr>
                <w:color w:val="auto"/>
                <w:sz w:val="22"/>
                <w:szCs w:val="22"/>
              </w:rPr>
            </w:pPr>
            <w:r>
              <w:rPr>
                <w:color w:val="auto"/>
                <w:sz w:val="22"/>
                <w:szCs w:val="22"/>
              </w:rPr>
              <w:t>$84,000.00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ED0274" w:rsidRDefault="00196CDD" w:rsidP="006D4E93">
            <w:pPr>
              <w:jc w:val="center"/>
              <w:cnfStyle w:val="000000000000"/>
              <w:rPr>
                <w:color w:val="auto"/>
                <w:sz w:val="22"/>
                <w:szCs w:val="22"/>
              </w:rPr>
            </w:pPr>
            <w:r>
              <w:rPr>
                <w:color w:val="auto"/>
                <w:sz w:val="22"/>
                <w:szCs w:val="22"/>
              </w:rPr>
              <w:t>Banco Mundial</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Default="00196CDD" w:rsidP="00ED0274">
            <w:pPr>
              <w:jc w:val="center"/>
              <w:rPr>
                <w:b w:val="0"/>
                <w:sz w:val="22"/>
                <w:szCs w:val="22"/>
              </w:rPr>
            </w:pPr>
            <w:r w:rsidRPr="009F0A23">
              <w:rPr>
                <w:b w:val="0"/>
                <w:sz w:val="22"/>
                <w:szCs w:val="22"/>
              </w:rPr>
              <w:t xml:space="preserve">Componente 3.2 </w:t>
            </w:r>
          </w:p>
          <w:p w:rsidR="00196CDD" w:rsidRDefault="00196CDD" w:rsidP="00ED0274">
            <w:pPr>
              <w:jc w:val="center"/>
              <w:rPr>
                <w:b w:val="0"/>
                <w:sz w:val="22"/>
                <w:szCs w:val="22"/>
              </w:rPr>
            </w:pPr>
            <w:r w:rsidRPr="009F0A23">
              <w:rPr>
                <w:b w:val="0"/>
                <w:sz w:val="22"/>
                <w:szCs w:val="22"/>
              </w:rPr>
              <w:t>Diseño e implementación de herramientas claves para el SPSU</w:t>
            </w:r>
          </w:p>
          <w:p w:rsidR="00196CDD" w:rsidRPr="009F0A23" w:rsidRDefault="00196CDD" w:rsidP="00ED0274">
            <w:pPr>
              <w:jc w:val="center"/>
              <w:rPr>
                <w:b w:val="0"/>
                <w:sz w:val="22"/>
                <w:szCs w:val="22"/>
              </w:rPr>
            </w:pP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Pr>
                <w:color w:val="auto"/>
                <w:sz w:val="22"/>
                <w:szCs w:val="22"/>
              </w:rPr>
              <w:t>STP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pStyle w:val="HeaderFooterA"/>
              <w:cnfStyle w:val="000000000000"/>
              <w:rPr>
                <w:rFonts w:ascii="Times New Roman" w:hAnsi="Times New Roman"/>
                <w:b w:val="0"/>
                <w:color w:val="auto"/>
                <w:sz w:val="22"/>
                <w:szCs w:val="22"/>
              </w:rPr>
            </w:pPr>
            <w:r>
              <w:rPr>
                <w:rFonts w:ascii="Times New Roman" w:hAnsi="Times New Roman"/>
                <w:b w:val="0"/>
                <w:color w:val="auto"/>
                <w:sz w:val="22"/>
                <w:szCs w:val="22"/>
              </w:rPr>
              <w:t>Consultoría para la implementación de herramienta informática para el diseño y control automatizado de flujo de procesos estratégicos para mejorar la ejecución del SPSU.</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Pr>
                <w:color w:val="auto"/>
                <w:sz w:val="22"/>
                <w:szCs w:val="22"/>
              </w:rPr>
              <w:t>15-sep-12 al 15-dic-12</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Pr>
                <w:color w:val="auto"/>
                <w:sz w:val="22"/>
                <w:szCs w:val="22"/>
              </w:rPr>
              <w:t>$30,000.00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Pr>
                <w:color w:val="auto"/>
                <w:sz w:val="22"/>
                <w:szCs w:val="22"/>
              </w:rPr>
              <w:t>Banco Mundial</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Default="00196CDD" w:rsidP="004A7951">
            <w:pPr>
              <w:jc w:val="center"/>
              <w:rPr>
                <w:b w:val="0"/>
                <w:sz w:val="22"/>
                <w:szCs w:val="22"/>
              </w:rPr>
            </w:pPr>
            <w:r w:rsidRPr="009F0A23">
              <w:rPr>
                <w:b w:val="0"/>
                <w:sz w:val="22"/>
                <w:szCs w:val="22"/>
              </w:rPr>
              <w:t xml:space="preserve">Componente 3.2 </w:t>
            </w:r>
          </w:p>
          <w:p w:rsidR="00196CDD" w:rsidRPr="009F0A23" w:rsidRDefault="00196CDD" w:rsidP="004A7951">
            <w:pPr>
              <w:jc w:val="center"/>
              <w:rPr>
                <w:b w:val="0"/>
                <w:sz w:val="22"/>
                <w:szCs w:val="22"/>
              </w:rPr>
            </w:pPr>
            <w:r w:rsidRPr="009F0A23">
              <w:rPr>
                <w:b w:val="0"/>
                <w:sz w:val="22"/>
                <w:szCs w:val="22"/>
              </w:rPr>
              <w:t>Diseño e implementación de herramientas claves para el SPSU</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4A7951">
            <w:pPr>
              <w:jc w:val="center"/>
              <w:cnfStyle w:val="000000000000"/>
              <w:rPr>
                <w:color w:val="auto"/>
                <w:sz w:val="22"/>
                <w:szCs w:val="22"/>
              </w:rPr>
            </w:pPr>
            <w:r w:rsidRPr="00C4221C">
              <w:rPr>
                <w:color w:val="auto"/>
                <w:sz w:val="22"/>
                <w:szCs w:val="22"/>
              </w:rPr>
              <w:t>STP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4A7951">
            <w:pPr>
              <w:pStyle w:val="HeaderFooterA"/>
              <w:cnfStyle w:val="000000000000"/>
              <w:rPr>
                <w:rFonts w:ascii="Times New Roman" w:hAnsi="Times New Roman"/>
                <w:b w:val="0"/>
                <w:color w:val="auto"/>
                <w:sz w:val="22"/>
                <w:szCs w:val="22"/>
              </w:rPr>
            </w:pPr>
            <w:r w:rsidRPr="00C4221C">
              <w:rPr>
                <w:rFonts w:ascii="Times New Roman" w:hAnsi="Times New Roman"/>
                <w:b w:val="0"/>
                <w:color w:val="auto"/>
                <w:sz w:val="22"/>
                <w:szCs w:val="22"/>
              </w:rPr>
              <w:t>Diseño, construcción e implementación del módulo de aplicación del Algoritmo para selección de participantes de los programas del SPSU a través del RUP</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A461F2">
            <w:pPr>
              <w:jc w:val="center"/>
              <w:cnfStyle w:val="000000000000"/>
              <w:rPr>
                <w:color w:val="auto"/>
                <w:sz w:val="22"/>
                <w:szCs w:val="22"/>
              </w:rPr>
            </w:pPr>
            <w:r>
              <w:rPr>
                <w:color w:val="auto"/>
                <w:sz w:val="22"/>
                <w:szCs w:val="22"/>
              </w:rPr>
              <w:t>15-abr-12 al</w:t>
            </w:r>
            <w:r w:rsidRPr="00C4221C">
              <w:rPr>
                <w:color w:val="auto"/>
                <w:sz w:val="22"/>
                <w:szCs w:val="22"/>
              </w:rPr>
              <w:t xml:space="preserve"> 15-ago-12</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4A7951">
            <w:pPr>
              <w:jc w:val="center"/>
              <w:cnfStyle w:val="000000000000"/>
              <w:rPr>
                <w:color w:val="auto"/>
                <w:sz w:val="22"/>
                <w:szCs w:val="22"/>
              </w:rPr>
            </w:pPr>
            <w:r w:rsidRPr="00C4221C">
              <w:rPr>
                <w:color w:val="auto"/>
                <w:sz w:val="22"/>
                <w:szCs w:val="22"/>
              </w:rPr>
              <w:t>$25,000.00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4A7951">
            <w:pPr>
              <w:jc w:val="center"/>
              <w:cnfStyle w:val="000000000000"/>
              <w:rPr>
                <w:color w:val="auto"/>
                <w:sz w:val="22"/>
                <w:szCs w:val="22"/>
              </w:rPr>
            </w:pPr>
            <w:r w:rsidRPr="00C4221C">
              <w:rPr>
                <w:color w:val="auto"/>
                <w:sz w:val="22"/>
                <w:szCs w:val="22"/>
              </w:rPr>
              <w:t>Banco Mundial</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 xml:space="preserve">Componente 3.2 Diseño e implementación de herramientas claves para </w:t>
            </w:r>
            <w:r w:rsidRPr="009F0A23">
              <w:rPr>
                <w:b w:val="0"/>
                <w:sz w:val="22"/>
                <w:szCs w:val="22"/>
              </w:rPr>
              <w:lastRenderedPageBreak/>
              <w:t>el SPSU</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lastRenderedPageBreak/>
              <w:t>STP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pStyle w:val="HeaderFooterA"/>
              <w:cnfStyle w:val="000000000000"/>
              <w:rPr>
                <w:rFonts w:ascii="Times New Roman" w:hAnsi="Times New Roman"/>
                <w:b w:val="0"/>
                <w:color w:val="auto"/>
                <w:sz w:val="22"/>
                <w:szCs w:val="22"/>
              </w:rPr>
            </w:pPr>
            <w:r w:rsidRPr="00C4221C">
              <w:rPr>
                <w:rFonts w:ascii="Times New Roman" w:hAnsi="Times New Roman"/>
                <w:b w:val="0"/>
                <w:color w:val="auto"/>
                <w:sz w:val="22"/>
                <w:szCs w:val="22"/>
              </w:rPr>
              <w:t xml:space="preserve">Diseño, construcción, implementación y vinculación del módulo de la ficha </w:t>
            </w:r>
            <w:r w:rsidRPr="00C4221C">
              <w:rPr>
                <w:rFonts w:ascii="Times New Roman" w:hAnsi="Times New Roman"/>
                <w:b w:val="0"/>
                <w:color w:val="auto"/>
                <w:sz w:val="22"/>
                <w:szCs w:val="22"/>
              </w:rPr>
              <w:lastRenderedPageBreak/>
              <w:t>electrónica de participantes y candidatos del RUO del SPSU</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Pr>
                <w:color w:val="auto"/>
                <w:sz w:val="22"/>
                <w:szCs w:val="22"/>
              </w:rPr>
              <w:lastRenderedPageBreak/>
              <w:t>15-abr-12</w:t>
            </w:r>
            <w:r w:rsidRPr="00C4221C">
              <w:rPr>
                <w:color w:val="auto"/>
                <w:sz w:val="22"/>
                <w:szCs w:val="22"/>
              </w:rPr>
              <w:t xml:space="preserve"> a</w:t>
            </w:r>
            <w:r>
              <w:rPr>
                <w:color w:val="auto"/>
                <w:sz w:val="22"/>
                <w:szCs w:val="22"/>
              </w:rPr>
              <w:t>l</w:t>
            </w:r>
            <w:r w:rsidRPr="00C4221C">
              <w:rPr>
                <w:color w:val="auto"/>
                <w:sz w:val="22"/>
                <w:szCs w:val="22"/>
              </w:rPr>
              <w:t xml:space="preserve"> 15-ago-12</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$25,000.00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Banco Mundial</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lastRenderedPageBreak/>
              <w:t>Componente 3.2 Diseño e implementación de herramientas claves para el SPSU</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STP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pStyle w:val="HeaderFooterA"/>
              <w:cnfStyle w:val="000000000000"/>
              <w:rPr>
                <w:rFonts w:ascii="Times New Roman" w:hAnsi="Times New Roman"/>
                <w:b w:val="0"/>
                <w:color w:val="auto"/>
                <w:sz w:val="22"/>
                <w:szCs w:val="22"/>
              </w:rPr>
            </w:pPr>
            <w:r w:rsidRPr="00C4221C">
              <w:rPr>
                <w:rFonts w:ascii="Times New Roman" w:hAnsi="Times New Roman"/>
                <w:b w:val="0"/>
                <w:color w:val="auto"/>
                <w:sz w:val="22"/>
                <w:szCs w:val="22"/>
              </w:rPr>
              <w:t>Diseño, construcción y elaboración de propuesta de interconectividad interinstitucional para el RUP del SPSU</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Pr>
                <w:color w:val="auto"/>
                <w:sz w:val="22"/>
                <w:szCs w:val="22"/>
              </w:rPr>
              <w:t>23-may</w:t>
            </w:r>
            <w:r w:rsidRPr="00C4221C">
              <w:rPr>
                <w:color w:val="auto"/>
                <w:sz w:val="22"/>
                <w:szCs w:val="22"/>
              </w:rPr>
              <w:t>-12 a</w:t>
            </w:r>
            <w:r>
              <w:rPr>
                <w:color w:val="auto"/>
                <w:sz w:val="22"/>
                <w:szCs w:val="22"/>
              </w:rPr>
              <w:t>l</w:t>
            </w:r>
            <w:r w:rsidRPr="00C4221C">
              <w:rPr>
                <w:color w:val="auto"/>
                <w:sz w:val="22"/>
                <w:szCs w:val="22"/>
              </w:rPr>
              <w:t xml:space="preserve"> 23-sep-12</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$30,000.00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Banco Mundial</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Default="00196CDD" w:rsidP="00A461F2">
            <w:pPr>
              <w:jc w:val="center"/>
              <w:rPr>
                <w:b w:val="0"/>
                <w:sz w:val="22"/>
                <w:szCs w:val="22"/>
              </w:rPr>
            </w:pPr>
            <w:r w:rsidRPr="009F0A23">
              <w:rPr>
                <w:b w:val="0"/>
                <w:sz w:val="22"/>
                <w:szCs w:val="22"/>
              </w:rPr>
              <w:t xml:space="preserve">Componente 3.2 </w:t>
            </w:r>
          </w:p>
          <w:p w:rsidR="00196CDD" w:rsidRPr="009F0A23" w:rsidRDefault="00196CDD" w:rsidP="00A461F2">
            <w:pPr>
              <w:jc w:val="center"/>
              <w:rPr>
                <w:b w:val="0"/>
                <w:sz w:val="22"/>
                <w:szCs w:val="22"/>
              </w:rPr>
            </w:pPr>
            <w:r w:rsidRPr="009F0A23">
              <w:rPr>
                <w:b w:val="0"/>
                <w:sz w:val="22"/>
                <w:szCs w:val="22"/>
              </w:rPr>
              <w:t>Diseño e implementación de herramientas claves para el SPSU</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A461F2" w:rsidRDefault="00196CDD" w:rsidP="006D4E93">
            <w:pPr>
              <w:jc w:val="center"/>
              <w:cnfStyle w:val="000000000000"/>
              <w:rPr>
                <w:color w:val="auto"/>
                <w:sz w:val="22"/>
                <w:szCs w:val="22"/>
              </w:rPr>
            </w:pPr>
            <w:r>
              <w:rPr>
                <w:color w:val="auto"/>
                <w:sz w:val="22"/>
                <w:szCs w:val="22"/>
              </w:rPr>
              <w:t>STP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A461F2" w:rsidRDefault="00196CDD" w:rsidP="006D4E93">
            <w:pPr>
              <w:pStyle w:val="HeaderFooterA"/>
              <w:cnfStyle w:val="000000000000"/>
              <w:rPr>
                <w:rFonts w:ascii="Times New Roman" w:hAnsi="Times New Roman"/>
                <w:b w:val="0"/>
                <w:color w:val="auto"/>
                <w:sz w:val="22"/>
                <w:szCs w:val="22"/>
              </w:rPr>
            </w:pPr>
            <w:r>
              <w:rPr>
                <w:rFonts w:ascii="Times New Roman" w:hAnsi="Times New Roman"/>
                <w:b w:val="0"/>
                <w:color w:val="auto"/>
                <w:sz w:val="22"/>
                <w:szCs w:val="22"/>
              </w:rPr>
              <w:t>Apoyo a la administración y soporte técnico de la base de datos para el RUP del SPSU.</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A461F2" w:rsidRDefault="00196CDD" w:rsidP="006D4E93">
            <w:pPr>
              <w:jc w:val="center"/>
              <w:cnfStyle w:val="000000000000"/>
              <w:rPr>
                <w:color w:val="auto"/>
                <w:sz w:val="22"/>
                <w:szCs w:val="22"/>
              </w:rPr>
            </w:pPr>
            <w:r>
              <w:rPr>
                <w:color w:val="auto"/>
                <w:sz w:val="22"/>
                <w:szCs w:val="22"/>
              </w:rPr>
              <w:t>23-jun-12 al 23-dic-14</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A461F2" w:rsidRDefault="00196CDD" w:rsidP="006D4E93">
            <w:pPr>
              <w:jc w:val="center"/>
              <w:cnfStyle w:val="000000000000"/>
              <w:rPr>
                <w:color w:val="auto"/>
                <w:sz w:val="22"/>
                <w:szCs w:val="22"/>
              </w:rPr>
            </w:pPr>
            <w:r>
              <w:rPr>
                <w:color w:val="auto"/>
                <w:sz w:val="22"/>
                <w:szCs w:val="22"/>
              </w:rPr>
              <w:t>$75,000.00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A461F2" w:rsidRDefault="00196CDD" w:rsidP="006D4E93">
            <w:pPr>
              <w:jc w:val="center"/>
              <w:cnfStyle w:val="000000000000"/>
              <w:rPr>
                <w:color w:val="auto"/>
                <w:sz w:val="22"/>
                <w:szCs w:val="22"/>
              </w:rPr>
            </w:pPr>
            <w:r>
              <w:rPr>
                <w:color w:val="auto"/>
                <w:sz w:val="22"/>
                <w:szCs w:val="22"/>
              </w:rPr>
              <w:t>Banco Mundial</w:t>
            </w:r>
          </w:p>
        </w:tc>
      </w:tr>
      <w:tr w:rsidR="00196CDD" w:rsidRPr="009F0A23" w:rsidTr="00A461F2">
        <w:trPr>
          <w:trHeight w:val="845"/>
        </w:trPr>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Default="00196CDD" w:rsidP="00A461F2">
            <w:pPr>
              <w:jc w:val="center"/>
              <w:rPr>
                <w:b w:val="0"/>
                <w:sz w:val="22"/>
                <w:szCs w:val="22"/>
              </w:rPr>
            </w:pPr>
            <w:r w:rsidRPr="009F0A23">
              <w:rPr>
                <w:b w:val="0"/>
                <w:sz w:val="22"/>
                <w:szCs w:val="22"/>
              </w:rPr>
              <w:t xml:space="preserve">Componente 3.2 </w:t>
            </w:r>
          </w:p>
          <w:p w:rsidR="00196CDD" w:rsidRPr="009F0A23" w:rsidRDefault="00196CDD" w:rsidP="00A461F2">
            <w:pPr>
              <w:jc w:val="center"/>
              <w:rPr>
                <w:b w:val="0"/>
                <w:sz w:val="22"/>
                <w:szCs w:val="22"/>
              </w:rPr>
            </w:pPr>
            <w:r w:rsidRPr="009F0A23">
              <w:rPr>
                <w:b w:val="0"/>
                <w:sz w:val="22"/>
                <w:szCs w:val="22"/>
              </w:rPr>
              <w:t>Diseño e implementación de herramientas claves para el SPSU</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A461F2" w:rsidRDefault="00196CDD" w:rsidP="006D4E93">
            <w:pPr>
              <w:jc w:val="center"/>
              <w:cnfStyle w:val="000000000000"/>
              <w:rPr>
                <w:color w:val="auto"/>
                <w:sz w:val="22"/>
                <w:szCs w:val="22"/>
              </w:rPr>
            </w:pPr>
            <w:r>
              <w:rPr>
                <w:color w:val="auto"/>
                <w:sz w:val="22"/>
                <w:szCs w:val="22"/>
              </w:rPr>
              <w:t>STP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A461F2" w:rsidRDefault="00196CDD" w:rsidP="006D4E93">
            <w:pPr>
              <w:pStyle w:val="HeaderFooterA"/>
              <w:cnfStyle w:val="000000000000"/>
              <w:rPr>
                <w:rFonts w:ascii="Times New Roman" w:hAnsi="Times New Roman"/>
                <w:b w:val="0"/>
                <w:color w:val="auto"/>
                <w:sz w:val="22"/>
                <w:szCs w:val="22"/>
              </w:rPr>
            </w:pPr>
            <w:r>
              <w:rPr>
                <w:rFonts w:ascii="Times New Roman" w:hAnsi="Times New Roman"/>
                <w:b w:val="0"/>
                <w:color w:val="auto"/>
                <w:sz w:val="22"/>
                <w:szCs w:val="22"/>
              </w:rPr>
              <w:t>Diseño, elaboración de propuesta para la sensibilización y comunicación del RUP del SPSU.</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A461F2" w:rsidRDefault="00196CDD" w:rsidP="006D4E93">
            <w:pPr>
              <w:jc w:val="center"/>
              <w:cnfStyle w:val="000000000000"/>
              <w:rPr>
                <w:color w:val="auto"/>
                <w:sz w:val="22"/>
                <w:szCs w:val="22"/>
              </w:rPr>
            </w:pPr>
            <w:r>
              <w:rPr>
                <w:color w:val="auto"/>
                <w:sz w:val="22"/>
                <w:szCs w:val="22"/>
              </w:rPr>
              <w:t>01-sep-12 al 01-dic-12</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A461F2" w:rsidRDefault="00196CDD" w:rsidP="006D4E93">
            <w:pPr>
              <w:jc w:val="center"/>
              <w:cnfStyle w:val="000000000000"/>
              <w:rPr>
                <w:color w:val="auto"/>
                <w:sz w:val="22"/>
                <w:szCs w:val="22"/>
              </w:rPr>
            </w:pPr>
            <w:r>
              <w:rPr>
                <w:color w:val="auto"/>
                <w:sz w:val="22"/>
                <w:szCs w:val="22"/>
              </w:rPr>
              <w:t>$30,000.00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A461F2" w:rsidRDefault="00196CDD" w:rsidP="006D4E93">
            <w:pPr>
              <w:jc w:val="center"/>
              <w:cnfStyle w:val="000000000000"/>
              <w:rPr>
                <w:color w:val="auto"/>
                <w:sz w:val="22"/>
                <w:szCs w:val="22"/>
              </w:rPr>
            </w:pPr>
            <w:r>
              <w:rPr>
                <w:color w:val="auto"/>
                <w:sz w:val="22"/>
                <w:szCs w:val="22"/>
              </w:rPr>
              <w:t>Banco Mundial</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Default="00196CDD" w:rsidP="00A461F2">
            <w:pPr>
              <w:jc w:val="center"/>
              <w:rPr>
                <w:b w:val="0"/>
                <w:sz w:val="22"/>
                <w:szCs w:val="22"/>
              </w:rPr>
            </w:pPr>
            <w:r w:rsidRPr="009F0A23">
              <w:rPr>
                <w:b w:val="0"/>
                <w:sz w:val="22"/>
                <w:szCs w:val="22"/>
              </w:rPr>
              <w:t xml:space="preserve">Componente 3.2 </w:t>
            </w:r>
          </w:p>
          <w:p w:rsidR="00196CDD" w:rsidRDefault="00196CDD" w:rsidP="00A461F2">
            <w:pPr>
              <w:jc w:val="center"/>
              <w:rPr>
                <w:b w:val="0"/>
                <w:sz w:val="22"/>
                <w:szCs w:val="22"/>
              </w:rPr>
            </w:pPr>
            <w:r w:rsidRPr="009F0A23">
              <w:rPr>
                <w:b w:val="0"/>
                <w:sz w:val="22"/>
                <w:szCs w:val="22"/>
              </w:rPr>
              <w:t>Diseño e implementación de herramientas claves para el SPSU</w:t>
            </w:r>
          </w:p>
          <w:p w:rsidR="00196CDD" w:rsidRPr="009F0A23" w:rsidRDefault="00196CDD" w:rsidP="00A461F2">
            <w:pPr>
              <w:jc w:val="center"/>
              <w:rPr>
                <w:b w:val="0"/>
                <w:sz w:val="22"/>
                <w:szCs w:val="22"/>
              </w:rPr>
            </w:pP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A461F2" w:rsidRDefault="00196CDD" w:rsidP="006D4E93">
            <w:pPr>
              <w:jc w:val="center"/>
              <w:cnfStyle w:val="000000000000"/>
              <w:rPr>
                <w:color w:val="auto"/>
                <w:sz w:val="22"/>
                <w:szCs w:val="22"/>
              </w:rPr>
            </w:pPr>
            <w:r>
              <w:rPr>
                <w:color w:val="auto"/>
                <w:sz w:val="22"/>
                <w:szCs w:val="22"/>
              </w:rPr>
              <w:t>STP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A461F2" w:rsidRDefault="00196CDD" w:rsidP="006D4E93">
            <w:pPr>
              <w:jc w:val="both"/>
              <w:cnfStyle w:val="000000000000"/>
              <w:rPr>
                <w:color w:val="auto"/>
                <w:sz w:val="22"/>
                <w:szCs w:val="22"/>
              </w:rPr>
            </w:pPr>
            <w:r>
              <w:rPr>
                <w:color w:val="auto"/>
                <w:sz w:val="22"/>
                <w:szCs w:val="22"/>
              </w:rPr>
              <w:t>Apoyo al Monitoreo, Seguimiento y Evaluación de los programas del SPSU.</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A461F2" w:rsidRDefault="00196CDD" w:rsidP="006D4E93">
            <w:pPr>
              <w:jc w:val="center"/>
              <w:cnfStyle w:val="000000000000"/>
              <w:rPr>
                <w:color w:val="auto"/>
                <w:sz w:val="22"/>
                <w:szCs w:val="22"/>
              </w:rPr>
            </w:pPr>
            <w:r>
              <w:rPr>
                <w:color w:val="auto"/>
                <w:sz w:val="22"/>
                <w:szCs w:val="22"/>
              </w:rPr>
              <w:t>01-ago-12 al 01-dic-14</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A461F2" w:rsidRDefault="00196CDD" w:rsidP="006D4E93">
            <w:pPr>
              <w:jc w:val="center"/>
              <w:cnfStyle w:val="000000000000"/>
              <w:rPr>
                <w:color w:val="auto"/>
                <w:sz w:val="22"/>
                <w:szCs w:val="22"/>
              </w:rPr>
            </w:pPr>
            <w:r>
              <w:rPr>
                <w:color w:val="auto"/>
                <w:sz w:val="22"/>
                <w:szCs w:val="22"/>
              </w:rPr>
              <w:t>$100,800.00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A461F2" w:rsidRDefault="00196CDD" w:rsidP="006D4E93">
            <w:pPr>
              <w:jc w:val="center"/>
              <w:cnfStyle w:val="000000000000"/>
              <w:rPr>
                <w:color w:val="auto"/>
                <w:sz w:val="22"/>
                <w:szCs w:val="22"/>
              </w:rPr>
            </w:pPr>
            <w:r>
              <w:rPr>
                <w:color w:val="auto"/>
                <w:sz w:val="22"/>
                <w:szCs w:val="22"/>
              </w:rPr>
              <w:t>Banco Mundial</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Default="00196CDD" w:rsidP="00A461F2">
            <w:pPr>
              <w:jc w:val="center"/>
              <w:rPr>
                <w:b w:val="0"/>
                <w:sz w:val="22"/>
                <w:szCs w:val="22"/>
              </w:rPr>
            </w:pPr>
            <w:r w:rsidRPr="009F0A23">
              <w:rPr>
                <w:b w:val="0"/>
                <w:sz w:val="22"/>
                <w:szCs w:val="22"/>
              </w:rPr>
              <w:t xml:space="preserve">Componente 3.2 </w:t>
            </w:r>
          </w:p>
          <w:p w:rsidR="00196CDD" w:rsidRDefault="00196CDD" w:rsidP="00A461F2">
            <w:pPr>
              <w:jc w:val="center"/>
              <w:rPr>
                <w:b w:val="0"/>
                <w:sz w:val="22"/>
                <w:szCs w:val="22"/>
              </w:rPr>
            </w:pPr>
            <w:r w:rsidRPr="009F0A23">
              <w:rPr>
                <w:b w:val="0"/>
                <w:sz w:val="22"/>
                <w:szCs w:val="22"/>
              </w:rPr>
              <w:t>Diseño e implementación de herramientas claves para el SPSU</w:t>
            </w:r>
          </w:p>
          <w:p w:rsidR="00196CDD" w:rsidRPr="009F0A23" w:rsidRDefault="00196CDD" w:rsidP="00A461F2">
            <w:pPr>
              <w:jc w:val="center"/>
              <w:rPr>
                <w:b w:val="0"/>
                <w:sz w:val="22"/>
                <w:szCs w:val="22"/>
              </w:rPr>
            </w:pP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A461F2" w:rsidRDefault="00196CDD" w:rsidP="006D4E93">
            <w:pPr>
              <w:jc w:val="center"/>
              <w:cnfStyle w:val="000000000000"/>
              <w:rPr>
                <w:color w:val="auto"/>
                <w:sz w:val="22"/>
                <w:szCs w:val="22"/>
              </w:rPr>
            </w:pPr>
            <w:r>
              <w:rPr>
                <w:color w:val="auto"/>
                <w:sz w:val="22"/>
                <w:szCs w:val="22"/>
              </w:rPr>
              <w:t>STP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A461F2" w:rsidRDefault="00196CDD" w:rsidP="006D4E93">
            <w:pPr>
              <w:jc w:val="both"/>
              <w:cnfStyle w:val="000000000000"/>
              <w:rPr>
                <w:color w:val="auto"/>
                <w:sz w:val="22"/>
                <w:szCs w:val="22"/>
              </w:rPr>
            </w:pPr>
            <w:r>
              <w:rPr>
                <w:color w:val="auto"/>
                <w:sz w:val="22"/>
                <w:szCs w:val="22"/>
              </w:rPr>
              <w:t>Elaboración de propuesta para implementación del RUP por demanda.</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A461F2" w:rsidRDefault="00196CDD" w:rsidP="006D4E93">
            <w:pPr>
              <w:jc w:val="center"/>
              <w:cnfStyle w:val="000000000000"/>
              <w:rPr>
                <w:color w:val="auto"/>
                <w:sz w:val="22"/>
                <w:szCs w:val="22"/>
              </w:rPr>
            </w:pPr>
            <w:r>
              <w:rPr>
                <w:color w:val="auto"/>
                <w:sz w:val="22"/>
                <w:szCs w:val="22"/>
              </w:rPr>
              <w:t>13-jul-12 al 30-ago-12</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A461F2" w:rsidRDefault="00196CDD" w:rsidP="006D4E93">
            <w:pPr>
              <w:jc w:val="center"/>
              <w:cnfStyle w:val="000000000000"/>
              <w:rPr>
                <w:color w:val="auto"/>
                <w:sz w:val="22"/>
                <w:szCs w:val="22"/>
              </w:rPr>
            </w:pPr>
            <w:r>
              <w:rPr>
                <w:color w:val="auto"/>
                <w:sz w:val="22"/>
                <w:szCs w:val="22"/>
              </w:rPr>
              <w:t>$20,000.00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A461F2" w:rsidRDefault="00196CDD" w:rsidP="006D4E93">
            <w:pPr>
              <w:jc w:val="center"/>
              <w:cnfStyle w:val="000000000000"/>
              <w:rPr>
                <w:color w:val="auto"/>
                <w:sz w:val="22"/>
                <w:szCs w:val="22"/>
              </w:rPr>
            </w:pPr>
            <w:r>
              <w:rPr>
                <w:color w:val="auto"/>
                <w:sz w:val="22"/>
                <w:szCs w:val="22"/>
              </w:rPr>
              <w:t>Banco Mundial</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Default="00196CDD" w:rsidP="00A461F2">
            <w:pPr>
              <w:jc w:val="center"/>
              <w:rPr>
                <w:b w:val="0"/>
                <w:sz w:val="22"/>
                <w:szCs w:val="22"/>
              </w:rPr>
            </w:pPr>
            <w:r w:rsidRPr="009F0A23">
              <w:rPr>
                <w:b w:val="0"/>
                <w:sz w:val="22"/>
                <w:szCs w:val="22"/>
              </w:rPr>
              <w:t xml:space="preserve">Componente 3.2 </w:t>
            </w:r>
          </w:p>
          <w:p w:rsidR="00196CDD" w:rsidRDefault="00196CDD" w:rsidP="00A461F2">
            <w:pPr>
              <w:jc w:val="center"/>
              <w:rPr>
                <w:b w:val="0"/>
                <w:sz w:val="22"/>
                <w:szCs w:val="22"/>
              </w:rPr>
            </w:pPr>
            <w:r w:rsidRPr="009F0A23">
              <w:rPr>
                <w:b w:val="0"/>
                <w:sz w:val="22"/>
                <w:szCs w:val="22"/>
              </w:rPr>
              <w:t>Diseño e implementación de herramientas claves para el SPSU</w:t>
            </w:r>
          </w:p>
          <w:p w:rsidR="00196CDD" w:rsidRPr="009F0A23" w:rsidRDefault="00196CDD" w:rsidP="00A461F2">
            <w:pPr>
              <w:jc w:val="center"/>
              <w:rPr>
                <w:b w:val="0"/>
                <w:sz w:val="22"/>
                <w:szCs w:val="22"/>
              </w:rPr>
            </w:pP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A461F2" w:rsidRDefault="00196CDD" w:rsidP="006D4E93">
            <w:pPr>
              <w:jc w:val="center"/>
              <w:cnfStyle w:val="000000000000"/>
              <w:rPr>
                <w:color w:val="auto"/>
                <w:sz w:val="22"/>
                <w:szCs w:val="22"/>
              </w:rPr>
            </w:pPr>
            <w:r>
              <w:rPr>
                <w:color w:val="auto"/>
                <w:sz w:val="22"/>
                <w:szCs w:val="22"/>
              </w:rPr>
              <w:t>STP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A461F2" w:rsidRDefault="00196CDD" w:rsidP="006D4E93">
            <w:pPr>
              <w:jc w:val="both"/>
              <w:cnfStyle w:val="000000000000"/>
              <w:rPr>
                <w:color w:val="auto"/>
                <w:sz w:val="22"/>
                <w:szCs w:val="22"/>
              </w:rPr>
            </w:pPr>
            <w:r>
              <w:rPr>
                <w:color w:val="auto"/>
                <w:sz w:val="22"/>
                <w:szCs w:val="22"/>
              </w:rPr>
              <w:t>Diseño y elaboración de propuesta de términos de referencia para la evaluación del RUP en su proceso general y para la prueba piloto de ingreso al RUP por demanda.</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A461F2" w:rsidRDefault="00196CDD" w:rsidP="006D4E93">
            <w:pPr>
              <w:jc w:val="center"/>
              <w:cnfStyle w:val="000000000000"/>
              <w:rPr>
                <w:color w:val="auto"/>
                <w:sz w:val="22"/>
                <w:szCs w:val="22"/>
              </w:rPr>
            </w:pPr>
            <w:r>
              <w:rPr>
                <w:color w:val="auto"/>
                <w:sz w:val="22"/>
                <w:szCs w:val="22"/>
              </w:rPr>
              <w:t>13-jul-12 al 30-ago-12</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A461F2" w:rsidRDefault="00196CDD" w:rsidP="006D4E93">
            <w:pPr>
              <w:jc w:val="center"/>
              <w:cnfStyle w:val="000000000000"/>
              <w:rPr>
                <w:color w:val="auto"/>
                <w:sz w:val="22"/>
                <w:szCs w:val="22"/>
              </w:rPr>
            </w:pPr>
            <w:r>
              <w:rPr>
                <w:color w:val="auto"/>
                <w:sz w:val="22"/>
                <w:szCs w:val="22"/>
              </w:rPr>
              <w:t>$10,000.00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A461F2" w:rsidRDefault="00196CDD" w:rsidP="006D4E93">
            <w:pPr>
              <w:jc w:val="center"/>
              <w:cnfStyle w:val="000000000000"/>
              <w:rPr>
                <w:color w:val="auto"/>
                <w:sz w:val="22"/>
                <w:szCs w:val="22"/>
              </w:rPr>
            </w:pPr>
            <w:r>
              <w:rPr>
                <w:color w:val="auto"/>
                <w:sz w:val="22"/>
                <w:szCs w:val="22"/>
              </w:rPr>
              <w:t>Banco Mundial</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Default="00196CDD" w:rsidP="00A461F2">
            <w:pPr>
              <w:jc w:val="center"/>
              <w:rPr>
                <w:b w:val="0"/>
                <w:sz w:val="22"/>
                <w:szCs w:val="22"/>
              </w:rPr>
            </w:pPr>
            <w:r w:rsidRPr="009F0A23">
              <w:rPr>
                <w:b w:val="0"/>
                <w:sz w:val="22"/>
                <w:szCs w:val="22"/>
              </w:rPr>
              <w:t xml:space="preserve">Componente 3.2 </w:t>
            </w:r>
          </w:p>
          <w:p w:rsidR="00196CDD" w:rsidRDefault="00196CDD" w:rsidP="00A461F2">
            <w:pPr>
              <w:jc w:val="center"/>
              <w:rPr>
                <w:b w:val="0"/>
                <w:sz w:val="22"/>
                <w:szCs w:val="22"/>
              </w:rPr>
            </w:pPr>
            <w:r w:rsidRPr="009F0A23">
              <w:rPr>
                <w:b w:val="0"/>
                <w:sz w:val="22"/>
                <w:szCs w:val="22"/>
              </w:rPr>
              <w:t xml:space="preserve">Diseño e implementación </w:t>
            </w:r>
            <w:r w:rsidRPr="009F0A23">
              <w:rPr>
                <w:b w:val="0"/>
                <w:sz w:val="22"/>
                <w:szCs w:val="22"/>
              </w:rPr>
              <w:lastRenderedPageBreak/>
              <w:t>de herramientas claves para el SPSU</w:t>
            </w:r>
          </w:p>
          <w:p w:rsidR="00196CDD" w:rsidRPr="009F0A23" w:rsidRDefault="00196CDD" w:rsidP="00A461F2">
            <w:pPr>
              <w:jc w:val="center"/>
              <w:rPr>
                <w:b w:val="0"/>
                <w:sz w:val="22"/>
                <w:szCs w:val="22"/>
              </w:rPr>
            </w:pP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A461F2" w:rsidRDefault="00196CDD" w:rsidP="006D4E93">
            <w:pPr>
              <w:jc w:val="center"/>
              <w:cnfStyle w:val="000000000000"/>
              <w:rPr>
                <w:color w:val="auto"/>
                <w:sz w:val="22"/>
                <w:szCs w:val="22"/>
              </w:rPr>
            </w:pPr>
            <w:r>
              <w:rPr>
                <w:color w:val="auto"/>
                <w:sz w:val="22"/>
                <w:szCs w:val="22"/>
              </w:rPr>
              <w:lastRenderedPageBreak/>
              <w:t xml:space="preserve">STP </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A461F2" w:rsidRDefault="00196CDD" w:rsidP="006D4E93">
            <w:pPr>
              <w:jc w:val="both"/>
              <w:cnfStyle w:val="000000000000"/>
              <w:rPr>
                <w:color w:val="auto"/>
                <w:sz w:val="22"/>
                <w:szCs w:val="22"/>
              </w:rPr>
            </w:pPr>
            <w:r>
              <w:rPr>
                <w:color w:val="auto"/>
                <w:sz w:val="22"/>
                <w:szCs w:val="22"/>
              </w:rPr>
              <w:t>Evaluación del proceso del RUP bajo el procedimiento general.</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A461F2" w:rsidRDefault="00196CDD" w:rsidP="006D4E93">
            <w:pPr>
              <w:jc w:val="center"/>
              <w:cnfStyle w:val="000000000000"/>
              <w:rPr>
                <w:color w:val="auto"/>
                <w:sz w:val="22"/>
                <w:szCs w:val="22"/>
              </w:rPr>
            </w:pPr>
            <w:r>
              <w:rPr>
                <w:color w:val="auto"/>
                <w:sz w:val="22"/>
                <w:szCs w:val="22"/>
              </w:rPr>
              <w:t xml:space="preserve">01-dic-12 al 01-feb-13 </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A461F2" w:rsidRDefault="00196CDD" w:rsidP="006D4E93">
            <w:pPr>
              <w:jc w:val="center"/>
              <w:cnfStyle w:val="000000000000"/>
              <w:rPr>
                <w:color w:val="auto"/>
                <w:sz w:val="22"/>
                <w:szCs w:val="22"/>
              </w:rPr>
            </w:pPr>
            <w:r>
              <w:rPr>
                <w:color w:val="auto"/>
                <w:sz w:val="22"/>
                <w:szCs w:val="22"/>
              </w:rPr>
              <w:t>$30,000.00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A461F2" w:rsidRDefault="00196CDD" w:rsidP="006D4E93">
            <w:pPr>
              <w:jc w:val="center"/>
              <w:cnfStyle w:val="000000000000"/>
              <w:rPr>
                <w:color w:val="auto"/>
                <w:sz w:val="22"/>
                <w:szCs w:val="22"/>
              </w:rPr>
            </w:pPr>
            <w:r>
              <w:rPr>
                <w:color w:val="auto"/>
                <w:sz w:val="22"/>
                <w:szCs w:val="22"/>
              </w:rPr>
              <w:t>Banco Mundial</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Default="00196CDD" w:rsidP="00015C9E">
            <w:pPr>
              <w:jc w:val="center"/>
              <w:rPr>
                <w:b w:val="0"/>
                <w:sz w:val="22"/>
                <w:szCs w:val="22"/>
              </w:rPr>
            </w:pPr>
            <w:r w:rsidRPr="009F0A23">
              <w:rPr>
                <w:b w:val="0"/>
                <w:sz w:val="22"/>
                <w:szCs w:val="22"/>
              </w:rPr>
              <w:lastRenderedPageBreak/>
              <w:t xml:space="preserve">Componente 3.2 </w:t>
            </w:r>
          </w:p>
          <w:p w:rsidR="00196CDD" w:rsidRDefault="00196CDD" w:rsidP="00015C9E">
            <w:pPr>
              <w:jc w:val="center"/>
              <w:rPr>
                <w:b w:val="0"/>
                <w:sz w:val="22"/>
                <w:szCs w:val="22"/>
              </w:rPr>
            </w:pPr>
            <w:r w:rsidRPr="009F0A23">
              <w:rPr>
                <w:b w:val="0"/>
                <w:sz w:val="22"/>
                <w:szCs w:val="22"/>
              </w:rPr>
              <w:t>Diseño e implementación de herramientas claves para el SPSU</w:t>
            </w:r>
          </w:p>
          <w:p w:rsidR="00196CDD" w:rsidRPr="009F0A23" w:rsidRDefault="00196CDD" w:rsidP="00015C9E">
            <w:pPr>
              <w:jc w:val="center"/>
              <w:rPr>
                <w:b w:val="0"/>
                <w:sz w:val="22"/>
                <w:szCs w:val="22"/>
              </w:rPr>
            </w:pP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015C9E" w:rsidRDefault="00196CDD" w:rsidP="006D4E93">
            <w:pPr>
              <w:jc w:val="center"/>
              <w:cnfStyle w:val="000000000000"/>
              <w:rPr>
                <w:color w:val="auto"/>
                <w:sz w:val="22"/>
                <w:szCs w:val="22"/>
              </w:rPr>
            </w:pPr>
            <w:r>
              <w:rPr>
                <w:color w:val="auto"/>
                <w:sz w:val="22"/>
                <w:szCs w:val="22"/>
              </w:rPr>
              <w:t>STP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015C9E" w:rsidRDefault="00196CDD" w:rsidP="006D4E93">
            <w:pPr>
              <w:jc w:val="both"/>
              <w:cnfStyle w:val="000000000000"/>
              <w:rPr>
                <w:color w:val="auto"/>
                <w:sz w:val="22"/>
                <w:szCs w:val="22"/>
              </w:rPr>
            </w:pPr>
            <w:r>
              <w:rPr>
                <w:color w:val="auto"/>
                <w:sz w:val="22"/>
                <w:szCs w:val="22"/>
              </w:rPr>
              <w:t>Implementación de la prueba piloto de ingreso al RUP por demanda.</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015C9E" w:rsidRDefault="00196CDD" w:rsidP="006D4E93">
            <w:pPr>
              <w:jc w:val="center"/>
              <w:cnfStyle w:val="000000000000"/>
              <w:rPr>
                <w:color w:val="auto"/>
                <w:sz w:val="22"/>
                <w:szCs w:val="22"/>
              </w:rPr>
            </w:pPr>
            <w:r>
              <w:rPr>
                <w:color w:val="auto"/>
                <w:sz w:val="22"/>
                <w:szCs w:val="22"/>
              </w:rPr>
              <w:t>15-ene-13 al 15-mar-13</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015C9E" w:rsidRDefault="00196CDD" w:rsidP="006D4E93">
            <w:pPr>
              <w:jc w:val="center"/>
              <w:cnfStyle w:val="000000000000"/>
              <w:rPr>
                <w:color w:val="auto"/>
                <w:sz w:val="22"/>
                <w:szCs w:val="22"/>
              </w:rPr>
            </w:pPr>
            <w:r>
              <w:rPr>
                <w:color w:val="auto"/>
                <w:sz w:val="22"/>
                <w:szCs w:val="22"/>
              </w:rPr>
              <w:t>$20,000.00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015C9E" w:rsidRDefault="00196CDD" w:rsidP="006D4E93">
            <w:pPr>
              <w:jc w:val="center"/>
              <w:cnfStyle w:val="000000000000"/>
              <w:rPr>
                <w:color w:val="auto"/>
                <w:sz w:val="22"/>
                <w:szCs w:val="22"/>
              </w:rPr>
            </w:pPr>
            <w:r>
              <w:rPr>
                <w:color w:val="auto"/>
                <w:sz w:val="22"/>
                <w:szCs w:val="22"/>
              </w:rPr>
              <w:t>Banco Mundial</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Default="00196CDD" w:rsidP="00015C9E">
            <w:pPr>
              <w:jc w:val="center"/>
              <w:rPr>
                <w:b w:val="0"/>
                <w:sz w:val="22"/>
                <w:szCs w:val="22"/>
              </w:rPr>
            </w:pPr>
            <w:r w:rsidRPr="009F0A23">
              <w:rPr>
                <w:b w:val="0"/>
                <w:sz w:val="22"/>
                <w:szCs w:val="22"/>
              </w:rPr>
              <w:t xml:space="preserve">Componente 3.2 </w:t>
            </w:r>
          </w:p>
          <w:p w:rsidR="00196CDD" w:rsidRPr="009F0A23" w:rsidRDefault="00196CDD" w:rsidP="00015C9E">
            <w:pPr>
              <w:jc w:val="center"/>
              <w:rPr>
                <w:b w:val="0"/>
                <w:sz w:val="22"/>
                <w:szCs w:val="22"/>
              </w:rPr>
            </w:pPr>
            <w:r w:rsidRPr="009F0A23">
              <w:rPr>
                <w:b w:val="0"/>
                <w:sz w:val="22"/>
                <w:szCs w:val="22"/>
              </w:rPr>
              <w:t>Diseño e implementación de herramientas claves para el SPSU</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015C9E" w:rsidRDefault="00196CDD" w:rsidP="006D4E93">
            <w:pPr>
              <w:jc w:val="center"/>
              <w:cnfStyle w:val="000000000000"/>
              <w:rPr>
                <w:color w:val="auto"/>
                <w:sz w:val="22"/>
                <w:szCs w:val="22"/>
              </w:rPr>
            </w:pPr>
            <w:r>
              <w:rPr>
                <w:color w:val="auto"/>
                <w:sz w:val="22"/>
                <w:szCs w:val="22"/>
              </w:rPr>
              <w:t>STP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015C9E" w:rsidRDefault="00196CDD" w:rsidP="006D4E93">
            <w:pPr>
              <w:jc w:val="both"/>
              <w:cnfStyle w:val="000000000000"/>
              <w:rPr>
                <w:color w:val="auto"/>
                <w:sz w:val="22"/>
                <w:szCs w:val="22"/>
              </w:rPr>
            </w:pPr>
            <w:r>
              <w:rPr>
                <w:color w:val="auto"/>
                <w:sz w:val="22"/>
                <w:szCs w:val="22"/>
              </w:rPr>
              <w:t>Evaluación del proceso del RUP en su proceso por demanda</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015C9E" w:rsidRDefault="00196CDD" w:rsidP="006D4E93">
            <w:pPr>
              <w:jc w:val="center"/>
              <w:cnfStyle w:val="000000000000"/>
              <w:rPr>
                <w:color w:val="auto"/>
                <w:sz w:val="22"/>
                <w:szCs w:val="22"/>
              </w:rPr>
            </w:pPr>
            <w:r>
              <w:rPr>
                <w:color w:val="auto"/>
                <w:sz w:val="22"/>
                <w:szCs w:val="22"/>
              </w:rPr>
              <w:t>01-dic-12 al 01-feb-13</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015C9E" w:rsidRDefault="00196CDD" w:rsidP="006D4E93">
            <w:pPr>
              <w:jc w:val="center"/>
              <w:cnfStyle w:val="000000000000"/>
              <w:rPr>
                <w:color w:val="auto"/>
                <w:sz w:val="22"/>
                <w:szCs w:val="22"/>
              </w:rPr>
            </w:pPr>
            <w:r>
              <w:rPr>
                <w:color w:val="auto"/>
                <w:sz w:val="22"/>
                <w:szCs w:val="22"/>
              </w:rPr>
              <w:t>$20,000.00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015C9E" w:rsidRDefault="00196CDD" w:rsidP="006D4E93">
            <w:pPr>
              <w:jc w:val="center"/>
              <w:cnfStyle w:val="000000000000"/>
              <w:rPr>
                <w:color w:val="auto"/>
                <w:sz w:val="22"/>
                <w:szCs w:val="22"/>
              </w:rPr>
            </w:pPr>
            <w:r>
              <w:rPr>
                <w:color w:val="auto"/>
                <w:sz w:val="22"/>
                <w:szCs w:val="22"/>
              </w:rPr>
              <w:t>Banco Mundial</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Default="00196CDD" w:rsidP="00015C9E">
            <w:pPr>
              <w:jc w:val="center"/>
              <w:rPr>
                <w:b w:val="0"/>
                <w:sz w:val="22"/>
                <w:szCs w:val="22"/>
              </w:rPr>
            </w:pPr>
            <w:r w:rsidRPr="009F0A23">
              <w:rPr>
                <w:b w:val="0"/>
                <w:sz w:val="22"/>
                <w:szCs w:val="22"/>
              </w:rPr>
              <w:t xml:space="preserve">Componente 3.2 </w:t>
            </w:r>
          </w:p>
          <w:p w:rsidR="00196CDD" w:rsidRDefault="00196CDD" w:rsidP="00015C9E">
            <w:pPr>
              <w:jc w:val="center"/>
              <w:rPr>
                <w:b w:val="0"/>
                <w:sz w:val="22"/>
                <w:szCs w:val="22"/>
              </w:rPr>
            </w:pPr>
            <w:r w:rsidRPr="009F0A23">
              <w:rPr>
                <w:b w:val="0"/>
                <w:sz w:val="22"/>
                <w:szCs w:val="22"/>
              </w:rPr>
              <w:t>Diseño e implementación de herramientas claves para el SPSU</w:t>
            </w:r>
          </w:p>
          <w:p w:rsidR="00196CDD" w:rsidRPr="009F0A23" w:rsidRDefault="00196CDD" w:rsidP="00015C9E">
            <w:pPr>
              <w:jc w:val="center"/>
              <w:rPr>
                <w:b w:val="0"/>
                <w:sz w:val="22"/>
                <w:szCs w:val="22"/>
              </w:rPr>
            </w:pP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015C9E" w:rsidRDefault="00196CDD" w:rsidP="006D4E93">
            <w:pPr>
              <w:jc w:val="center"/>
              <w:cnfStyle w:val="000000000000"/>
              <w:rPr>
                <w:color w:val="auto"/>
                <w:sz w:val="22"/>
                <w:szCs w:val="22"/>
              </w:rPr>
            </w:pPr>
            <w:r>
              <w:rPr>
                <w:color w:val="auto"/>
                <w:sz w:val="22"/>
                <w:szCs w:val="22"/>
              </w:rPr>
              <w:t>STP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015C9E" w:rsidRDefault="00196CDD" w:rsidP="006D4E93">
            <w:pPr>
              <w:jc w:val="both"/>
              <w:cnfStyle w:val="000000000000"/>
              <w:rPr>
                <w:color w:val="auto"/>
                <w:sz w:val="22"/>
                <w:szCs w:val="22"/>
              </w:rPr>
            </w:pPr>
            <w:r>
              <w:rPr>
                <w:color w:val="auto"/>
                <w:sz w:val="22"/>
                <w:szCs w:val="22"/>
              </w:rPr>
              <w:t>Diseño y elaboración de propuesta de actualización de información del RUP</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015C9E" w:rsidRDefault="00196CDD" w:rsidP="006D4E93">
            <w:pPr>
              <w:jc w:val="center"/>
              <w:cnfStyle w:val="000000000000"/>
              <w:rPr>
                <w:color w:val="auto"/>
                <w:sz w:val="22"/>
                <w:szCs w:val="22"/>
              </w:rPr>
            </w:pPr>
            <w:r>
              <w:rPr>
                <w:color w:val="auto"/>
                <w:sz w:val="22"/>
                <w:szCs w:val="22"/>
              </w:rPr>
              <w:t>16-jul-12 al 31-ago-12</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015C9E" w:rsidRDefault="00196CDD" w:rsidP="006D4E93">
            <w:pPr>
              <w:jc w:val="center"/>
              <w:cnfStyle w:val="000000000000"/>
              <w:rPr>
                <w:color w:val="auto"/>
                <w:sz w:val="22"/>
                <w:szCs w:val="22"/>
              </w:rPr>
            </w:pPr>
            <w:r>
              <w:rPr>
                <w:color w:val="auto"/>
                <w:sz w:val="22"/>
                <w:szCs w:val="22"/>
              </w:rPr>
              <w:t>$20,000.00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015C9E" w:rsidRDefault="00196CDD" w:rsidP="006D4E93">
            <w:pPr>
              <w:jc w:val="center"/>
              <w:cnfStyle w:val="000000000000"/>
              <w:rPr>
                <w:color w:val="auto"/>
                <w:sz w:val="22"/>
                <w:szCs w:val="22"/>
              </w:rPr>
            </w:pPr>
            <w:r>
              <w:rPr>
                <w:color w:val="auto"/>
                <w:sz w:val="22"/>
                <w:szCs w:val="22"/>
              </w:rPr>
              <w:t>Banco Mundial</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Default="00196CDD" w:rsidP="00015C9E">
            <w:pPr>
              <w:jc w:val="center"/>
              <w:rPr>
                <w:b w:val="0"/>
                <w:sz w:val="22"/>
                <w:szCs w:val="22"/>
              </w:rPr>
            </w:pPr>
            <w:r w:rsidRPr="009F0A23">
              <w:rPr>
                <w:b w:val="0"/>
                <w:sz w:val="22"/>
                <w:szCs w:val="22"/>
              </w:rPr>
              <w:t xml:space="preserve">Componente 3.2 </w:t>
            </w:r>
          </w:p>
          <w:p w:rsidR="00196CDD" w:rsidRDefault="00196CDD" w:rsidP="00015C9E">
            <w:pPr>
              <w:jc w:val="center"/>
              <w:rPr>
                <w:b w:val="0"/>
                <w:sz w:val="22"/>
                <w:szCs w:val="22"/>
              </w:rPr>
            </w:pPr>
            <w:r w:rsidRPr="009F0A23">
              <w:rPr>
                <w:b w:val="0"/>
                <w:sz w:val="22"/>
                <w:szCs w:val="22"/>
              </w:rPr>
              <w:t>Diseño e implementación de herramientas claves para el SPSU</w:t>
            </w:r>
          </w:p>
          <w:p w:rsidR="00196CDD" w:rsidRPr="009F0A23" w:rsidRDefault="00196CDD" w:rsidP="00015C9E">
            <w:pPr>
              <w:jc w:val="center"/>
              <w:rPr>
                <w:b w:val="0"/>
                <w:sz w:val="22"/>
                <w:szCs w:val="22"/>
              </w:rPr>
            </w:pP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015C9E" w:rsidRDefault="00196CDD" w:rsidP="006D4E93">
            <w:pPr>
              <w:jc w:val="center"/>
              <w:cnfStyle w:val="000000000000"/>
              <w:rPr>
                <w:color w:val="auto"/>
                <w:sz w:val="22"/>
                <w:szCs w:val="22"/>
              </w:rPr>
            </w:pPr>
            <w:r>
              <w:rPr>
                <w:color w:val="auto"/>
                <w:sz w:val="22"/>
                <w:szCs w:val="22"/>
              </w:rPr>
              <w:t>STP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015C9E" w:rsidRDefault="00196CDD" w:rsidP="006D4E93">
            <w:pPr>
              <w:jc w:val="both"/>
              <w:cnfStyle w:val="000000000000"/>
              <w:rPr>
                <w:color w:val="auto"/>
                <w:sz w:val="22"/>
                <w:szCs w:val="22"/>
              </w:rPr>
            </w:pPr>
            <w:r>
              <w:rPr>
                <w:color w:val="auto"/>
                <w:sz w:val="22"/>
                <w:szCs w:val="22"/>
              </w:rPr>
              <w:t>Apoyar la revisión y fortalecimiento de Comunidades Solidarias a partir de los resultados y recomendaciones de todas las evaluaciones realizadas a este programa.</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015C9E" w:rsidRDefault="00196CDD" w:rsidP="006D4E93">
            <w:pPr>
              <w:jc w:val="center"/>
              <w:cnfStyle w:val="000000000000"/>
              <w:rPr>
                <w:color w:val="auto"/>
                <w:sz w:val="22"/>
                <w:szCs w:val="22"/>
              </w:rPr>
            </w:pPr>
            <w:r>
              <w:rPr>
                <w:color w:val="auto"/>
                <w:sz w:val="22"/>
                <w:szCs w:val="22"/>
              </w:rPr>
              <w:t>15-jun-12 al 30-jul-12</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015C9E" w:rsidRDefault="00196CDD" w:rsidP="006D4E93">
            <w:pPr>
              <w:jc w:val="center"/>
              <w:cnfStyle w:val="000000000000"/>
              <w:rPr>
                <w:color w:val="auto"/>
                <w:sz w:val="22"/>
                <w:szCs w:val="22"/>
              </w:rPr>
            </w:pPr>
            <w:r>
              <w:rPr>
                <w:color w:val="auto"/>
                <w:sz w:val="22"/>
                <w:szCs w:val="22"/>
              </w:rPr>
              <w:t>$25,000.00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015C9E" w:rsidRDefault="00196CDD" w:rsidP="006D4E93">
            <w:pPr>
              <w:jc w:val="center"/>
              <w:cnfStyle w:val="000000000000"/>
              <w:rPr>
                <w:color w:val="auto"/>
                <w:sz w:val="22"/>
                <w:szCs w:val="22"/>
              </w:rPr>
            </w:pPr>
            <w:r>
              <w:rPr>
                <w:color w:val="auto"/>
                <w:sz w:val="22"/>
                <w:szCs w:val="22"/>
              </w:rPr>
              <w:t>Banco Mundial</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Default="00196CDD" w:rsidP="00015C9E">
            <w:pPr>
              <w:jc w:val="center"/>
              <w:rPr>
                <w:b w:val="0"/>
                <w:sz w:val="22"/>
                <w:szCs w:val="22"/>
              </w:rPr>
            </w:pPr>
            <w:r w:rsidRPr="009F0A23">
              <w:rPr>
                <w:b w:val="0"/>
                <w:sz w:val="22"/>
                <w:szCs w:val="22"/>
              </w:rPr>
              <w:t xml:space="preserve">Componente 3.2 </w:t>
            </w:r>
          </w:p>
          <w:p w:rsidR="00196CDD" w:rsidRDefault="00196CDD" w:rsidP="00015C9E">
            <w:pPr>
              <w:jc w:val="center"/>
              <w:rPr>
                <w:b w:val="0"/>
                <w:sz w:val="22"/>
                <w:szCs w:val="22"/>
              </w:rPr>
            </w:pPr>
            <w:r w:rsidRPr="009F0A23">
              <w:rPr>
                <w:b w:val="0"/>
                <w:sz w:val="22"/>
                <w:szCs w:val="22"/>
              </w:rPr>
              <w:t>Diseño e implementación de herramientas claves para el SPSU</w:t>
            </w:r>
          </w:p>
          <w:p w:rsidR="00196CDD" w:rsidRPr="009F0A23" w:rsidRDefault="00196CDD" w:rsidP="00015C9E">
            <w:pPr>
              <w:jc w:val="center"/>
              <w:rPr>
                <w:b w:val="0"/>
                <w:sz w:val="22"/>
                <w:szCs w:val="22"/>
              </w:rPr>
            </w:pP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015C9E" w:rsidRDefault="00196CDD" w:rsidP="006D4E93">
            <w:pPr>
              <w:jc w:val="center"/>
              <w:cnfStyle w:val="000000000000"/>
              <w:rPr>
                <w:color w:val="auto"/>
                <w:sz w:val="22"/>
                <w:szCs w:val="22"/>
              </w:rPr>
            </w:pPr>
            <w:r>
              <w:rPr>
                <w:color w:val="auto"/>
                <w:sz w:val="22"/>
                <w:szCs w:val="22"/>
              </w:rPr>
              <w:t>STP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015C9E" w:rsidRDefault="00196CDD" w:rsidP="006D4E93">
            <w:pPr>
              <w:jc w:val="both"/>
              <w:cnfStyle w:val="000000000000"/>
              <w:rPr>
                <w:color w:val="auto"/>
                <w:sz w:val="22"/>
                <w:szCs w:val="22"/>
              </w:rPr>
            </w:pPr>
            <w:r>
              <w:rPr>
                <w:color w:val="auto"/>
                <w:sz w:val="22"/>
                <w:szCs w:val="22"/>
              </w:rPr>
              <w:t>Levantamiento y Sistematización de inventario de Evaluaciones de los Programas Públicos con financiamiento exterior, período 2000-2012</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015C9E" w:rsidRDefault="00196CDD" w:rsidP="006D4E93">
            <w:pPr>
              <w:jc w:val="center"/>
              <w:cnfStyle w:val="000000000000"/>
              <w:rPr>
                <w:color w:val="auto"/>
                <w:sz w:val="22"/>
                <w:szCs w:val="22"/>
              </w:rPr>
            </w:pPr>
            <w:r>
              <w:rPr>
                <w:color w:val="auto"/>
                <w:sz w:val="22"/>
                <w:szCs w:val="22"/>
              </w:rPr>
              <w:t>13-jul-12 al 13-dic-12</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015C9E" w:rsidRDefault="00196CDD" w:rsidP="006D4E93">
            <w:pPr>
              <w:jc w:val="center"/>
              <w:cnfStyle w:val="000000000000"/>
              <w:rPr>
                <w:color w:val="auto"/>
                <w:sz w:val="22"/>
                <w:szCs w:val="22"/>
              </w:rPr>
            </w:pPr>
            <w:r>
              <w:rPr>
                <w:color w:val="auto"/>
                <w:sz w:val="22"/>
                <w:szCs w:val="22"/>
              </w:rPr>
              <w:t>$15,000.00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015C9E" w:rsidRDefault="00196CDD" w:rsidP="006D4E93">
            <w:pPr>
              <w:jc w:val="center"/>
              <w:cnfStyle w:val="000000000000"/>
              <w:rPr>
                <w:color w:val="auto"/>
                <w:sz w:val="22"/>
                <w:szCs w:val="22"/>
              </w:rPr>
            </w:pPr>
            <w:r>
              <w:rPr>
                <w:color w:val="auto"/>
                <w:sz w:val="22"/>
                <w:szCs w:val="22"/>
              </w:rPr>
              <w:t>Banco Mundial</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5169BB">
            <w:pPr>
              <w:jc w:val="center"/>
              <w:rPr>
                <w:b w:val="0"/>
                <w:sz w:val="22"/>
                <w:szCs w:val="22"/>
              </w:rPr>
            </w:pPr>
            <w:r w:rsidRPr="009F0A23">
              <w:rPr>
                <w:b w:val="0"/>
                <w:sz w:val="22"/>
                <w:szCs w:val="22"/>
              </w:rPr>
              <w:t>Desarrollo Territorial</w:t>
            </w:r>
          </w:p>
          <w:p w:rsidR="00196CDD" w:rsidRPr="009F0A23" w:rsidRDefault="00196CDD" w:rsidP="005169BB">
            <w:pPr>
              <w:jc w:val="center"/>
              <w:rPr>
                <w:b w:val="0"/>
                <w:sz w:val="22"/>
                <w:szCs w:val="22"/>
              </w:rPr>
            </w:pP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5169BB">
            <w:pPr>
              <w:jc w:val="center"/>
              <w:cnfStyle w:val="000000000000"/>
              <w:rPr>
                <w:color w:val="auto"/>
                <w:sz w:val="22"/>
                <w:szCs w:val="22"/>
              </w:rPr>
            </w:pPr>
            <w:r w:rsidRPr="00C4221C">
              <w:rPr>
                <w:color w:val="auto"/>
                <w:sz w:val="22"/>
                <w:szCs w:val="22"/>
              </w:rPr>
              <w:t>FISDL/PACSR</w:t>
            </w:r>
          </w:p>
          <w:p w:rsidR="00196CDD" w:rsidRPr="00C4221C" w:rsidRDefault="00196CDD" w:rsidP="005169BB">
            <w:pPr>
              <w:jc w:val="center"/>
              <w:cnfStyle w:val="000000000000"/>
              <w:rPr>
                <w:color w:val="auto"/>
                <w:sz w:val="22"/>
                <w:szCs w:val="22"/>
              </w:rPr>
            </w:pP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5169BB">
            <w:pPr>
              <w:jc w:val="both"/>
              <w:cnfStyle w:val="000000000000"/>
              <w:rPr>
                <w:color w:val="auto"/>
                <w:sz w:val="22"/>
                <w:szCs w:val="22"/>
              </w:rPr>
            </w:pPr>
            <w:r w:rsidRPr="00C4221C">
              <w:rPr>
                <w:color w:val="auto"/>
                <w:sz w:val="22"/>
                <w:szCs w:val="22"/>
              </w:rPr>
              <w:t xml:space="preserve">Presupuesto Inversión Participativo - Capacitar personal municipal, funcionarios y líderes locales para elaborar Presupuestos de Inversión Participativos para </w:t>
            </w:r>
            <w:r w:rsidRPr="00C4221C">
              <w:rPr>
                <w:color w:val="auto"/>
                <w:sz w:val="22"/>
                <w:szCs w:val="22"/>
              </w:rPr>
              <w:lastRenderedPageBreak/>
              <w:t xml:space="preserve">una mayor posibilidad de gestión de recursos en los Municipios de Ozatlán y Santa Elena. Contar con equipos capacitados en política presupuestaria municipal y en priorización de proyectos a corto, mediano y largo plazo. </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5169BB">
            <w:pPr>
              <w:jc w:val="center"/>
              <w:cnfStyle w:val="000000000000"/>
              <w:rPr>
                <w:color w:val="auto"/>
                <w:sz w:val="22"/>
                <w:szCs w:val="22"/>
              </w:rPr>
            </w:pPr>
            <w:r w:rsidRPr="00C4221C">
              <w:rPr>
                <w:color w:val="auto"/>
                <w:sz w:val="22"/>
                <w:szCs w:val="22"/>
              </w:rPr>
              <w:lastRenderedPageBreak/>
              <w:t>3 meses (10/02/12 al 10/05/2012)</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5169BB">
            <w:pPr>
              <w:jc w:val="center"/>
              <w:cnfStyle w:val="000000000000"/>
              <w:rPr>
                <w:color w:val="auto"/>
                <w:sz w:val="22"/>
                <w:szCs w:val="22"/>
              </w:rPr>
            </w:pPr>
            <w:r w:rsidRPr="00C4221C">
              <w:rPr>
                <w:color w:val="auto"/>
                <w:sz w:val="22"/>
                <w:szCs w:val="22"/>
              </w:rPr>
              <w:t>$                  23,350.00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5169BB">
            <w:pPr>
              <w:jc w:val="center"/>
              <w:cnfStyle w:val="000000000000"/>
              <w:rPr>
                <w:color w:val="auto"/>
                <w:sz w:val="22"/>
                <w:szCs w:val="22"/>
              </w:rPr>
            </w:pPr>
            <w:r w:rsidRPr="00C4221C">
              <w:rPr>
                <w:color w:val="auto"/>
                <w:sz w:val="22"/>
                <w:szCs w:val="22"/>
              </w:rPr>
              <w:t>Gobierno del Gran Ducado de Luxemburgo</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lastRenderedPageBreak/>
              <w:t>Desarrollo Territorial</w:t>
            </w:r>
          </w:p>
          <w:p w:rsidR="00196CDD" w:rsidRPr="009F0A23" w:rsidRDefault="00196CDD" w:rsidP="009F0A23">
            <w:pPr>
              <w:jc w:val="center"/>
              <w:rPr>
                <w:b w:val="0"/>
                <w:sz w:val="22"/>
                <w:szCs w:val="22"/>
              </w:rPr>
            </w:pP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FISDL/PACSR</w:t>
            </w:r>
          </w:p>
          <w:p w:rsidR="00196CDD" w:rsidRPr="00C4221C" w:rsidRDefault="00196CDD" w:rsidP="006D4E93">
            <w:pPr>
              <w:jc w:val="center"/>
              <w:cnfStyle w:val="000000000000"/>
              <w:rPr>
                <w:color w:val="auto"/>
                <w:sz w:val="22"/>
                <w:szCs w:val="22"/>
              </w:rPr>
            </w:pP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both"/>
              <w:cnfStyle w:val="000000000000"/>
              <w:rPr>
                <w:color w:val="auto"/>
                <w:sz w:val="22"/>
                <w:szCs w:val="22"/>
              </w:rPr>
            </w:pPr>
            <w:r w:rsidRPr="00C4221C">
              <w:rPr>
                <w:color w:val="auto"/>
                <w:sz w:val="22"/>
                <w:szCs w:val="22"/>
              </w:rPr>
              <w:t xml:space="preserve">Rendición de Cuentas - Capacitar personal municipal, funcionarios y lideres locales para ejecutar ejercicios de Rendición de Cuentas en los municipios de San Francisco Javier, Ozatlán, Santa Elena y Sesori, que les facilite la difusión de los logros de la gestión, mostrar capacidad de gestión de recursos y generar mayor confianza por parte de la ciudadanía hacia la gestión municipal.  </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3 meses (17/01/2012 al 16/04/2012)</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                  35,099.00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Gobierno del Gran Ducado de Luxemburgo</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Desarrollo Territorial</w:t>
            </w:r>
          </w:p>
          <w:p w:rsidR="00196CDD" w:rsidRPr="009F0A23" w:rsidRDefault="00196CDD" w:rsidP="009F0A23">
            <w:pPr>
              <w:jc w:val="center"/>
              <w:rPr>
                <w:b w:val="0"/>
                <w:sz w:val="22"/>
                <w:szCs w:val="22"/>
              </w:rPr>
            </w:pP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FISDL/PACSR</w:t>
            </w:r>
          </w:p>
          <w:p w:rsidR="00196CDD" w:rsidRPr="00C4221C" w:rsidRDefault="00196CDD" w:rsidP="006D4E93">
            <w:pPr>
              <w:jc w:val="center"/>
              <w:cnfStyle w:val="000000000000"/>
              <w:rPr>
                <w:color w:val="auto"/>
                <w:sz w:val="22"/>
                <w:szCs w:val="22"/>
              </w:rPr>
            </w:pP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both"/>
              <w:cnfStyle w:val="000000000000"/>
              <w:rPr>
                <w:color w:val="auto"/>
                <w:sz w:val="22"/>
                <w:szCs w:val="22"/>
              </w:rPr>
            </w:pPr>
            <w:r w:rsidRPr="00C4221C">
              <w:rPr>
                <w:color w:val="auto"/>
                <w:sz w:val="22"/>
                <w:szCs w:val="22"/>
              </w:rPr>
              <w:t xml:space="preserve">Manual Ciclo de Proyectos - Capacitar personal municipal, funcionarios y lideres locales en la identificación, priorización, formulación, ejecución y evaluación de proyectos realizados por los gobiernos locales y las comunidades, lo que les permitirá agilizar la inversión y les dará mayor posibilidad de gestión de recursos con instituciones gubernamentales y de cooperación internacional en </w:t>
            </w:r>
            <w:r w:rsidRPr="00C4221C">
              <w:rPr>
                <w:color w:val="auto"/>
                <w:sz w:val="22"/>
                <w:szCs w:val="22"/>
              </w:rPr>
              <w:lastRenderedPageBreak/>
              <w:t>los municipios de: Mercedes Umaña, Alegría, Berlín, San Agustín, San Francisco Javier, Ozatlán, Concepción Batres, Santa Elena, San Jorge y Sesori.</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lastRenderedPageBreak/>
              <w:t>3 meses (17/01/2012 al 16/04/2012)</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                   37,212.00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Gobierno del Gran Ducado de Luxemburgo</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lastRenderedPageBreak/>
              <w:t>Desarrollo Territorial</w:t>
            </w:r>
          </w:p>
          <w:p w:rsidR="00196CDD" w:rsidRPr="009F0A23" w:rsidRDefault="00196CDD" w:rsidP="009F0A23">
            <w:pPr>
              <w:jc w:val="center"/>
              <w:rPr>
                <w:b w:val="0"/>
                <w:sz w:val="22"/>
                <w:szCs w:val="22"/>
              </w:rPr>
            </w:pP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FISDL/PACSR</w:t>
            </w:r>
          </w:p>
          <w:p w:rsidR="00196CDD" w:rsidRPr="00C4221C" w:rsidRDefault="00196CDD" w:rsidP="006D4E93">
            <w:pPr>
              <w:jc w:val="center"/>
              <w:cnfStyle w:val="000000000000"/>
              <w:rPr>
                <w:color w:val="auto"/>
                <w:sz w:val="22"/>
                <w:szCs w:val="22"/>
              </w:rPr>
            </w:pP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both"/>
              <w:cnfStyle w:val="000000000000"/>
              <w:rPr>
                <w:color w:val="auto"/>
                <w:sz w:val="22"/>
                <w:szCs w:val="22"/>
              </w:rPr>
            </w:pPr>
            <w:r w:rsidRPr="00C4221C">
              <w:rPr>
                <w:color w:val="auto"/>
                <w:sz w:val="22"/>
                <w:szCs w:val="22"/>
              </w:rPr>
              <w:t xml:space="preserve">Plan Estratégico Participativo - Capacitar personal municipal, funcionarios y lideres locales para elaborar y/o actualizar Planes Estratégicos Participativos para una mayor posibilidad de gestión de recursos en los Municipios de Berlín y Tecapán. Contar con equipos capacitados en política presupuestaria municipal y en priorización de proyectos a corto, mediano y largo plazo. </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5 meses (10/10/2011 al 08/03/2012)</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                  35,940.00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Gobierno del Gran Ducado de Luxemburgo</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Desarrollo Territorial</w:t>
            </w:r>
          </w:p>
          <w:p w:rsidR="00196CDD" w:rsidRPr="009F0A23" w:rsidRDefault="00196CDD" w:rsidP="009F0A23">
            <w:pPr>
              <w:jc w:val="center"/>
              <w:rPr>
                <w:b w:val="0"/>
                <w:sz w:val="22"/>
                <w:szCs w:val="22"/>
              </w:rPr>
            </w:pP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FISDL/PACSR</w:t>
            </w:r>
          </w:p>
          <w:p w:rsidR="00196CDD" w:rsidRPr="00C4221C" w:rsidRDefault="00196CDD" w:rsidP="006D4E93">
            <w:pPr>
              <w:jc w:val="center"/>
              <w:cnfStyle w:val="000000000000"/>
              <w:rPr>
                <w:color w:val="auto"/>
                <w:sz w:val="22"/>
                <w:szCs w:val="22"/>
              </w:rPr>
            </w:pP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both"/>
              <w:cnfStyle w:val="000000000000"/>
              <w:rPr>
                <w:color w:val="auto"/>
                <w:sz w:val="22"/>
                <w:szCs w:val="22"/>
              </w:rPr>
            </w:pPr>
            <w:r w:rsidRPr="00C4221C">
              <w:rPr>
                <w:color w:val="auto"/>
                <w:sz w:val="22"/>
                <w:szCs w:val="22"/>
              </w:rPr>
              <w:t>Catastro (CNR) - Fortalecer al personal administrativo financiero de las unidades de catastro y cuentas corrientes  de las alcaldías municipales de Ciudad Barrios, Mercedes Umaña, Tecapán, San Agustín y Concepción Batres en la utilización del sistema de catastros municipales que les permitan actualizar los inventarios de propiedades de los 5 municipios.</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6 meses (julio a diciembre 2011)</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                  83,004.52</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Gobierno del Gran Ducado de Luxemburgo</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Desarrollo Territorial</w:t>
            </w:r>
          </w:p>
          <w:p w:rsidR="00196CDD" w:rsidRPr="009F0A23" w:rsidRDefault="00196CDD" w:rsidP="009F0A23">
            <w:pPr>
              <w:jc w:val="center"/>
              <w:rPr>
                <w:b w:val="0"/>
                <w:sz w:val="22"/>
                <w:szCs w:val="22"/>
              </w:rPr>
            </w:pP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FISDL/PACSR</w:t>
            </w:r>
          </w:p>
          <w:p w:rsidR="00196CDD" w:rsidRPr="00C4221C" w:rsidRDefault="00196CDD" w:rsidP="006D4E93">
            <w:pPr>
              <w:jc w:val="center"/>
              <w:cnfStyle w:val="000000000000"/>
              <w:rPr>
                <w:color w:val="auto"/>
                <w:sz w:val="22"/>
                <w:szCs w:val="22"/>
              </w:rPr>
            </w:pP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both"/>
              <w:cnfStyle w:val="000000000000"/>
              <w:rPr>
                <w:color w:val="auto"/>
                <w:sz w:val="22"/>
                <w:szCs w:val="22"/>
              </w:rPr>
            </w:pPr>
            <w:r w:rsidRPr="00C4221C">
              <w:rPr>
                <w:color w:val="auto"/>
                <w:sz w:val="22"/>
                <w:szCs w:val="22"/>
              </w:rPr>
              <w:t xml:space="preserve">Aplicación IAEGM (ISDEM) - Fortalecer la gestión y mejorar las capacidades para la toma de decisiones a partir de información </w:t>
            </w:r>
            <w:r w:rsidRPr="00C4221C">
              <w:rPr>
                <w:color w:val="auto"/>
                <w:sz w:val="22"/>
                <w:szCs w:val="22"/>
              </w:rPr>
              <w:lastRenderedPageBreak/>
              <w:t>organizada y actualizada de la gestión de los gobiernos locales de Mercedes Umaña, Alegría, Berlín, Tecapán, Ozatlán, San Francisco Javier, San Agustín, Concepción Batres, Santa Elena, Jucuarán, San Jorge, Sesori y Ciudad Barrios.</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lastRenderedPageBreak/>
              <w:t>9 meses (julio 2011 a marzo 2012)</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                    6,000.00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Gobierno del Gran Ducado de Luxemburgo</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lastRenderedPageBreak/>
              <w:t>Desarrollo Territorial</w:t>
            </w:r>
          </w:p>
          <w:p w:rsidR="00196CDD" w:rsidRPr="009F0A23" w:rsidRDefault="00196CDD" w:rsidP="009F0A23">
            <w:pPr>
              <w:jc w:val="center"/>
              <w:rPr>
                <w:b w:val="0"/>
                <w:sz w:val="22"/>
                <w:szCs w:val="22"/>
              </w:rPr>
            </w:pP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highlight w:val="yellow"/>
              </w:rPr>
            </w:pPr>
            <w:r w:rsidRPr="00C4221C">
              <w:rPr>
                <w:color w:val="auto"/>
                <w:sz w:val="22"/>
                <w:szCs w:val="22"/>
                <w:highlight w:val="yellow"/>
              </w:rPr>
              <w:t>FISDL/PACSR</w:t>
            </w:r>
          </w:p>
          <w:p w:rsidR="00196CDD" w:rsidRPr="00C4221C" w:rsidRDefault="00196CDD" w:rsidP="006D4E93">
            <w:pPr>
              <w:jc w:val="center"/>
              <w:cnfStyle w:val="000000000000"/>
              <w:rPr>
                <w:color w:val="auto"/>
                <w:sz w:val="22"/>
                <w:szCs w:val="22"/>
                <w:highlight w:val="yellow"/>
              </w:rPr>
            </w:pP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both"/>
              <w:cnfStyle w:val="000000000000"/>
              <w:rPr>
                <w:color w:val="auto"/>
                <w:sz w:val="22"/>
                <w:szCs w:val="22"/>
                <w:highlight w:val="yellow"/>
              </w:rPr>
            </w:pPr>
            <w:r w:rsidRPr="00C4221C">
              <w:rPr>
                <w:color w:val="auto"/>
                <w:sz w:val="22"/>
                <w:szCs w:val="22"/>
                <w:highlight w:val="yellow"/>
              </w:rPr>
              <w:t>Inversión en equipamiento de oficinas municipales - Dotación de mobiliario, equipo informático y sistemas de red en las alcaldías municipales de Mercedes Umaña, Alegría, Berlín, Tecapán, Ozatlán, San Francisco Javier, San Agustín, Concepción Batres, Santa Elena, Jucuarán, San Jorge, Sesori y Ciudad Barrios; para asistencias técnicas de catastros municipales (CNR y SAFIMU II (Ministerio de Hacienda).</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highlight w:val="yellow"/>
              </w:rPr>
            </w:pPr>
            <w:r w:rsidRPr="00C4221C">
              <w:rPr>
                <w:color w:val="auto"/>
                <w:sz w:val="22"/>
                <w:szCs w:val="22"/>
                <w:highlight w:val="yellow"/>
              </w:rPr>
              <w:t>3 meses (abril a junio 2011)</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highlight w:val="yellow"/>
              </w:rPr>
            </w:pPr>
            <w:r w:rsidRPr="00C4221C">
              <w:rPr>
                <w:color w:val="auto"/>
                <w:sz w:val="22"/>
                <w:szCs w:val="22"/>
                <w:highlight w:val="yellow"/>
              </w:rPr>
              <w:t>$                 172,073.78</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highlight w:val="yellow"/>
              </w:rPr>
              <w:t>Gobierno del Gran Ducado de Luxemburgo</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Desarrollo territorial</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FISDL/PACSR</w:t>
            </w:r>
          </w:p>
          <w:p w:rsidR="00196CDD" w:rsidRPr="00C4221C" w:rsidRDefault="00196CDD" w:rsidP="006D4E93">
            <w:pPr>
              <w:jc w:val="center"/>
              <w:cnfStyle w:val="000000000000"/>
              <w:rPr>
                <w:color w:val="auto"/>
                <w:sz w:val="22"/>
                <w:szCs w:val="22"/>
              </w:rPr>
            </w:pP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both"/>
              <w:cnfStyle w:val="000000000000"/>
              <w:rPr>
                <w:color w:val="auto"/>
                <w:sz w:val="22"/>
                <w:szCs w:val="22"/>
              </w:rPr>
            </w:pPr>
            <w:r w:rsidRPr="00C4221C">
              <w:rPr>
                <w:color w:val="auto"/>
                <w:sz w:val="22"/>
                <w:szCs w:val="22"/>
              </w:rPr>
              <w:t xml:space="preserve">Rendición de Cuentas - Capacitar personal municipal, funcionarios y lideres locales para ejecutar ejercicios de Rendición de Cuentas en los municipios de Lislique, Cacaopera, Nuevo Edén de San Juan, Carolina y Gualococti, que les facilite la difusión de los logros de la gestión, mostrar capacidad de gestión de recursos y generar mayor confianza por parte de la </w:t>
            </w:r>
            <w:r w:rsidRPr="00C4221C">
              <w:rPr>
                <w:color w:val="auto"/>
                <w:sz w:val="22"/>
                <w:szCs w:val="22"/>
              </w:rPr>
              <w:lastRenderedPageBreak/>
              <w:t>ciudadanía hacia la gestión municipal.  (sujetas a acuerdos municipales de solicitud emitidos por las municipalidades)</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lastRenderedPageBreak/>
              <w:t>3 meses (a ejecutar en el segundo semestre 2012)</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                  75,000.00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Junta de Andalucía</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lastRenderedPageBreak/>
              <w:t>Desarrollo territorial</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FISDL/PACSR</w:t>
            </w:r>
          </w:p>
          <w:p w:rsidR="00196CDD" w:rsidRPr="00C4221C" w:rsidRDefault="00196CDD" w:rsidP="006D4E93">
            <w:pPr>
              <w:jc w:val="center"/>
              <w:cnfStyle w:val="000000000000"/>
              <w:rPr>
                <w:color w:val="auto"/>
                <w:sz w:val="22"/>
                <w:szCs w:val="22"/>
              </w:rPr>
            </w:pP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both"/>
              <w:cnfStyle w:val="000000000000"/>
              <w:rPr>
                <w:color w:val="auto"/>
                <w:sz w:val="22"/>
                <w:szCs w:val="22"/>
              </w:rPr>
            </w:pPr>
            <w:r w:rsidRPr="00C4221C">
              <w:rPr>
                <w:color w:val="auto"/>
                <w:sz w:val="22"/>
                <w:szCs w:val="22"/>
              </w:rPr>
              <w:t>Manual Ciclo de Proyectos - Capacitar personal municipal, funcionarios y lideres locales en la identificación, priorización, formulación, ejecución y evaluación de proyectos realizados por los gobiernos locales y las comunidades, lo que les permitirá agilizar la inversión y les dará mayor posibilidad de gestión de recursos con instituciones gubernamentales y de cooperación internacional en los municipios de Lislique, Cacaopera, Nuevo Edén de San Juan, Carolina y Gualococti. (sujetas a acuerdos municipales de solicitud emitidos por las municipalidades)</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3 meses (a ejecutar en el segundo semestre 2012)</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                 60,000.00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Junta de Andalucía</w:t>
            </w:r>
          </w:p>
        </w:tc>
      </w:tr>
      <w:tr w:rsidR="00196CDD" w:rsidRPr="009F0A23" w:rsidTr="0071442E">
        <w:trPr>
          <w:trHeight w:val="2250"/>
        </w:trPr>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Desarrollo territorial</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FISDL/PACSR</w:t>
            </w:r>
          </w:p>
          <w:p w:rsidR="00196CDD" w:rsidRPr="00C4221C" w:rsidRDefault="00196CDD" w:rsidP="006D4E93">
            <w:pPr>
              <w:jc w:val="center"/>
              <w:cnfStyle w:val="000000000000"/>
              <w:rPr>
                <w:color w:val="auto"/>
                <w:sz w:val="22"/>
                <w:szCs w:val="22"/>
              </w:rPr>
            </w:pP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both"/>
              <w:cnfStyle w:val="000000000000"/>
              <w:rPr>
                <w:color w:val="auto"/>
                <w:sz w:val="22"/>
                <w:szCs w:val="22"/>
              </w:rPr>
            </w:pPr>
            <w:r w:rsidRPr="00C4221C">
              <w:rPr>
                <w:color w:val="auto"/>
                <w:sz w:val="22"/>
                <w:szCs w:val="22"/>
              </w:rPr>
              <w:t xml:space="preserve">Plan Estratégico Participativo - Capacitar personal municipal, funcionarios y lideres locales para elaborar y/o actualizar Planes Estratégicos Participativos para una mayor posibilidad de gestión de recursos en los Municipios de Lislique, Cacaopera y Gualococti. Contar con equipos capacitados en política presupuestaria </w:t>
            </w:r>
            <w:r w:rsidRPr="00C4221C">
              <w:rPr>
                <w:color w:val="auto"/>
                <w:sz w:val="22"/>
                <w:szCs w:val="22"/>
              </w:rPr>
              <w:lastRenderedPageBreak/>
              <w:t>municipal y en priorización de proyectos a corto, mediano y largo plazo. (sujetas a acuerdos municipales de solicitud emitidos por las municipalidades)</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lastRenderedPageBreak/>
              <w:t>6 meses (a iniciará la ejecución  en el segundo semestre 2012)</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                 90,000.00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Junta de Andalucía</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lastRenderedPageBreak/>
              <w:t>Desarrollo territorial</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FISDL/PACSR</w:t>
            </w:r>
          </w:p>
          <w:p w:rsidR="00196CDD" w:rsidRPr="00C4221C" w:rsidRDefault="00196CDD" w:rsidP="006D4E93">
            <w:pPr>
              <w:jc w:val="center"/>
              <w:cnfStyle w:val="000000000000"/>
              <w:rPr>
                <w:color w:val="auto"/>
                <w:sz w:val="22"/>
                <w:szCs w:val="22"/>
              </w:rPr>
            </w:pP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both"/>
              <w:cnfStyle w:val="000000000000"/>
              <w:rPr>
                <w:color w:val="auto"/>
                <w:sz w:val="22"/>
                <w:szCs w:val="22"/>
              </w:rPr>
            </w:pPr>
            <w:r w:rsidRPr="00C4221C">
              <w:rPr>
                <w:color w:val="auto"/>
                <w:sz w:val="22"/>
                <w:szCs w:val="22"/>
              </w:rPr>
              <w:t>Rendición de Cuentas - Capacitar personal municipal, funcionarios y lideres locales para ejecutar ejercicios de Rendición de Cuenta, que les facilite la difusión de los logros de la gestión, mostrar capacidad de gestión de recursos y generar mayor confianza por parte de la ciudadanía hacia la gestión municipal en 11 municipios de ALTA de Chalatenango  (sujetas a acuerdos municipales de solicitud emitidos por las municipalidades)</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3 meses (a ejecutar en el segundo semestre 2012)</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               121,000.00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Fondos GOES 2012</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Desarrollo territorial</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FISDL/PACSR</w:t>
            </w:r>
          </w:p>
          <w:p w:rsidR="00196CDD" w:rsidRPr="00C4221C" w:rsidRDefault="00196CDD" w:rsidP="006D4E93">
            <w:pPr>
              <w:jc w:val="center"/>
              <w:cnfStyle w:val="000000000000"/>
              <w:rPr>
                <w:color w:val="auto"/>
                <w:sz w:val="22"/>
                <w:szCs w:val="22"/>
              </w:rPr>
            </w:pP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both"/>
              <w:cnfStyle w:val="000000000000"/>
              <w:rPr>
                <w:color w:val="auto"/>
                <w:sz w:val="22"/>
                <w:szCs w:val="22"/>
              </w:rPr>
            </w:pPr>
            <w:r w:rsidRPr="00C4221C">
              <w:rPr>
                <w:color w:val="auto"/>
                <w:sz w:val="22"/>
                <w:szCs w:val="22"/>
              </w:rPr>
              <w:t xml:space="preserve">Manual Ciclo de Proyectos- Capacitar personal municipal, funcionarios y lideres locales en la identificación, priorización, formulación, ejecución y evaluación de proyectos realizados por los gobiernos locales y las comunidades, lo que les permitirá agilizar la inversión </w:t>
            </w:r>
            <w:r w:rsidRPr="00C4221C">
              <w:rPr>
                <w:color w:val="auto"/>
                <w:sz w:val="22"/>
                <w:szCs w:val="22"/>
              </w:rPr>
              <w:lastRenderedPageBreak/>
              <w:t>y les dará mayor posibilidad de gestión de recursos con instituciones gubernamentales y de cooperación internacional en 11 municipios de ALTA de Chalatenango (sujetas a acuerdos municipales de solicitud emitidos por las municipalidades)</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lastRenderedPageBreak/>
              <w:t>3 meses (a ejecutar en el segundo semestre 2012)</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               121,000.00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Fondos GOES 2012</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lastRenderedPageBreak/>
              <w:t>Desarrollo territorial</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FISDL/PACSR</w:t>
            </w:r>
          </w:p>
          <w:p w:rsidR="00196CDD" w:rsidRPr="00C4221C" w:rsidRDefault="00196CDD" w:rsidP="006D4E93">
            <w:pPr>
              <w:jc w:val="center"/>
              <w:cnfStyle w:val="000000000000"/>
              <w:rPr>
                <w:color w:val="auto"/>
                <w:sz w:val="22"/>
                <w:szCs w:val="22"/>
              </w:rPr>
            </w:pP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both"/>
              <w:cnfStyle w:val="000000000000"/>
              <w:rPr>
                <w:color w:val="auto"/>
                <w:sz w:val="22"/>
                <w:szCs w:val="22"/>
              </w:rPr>
            </w:pPr>
            <w:r w:rsidRPr="00C4221C">
              <w:rPr>
                <w:color w:val="auto"/>
                <w:sz w:val="22"/>
                <w:szCs w:val="22"/>
              </w:rPr>
              <w:t>Plan estratégico participativo - Capacitar personal municipal, funcionarios y lideres locales para elaborar y/o actualizar Planes Estratégicos Participativos para una mayor posibilidad de gestión de recursos en los 11  Municipios de ALTA de Chalatenango. Contar con equipos capacitados en política presupuestaria municipal y en priorización de proyectos a corto, mediano y largo plazo. (sujetas a acuerdos municipales de solicitud emitidos por las municipalidades)</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6 meses (a iniciará la ejecución  en el segundo semestre 2012)</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                275,000.00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Fondos GOES 2012</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Desarrollo productivo</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FISDL / CENTA MAG</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both"/>
              <w:cnfStyle w:val="000000000000"/>
              <w:rPr>
                <w:color w:val="auto"/>
                <w:sz w:val="22"/>
                <w:szCs w:val="22"/>
              </w:rPr>
            </w:pPr>
            <w:r w:rsidRPr="00C4221C">
              <w:rPr>
                <w:bCs/>
                <w:color w:val="auto"/>
                <w:sz w:val="22"/>
                <w:szCs w:val="22"/>
              </w:rPr>
              <w:t>Objetivo General:</w:t>
            </w:r>
            <w:r w:rsidRPr="00C4221C">
              <w:rPr>
                <w:color w:val="auto"/>
                <w:sz w:val="22"/>
                <w:szCs w:val="22"/>
              </w:rPr>
              <w:br/>
            </w:r>
            <w:r w:rsidRPr="00C4221C">
              <w:rPr>
                <w:color w:val="auto"/>
                <w:sz w:val="22"/>
                <w:szCs w:val="22"/>
              </w:rPr>
              <w:br/>
              <w:t>Contribuir a la seguridad alimentaria y generar oportunidades de empleo e ingresos para el mejoramiento del nivel de vida de las familias rurales pobres ubicados en los seis municipios de intervención.</w:t>
            </w:r>
          </w:p>
          <w:p w:rsidR="00196CDD" w:rsidRPr="00C4221C" w:rsidRDefault="00196CDD" w:rsidP="006D4E93">
            <w:pPr>
              <w:jc w:val="both"/>
              <w:cnfStyle w:val="000000000000"/>
              <w:rPr>
                <w:color w:val="auto"/>
                <w:sz w:val="22"/>
                <w:szCs w:val="22"/>
              </w:rPr>
            </w:pPr>
          </w:p>
          <w:p w:rsidR="00196CDD" w:rsidRPr="00C4221C" w:rsidRDefault="00196CDD" w:rsidP="006D4E93">
            <w:pPr>
              <w:jc w:val="both"/>
              <w:cnfStyle w:val="000000000000"/>
              <w:rPr>
                <w:color w:val="auto"/>
                <w:sz w:val="22"/>
                <w:szCs w:val="22"/>
              </w:rPr>
            </w:pPr>
            <w:r w:rsidRPr="00C4221C">
              <w:rPr>
                <w:color w:val="auto"/>
                <w:sz w:val="22"/>
                <w:szCs w:val="22"/>
              </w:rPr>
              <w:lastRenderedPageBreak/>
              <w:t>Resultados esperados:                                                                                                               A la finalización del proyecto, al menos 1600 familias rurales de la Fase I y 1600 familias de la Fase II han sido capacitadas en la utilización de tecnologías y técnicas de producción apropiadas contando con las herramientas e insumos necesarios para la producción y diversificación agropecuaria.</w:t>
            </w:r>
          </w:p>
          <w:p w:rsidR="00196CDD" w:rsidRPr="00C4221C" w:rsidRDefault="00196CDD" w:rsidP="006D4E93">
            <w:pPr>
              <w:jc w:val="both"/>
              <w:cnfStyle w:val="000000000000"/>
              <w:rPr>
                <w:color w:val="auto"/>
                <w:sz w:val="22"/>
                <w:szCs w:val="22"/>
              </w:rPr>
            </w:pPr>
          </w:p>
          <w:p w:rsidR="00196CDD" w:rsidRPr="00C4221C" w:rsidRDefault="00196CDD" w:rsidP="006D4E93">
            <w:pPr>
              <w:jc w:val="both"/>
              <w:cnfStyle w:val="000000000000"/>
              <w:rPr>
                <w:color w:val="auto"/>
                <w:sz w:val="22"/>
                <w:szCs w:val="22"/>
              </w:rPr>
            </w:pPr>
            <w:r w:rsidRPr="00C4221C">
              <w:rPr>
                <w:color w:val="auto"/>
                <w:sz w:val="22"/>
                <w:szCs w:val="22"/>
              </w:rPr>
              <w:t>Nombre de la AT</w:t>
            </w:r>
          </w:p>
          <w:p w:rsidR="00196CDD" w:rsidRPr="00C4221C" w:rsidRDefault="00196CDD" w:rsidP="006D4E93">
            <w:pPr>
              <w:jc w:val="both"/>
              <w:cnfStyle w:val="000000000000"/>
              <w:rPr>
                <w:color w:val="auto"/>
                <w:sz w:val="22"/>
                <w:szCs w:val="22"/>
              </w:rPr>
            </w:pPr>
            <w:r w:rsidRPr="00C4221C">
              <w:rPr>
                <w:color w:val="auto"/>
                <w:sz w:val="22"/>
                <w:szCs w:val="22"/>
              </w:rPr>
              <w:t>1-Establecimiento de Parcelas Demostrativas y Parcelas Productivas de Hortalizas</w:t>
            </w:r>
          </w:p>
          <w:p w:rsidR="00196CDD" w:rsidRPr="00C4221C" w:rsidRDefault="00196CDD" w:rsidP="006D4E93">
            <w:pPr>
              <w:jc w:val="both"/>
              <w:cnfStyle w:val="000000000000"/>
              <w:rPr>
                <w:color w:val="auto"/>
                <w:sz w:val="22"/>
                <w:szCs w:val="22"/>
              </w:rPr>
            </w:pPr>
            <w:r w:rsidRPr="00C4221C">
              <w:rPr>
                <w:color w:val="auto"/>
                <w:sz w:val="22"/>
                <w:szCs w:val="22"/>
              </w:rPr>
              <w:t>2-Establecimeinto  de Sistemas de Riego por goteo.</w:t>
            </w:r>
          </w:p>
          <w:p w:rsidR="00196CDD" w:rsidRPr="00C4221C" w:rsidRDefault="00196CDD" w:rsidP="006D4E93">
            <w:pPr>
              <w:jc w:val="both"/>
              <w:cnfStyle w:val="000000000000"/>
              <w:rPr>
                <w:color w:val="auto"/>
                <w:sz w:val="22"/>
                <w:szCs w:val="22"/>
              </w:rPr>
            </w:pPr>
            <w:r w:rsidRPr="00C4221C">
              <w:rPr>
                <w:color w:val="auto"/>
                <w:sz w:val="22"/>
                <w:szCs w:val="22"/>
              </w:rPr>
              <w:t>3-Establecimiento de  Casa Malla para  producción de hortalizas</w:t>
            </w:r>
          </w:p>
          <w:p w:rsidR="00196CDD" w:rsidRPr="00C4221C" w:rsidRDefault="00196CDD" w:rsidP="006D4E93">
            <w:pPr>
              <w:jc w:val="both"/>
              <w:cnfStyle w:val="000000000000"/>
              <w:rPr>
                <w:color w:val="auto"/>
                <w:sz w:val="22"/>
                <w:szCs w:val="22"/>
              </w:rPr>
            </w:pPr>
            <w:r w:rsidRPr="00C4221C">
              <w:rPr>
                <w:color w:val="auto"/>
                <w:sz w:val="22"/>
                <w:szCs w:val="22"/>
              </w:rPr>
              <w:t>4-establecimiento de parcelas productivas de frutas para fortalecer el tejido productivo .</w:t>
            </w:r>
          </w:p>
          <w:p w:rsidR="00196CDD" w:rsidRPr="00C4221C" w:rsidRDefault="00196CDD" w:rsidP="006D4E93">
            <w:pPr>
              <w:jc w:val="both"/>
              <w:cnfStyle w:val="000000000000"/>
              <w:rPr>
                <w:color w:val="auto"/>
                <w:sz w:val="22"/>
                <w:szCs w:val="22"/>
              </w:rPr>
            </w:pPr>
            <w:r w:rsidRPr="00C4221C">
              <w:rPr>
                <w:color w:val="auto"/>
                <w:sz w:val="22"/>
                <w:szCs w:val="22"/>
              </w:rPr>
              <w:t>5-Establecimiento de barreras vivas para protección de suelos</w:t>
            </w:r>
          </w:p>
          <w:p w:rsidR="00196CDD" w:rsidRPr="00C4221C" w:rsidRDefault="00196CDD" w:rsidP="006D4E93">
            <w:pPr>
              <w:jc w:val="both"/>
              <w:cnfStyle w:val="000000000000"/>
              <w:rPr>
                <w:color w:val="auto"/>
                <w:sz w:val="22"/>
                <w:szCs w:val="22"/>
              </w:rPr>
            </w:pPr>
            <w:r w:rsidRPr="00C4221C">
              <w:rPr>
                <w:color w:val="auto"/>
                <w:sz w:val="22"/>
                <w:szCs w:val="22"/>
              </w:rPr>
              <w:t>6-Establecimiento de Módulos de Aves</w:t>
            </w:r>
          </w:p>
          <w:p w:rsidR="00196CDD" w:rsidRPr="00C4221C" w:rsidRDefault="00196CDD" w:rsidP="006D4E93">
            <w:pPr>
              <w:jc w:val="both"/>
              <w:cnfStyle w:val="000000000000"/>
              <w:rPr>
                <w:color w:val="auto"/>
                <w:sz w:val="22"/>
                <w:szCs w:val="22"/>
              </w:rPr>
            </w:pPr>
            <w:r w:rsidRPr="00C4221C">
              <w:rPr>
                <w:color w:val="auto"/>
                <w:sz w:val="22"/>
                <w:szCs w:val="22"/>
              </w:rPr>
              <w:t xml:space="preserve">7-proteccion de fuentes y  reservorios  </w:t>
            </w:r>
          </w:p>
          <w:p w:rsidR="00196CDD" w:rsidRPr="00C4221C" w:rsidRDefault="00196CDD" w:rsidP="006D4E93">
            <w:pPr>
              <w:jc w:val="both"/>
              <w:cnfStyle w:val="000000000000"/>
              <w:rPr>
                <w:color w:val="auto"/>
                <w:sz w:val="22"/>
                <w:szCs w:val="22"/>
              </w:rPr>
            </w:pPr>
            <w:r w:rsidRPr="00C4221C">
              <w:rPr>
                <w:color w:val="auto"/>
                <w:sz w:val="22"/>
                <w:szCs w:val="22"/>
              </w:rPr>
              <w:t>8- Establecimiento de macro túneles y micro túneles.</w:t>
            </w:r>
          </w:p>
          <w:p w:rsidR="00196CDD" w:rsidRPr="00C4221C" w:rsidRDefault="00196CDD" w:rsidP="006D4E93">
            <w:pPr>
              <w:jc w:val="both"/>
              <w:cnfStyle w:val="000000000000"/>
              <w:rPr>
                <w:color w:val="auto"/>
                <w:sz w:val="22"/>
                <w:szCs w:val="22"/>
              </w:rPr>
            </w:pPr>
            <w:r w:rsidRPr="00C4221C">
              <w:rPr>
                <w:color w:val="auto"/>
                <w:sz w:val="22"/>
                <w:szCs w:val="22"/>
              </w:rPr>
              <w:t>9-Suministro de aperos agrícola y bombas</w:t>
            </w:r>
          </w:p>
          <w:p w:rsidR="00196CDD" w:rsidRPr="00C4221C" w:rsidRDefault="00196CDD" w:rsidP="006D4E93">
            <w:pPr>
              <w:jc w:val="both"/>
              <w:cnfStyle w:val="000000000000"/>
              <w:rPr>
                <w:color w:val="auto"/>
                <w:sz w:val="22"/>
                <w:szCs w:val="22"/>
              </w:rPr>
            </w:pP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lastRenderedPageBreak/>
              <w:t>DE 01/JULIO/2012  AL 31/03/2013</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$ 1,477,641.95</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JUNTA DE ANDALUCIA FASE I Y FASE II.</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lastRenderedPageBreak/>
              <w:t>Desarrollo Humano</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FISDL/ CSR Y Secretaria técnica de la Presidencia</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pStyle w:val="HeaderFooterA"/>
              <w:cnfStyle w:val="000000000000"/>
              <w:rPr>
                <w:rFonts w:ascii="Times New Roman" w:hAnsi="Times New Roman"/>
                <w:b w:val="0"/>
                <w:color w:val="auto"/>
                <w:sz w:val="22"/>
                <w:szCs w:val="22"/>
              </w:rPr>
            </w:pPr>
            <w:r w:rsidRPr="00C4221C">
              <w:rPr>
                <w:rFonts w:ascii="Times New Roman" w:hAnsi="Times New Roman"/>
                <w:b w:val="0"/>
                <w:color w:val="auto"/>
                <w:sz w:val="22"/>
                <w:szCs w:val="22"/>
              </w:rPr>
              <w:t>Nombre de la AT:</w:t>
            </w:r>
          </w:p>
          <w:p w:rsidR="00196CDD" w:rsidRPr="00C4221C" w:rsidRDefault="00196CDD" w:rsidP="006D4E93">
            <w:pPr>
              <w:pStyle w:val="HeaderFooterA"/>
              <w:cnfStyle w:val="000000000000"/>
              <w:rPr>
                <w:rFonts w:ascii="Times New Roman" w:hAnsi="Times New Roman"/>
                <w:b w:val="0"/>
                <w:color w:val="auto"/>
                <w:sz w:val="22"/>
                <w:szCs w:val="22"/>
              </w:rPr>
            </w:pPr>
            <w:r w:rsidRPr="00C4221C">
              <w:rPr>
                <w:rFonts w:ascii="Times New Roman" w:hAnsi="Times New Roman"/>
                <w:b w:val="0"/>
                <w:color w:val="auto"/>
                <w:sz w:val="22"/>
                <w:szCs w:val="22"/>
              </w:rPr>
              <w:t>"Revisión y actualización del protocolo de capacitaciones del programa COMUNIDADES SOLIDARIAS RURALES (CSR), en conformidad con el enfoque de derecho humano y género, priorizado por el Gobierno  de El Salvador"</w:t>
            </w:r>
          </w:p>
          <w:p w:rsidR="00196CDD" w:rsidRPr="00C4221C" w:rsidRDefault="00196CDD" w:rsidP="006D4E93">
            <w:pPr>
              <w:pStyle w:val="HeaderFooterA"/>
              <w:cnfStyle w:val="000000000000"/>
              <w:rPr>
                <w:rFonts w:ascii="Times New Roman" w:hAnsi="Times New Roman"/>
                <w:b w:val="0"/>
                <w:color w:val="auto"/>
                <w:sz w:val="22"/>
                <w:szCs w:val="22"/>
              </w:rPr>
            </w:pPr>
            <w:r w:rsidRPr="00C4221C">
              <w:rPr>
                <w:rFonts w:ascii="Times New Roman" w:hAnsi="Times New Roman"/>
                <w:b w:val="0"/>
                <w:color w:val="auto"/>
                <w:sz w:val="22"/>
                <w:szCs w:val="22"/>
              </w:rPr>
              <w:t>Actualizar el protocolo de capacitación que se imparte a las Titulares Participantes, con temas nuevos basado en las necesidades y que este contenga un enfoque de derecho.</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9 meses. Iniciando febrero 2011</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                  16,500.00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Financiado por PNUD con gestión de STP,  para ser ejecutado por FISDL.</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Desarrollo Humano</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FISDL/ CSR</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pStyle w:val="HeaderFooterA"/>
              <w:cnfStyle w:val="000000000000"/>
              <w:rPr>
                <w:rFonts w:ascii="Times New Roman" w:hAnsi="Times New Roman"/>
                <w:b w:val="0"/>
                <w:color w:val="auto"/>
                <w:sz w:val="22"/>
                <w:szCs w:val="22"/>
              </w:rPr>
            </w:pPr>
            <w:r w:rsidRPr="00C4221C">
              <w:rPr>
                <w:rFonts w:ascii="Times New Roman" w:hAnsi="Times New Roman"/>
                <w:b w:val="0"/>
                <w:color w:val="auto"/>
                <w:sz w:val="22"/>
                <w:szCs w:val="22"/>
              </w:rPr>
              <w:t>Fortalecimiento de las capacidades equipo técnico Interno del FISDL y subcontratado, coordinadores de capacitación y monitoreo y personas promotoras de consultores de acompañamiento y seguimiento en el desarrollo del protocolo de capacitación de Comunidades Solidarias Rurales.</w:t>
            </w:r>
          </w:p>
          <w:p w:rsidR="00196CDD" w:rsidRPr="00C4221C" w:rsidRDefault="00196CDD" w:rsidP="006D4E93">
            <w:pPr>
              <w:pStyle w:val="HeaderFooterA"/>
              <w:cnfStyle w:val="000000000000"/>
              <w:rPr>
                <w:rFonts w:ascii="Times New Roman" w:hAnsi="Times New Roman"/>
                <w:b w:val="0"/>
                <w:color w:val="auto"/>
                <w:sz w:val="22"/>
                <w:szCs w:val="22"/>
              </w:rPr>
            </w:pPr>
            <w:r w:rsidRPr="00C4221C">
              <w:rPr>
                <w:rFonts w:ascii="Times New Roman" w:hAnsi="Times New Roman"/>
                <w:b w:val="0"/>
                <w:color w:val="auto"/>
                <w:sz w:val="22"/>
                <w:szCs w:val="22"/>
              </w:rPr>
              <w:t xml:space="preserve">Fortalecer  las capacidades equipo técnico Interno del FISDL y subcontratado, </w:t>
            </w:r>
            <w:r w:rsidRPr="00C4221C">
              <w:rPr>
                <w:rFonts w:ascii="Times New Roman" w:hAnsi="Times New Roman"/>
                <w:b w:val="0"/>
                <w:color w:val="auto"/>
                <w:sz w:val="22"/>
                <w:szCs w:val="22"/>
              </w:rPr>
              <w:lastRenderedPageBreak/>
              <w:t>coordinadores de capacitación y monitoreo y personas promotoras de consultores de acompañamiento y seguimiento, para facilitar el nuevo protocolo de capacitaciones.</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lastRenderedPageBreak/>
              <w:t xml:space="preserve">2 meses, abril a mayo </w:t>
            </w:r>
            <w:r w:rsidRPr="00C4221C">
              <w:rPr>
                <w:bCs/>
                <w:color w:val="auto"/>
                <w:sz w:val="22"/>
                <w:szCs w:val="22"/>
              </w:rPr>
              <w:t>2012</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                     2,116.50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Fondos GOES</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lastRenderedPageBreak/>
              <w:t>Desarrollo Humano</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FISDL/ CSR</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pStyle w:val="HeaderFooterA"/>
              <w:cnfStyle w:val="000000000000"/>
              <w:rPr>
                <w:rFonts w:ascii="Times New Roman" w:hAnsi="Times New Roman"/>
                <w:b w:val="0"/>
                <w:color w:val="auto"/>
                <w:sz w:val="22"/>
                <w:szCs w:val="22"/>
              </w:rPr>
            </w:pPr>
            <w:r w:rsidRPr="00C4221C">
              <w:rPr>
                <w:rFonts w:ascii="Times New Roman" w:hAnsi="Times New Roman"/>
                <w:b w:val="0"/>
                <w:color w:val="auto"/>
                <w:sz w:val="22"/>
                <w:szCs w:val="22"/>
              </w:rPr>
              <w:t>Consultoría para  la “Elaboración de material didáctico de apoyo, a utilizar en la implementación de capacitaciones del módulo básico de Comunidades Solidarias  Rurales”. Diseñar el material didáctico idóneo para facilitar el modulo básico de CSR.  Que contenga la misma metodología del nuevo protocolo.</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1 mes abril 2012</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                         570.06</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Fondos GOES</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Desarrollo Humano</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433DD9" w:rsidRDefault="00196CDD" w:rsidP="006D4E93">
            <w:pPr>
              <w:jc w:val="center"/>
              <w:cnfStyle w:val="000000000000"/>
              <w:rPr>
                <w:color w:val="auto"/>
                <w:sz w:val="22"/>
                <w:szCs w:val="22"/>
              </w:rPr>
            </w:pPr>
            <w:r w:rsidRPr="00433DD9">
              <w:rPr>
                <w:color w:val="auto"/>
                <w:sz w:val="22"/>
                <w:szCs w:val="22"/>
              </w:rPr>
              <w:t>FISDL/ CSR</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433DD9" w:rsidRDefault="00196CDD" w:rsidP="006D4E93">
            <w:pPr>
              <w:pStyle w:val="HeaderFooterA"/>
              <w:cnfStyle w:val="000000000000"/>
              <w:rPr>
                <w:rFonts w:ascii="Times New Roman" w:hAnsi="Times New Roman"/>
                <w:b w:val="0"/>
                <w:color w:val="auto"/>
                <w:sz w:val="22"/>
                <w:szCs w:val="22"/>
              </w:rPr>
            </w:pPr>
            <w:r w:rsidRPr="00433DD9">
              <w:rPr>
                <w:rFonts w:ascii="Times New Roman" w:hAnsi="Times New Roman"/>
                <w:b w:val="0"/>
                <w:color w:val="auto"/>
                <w:sz w:val="22"/>
                <w:szCs w:val="22"/>
              </w:rPr>
              <w:t>Reproducción de módulo 2 protocolo de capacitación  y láminas en capacitaciones dirigido a familias Participantes de Comunidades Solidarias Rurales, y guía de la persona promotora dirigida a promotores comunitarios. Reproducción de 2 documentos del protocolo de capacitación(módulo 2 y guía de la persona promotora) , a impartir en el mes de junio 2012</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433DD9" w:rsidRDefault="00196CDD" w:rsidP="006D4E93">
            <w:pPr>
              <w:jc w:val="center"/>
              <w:cnfStyle w:val="000000000000"/>
              <w:rPr>
                <w:color w:val="auto"/>
                <w:sz w:val="22"/>
                <w:szCs w:val="22"/>
              </w:rPr>
            </w:pPr>
            <w:r w:rsidRPr="00433DD9">
              <w:rPr>
                <w:color w:val="auto"/>
                <w:sz w:val="22"/>
                <w:szCs w:val="22"/>
              </w:rPr>
              <w:t>1 mes  mayo 2012</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433DD9" w:rsidRDefault="00196CDD" w:rsidP="006D4E93">
            <w:pPr>
              <w:jc w:val="center"/>
              <w:cnfStyle w:val="000000000000"/>
              <w:rPr>
                <w:color w:val="auto"/>
                <w:sz w:val="22"/>
                <w:szCs w:val="22"/>
              </w:rPr>
            </w:pPr>
            <w:r w:rsidRPr="00433DD9">
              <w:rPr>
                <w:color w:val="auto"/>
                <w:sz w:val="22"/>
                <w:szCs w:val="22"/>
              </w:rPr>
              <w:t>$                   15,187.50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433DD9" w:rsidRDefault="00196CDD" w:rsidP="006D4E93">
            <w:pPr>
              <w:jc w:val="center"/>
              <w:cnfStyle w:val="000000000000"/>
              <w:rPr>
                <w:color w:val="auto"/>
                <w:sz w:val="22"/>
                <w:szCs w:val="22"/>
              </w:rPr>
            </w:pPr>
            <w:r w:rsidRPr="00433DD9">
              <w:rPr>
                <w:color w:val="auto"/>
                <w:sz w:val="22"/>
                <w:szCs w:val="22"/>
              </w:rPr>
              <w:t>Fondos GOES</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lastRenderedPageBreak/>
              <w:t>Gestión Territorial</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FISDL/ CSR</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pStyle w:val="HeaderFooterA"/>
              <w:cnfStyle w:val="000000000000"/>
              <w:rPr>
                <w:rFonts w:ascii="Times New Roman" w:hAnsi="Times New Roman"/>
                <w:b w:val="0"/>
                <w:color w:val="auto"/>
                <w:sz w:val="22"/>
                <w:szCs w:val="22"/>
              </w:rPr>
            </w:pPr>
            <w:r w:rsidRPr="00C4221C">
              <w:rPr>
                <w:rFonts w:ascii="Times New Roman" w:hAnsi="Times New Roman"/>
                <w:b w:val="0"/>
                <w:color w:val="auto"/>
                <w:sz w:val="22"/>
                <w:szCs w:val="22"/>
              </w:rPr>
              <w:t>“Consultoría  para el fortalecimiento de capacidades a personas promotoras y coordinadores de capacitación y monitoreo de  los (cas) en su rol de facilitadoras del protocolo de capacitaciones de comunidades solidarias rurales”                       Realizar un diagnóstico de las necesidades de capacitación de personal de campo subcontratado  por las CAS y diseñar un plan de capacitación  para fortalecer  las capacidades  del equipo que facilita el nuevo protocolo de capacitaciones.</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6 meses de junio a noviembre 2012</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                 20,000.00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Fondos GOES</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Gestión territorial</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FISDL/CSR/DT</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pStyle w:val="HeaderFooterA"/>
              <w:cnfStyle w:val="000000000000"/>
              <w:rPr>
                <w:rFonts w:ascii="Times New Roman" w:hAnsi="Times New Roman"/>
                <w:b w:val="0"/>
                <w:color w:val="auto"/>
                <w:sz w:val="22"/>
                <w:szCs w:val="22"/>
              </w:rPr>
            </w:pPr>
            <w:r w:rsidRPr="00C4221C">
              <w:rPr>
                <w:rFonts w:ascii="Times New Roman" w:hAnsi="Times New Roman"/>
                <w:b w:val="0"/>
                <w:color w:val="auto"/>
                <w:sz w:val="22"/>
                <w:szCs w:val="22"/>
              </w:rPr>
              <w:t xml:space="preserve">Levantamiento de diagnóstico y diseño de propuesta de fortalecimiento de capacidades de  los CMC de  CSR. Diseñar lineamientos y proponer acciones que permitan el fortalecimiento de capacidades de los comités municipales de coordinación de comunidades solidarias rurales para mejorar su gestión local del programa fomentar su rol como actores del desarrollo dentro de su </w:t>
            </w:r>
            <w:r w:rsidRPr="00C4221C">
              <w:rPr>
                <w:rFonts w:ascii="Times New Roman" w:hAnsi="Times New Roman"/>
                <w:b w:val="0"/>
                <w:color w:val="auto"/>
                <w:sz w:val="22"/>
                <w:szCs w:val="22"/>
              </w:rPr>
              <w:lastRenderedPageBreak/>
              <w:t>municipio.</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lastRenderedPageBreak/>
              <w:t>2 meses y medio,  iniciando junio a agosto 2012</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                  18,000.00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Fondos GOES</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lastRenderedPageBreak/>
              <w:t>Fortalecimiento FISDL para seguimiento del Programa</w:t>
            </w:r>
          </w:p>
          <w:p w:rsidR="00196CDD" w:rsidRPr="009F0A23" w:rsidRDefault="00196CDD" w:rsidP="009F0A23">
            <w:pPr>
              <w:jc w:val="center"/>
              <w:rPr>
                <w:b w:val="0"/>
                <w:sz w:val="22"/>
                <w:szCs w:val="22"/>
              </w:rPr>
            </w:pP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FISDL</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pStyle w:val="HeaderFooterA"/>
              <w:cnfStyle w:val="000000000000"/>
              <w:rPr>
                <w:rFonts w:ascii="Times New Roman" w:hAnsi="Times New Roman"/>
                <w:b w:val="0"/>
                <w:color w:val="auto"/>
                <w:sz w:val="22"/>
                <w:szCs w:val="22"/>
              </w:rPr>
            </w:pPr>
            <w:r w:rsidRPr="00C4221C">
              <w:rPr>
                <w:rFonts w:ascii="Times New Roman" w:hAnsi="Times New Roman"/>
                <w:b w:val="0"/>
                <w:color w:val="auto"/>
                <w:sz w:val="22"/>
                <w:szCs w:val="22"/>
              </w:rPr>
              <w:t xml:space="preserve">Revisador de Viabilidades de Proyectos Comunitarios para el PATI. </w:t>
            </w:r>
          </w:p>
          <w:p w:rsidR="00196CDD" w:rsidRPr="00C4221C" w:rsidRDefault="00196CDD" w:rsidP="006D4E93">
            <w:pPr>
              <w:pStyle w:val="HeaderFooterA"/>
              <w:cnfStyle w:val="000000000000"/>
              <w:rPr>
                <w:rFonts w:ascii="Times New Roman" w:hAnsi="Times New Roman"/>
                <w:b w:val="0"/>
                <w:color w:val="auto"/>
                <w:sz w:val="22"/>
                <w:szCs w:val="22"/>
              </w:rPr>
            </w:pPr>
            <w:r w:rsidRPr="00C4221C">
              <w:rPr>
                <w:rFonts w:ascii="Times New Roman" w:hAnsi="Times New Roman"/>
                <w:b w:val="0"/>
                <w:color w:val="auto"/>
                <w:sz w:val="22"/>
                <w:szCs w:val="22"/>
              </w:rPr>
              <w:t>Revisión de perfiles para proyectos PATI</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Del 01/02/2011 al 31/03/2011</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                        3,000.00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PROGRAMA COMUNIDADES SOLIDARIAS RURALES 2011</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Fortalecimiento FISDL para seguimiento del Programa</w:t>
            </w:r>
          </w:p>
          <w:p w:rsidR="00196CDD" w:rsidRPr="009F0A23" w:rsidRDefault="00196CDD" w:rsidP="009F0A23">
            <w:pPr>
              <w:jc w:val="center"/>
              <w:rPr>
                <w:b w:val="0"/>
                <w:sz w:val="22"/>
                <w:szCs w:val="22"/>
              </w:rPr>
            </w:pP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FISDL</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pStyle w:val="HeaderFooterA"/>
              <w:cnfStyle w:val="000000000000"/>
              <w:rPr>
                <w:rFonts w:ascii="Times New Roman" w:hAnsi="Times New Roman"/>
                <w:b w:val="0"/>
                <w:color w:val="auto"/>
                <w:sz w:val="22"/>
                <w:szCs w:val="22"/>
              </w:rPr>
            </w:pPr>
            <w:r w:rsidRPr="00C4221C">
              <w:rPr>
                <w:rFonts w:ascii="Times New Roman" w:hAnsi="Times New Roman"/>
                <w:b w:val="0"/>
                <w:color w:val="auto"/>
                <w:sz w:val="22"/>
                <w:szCs w:val="22"/>
              </w:rPr>
              <w:t>Técnico de revisión de viabilidades de proyectos comunitarios para el PATI. Revisión de perfiles para proyectos PATI</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Del 12/07/2011 al 30/09/2011</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                          3,967.74</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BANCO MUNDIAL - PATI</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Fortalecimiento FISDL para seguimiento del Programa</w:t>
            </w:r>
          </w:p>
          <w:p w:rsidR="00196CDD" w:rsidRPr="009F0A23" w:rsidRDefault="00196CDD" w:rsidP="009F0A23">
            <w:pPr>
              <w:jc w:val="center"/>
              <w:rPr>
                <w:b w:val="0"/>
                <w:sz w:val="22"/>
                <w:szCs w:val="22"/>
              </w:rPr>
            </w:pP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FISDL</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pStyle w:val="HeaderFooterA"/>
              <w:cnfStyle w:val="000000000000"/>
              <w:rPr>
                <w:rFonts w:ascii="Times New Roman" w:hAnsi="Times New Roman"/>
                <w:b w:val="0"/>
                <w:color w:val="auto"/>
                <w:sz w:val="22"/>
                <w:szCs w:val="22"/>
              </w:rPr>
            </w:pPr>
            <w:r w:rsidRPr="00C4221C">
              <w:rPr>
                <w:rFonts w:ascii="Times New Roman" w:hAnsi="Times New Roman"/>
                <w:b w:val="0"/>
                <w:color w:val="auto"/>
                <w:sz w:val="22"/>
                <w:szCs w:val="22"/>
              </w:rPr>
              <w:t>Técnico de revisión de viabilidades de proyectos comunitarios para el PATI. Revisión de perfiles para proyectos PATI</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Del 01/10/2011 al 14/10/2011</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                             677.42</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BANCO MUNDIAL - PATI</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Fortalecimiento FISDL para seguimiento del Programa</w:t>
            </w:r>
          </w:p>
          <w:p w:rsidR="00196CDD" w:rsidRPr="009F0A23" w:rsidRDefault="00196CDD" w:rsidP="009F0A23">
            <w:pPr>
              <w:jc w:val="center"/>
              <w:rPr>
                <w:b w:val="0"/>
                <w:sz w:val="22"/>
                <w:szCs w:val="22"/>
              </w:rPr>
            </w:pP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FISDL</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pStyle w:val="HeaderFooterA"/>
              <w:cnfStyle w:val="000000000000"/>
              <w:rPr>
                <w:rFonts w:ascii="Times New Roman" w:hAnsi="Times New Roman"/>
                <w:b w:val="0"/>
                <w:color w:val="auto"/>
                <w:sz w:val="22"/>
                <w:szCs w:val="22"/>
              </w:rPr>
            </w:pPr>
            <w:r w:rsidRPr="00C4221C">
              <w:rPr>
                <w:rFonts w:ascii="Times New Roman" w:hAnsi="Times New Roman"/>
                <w:b w:val="0"/>
                <w:color w:val="auto"/>
                <w:sz w:val="22"/>
                <w:szCs w:val="22"/>
              </w:rPr>
              <w:t>Revisador de Viabilidades de Proyectos Comunitarios para el PATI. Revisión de perfiles para proyectos PATI</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Del 01/02/2011 al 31/03/2011</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                        3,000.00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PROGRAMA COMUNIDADES SOLIDARIAS RURALES 2011</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Fortalecimiento FISDL para seguimiento del Programa</w:t>
            </w:r>
          </w:p>
          <w:p w:rsidR="00196CDD" w:rsidRPr="009F0A23" w:rsidRDefault="00196CDD" w:rsidP="009F0A23">
            <w:pPr>
              <w:jc w:val="center"/>
              <w:rPr>
                <w:b w:val="0"/>
                <w:sz w:val="22"/>
                <w:szCs w:val="22"/>
              </w:rPr>
            </w:pP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FISDL</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pStyle w:val="HeaderFooterA"/>
              <w:cnfStyle w:val="000000000000"/>
              <w:rPr>
                <w:rFonts w:ascii="Times New Roman" w:hAnsi="Times New Roman"/>
                <w:b w:val="0"/>
                <w:color w:val="auto"/>
                <w:sz w:val="22"/>
                <w:szCs w:val="22"/>
              </w:rPr>
            </w:pPr>
            <w:r w:rsidRPr="00C4221C">
              <w:rPr>
                <w:rFonts w:ascii="Times New Roman" w:hAnsi="Times New Roman"/>
                <w:b w:val="0"/>
                <w:color w:val="auto"/>
                <w:sz w:val="22"/>
                <w:szCs w:val="22"/>
              </w:rPr>
              <w:t>Técnico de revisión de viabilidades de proyectos comunitarios para el PATI. Revisión de perfiles para proyectos PATI</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Del 25/07/2011 al 09/09/2011</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                          3,338.71</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BANCO MUNDIAL - PATI</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Fortalecimiento FISDL para seguimiento del Programa</w:t>
            </w:r>
          </w:p>
          <w:p w:rsidR="00196CDD" w:rsidRPr="009F0A23" w:rsidRDefault="00196CDD" w:rsidP="009F0A23">
            <w:pPr>
              <w:jc w:val="center"/>
              <w:rPr>
                <w:b w:val="0"/>
                <w:sz w:val="22"/>
                <w:szCs w:val="22"/>
              </w:rPr>
            </w:pP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FISDL</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pStyle w:val="HeaderFooterA"/>
              <w:cnfStyle w:val="000000000000"/>
              <w:rPr>
                <w:rFonts w:ascii="Times New Roman" w:hAnsi="Times New Roman"/>
                <w:b w:val="0"/>
                <w:color w:val="auto"/>
                <w:sz w:val="22"/>
                <w:szCs w:val="22"/>
              </w:rPr>
            </w:pPr>
            <w:r w:rsidRPr="00C4221C">
              <w:rPr>
                <w:rFonts w:ascii="Times New Roman" w:hAnsi="Times New Roman"/>
                <w:b w:val="0"/>
                <w:color w:val="auto"/>
                <w:sz w:val="22"/>
                <w:szCs w:val="22"/>
              </w:rPr>
              <w:t>Revisador de Viabilidades de Proyectos Comunitarios para el PATI. Revisión de perfiles para proyectos PATI</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Del 01/02/2011 al 31/03/2011</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                        3,000.00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PROGRAMA COMUNIDADES SOLIDARIAS RURALES 2011</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Fortalecimiento FISDL para seguimiento del Programa</w:t>
            </w:r>
          </w:p>
          <w:p w:rsidR="00196CDD" w:rsidRPr="009F0A23" w:rsidRDefault="00196CDD" w:rsidP="009F0A23">
            <w:pPr>
              <w:jc w:val="center"/>
              <w:rPr>
                <w:b w:val="0"/>
                <w:sz w:val="22"/>
                <w:szCs w:val="22"/>
              </w:rPr>
            </w:pP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FISDL</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pStyle w:val="HeaderFooterA"/>
              <w:cnfStyle w:val="000000000000"/>
              <w:rPr>
                <w:rFonts w:ascii="Times New Roman" w:hAnsi="Times New Roman"/>
                <w:b w:val="0"/>
                <w:color w:val="auto"/>
                <w:sz w:val="22"/>
                <w:szCs w:val="22"/>
              </w:rPr>
            </w:pPr>
            <w:r w:rsidRPr="00C4221C">
              <w:rPr>
                <w:rFonts w:ascii="Times New Roman" w:hAnsi="Times New Roman"/>
                <w:b w:val="0"/>
                <w:color w:val="auto"/>
                <w:sz w:val="22"/>
                <w:szCs w:val="22"/>
              </w:rPr>
              <w:t xml:space="preserve">Técnico de revisión de viabilidades de proyectos comunitarios para el PATI. Revisión de perfiles para </w:t>
            </w:r>
            <w:r w:rsidRPr="00C4221C">
              <w:rPr>
                <w:rFonts w:ascii="Times New Roman" w:hAnsi="Times New Roman"/>
                <w:b w:val="0"/>
                <w:color w:val="auto"/>
                <w:sz w:val="22"/>
                <w:szCs w:val="22"/>
              </w:rPr>
              <w:lastRenderedPageBreak/>
              <w:t>proyectos PATI</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lastRenderedPageBreak/>
              <w:t>Del 12/07/2011 al 30/09/2011</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                         2,467.74</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BANCO MUNDIAL - PATI</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lastRenderedPageBreak/>
              <w:t>Fortalecimiento de capacidades  a participantes PATI</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FISDL</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pStyle w:val="HeaderFooterA"/>
              <w:cnfStyle w:val="000000000000"/>
              <w:rPr>
                <w:rFonts w:ascii="Times New Roman" w:hAnsi="Times New Roman"/>
                <w:b w:val="0"/>
                <w:color w:val="auto"/>
                <w:sz w:val="22"/>
                <w:szCs w:val="22"/>
              </w:rPr>
            </w:pPr>
            <w:r w:rsidRPr="00C4221C">
              <w:rPr>
                <w:rFonts w:ascii="Times New Roman" w:hAnsi="Times New Roman"/>
                <w:b w:val="0"/>
                <w:color w:val="auto"/>
                <w:sz w:val="22"/>
                <w:szCs w:val="22"/>
              </w:rPr>
              <w:t>Consultoría  para la promoción cultural del programa en AUP. Dotar de herramientas y capacidades a monitores y coordinadores del PATI, para relacionarse con las y los participantes y poder mostrar y desarrollar las capacidades de cada uno, para que se pueda reproducir en los proyectos PATI.</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del 05/11/2011 al 15/12/2011</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                         4,535.00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BANCO MUNDIAL - PATI</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Fortalecimiento de capacidades y seguimiento al programa</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FISDL</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pStyle w:val="HeaderFooterA"/>
              <w:cnfStyle w:val="000000000000"/>
              <w:rPr>
                <w:rFonts w:ascii="Times New Roman" w:hAnsi="Times New Roman"/>
                <w:b w:val="0"/>
                <w:color w:val="auto"/>
                <w:sz w:val="22"/>
                <w:szCs w:val="22"/>
              </w:rPr>
            </w:pPr>
            <w:r w:rsidRPr="00C4221C">
              <w:rPr>
                <w:rFonts w:ascii="Times New Roman" w:hAnsi="Times New Roman"/>
                <w:b w:val="0"/>
                <w:color w:val="auto"/>
                <w:sz w:val="22"/>
                <w:szCs w:val="22"/>
              </w:rPr>
              <w:t>Consultoría para el apoyo a la promoción y divulgación del programa de apoyo temporal al ingreso PATI. Gestionar y apoyar a los proyectos PATI, para la debida difusión del programa en los municipios.</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Del 06/09/2011 a la fecha</w:t>
            </w:r>
          </w:p>
        </w:tc>
        <w:tc>
          <w:tcPr>
            <w:tcW w:w="212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  9,040.00</w:t>
            </w:r>
          </w:p>
        </w:tc>
        <w:tc>
          <w:tcPr>
            <w:tcW w:w="2558"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BANCO MUNDIAL - PATI</w:t>
            </w:r>
          </w:p>
        </w:tc>
      </w:tr>
      <w:tr w:rsidR="00196CDD" w:rsidRPr="009F0A23" w:rsidTr="0071442E">
        <w:trPr>
          <w:trHeight w:val="712"/>
        </w:trPr>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 xml:space="preserve">Fortalecimiento institucional </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MINSAL</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both"/>
              <w:cnfStyle w:val="000000000000"/>
              <w:rPr>
                <w:color w:val="auto"/>
                <w:sz w:val="22"/>
                <w:szCs w:val="22"/>
              </w:rPr>
            </w:pPr>
            <w:r w:rsidRPr="00C4221C">
              <w:rPr>
                <w:color w:val="auto"/>
                <w:sz w:val="22"/>
                <w:szCs w:val="22"/>
              </w:rPr>
              <w:t xml:space="preserve">Capacitación para los  RRHH que conformaron los Equipos  Comunitarios  de Salud Familiar: </w:t>
            </w:r>
          </w:p>
          <w:p w:rsidR="00196CDD" w:rsidRPr="00C4221C" w:rsidRDefault="00196CDD" w:rsidP="006D4E93">
            <w:pPr>
              <w:jc w:val="both"/>
              <w:cnfStyle w:val="000000000000"/>
              <w:rPr>
                <w:color w:val="auto"/>
                <w:sz w:val="22"/>
                <w:szCs w:val="22"/>
              </w:rPr>
            </w:pPr>
          </w:p>
          <w:p w:rsidR="00196CDD" w:rsidRPr="00C4221C" w:rsidRDefault="00196CDD" w:rsidP="006D4E93">
            <w:pPr>
              <w:jc w:val="both"/>
              <w:cnfStyle w:val="000000000000"/>
              <w:rPr>
                <w:color w:val="auto"/>
                <w:sz w:val="22"/>
                <w:szCs w:val="22"/>
              </w:rPr>
            </w:pPr>
            <w:r w:rsidRPr="00C4221C">
              <w:rPr>
                <w:color w:val="auto"/>
                <w:sz w:val="22"/>
                <w:szCs w:val="22"/>
              </w:rPr>
              <w:t xml:space="preserve">OBJETIVO: Fortalecimiento en el conocimiento de la normativa vigente institucional así como las capacidades para el trabajo comunitario para el personal recién contratado. </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ind w:left="-1900" w:firstLine="1900"/>
              <w:jc w:val="center"/>
              <w:cnfStyle w:val="000000000000"/>
              <w:rPr>
                <w:color w:val="auto"/>
                <w:sz w:val="22"/>
                <w:szCs w:val="22"/>
              </w:rPr>
            </w:pPr>
            <w:r w:rsidRPr="00C4221C">
              <w:rPr>
                <w:color w:val="auto"/>
                <w:sz w:val="22"/>
                <w:szCs w:val="22"/>
              </w:rPr>
              <w:t>11 días /</w:t>
            </w:r>
            <w:r>
              <w:rPr>
                <w:color w:val="auto"/>
                <w:sz w:val="22"/>
                <w:szCs w:val="22"/>
              </w:rPr>
              <w:t xml:space="preserve"> 20</w:t>
            </w:r>
            <w:r w:rsidRPr="00C4221C">
              <w:rPr>
                <w:color w:val="auto"/>
                <w:sz w:val="22"/>
                <w:szCs w:val="22"/>
              </w:rPr>
              <w:t>10</w:t>
            </w:r>
          </w:p>
        </w:tc>
        <w:tc>
          <w:tcPr>
            <w:tcW w:w="2127"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ind w:left="-1900" w:firstLine="1900"/>
              <w:jc w:val="center"/>
              <w:cnfStyle w:val="000000000000"/>
              <w:rPr>
                <w:color w:val="auto"/>
                <w:sz w:val="22"/>
                <w:szCs w:val="22"/>
              </w:rPr>
            </w:pPr>
            <w:r w:rsidRPr="00C4221C">
              <w:rPr>
                <w:color w:val="auto"/>
                <w:sz w:val="22"/>
                <w:szCs w:val="22"/>
              </w:rPr>
              <w:t>$8,000.00</w:t>
            </w:r>
          </w:p>
        </w:tc>
        <w:tc>
          <w:tcPr>
            <w:tcW w:w="255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Luxemburgo</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Fortalecimiento Institucional</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MINSAL</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both"/>
              <w:cnfStyle w:val="000000000000"/>
              <w:rPr>
                <w:color w:val="auto"/>
                <w:sz w:val="22"/>
                <w:szCs w:val="22"/>
              </w:rPr>
            </w:pPr>
            <w:r w:rsidRPr="00C4221C">
              <w:rPr>
                <w:color w:val="auto"/>
                <w:sz w:val="22"/>
                <w:szCs w:val="22"/>
              </w:rPr>
              <w:t xml:space="preserve">Elaboración del sistema de costeo: </w:t>
            </w:r>
          </w:p>
          <w:p w:rsidR="00196CDD" w:rsidRPr="00C4221C" w:rsidRDefault="00196CDD" w:rsidP="006D4E93">
            <w:pPr>
              <w:jc w:val="both"/>
              <w:cnfStyle w:val="000000000000"/>
              <w:rPr>
                <w:color w:val="auto"/>
                <w:sz w:val="22"/>
                <w:szCs w:val="22"/>
              </w:rPr>
            </w:pPr>
          </w:p>
          <w:p w:rsidR="00196CDD" w:rsidRPr="00C4221C" w:rsidRDefault="00196CDD" w:rsidP="006D4E93">
            <w:pPr>
              <w:jc w:val="both"/>
              <w:cnfStyle w:val="000000000000"/>
              <w:rPr>
                <w:color w:val="auto"/>
                <w:sz w:val="22"/>
                <w:szCs w:val="22"/>
              </w:rPr>
            </w:pPr>
            <w:r w:rsidRPr="00C4221C">
              <w:rPr>
                <w:color w:val="auto"/>
                <w:sz w:val="22"/>
                <w:szCs w:val="22"/>
              </w:rPr>
              <w:t xml:space="preserve">OBJETIVO: Elaborar un sistema de costeo de las  atenciones </w:t>
            </w:r>
            <w:r w:rsidRPr="00C4221C">
              <w:rPr>
                <w:color w:val="auto"/>
                <w:sz w:val="22"/>
                <w:szCs w:val="22"/>
              </w:rPr>
              <w:lastRenderedPageBreak/>
              <w:t xml:space="preserve">brindadas por el personal del MINSAL a fin de registrar de forma más acertada el costo real del trabajo realizado. </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lastRenderedPageBreak/>
              <w:t xml:space="preserve">1 año / </w:t>
            </w:r>
            <w:r>
              <w:rPr>
                <w:color w:val="auto"/>
                <w:sz w:val="22"/>
                <w:szCs w:val="22"/>
              </w:rPr>
              <w:t>20</w:t>
            </w:r>
            <w:r w:rsidRPr="00C4221C">
              <w:rPr>
                <w:color w:val="auto"/>
                <w:sz w:val="22"/>
                <w:szCs w:val="22"/>
              </w:rPr>
              <w:t>11</w:t>
            </w:r>
          </w:p>
        </w:tc>
        <w:tc>
          <w:tcPr>
            <w:tcW w:w="2127"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$ 6, 000.00</w:t>
            </w:r>
          </w:p>
        </w:tc>
        <w:tc>
          <w:tcPr>
            <w:tcW w:w="255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BID</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lastRenderedPageBreak/>
              <w:t>Fortalecimiento Institucional</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MINSAL</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both"/>
              <w:cnfStyle w:val="000000000000"/>
              <w:rPr>
                <w:color w:val="auto"/>
                <w:sz w:val="22"/>
                <w:szCs w:val="22"/>
              </w:rPr>
            </w:pPr>
            <w:r w:rsidRPr="00C4221C">
              <w:rPr>
                <w:color w:val="auto"/>
                <w:sz w:val="22"/>
                <w:szCs w:val="22"/>
              </w:rPr>
              <w:t xml:space="preserve">Apoyo a la capacitación e implementación del nuevo modelo de atención </w:t>
            </w:r>
          </w:p>
          <w:p w:rsidR="00196CDD" w:rsidRPr="00C4221C" w:rsidRDefault="00196CDD" w:rsidP="006D4E93">
            <w:pPr>
              <w:jc w:val="both"/>
              <w:cnfStyle w:val="000000000000"/>
              <w:rPr>
                <w:color w:val="auto"/>
                <w:sz w:val="22"/>
                <w:szCs w:val="22"/>
              </w:rPr>
            </w:pPr>
            <w:r w:rsidRPr="00C4221C">
              <w:rPr>
                <w:color w:val="auto"/>
                <w:sz w:val="22"/>
                <w:szCs w:val="22"/>
              </w:rPr>
              <w:t>OBJETIVO:  Divulgar el proceso de reforma en el sector salud y la implementación del nuevo modelo de atención.</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14 meses / 2010/2012</w:t>
            </w:r>
          </w:p>
        </w:tc>
        <w:tc>
          <w:tcPr>
            <w:tcW w:w="2127"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$98,000.00</w:t>
            </w:r>
          </w:p>
        </w:tc>
        <w:tc>
          <w:tcPr>
            <w:tcW w:w="255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OPS</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Fortalecimiento institucional</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MINSAL</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both"/>
              <w:cnfStyle w:val="000000000000"/>
              <w:rPr>
                <w:color w:val="auto"/>
                <w:sz w:val="22"/>
                <w:szCs w:val="22"/>
              </w:rPr>
            </w:pPr>
            <w:r w:rsidRPr="00C4221C">
              <w:rPr>
                <w:color w:val="auto"/>
                <w:sz w:val="22"/>
                <w:szCs w:val="22"/>
              </w:rPr>
              <w:t xml:space="preserve">Curso para la formación de Promotores de Salud Región Oriental </w:t>
            </w:r>
          </w:p>
          <w:p w:rsidR="00196CDD" w:rsidRPr="00C4221C" w:rsidRDefault="00196CDD" w:rsidP="006D4E93">
            <w:pPr>
              <w:jc w:val="both"/>
              <w:cnfStyle w:val="000000000000"/>
              <w:rPr>
                <w:color w:val="auto"/>
                <w:sz w:val="22"/>
                <w:szCs w:val="22"/>
              </w:rPr>
            </w:pPr>
          </w:p>
          <w:p w:rsidR="00196CDD" w:rsidRPr="00C4221C" w:rsidRDefault="00196CDD" w:rsidP="006D4E93">
            <w:pPr>
              <w:jc w:val="both"/>
              <w:cnfStyle w:val="000000000000"/>
              <w:rPr>
                <w:color w:val="auto"/>
                <w:sz w:val="22"/>
                <w:szCs w:val="22"/>
              </w:rPr>
            </w:pPr>
            <w:r w:rsidRPr="00C4221C">
              <w:rPr>
                <w:color w:val="auto"/>
                <w:sz w:val="22"/>
                <w:szCs w:val="22"/>
              </w:rPr>
              <w:t xml:space="preserve">OBJETIVO: Fortalecer las capacidades de los promotores de salud en el   desarrollo de habilidades de trabajo en equipo, liderazgo, coordinación intersectorial  entre otros. </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26 días alternos/ 2012</w:t>
            </w:r>
          </w:p>
        </w:tc>
        <w:tc>
          <w:tcPr>
            <w:tcW w:w="2127"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$69,000.00</w:t>
            </w:r>
          </w:p>
        </w:tc>
        <w:tc>
          <w:tcPr>
            <w:tcW w:w="255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Andalucía</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Fortalecimiento institucional</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MISNAL</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both"/>
              <w:cnfStyle w:val="000000000000"/>
              <w:rPr>
                <w:color w:val="auto"/>
                <w:sz w:val="22"/>
                <w:szCs w:val="22"/>
              </w:rPr>
            </w:pPr>
            <w:r w:rsidRPr="00C4221C">
              <w:rPr>
                <w:color w:val="auto"/>
                <w:sz w:val="22"/>
                <w:szCs w:val="22"/>
              </w:rPr>
              <w:t xml:space="preserve">Curso para la formación de Ginecólogos para el uso, toma e interpretación del equipo de Ultrasografia (USG). </w:t>
            </w:r>
          </w:p>
          <w:p w:rsidR="00196CDD" w:rsidRPr="00C4221C" w:rsidRDefault="00196CDD" w:rsidP="006D4E93">
            <w:pPr>
              <w:jc w:val="both"/>
              <w:cnfStyle w:val="000000000000"/>
              <w:rPr>
                <w:color w:val="auto"/>
                <w:sz w:val="22"/>
                <w:szCs w:val="22"/>
              </w:rPr>
            </w:pPr>
          </w:p>
          <w:p w:rsidR="00196CDD" w:rsidRPr="00C4221C" w:rsidRDefault="00196CDD" w:rsidP="006D4E93">
            <w:pPr>
              <w:jc w:val="both"/>
              <w:cnfStyle w:val="000000000000"/>
              <w:rPr>
                <w:color w:val="auto"/>
                <w:sz w:val="22"/>
                <w:szCs w:val="22"/>
              </w:rPr>
            </w:pPr>
            <w:r w:rsidRPr="00C4221C">
              <w:rPr>
                <w:color w:val="auto"/>
                <w:sz w:val="22"/>
                <w:szCs w:val="22"/>
              </w:rPr>
              <w:t>OBJETIVO:  Capacitar al recurso humano especializado que labora en los UCSF Especializada en el buen uso y lectura de los Equipos de USG</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3 meses</w:t>
            </w:r>
          </w:p>
        </w:tc>
        <w:tc>
          <w:tcPr>
            <w:tcW w:w="2127"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$30,000.00</w:t>
            </w:r>
          </w:p>
        </w:tc>
        <w:tc>
          <w:tcPr>
            <w:tcW w:w="255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OPS / UNFPA</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MINSAL</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both"/>
              <w:cnfStyle w:val="000000000000"/>
              <w:rPr>
                <w:color w:val="auto"/>
                <w:sz w:val="22"/>
                <w:szCs w:val="22"/>
              </w:rPr>
            </w:pPr>
            <w:r w:rsidRPr="00C4221C">
              <w:rPr>
                <w:color w:val="auto"/>
                <w:sz w:val="22"/>
                <w:szCs w:val="22"/>
              </w:rPr>
              <w:t xml:space="preserve">Análisis epidemiológico de las desigualdades en salud infantil </w:t>
            </w:r>
            <w:r w:rsidRPr="00C4221C">
              <w:rPr>
                <w:color w:val="auto"/>
                <w:sz w:val="22"/>
                <w:szCs w:val="22"/>
              </w:rPr>
              <w:lastRenderedPageBreak/>
              <w:t xml:space="preserve">para la propuesta de estrategias de intervención en salud en el centro escolar (nuclearización) de los municipios de Nva. Granada, Zaragoza y  Sonsonate.  </w:t>
            </w:r>
          </w:p>
          <w:p w:rsidR="00196CDD" w:rsidRPr="00C4221C" w:rsidRDefault="00196CDD" w:rsidP="006D4E93">
            <w:pPr>
              <w:jc w:val="both"/>
              <w:cnfStyle w:val="000000000000"/>
              <w:rPr>
                <w:color w:val="auto"/>
                <w:sz w:val="22"/>
                <w:szCs w:val="22"/>
              </w:rPr>
            </w:pPr>
          </w:p>
          <w:p w:rsidR="00196CDD" w:rsidRPr="00C4221C" w:rsidRDefault="00196CDD" w:rsidP="006D4E93">
            <w:pPr>
              <w:jc w:val="both"/>
              <w:cnfStyle w:val="000000000000"/>
              <w:rPr>
                <w:color w:val="auto"/>
                <w:sz w:val="22"/>
                <w:szCs w:val="22"/>
              </w:rPr>
            </w:pPr>
            <w:r w:rsidRPr="00C4221C">
              <w:rPr>
                <w:color w:val="auto"/>
                <w:sz w:val="22"/>
                <w:szCs w:val="22"/>
              </w:rPr>
              <w:t xml:space="preserve">OBJETIVOS: Estudio comparativo de las variables de la Fesal que refleje las inequidades de los niños y niñas escolarizados </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lastRenderedPageBreak/>
              <w:t>2 años</w:t>
            </w:r>
          </w:p>
        </w:tc>
        <w:tc>
          <w:tcPr>
            <w:tcW w:w="2127"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highlight w:val="yellow"/>
              </w:rPr>
            </w:pPr>
            <w:r w:rsidRPr="00C4221C">
              <w:rPr>
                <w:color w:val="auto"/>
                <w:sz w:val="22"/>
                <w:szCs w:val="22"/>
                <w:highlight w:val="yellow"/>
              </w:rPr>
              <w:t>¿???</w:t>
            </w:r>
          </w:p>
        </w:tc>
        <w:tc>
          <w:tcPr>
            <w:tcW w:w="255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 xml:space="preserve">Cátedra de la UNESCO (Universidad Politécnica </w:t>
            </w:r>
            <w:r w:rsidRPr="00C4221C">
              <w:rPr>
                <w:color w:val="auto"/>
                <w:sz w:val="22"/>
                <w:szCs w:val="22"/>
              </w:rPr>
              <w:lastRenderedPageBreak/>
              <w:t>de Cataluña)</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lastRenderedPageBreak/>
              <w:t>Fortalecimiento institucional</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MINSAL</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both"/>
              <w:cnfStyle w:val="000000000000"/>
              <w:rPr>
                <w:color w:val="auto"/>
                <w:sz w:val="22"/>
                <w:szCs w:val="22"/>
                <w:lang w:val="es-ES_tradnl"/>
              </w:rPr>
            </w:pPr>
            <w:r w:rsidRPr="00C4221C">
              <w:rPr>
                <w:color w:val="auto"/>
                <w:sz w:val="22"/>
                <w:szCs w:val="22"/>
                <w:lang w:val="es-ES_tradnl"/>
              </w:rPr>
              <w:t xml:space="preserve">Diplomado de Promoción de la salud y empoderamiento  de mujeres, individuos familias y comunidad para mejorar la salud materna y neonatal MIFC.  </w:t>
            </w:r>
          </w:p>
          <w:p w:rsidR="00196CDD" w:rsidRPr="00C4221C" w:rsidRDefault="00196CDD" w:rsidP="006D4E93">
            <w:pPr>
              <w:jc w:val="both"/>
              <w:cnfStyle w:val="000000000000"/>
              <w:rPr>
                <w:color w:val="auto"/>
                <w:sz w:val="22"/>
                <w:szCs w:val="22"/>
                <w:lang w:val="es-ES_tradnl"/>
              </w:rPr>
            </w:pPr>
            <w:r w:rsidRPr="00C4221C">
              <w:rPr>
                <w:color w:val="auto"/>
                <w:sz w:val="22"/>
                <w:szCs w:val="22"/>
                <w:lang w:val="es-ES_tradnl"/>
              </w:rPr>
              <w:t xml:space="preserve">OBJETIVO: Desarrollar  capacidades de las o los participantes que le permitan apropiar conocimientos teóricos y prácticos en promoción de la salud para lograr la trasformación de los servicios de salud materno y neonatal. </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6 meses</w:t>
            </w:r>
          </w:p>
        </w:tc>
        <w:tc>
          <w:tcPr>
            <w:tcW w:w="2127"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$ 25,000.00</w:t>
            </w:r>
          </w:p>
        </w:tc>
        <w:tc>
          <w:tcPr>
            <w:tcW w:w="255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Niños del Mundo (EBM)</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 xml:space="preserve"> Fortalecimiento institucional</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MINSAL</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both"/>
              <w:cnfStyle w:val="000000000000"/>
              <w:rPr>
                <w:color w:val="auto"/>
                <w:sz w:val="22"/>
                <w:szCs w:val="22"/>
                <w:lang w:val="es-ES_tradnl"/>
              </w:rPr>
            </w:pPr>
            <w:r w:rsidRPr="00C4221C">
              <w:rPr>
                <w:color w:val="auto"/>
                <w:sz w:val="22"/>
                <w:szCs w:val="22"/>
                <w:lang w:val="es-ES_tradnl"/>
              </w:rPr>
              <w:t xml:space="preserve">Capacitación e Investigación a Nivel Nacional:  </w:t>
            </w:r>
          </w:p>
          <w:p w:rsidR="00196CDD" w:rsidRPr="00C4221C" w:rsidRDefault="00196CDD" w:rsidP="006D4E93">
            <w:pPr>
              <w:jc w:val="both"/>
              <w:cnfStyle w:val="000000000000"/>
              <w:rPr>
                <w:color w:val="auto"/>
                <w:sz w:val="22"/>
                <w:szCs w:val="22"/>
                <w:lang w:val="es-ES_tradnl"/>
              </w:rPr>
            </w:pPr>
          </w:p>
          <w:p w:rsidR="00196CDD" w:rsidRPr="00C4221C" w:rsidRDefault="00196CDD" w:rsidP="006D4E93">
            <w:pPr>
              <w:jc w:val="both"/>
              <w:cnfStyle w:val="000000000000"/>
              <w:rPr>
                <w:color w:val="auto"/>
                <w:sz w:val="22"/>
                <w:szCs w:val="22"/>
                <w:lang w:val="es-ES_tradnl"/>
              </w:rPr>
            </w:pPr>
            <w:r w:rsidRPr="00C4221C">
              <w:rPr>
                <w:color w:val="auto"/>
                <w:sz w:val="22"/>
                <w:szCs w:val="22"/>
                <w:lang w:val="es-ES_tradnl"/>
              </w:rPr>
              <w:t>Sistematización de situación de partida sobre los servicios de salud desplegados en la actualidad.</w:t>
            </w:r>
          </w:p>
          <w:p w:rsidR="00196CDD" w:rsidRPr="00C4221C" w:rsidRDefault="00196CDD" w:rsidP="006D4E93">
            <w:pPr>
              <w:jc w:val="both"/>
              <w:cnfStyle w:val="000000000000"/>
              <w:rPr>
                <w:color w:val="auto"/>
                <w:sz w:val="22"/>
                <w:szCs w:val="22"/>
                <w:lang w:val="es-ES_tradnl"/>
              </w:rPr>
            </w:pPr>
          </w:p>
          <w:p w:rsidR="00196CDD" w:rsidRPr="00C4221C" w:rsidRDefault="00196CDD" w:rsidP="006D4E93">
            <w:pPr>
              <w:jc w:val="both"/>
              <w:cnfStyle w:val="000000000000"/>
              <w:rPr>
                <w:color w:val="auto"/>
                <w:sz w:val="22"/>
                <w:szCs w:val="22"/>
                <w:lang w:val="es-ES_tradnl"/>
              </w:rPr>
            </w:pPr>
            <w:r w:rsidRPr="00C4221C">
              <w:rPr>
                <w:color w:val="auto"/>
                <w:sz w:val="22"/>
                <w:szCs w:val="22"/>
                <w:lang w:val="es-ES_tradnl"/>
              </w:rPr>
              <w:t xml:space="preserve">Definición de necesidades para la formación de RRHH en </w:t>
            </w:r>
            <w:r w:rsidRPr="00C4221C">
              <w:rPr>
                <w:color w:val="auto"/>
                <w:sz w:val="22"/>
                <w:szCs w:val="22"/>
                <w:lang w:val="es-ES_tradnl"/>
              </w:rPr>
              <w:lastRenderedPageBreak/>
              <w:t xml:space="preserve">residencias medicas.  </w:t>
            </w:r>
          </w:p>
          <w:p w:rsidR="00196CDD" w:rsidRPr="00C4221C" w:rsidRDefault="00196CDD" w:rsidP="006D4E93">
            <w:pPr>
              <w:jc w:val="both"/>
              <w:cnfStyle w:val="000000000000"/>
              <w:rPr>
                <w:color w:val="auto"/>
                <w:sz w:val="22"/>
                <w:szCs w:val="22"/>
                <w:lang w:val="es-ES_tradnl"/>
              </w:rPr>
            </w:pPr>
          </w:p>
          <w:p w:rsidR="00196CDD" w:rsidRPr="00C4221C" w:rsidRDefault="00196CDD" w:rsidP="006D4E93">
            <w:pPr>
              <w:jc w:val="both"/>
              <w:cnfStyle w:val="000000000000"/>
              <w:rPr>
                <w:color w:val="auto"/>
                <w:sz w:val="22"/>
                <w:szCs w:val="22"/>
                <w:lang w:val="es-ES_tradnl"/>
              </w:rPr>
            </w:pPr>
            <w:r w:rsidRPr="00C4221C">
              <w:rPr>
                <w:color w:val="auto"/>
                <w:sz w:val="22"/>
                <w:szCs w:val="22"/>
                <w:lang w:val="es-ES_tradnl"/>
              </w:rPr>
              <w:t xml:space="preserve">Definición de necesidades del rol presente y futuro de enfermería. </w:t>
            </w:r>
          </w:p>
          <w:p w:rsidR="00196CDD" w:rsidRPr="00C4221C" w:rsidRDefault="00196CDD" w:rsidP="006D4E93">
            <w:pPr>
              <w:jc w:val="both"/>
              <w:cnfStyle w:val="000000000000"/>
              <w:rPr>
                <w:color w:val="auto"/>
                <w:sz w:val="22"/>
                <w:szCs w:val="22"/>
                <w:lang w:val="es-ES_tradnl"/>
              </w:rPr>
            </w:pPr>
          </w:p>
          <w:p w:rsidR="00196CDD" w:rsidRPr="00C4221C" w:rsidRDefault="00196CDD" w:rsidP="006D4E93">
            <w:pPr>
              <w:jc w:val="both"/>
              <w:cnfStyle w:val="000000000000"/>
              <w:rPr>
                <w:color w:val="auto"/>
                <w:sz w:val="22"/>
                <w:szCs w:val="22"/>
                <w:lang w:val="es-ES_tradnl"/>
              </w:rPr>
            </w:pPr>
            <w:r w:rsidRPr="00C4221C">
              <w:rPr>
                <w:color w:val="auto"/>
                <w:sz w:val="22"/>
                <w:szCs w:val="22"/>
                <w:lang w:val="es-ES_tradnl"/>
              </w:rPr>
              <w:t xml:space="preserve">Asistencia técnica para la identificación de capital social en relación de las políticas publicas de salud </w:t>
            </w:r>
          </w:p>
          <w:p w:rsidR="00196CDD" w:rsidRPr="00C4221C" w:rsidRDefault="00196CDD" w:rsidP="006D4E93">
            <w:pPr>
              <w:jc w:val="both"/>
              <w:cnfStyle w:val="000000000000"/>
              <w:rPr>
                <w:color w:val="auto"/>
                <w:sz w:val="22"/>
                <w:szCs w:val="22"/>
                <w:lang w:val="es-ES_tradnl"/>
              </w:rPr>
            </w:pPr>
          </w:p>
          <w:p w:rsidR="00196CDD" w:rsidRPr="00C4221C" w:rsidRDefault="00196CDD" w:rsidP="006D4E93">
            <w:pPr>
              <w:jc w:val="both"/>
              <w:cnfStyle w:val="000000000000"/>
              <w:rPr>
                <w:color w:val="auto"/>
                <w:sz w:val="22"/>
                <w:szCs w:val="22"/>
              </w:rPr>
            </w:pPr>
            <w:r w:rsidRPr="00C4221C">
              <w:rPr>
                <w:color w:val="auto"/>
                <w:sz w:val="22"/>
                <w:szCs w:val="22"/>
                <w:lang w:val="es-ES_tradnl"/>
              </w:rPr>
              <w:t xml:space="preserve">OBJETIVO: </w:t>
            </w:r>
            <w:r w:rsidRPr="00C4221C">
              <w:rPr>
                <w:color w:val="auto"/>
                <w:sz w:val="22"/>
                <w:szCs w:val="22"/>
              </w:rPr>
              <w:t xml:space="preserve">Contribuir al desarrollo del sector salud apoyando la gestión publica de salud y el fortalecimiento de la red de servicios para la mejora de la salud y calidad de vida para las ciudadanas y ciudadanos salvadoreños. </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lastRenderedPageBreak/>
              <w:t>2 años</w:t>
            </w:r>
          </w:p>
        </w:tc>
        <w:tc>
          <w:tcPr>
            <w:tcW w:w="2127"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$2,470.000.00</w:t>
            </w:r>
          </w:p>
        </w:tc>
        <w:tc>
          <w:tcPr>
            <w:tcW w:w="255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Cooperación de Andalucía</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lastRenderedPageBreak/>
              <w:t xml:space="preserve">Proyecto de fortalecimiento de la salud, nutrición y desarrollo </w:t>
            </w:r>
          </w:p>
          <w:p w:rsidR="00196CDD" w:rsidRPr="009F0A23" w:rsidRDefault="00196CDD" w:rsidP="009F0A23">
            <w:pPr>
              <w:jc w:val="center"/>
              <w:rPr>
                <w:b w:val="0"/>
                <w:sz w:val="22"/>
                <w:szCs w:val="22"/>
              </w:rPr>
            </w:pPr>
          </w:p>
          <w:p w:rsidR="00196CDD" w:rsidRPr="009F0A23" w:rsidRDefault="00196CDD" w:rsidP="009F0A23">
            <w:pPr>
              <w:jc w:val="center"/>
              <w:rPr>
                <w:b w:val="0"/>
                <w:sz w:val="22"/>
                <w:szCs w:val="22"/>
              </w:rPr>
            </w:pPr>
          </w:p>
          <w:p w:rsidR="00196CDD" w:rsidRPr="009F0A23" w:rsidRDefault="00196CDD" w:rsidP="009F0A23">
            <w:pPr>
              <w:jc w:val="center"/>
              <w:rPr>
                <w:b w:val="0"/>
                <w:sz w:val="22"/>
                <w:szCs w:val="22"/>
              </w:rPr>
            </w:pP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MINSAL</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pStyle w:val="HeaderFooterA"/>
              <w:cnfStyle w:val="000000000000"/>
              <w:rPr>
                <w:rFonts w:ascii="Times New Roman" w:hAnsi="Times New Roman"/>
                <w:b w:val="0"/>
                <w:color w:val="auto"/>
                <w:sz w:val="22"/>
                <w:szCs w:val="22"/>
                <w:lang w:val="es-ES"/>
              </w:rPr>
            </w:pPr>
            <w:r w:rsidRPr="00C4221C">
              <w:rPr>
                <w:rFonts w:ascii="Times New Roman" w:hAnsi="Times New Roman"/>
                <w:b w:val="0"/>
                <w:color w:val="auto"/>
                <w:sz w:val="22"/>
                <w:szCs w:val="22"/>
                <w:lang w:val="es-ES"/>
              </w:rPr>
              <w:t>Mejorar la nutrición y desarrollo de los primeros 1000 de vida de los niños y niñas de los asentamientos precarios urbanos</w:t>
            </w:r>
          </w:p>
          <w:p w:rsidR="00196CDD" w:rsidRPr="00C4221C" w:rsidRDefault="00196CDD" w:rsidP="006D4E93">
            <w:pPr>
              <w:pStyle w:val="HeaderFooterA"/>
              <w:cnfStyle w:val="000000000000"/>
              <w:rPr>
                <w:rFonts w:ascii="Times New Roman" w:hAnsi="Times New Roman"/>
                <w:b w:val="0"/>
                <w:color w:val="auto"/>
                <w:sz w:val="22"/>
                <w:szCs w:val="22"/>
                <w:lang w:val="es-ES"/>
              </w:rPr>
            </w:pP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3 años</w:t>
            </w:r>
          </w:p>
        </w:tc>
        <w:tc>
          <w:tcPr>
            <w:tcW w:w="2127"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$2,7000.000.00</w:t>
            </w:r>
          </w:p>
        </w:tc>
        <w:tc>
          <w:tcPr>
            <w:tcW w:w="255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JICA/ Banco Mundial</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Fortalecimiento Institucional</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MINSAL</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both"/>
              <w:cnfStyle w:val="000000000000"/>
              <w:rPr>
                <w:color w:val="auto"/>
                <w:sz w:val="22"/>
                <w:szCs w:val="22"/>
              </w:rPr>
            </w:pPr>
            <w:r w:rsidRPr="00C4221C">
              <w:rPr>
                <w:color w:val="auto"/>
                <w:sz w:val="22"/>
                <w:szCs w:val="22"/>
              </w:rPr>
              <w:t xml:space="preserve">Intercambio de experiencias exitosas para promotores de salud. </w:t>
            </w:r>
          </w:p>
          <w:p w:rsidR="00196CDD" w:rsidRPr="00C4221C" w:rsidRDefault="00196CDD" w:rsidP="006D4E93">
            <w:pPr>
              <w:jc w:val="both"/>
              <w:cnfStyle w:val="000000000000"/>
              <w:rPr>
                <w:color w:val="auto"/>
                <w:sz w:val="22"/>
                <w:szCs w:val="22"/>
              </w:rPr>
            </w:pPr>
          </w:p>
          <w:p w:rsidR="00196CDD" w:rsidRPr="00C4221C" w:rsidRDefault="00196CDD" w:rsidP="006D4E93">
            <w:pPr>
              <w:jc w:val="both"/>
              <w:cnfStyle w:val="000000000000"/>
              <w:rPr>
                <w:color w:val="auto"/>
                <w:sz w:val="22"/>
                <w:szCs w:val="22"/>
              </w:rPr>
            </w:pPr>
            <w:r w:rsidRPr="00C4221C">
              <w:rPr>
                <w:color w:val="auto"/>
                <w:sz w:val="22"/>
                <w:szCs w:val="22"/>
              </w:rPr>
              <w:t xml:space="preserve">OBJETIVO: Conocer el modelo de promotores de salud en Brasil (capacitación, sistema de información, proceso de inmersión comunitaria) </w:t>
            </w:r>
          </w:p>
          <w:p w:rsidR="00196CDD" w:rsidRPr="00C4221C" w:rsidRDefault="00196CDD" w:rsidP="006D4E93">
            <w:pPr>
              <w:jc w:val="both"/>
              <w:cnfStyle w:val="000000000000"/>
              <w:rPr>
                <w:color w:val="auto"/>
                <w:sz w:val="22"/>
                <w:szCs w:val="22"/>
              </w:rPr>
            </w:pP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1 semana</w:t>
            </w:r>
          </w:p>
        </w:tc>
        <w:tc>
          <w:tcPr>
            <w:tcW w:w="2127"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$ 30,000.00</w:t>
            </w:r>
          </w:p>
        </w:tc>
        <w:tc>
          <w:tcPr>
            <w:tcW w:w="255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Fundación Oswaldo Cruz de Brasil</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lastRenderedPageBreak/>
              <w:t>Fortalecimiento institucional y formación de conocimientos</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MINSAL</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pStyle w:val="HeaderFooterA"/>
              <w:spacing w:line="240" w:lineRule="auto"/>
              <w:cnfStyle w:val="000000000000"/>
              <w:rPr>
                <w:rFonts w:ascii="Times New Roman" w:hAnsi="Times New Roman"/>
                <w:b w:val="0"/>
                <w:color w:val="auto"/>
                <w:sz w:val="22"/>
                <w:szCs w:val="22"/>
                <w:lang w:val="es-ES"/>
              </w:rPr>
            </w:pPr>
            <w:r w:rsidRPr="00C4221C">
              <w:rPr>
                <w:rFonts w:ascii="Times New Roman" w:hAnsi="Times New Roman"/>
                <w:b w:val="0"/>
                <w:color w:val="auto"/>
                <w:sz w:val="22"/>
                <w:szCs w:val="22"/>
                <w:lang w:val="es-ES_tradnl"/>
              </w:rPr>
              <w:t>Capacidades y habilidades de los proveedores de servicios de PF, CONO, la nutrición, a nivel institucional y de la comunidad</w:t>
            </w:r>
            <w:r w:rsidRPr="00C4221C">
              <w:rPr>
                <w:rFonts w:ascii="Times New Roman" w:hAnsi="Times New Roman"/>
                <w:b w:val="0"/>
                <w:color w:val="auto"/>
                <w:sz w:val="22"/>
                <w:szCs w:val="22"/>
                <w:lang w:val="es-ES"/>
              </w:rPr>
              <w:t xml:space="preserve"> </w:t>
            </w:r>
          </w:p>
          <w:p w:rsidR="00196CDD" w:rsidRPr="00C4221C" w:rsidRDefault="00196CDD" w:rsidP="006D4E93">
            <w:pPr>
              <w:pStyle w:val="HeaderFooterA"/>
              <w:spacing w:line="240" w:lineRule="auto"/>
              <w:cnfStyle w:val="000000000000"/>
              <w:rPr>
                <w:rFonts w:ascii="Times New Roman" w:hAnsi="Times New Roman"/>
                <w:b w:val="0"/>
                <w:color w:val="auto"/>
                <w:sz w:val="22"/>
                <w:szCs w:val="22"/>
                <w:lang w:val="es-ES"/>
              </w:rPr>
            </w:pPr>
          </w:p>
          <w:p w:rsidR="00196CDD" w:rsidRPr="00C4221C" w:rsidRDefault="00196CDD" w:rsidP="006D4E93">
            <w:pPr>
              <w:pStyle w:val="HeaderFooterA"/>
              <w:spacing w:line="240" w:lineRule="auto"/>
              <w:cnfStyle w:val="000000000000"/>
              <w:rPr>
                <w:rFonts w:ascii="Times New Roman" w:hAnsi="Times New Roman"/>
                <w:b w:val="0"/>
                <w:color w:val="auto"/>
                <w:sz w:val="22"/>
                <w:szCs w:val="22"/>
                <w:lang w:val="es-ES"/>
              </w:rPr>
            </w:pPr>
            <w:r w:rsidRPr="00C4221C">
              <w:rPr>
                <w:rFonts w:ascii="Times New Roman" w:hAnsi="Times New Roman"/>
                <w:b w:val="0"/>
                <w:color w:val="auto"/>
                <w:sz w:val="22"/>
                <w:szCs w:val="22"/>
                <w:lang w:val="es-ES"/>
              </w:rPr>
              <w:t xml:space="preserve">Fortalecimiento y/o Formación de los conocimientos de los  proveedores de salud en los temas prioritariamente materno infantil y nutricionales. </w:t>
            </w:r>
          </w:p>
          <w:p w:rsidR="00196CDD" w:rsidRPr="00C4221C" w:rsidRDefault="00196CDD" w:rsidP="006D4E93">
            <w:pPr>
              <w:pStyle w:val="HeaderFooterA"/>
              <w:spacing w:line="240" w:lineRule="auto"/>
              <w:cnfStyle w:val="000000000000"/>
              <w:rPr>
                <w:rFonts w:ascii="Times New Roman" w:hAnsi="Times New Roman"/>
                <w:b w:val="0"/>
                <w:color w:val="auto"/>
                <w:sz w:val="22"/>
                <w:szCs w:val="22"/>
                <w:lang w:val="es-ES"/>
              </w:rPr>
            </w:pPr>
          </w:p>
          <w:p w:rsidR="00196CDD" w:rsidRPr="00C4221C" w:rsidRDefault="00196CDD" w:rsidP="006D4E93">
            <w:pPr>
              <w:pStyle w:val="HeaderFooterA"/>
              <w:spacing w:line="240" w:lineRule="auto"/>
              <w:cnfStyle w:val="000000000000"/>
              <w:rPr>
                <w:rFonts w:ascii="Times New Roman" w:hAnsi="Times New Roman"/>
                <w:b w:val="0"/>
                <w:color w:val="auto"/>
                <w:sz w:val="22"/>
                <w:szCs w:val="22"/>
                <w:lang w:val="es-ES"/>
              </w:rPr>
            </w:pPr>
            <w:r w:rsidRPr="00C4221C">
              <w:rPr>
                <w:rFonts w:ascii="Times New Roman" w:hAnsi="Times New Roman"/>
                <w:b w:val="0"/>
                <w:color w:val="auto"/>
                <w:sz w:val="22"/>
                <w:szCs w:val="22"/>
                <w:lang w:val="es-ES"/>
              </w:rPr>
              <w:t>Evaluación y seguimiento de las habilidades y capacidades de los proveedores a través del monitoreo de la calidad interna de los sistemas de salud.</w:t>
            </w:r>
          </w:p>
          <w:p w:rsidR="00196CDD" w:rsidRPr="00C4221C" w:rsidRDefault="00196CDD" w:rsidP="006D4E93">
            <w:pPr>
              <w:pStyle w:val="HeaderFooterA"/>
              <w:spacing w:line="240" w:lineRule="auto"/>
              <w:cnfStyle w:val="000000000000"/>
              <w:rPr>
                <w:rFonts w:ascii="Times New Roman" w:hAnsi="Times New Roman"/>
                <w:b w:val="0"/>
                <w:color w:val="auto"/>
                <w:sz w:val="22"/>
                <w:szCs w:val="22"/>
                <w:lang w:val="es-ES"/>
              </w:rPr>
            </w:pPr>
          </w:p>
          <w:p w:rsidR="00196CDD" w:rsidRPr="00C4221C" w:rsidRDefault="00196CDD" w:rsidP="006D4E93">
            <w:pPr>
              <w:pStyle w:val="HeaderFooterA"/>
              <w:spacing w:line="240" w:lineRule="auto"/>
              <w:cnfStyle w:val="000000000000"/>
              <w:rPr>
                <w:rFonts w:ascii="Times New Roman" w:hAnsi="Times New Roman"/>
                <w:b w:val="0"/>
                <w:color w:val="auto"/>
                <w:sz w:val="22"/>
                <w:szCs w:val="22"/>
                <w:lang w:val="es-ES"/>
              </w:rPr>
            </w:pPr>
            <w:r w:rsidRPr="00C4221C">
              <w:rPr>
                <w:rFonts w:ascii="Times New Roman" w:hAnsi="Times New Roman"/>
                <w:b w:val="0"/>
                <w:color w:val="auto"/>
                <w:sz w:val="22"/>
                <w:szCs w:val="22"/>
                <w:lang w:val="es-ES"/>
              </w:rPr>
              <w:t>Desarrollo de modelos y materiales para la consejería cara a cara planificación familiar</w:t>
            </w:r>
          </w:p>
          <w:p w:rsidR="00196CDD" w:rsidRPr="00C4221C" w:rsidRDefault="00196CDD" w:rsidP="006D4E93">
            <w:pPr>
              <w:pStyle w:val="HeaderFooterA"/>
              <w:spacing w:line="240" w:lineRule="auto"/>
              <w:cnfStyle w:val="000000000000"/>
              <w:rPr>
                <w:rFonts w:ascii="Times New Roman" w:hAnsi="Times New Roman"/>
                <w:b w:val="0"/>
                <w:color w:val="auto"/>
                <w:sz w:val="22"/>
                <w:szCs w:val="22"/>
                <w:lang w:val="es-ES"/>
              </w:rPr>
            </w:pP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p>
        </w:tc>
        <w:tc>
          <w:tcPr>
            <w:tcW w:w="2127"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p>
        </w:tc>
        <w:tc>
          <w:tcPr>
            <w:tcW w:w="255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p>
          <w:p w:rsidR="00196CDD" w:rsidRPr="00C4221C" w:rsidRDefault="00196CDD" w:rsidP="006D4E93">
            <w:pPr>
              <w:jc w:val="center"/>
              <w:cnfStyle w:val="000000000000"/>
              <w:rPr>
                <w:color w:val="auto"/>
                <w:sz w:val="22"/>
                <w:szCs w:val="22"/>
              </w:rPr>
            </w:pPr>
          </w:p>
          <w:p w:rsidR="00196CDD" w:rsidRPr="00C4221C" w:rsidRDefault="00196CDD" w:rsidP="006D4E93">
            <w:pPr>
              <w:jc w:val="center"/>
              <w:cnfStyle w:val="000000000000"/>
              <w:rPr>
                <w:color w:val="auto"/>
                <w:sz w:val="22"/>
                <w:szCs w:val="22"/>
              </w:rPr>
            </w:pPr>
            <w:r w:rsidRPr="00C4221C">
              <w:rPr>
                <w:color w:val="auto"/>
                <w:sz w:val="22"/>
                <w:szCs w:val="22"/>
              </w:rPr>
              <w:t>INCIATIVA MESOAMERICANANA</w:t>
            </w:r>
          </w:p>
          <w:p w:rsidR="00196CDD" w:rsidRPr="00C4221C" w:rsidRDefault="00196CDD" w:rsidP="006D4E93">
            <w:pPr>
              <w:jc w:val="center"/>
              <w:cnfStyle w:val="000000000000"/>
              <w:rPr>
                <w:color w:val="auto"/>
                <w:sz w:val="22"/>
                <w:szCs w:val="22"/>
              </w:rPr>
            </w:pPr>
          </w:p>
          <w:p w:rsidR="00196CDD" w:rsidRPr="00C4221C" w:rsidRDefault="00196CDD" w:rsidP="006D4E93">
            <w:pPr>
              <w:jc w:val="center"/>
              <w:cnfStyle w:val="000000000000"/>
              <w:rPr>
                <w:color w:val="auto"/>
                <w:sz w:val="22"/>
                <w:szCs w:val="22"/>
              </w:rPr>
            </w:pPr>
          </w:p>
          <w:p w:rsidR="00196CDD" w:rsidRPr="00C4221C" w:rsidRDefault="00196CDD" w:rsidP="006D4E93">
            <w:pPr>
              <w:jc w:val="center"/>
              <w:cnfStyle w:val="000000000000"/>
              <w:rPr>
                <w:color w:val="auto"/>
                <w:sz w:val="22"/>
                <w:szCs w:val="22"/>
              </w:rPr>
            </w:pPr>
          </w:p>
          <w:p w:rsidR="00196CDD" w:rsidRPr="00C4221C" w:rsidRDefault="00196CDD" w:rsidP="006D4E93">
            <w:pPr>
              <w:jc w:val="center"/>
              <w:cnfStyle w:val="000000000000"/>
              <w:rPr>
                <w:color w:val="auto"/>
                <w:sz w:val="22"/>
                <w:szCs w:val="22"/>
              </w:rPr>
            </w:pPr>
          </w:p>
          <w:p w:rsidR="00196CDD" w:rsidRPr="00C4221C" w:rsidRDefault="00196CDD" w:rsidP="006D4E93">
            <w:pPr>
              <w:jc w:val="center"/>
              <w:cnfStyle w:val="000000000000"/>
              <w:rPr>
                <w:color w:val="auto"/>
                <w:sz w:val="22"/>
                <w:szCs w:val="22"/>
              </w:rPr>
            </w:pPr>
          </w:p>
          <w:p w:rsidR="00196CDD" w:rsidRPr="00C4221C" w:rsidRDefault="00196CDD" w:rsidP="006D4E93">
            <w:pPr>
              <w:jc w:val="center"/>
              <w:cnfStyle w:val="000000000000"/>
              <w:rPr>
                <w:color w:val="auto"/>
                <w:sz w:val="22"/>
                <w:szCs w:val="22"/>
              </w:rPr>
            </w:pP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Establecimiento de sistemas de control interno de calidad de servicio</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MINSAL</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pStyle w:val="HeaderFooterA"/>
              <w:cnfStyle w:val="000000000000"/>
              <w:rPr>
                <w:rFonts w:ascii="Times New Roman" w:hAnsi="Times New Roman"/>
                <w:b w:val="0"/>
                <w:color w:val="auto"/>
                <w:sz w:val="22"/>
                <w:szCs w:val="22"/>
                <w:lang w:val="es-ES"/>
              </w:rPr>
            </w:pPr>
            <w:r w:rsidRPr="00C4221C">
              <w:rPr>
                <w:rFonts w:ascii="Times New Roman" w:hAnsi="Times New Roman"/>
                <w:b w:val="0"/>
                <w:color w:val="auto"/>
                <w:sz w:val="22"/>
                <w:szCs w:val="22"/>
                <w:lang w:val="es-ES"/>
              </w:rPr>
              <w:t>Análisis y seguimiento de indicadores de desempeño y los proveedores de tipos de servicios.</w:t>
            </w:r>
          </w:p>
          <w:p w:rsidR="00196CDD" w:rsidRPr="00C4221C" w:rsidRDefault="00196CDD" w:rsidP="006D4E93">
            <w:pPr>
              <w:pStyle w:val="HeaderFooterA"/>
              <w:cnfStyle w:val="000000000000"/>
              <w:rPr>
                <w:rFonts w:ascii="Times New Roman" w:hAnsi="Times New Roman"/>
                <w:b w:val="0"/>
                <w:color w:val="auto"/>
                <w:sz w:val="22"/>
                <w:szCs w:val="22"/>
                <w:lang w:val="es-ES"/>
              </w:rPr>
            </w:pPr>
          </w:p>
          <w:p w:rsidR="00196CDD" w:rsidRPr="00C4221C" w:rsidRDefault="00196CDD" w:rsidP="006D4E93">
            <w:pPr>
              <w:pStyle w:val="HeaderFooterA"/>
              <w:cnfStyle w:val="000000000000"/>
              <w:rPr>
                <w:rFonts w:ascii="Times New Roman" w:hAnsi="Times New Roman"/>
                <w:b w:val="0"/>
                <w:color w:val="auto"/>
                <w:sz w:val="22"/>
                <w:szCs w:val="22"/>
                <w:lang w:val="es-ES"/>
              </w:rPr>
            </w:pPr>
            <w:r w:rsidRPr="00C4221C">
              <w:rPr>
                <w:rFonts w:ascii="Times New Roman" w:hAnsi="Times New Roman"/>
                <w:b w:val="0"/>
                <w:color w:val="auto"/>
                <w:sz w:val="22"/>
                <w:szCs w:val="22"/>
                <w:lang w:val="es-ES"/>
              </w:rPr>
              <w:t xml:space="preserve">Organización de los equipos de mejora de calidad en las </w:t>
            </w:r>
            <w:r w:rsidRPr="00C4221C">
              <w:rPr>
                <w:rFonts w:ascii="Times New Roman" w:hAnsi="Times New Roman"/>
                <w:b w:val="0"/>
                <w:color w:val="auto"/>
                <w:sz w:val="22"/>
                <w:szCs w:val="22"/>
                <w:lang w:val="es-ES"/>
              </w:rPr>
              <w:lastRenderedPageBreak/>
              <w:t>unidades de primer y segundo nivel</w:t>
            </w:r>
          </w:p>
          <w:p w:rsidR="00196CDD" w:rsidRPr="00C4221C" w:rsidRDefault="00196CDD" w:rsidP="006D4E93">
            <w:pPr>
              <w:pStyle w:val="HeaderFooterA"/>
              <w:cnfStyle w:val="000000000000"/>
              <w:rPr>
                <w:rFonts w:ascii="Times New Roman" w:hAnsi="Times New Roman"/>
                <w:b w:val="0"/>
                <w:color w:val="auto"/>
                <w:sz w:val="22"/>
                <w:szCs w:val="22"/>
                <w:lang w:val="es-ES"/>
              </w:rPr>
            </w:pPr>
          </w:p>
          <w:p w:rsidR="00196CDD" w:rsidRPr="00C4221C" w:rsidRDefault="00196CDD" w:rsidP="006D4E93">
            <w:pPr>
              <w:pStyle w:val="HeaderFooterA"/>
              <w:cnfStyle w:val="000000000000"/>
              <w:rPr>
                <w:rFonts w:ascii="Times New Roman" w:hAnsi="Times New Roman"/>
                <w:b w:val="0"/>
                <w:color w:val="auto"/>
                <w:sz w:val="22"/>
                <w:szCs w:val="22"/>
                <w:lang w:val="es-ES"/>
              </w:rPr>
            </w:pP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lastRenderedPageBreak/>
              <w:t>1 AÑO</w:t>
            </w:r>
          </w:p>
        </w:tc>
        <w:tc>
          <w:tcPr>
            <w:tcW w:w="2127"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p>
        </w:tc>
        <w:tc>
          <w:tcPr>
            <w:tcW w:w="255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INCIATIVA MESOAMERICANAN A</w:t>
            </w:r>
          </w:p>
          <w:p w:rsidR="00196CDD" w:rsidRPr="00C4221C" w:rsidRDefault="00196CDD" w:rsidP="006D4E93">
            <w:pPr>
              <w:jc w:val="center"/>
              <w:cnfStyle w:val="000000000000"/>
              <w:rPr>
                <w:color w:val="auto"/>
                <w:sz w:val="22"/>
                <w:szCs w:val="22"/>
              </w:rPr>
            </w:pP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lastRenderedPageBreak/>
              <w:t>Eje 3: Generación de Ingreso y Desarrollo Productivo</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MOP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both"/>
              <w:cnfStyle w:val="000000000000"/>
              <w:rPr>
                <w:color w:val="auto"/>
                <w:sz w:val="22"/>
                <w:szCs w:val="22"/>
              </w:rPr>
            </w:pPr>
            <w:r w:rsidRPr="00C4221C">
              <w:rPr>
                <w:color w:val="auto"/>
                <w:sz w:val="22"/>
                <w:szCs w:val="22"/>
              </w:rPr>
              <w:t>Taller Oportunidades Económicas a través de Microempresas de mantenimeinto Vial en El Salvador. Actualizar conceptos y procesos metodológicos implementados para la promoción del empleo en la obra pública mediante la creación de microempresas de mantenimiento vial. Se capacitaron alrededor de 150 personas de instituciones de gobierno central y municipal</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Una semana del 12 al 16 de Diciembre de 2011.</w:t>
            </w:r>
          </w:p>
        </w:tc>
        <w:tc>
          <w:tcPr>
            <w:tcW w:w="2127"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Monto asignado: $100,000</w:t>
            </w:r>
          </w:p>
        </w:tc>
        <w:tc>
          <w:tcPr>
            <w:tcW w:w="255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OIT</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rsidRPr="009F0A23">
              <w:rPr>
                <w:b w:val="0"/>
                <w:sz w:val="22"/>
                <w:szCs w:val="22"/>
              </w:rPr>
              <w:t>Eje 3: Generación de Ingreso y Desarrollo Productivo</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MOP</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pStyle w:val="HeaderFooterA"/>
              <w:numPr>
                <w:ilvl w:val="0"/>
                <w:numId w:val="4"/>
              </w:numPr>
              <w:cnfStyle w:val="000000000000"/>
              <w:rPr>
                <w:rFonts w:ascii="Times New Roman" w:hAnsi="Times New Roman"/>
                <w:b w:val="0"/>
                <w:color w:val="auto"/>
                <w:sz w:val="22"/>
                <w:szCs w:val="22"/>
                <w:lang w:val="es-ES"/>
              </w:rPr>
            </w:pPr>
            <w:r w:rsidRPr="00C4221C">
              <w:rPr>
                <w:rFonts w:ascii="Times New Roman" w:hAnsi="Times New Roman"/>
                <w:b w:val="0"/>
                <w:color w:val="auto"/>
                <w:sz w:val="22"/>
                <w:szCs w:val="22"/>
                <w:lang w:val="es-ES"/>
              </w:rPr>
              <w:t>Intercambio de experiencias y conocimientos sobre la formación y operación de microempresas de mantenimiento vial en El Salvador y en Ecuador.</w:t>
            </w:r>
          </w:p>
          <w:p w:rsidR="00196CDD" w:rsidRPr="00C4221C" w:rsidRDefault="00196CDD" w:rsidP="006D4E93">
            <w:pPr>
              <w:pStyle w:val="HeaderFooterA"/>
              <w:numPr>
                <w:ilvl w:val="0"/>
                <w:numId w:val="4"/>
              </w:numPr>
              <w:cnfStyle w:val="000000000000"/>
              <w:rPr>
                <w:rFonts w:ascii="Times New Roman" w:hAnsi="Times New Roman"/>
                <w:b w:val="0"/>
                <w:color w:val="auto"/>
                <w:sz w:val="22"/>
                <w:szCs w:val="22"/>
                <w:lang w:val="es-ES"/>
              </w:rPr>
            </w:pPr>
            <w:r w:rsidRPr="00C4221C">
              <w:rPr>
                <w:rFonts w:ascii="Times New Roman" w:hAnsi="Times New Roman"/>
                <w:b w:val="0"/>
                <w:color w:val="auto"/>
                <w:sz w:val="22"/>
                <w:szCs w:val="22"/>
                <w:lang w:val="es-ES"/>
              </w:rPr>
              <w:t xml:space="preserve">Adecuación de algunos módulos del SITOP a las necesidades salvadoreñas, el cual se ha dejado instalado y se han dado las instrucciones </w:t>
            </w:r>
            <w:r w:rsidRPr="00C4221C">
              <w:rPr>
                <w:rFonts w:ascii="Times New Roman" w:hAnsi="Times New Roman"/>
                <w:b w:val="0"/>
                <w:color w:val="auto"/>
                <w:sz w:val="22"/>
                <w:szCs w:val="22"/>
                <w:lang w:val="es-ES"/>
              </w:rPr>
              <w:lastRenderedPageBreak/>
              <w:t>adecuadas para su manejo.</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lastRenderedPageBreak/>
              <w:t>Dos semanas del 4 al 17 de Marzo de 2012</w:t>
            </w:r>
          </w:p>
        </w:tc>
        <w:tc>
          <w:tcPr>
            <w:tcW w:w="2127"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Monto asignado: $8,000</w:t>
            </w:r>
          </w:p>
        </w:tc>
        <w:tc>
          <w:tcPr>
            <w:tcW w:w="255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C4221C">
              <w:rPr>
                <w:color w:val="auto"/>
                <w:sz w:val="22"/>
                <w:szCs w:val="22"/>
              </w:rPr>
              <w:t>Gobierno de la República de Ecuador y Gobierno de El Salvador</w:t>
            </w:r>
          </w:p>
        </w:tc>
      </w:tr>
      <w:tr w:rsidR="00196CDD" w:rsidRPr="00433DD9"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Default="00196CDD" w:rsidP="00443BB7">
            <w:r>
              <w:lastRenderedPageBreak/>
              <w:t>Diseño y ejecución del Diplomado en Gerontología Social</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433DD9" w:rsidRDefault="00196CDD" w:rsidP="00433DD9">
            <w:pPr>
              <w:jc w:val="center"/>
              <w:cnfStyle w:val="000000000000"/>
              <w:rPr>
                <w:color w:val="auto"/>
              </w:rPr>
            </w:pPr>
            <w:r w:rsidRPr="00433DD9">
              <w:rPr>
                <w:color w:val="auto"/>
              </w:rPr>
              <w:t>SIS-UES</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433DD9" w:rsidRDefault="00196CDD" w:rsidP="00443BB7">
            <w:pPr>
              <w:cnfStyle w:val="000000000000"/>
              <w:rPr>
                <w:color w:val="auto"/>
              </w:rPr>
            </w:pPr>
            <w:r w:rsidRPr="00433DD9">
              <w:rPr>
                <w:color w:val="auto"/>
              </w:rPr>
              <w:t>Objetivo: formación de recurso profesional especializado en el área de envejecimiento. Resultados: 44 profesionales formados</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433DD9" w:rsidRDefault="00196CDD" w:rsidP="00443BB7">
            <w:pPr>
              <w:cnfStyle w:val="000000000000"/>
              <w:rPr>
                <w:color w:val="auto"/>
              </w:rPr>
            </w:pPr>
            <w:r w:rsidRPr="00433DD9">
              <w:rPr>
                <w:color w:val="auto"/>
              </w:rPr>
              <w:t xml:space="preserve">Septiembre 2011 a mayo 2012. </w:t>
            </w:r>
          </w:p>
          <w:p w:rsidR="00196CDD" w:rsidRPr="00433DD9" w:rsidRDefault="00196CDD" w:rsidP="00443BB7">
            <w:pPr>
              <w:cnfStyle w:val="000000000000"/>
              <w:rPr>
                <w:color w:val="auto"/>
              </w:rPr>
            </w:pPr>
          </w:p>
        </w:tc>
        <w:tc>
          <w:tcPr>
            <w:tcW w:w="2127"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433DD9" w:rsidRDefault="00196CDD" w:rsidP="00433DD9">
            <w:pPr>
              <w:jc w:val="center"/>
              <w:cnfStyle w:val="000000000000"/>
              <w:rPr>
                <w:color w:val="auto"/>
              </w:rPr>
            </w:pPr>
            <w:bookmarkStart w:id="0" w:name="_GoBack"/>
            <w:bookmarkEnd w:id="0"/>
            <w:r w:rsidRPr="00433DD9">
              <w:rPr>
                <w:color w:val="auto"/>
              </w:rPr>
              <w:t>Programa Presidencial $40,000.00</w:t>
            </w:r>
          </w:p>
          <w:p w:rsidR="00196CDD" w:rsidRPr="00433DD9" w:rsidRDefault="00196CDD" w:rsidP="00433DD9">
            <w:pPr>
              <w:jc w:val="center"/>
              <w:cnfStyle w:val="000000000000"/>
              <w:rPr>
                <w:color w:val="auto"/>
              </w:rPr>
            </w:pPr>
            <w:r w:rsidRPr="00433DD9">
              <w:rPr>
                <w:color w:val="auto"/>
              </w:rPr>
              <w:t>Cooperación: $20,000.00</w:t>
            </w:r>
          </w:p>
        </w:tc>
        <w:tc>
          <w:tcPr>
            <w:tcW w:w="255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433DD9" w:rsidRDefault="00196CDD" w:rsidP="00433DD9">
            <w:pPr>
              <w:jc w:val="center"/>
              <w:cnfStyle w:val="000000000000"/>
              <w:rPr>
                <w:color w:val="auto"/>
              </w:rPr>
            </w:pPr>
            <w:r w:rsidRPr="00433DD9">
              <w:rPr>
                <w:color w:val="auto"/>
              </w:rPr>
              <w:t>Red Iberoamericana intergubernamental de cooperación técnica</w:t>
            </w:r>
            <w:r>
              <w:rPr>
                <w:color w:val="auto"/>
              </w:rPr>
              <w:t xml:space="preserve"> (RIICOTEC) </w:t>
            </w:r>
            <w:r w:rsidRPr="00433DD9">
              <w:rPr>
                <w:color w:val="auto"/>
              </w:rPr>
              <w:t xml:space="preserve"> e IMSERSO.</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Default="00196CDD" w:rsidP="00443BB7">
            <w:r>
              <w:t>Diagnostico Situacional: “Perfil de adultos mayores de municipios de CSR”.</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433DD9" w:rsidRDefault="00196CDD" w:rsidP="00433DD9">
            <w:pPr>
              <w:jc w:val="center"/>
              <w:cnfStyle w:val="000000000000"/>
              <w:rPr>
                <w:color w:val="auto"/>
              </w:rPr>
            </w:pPr>
            <w:r w:rsidRPr="00433DD9">
              <w:rPr>
                <w:color w:val="auto"/>
              </w:rPr>
              <w:t>SIS, FISDL, DIGESTYC</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433DD9" w:rsidRDefault="00196CDD" w:rsidP="00443BB7">
            <w:pPr>
              <w:cnfStyle w:val="000000000000"/>
              <w:rPr>
                <w:color w:val="auto"/>
              </w:rPr>
            </w:pPr>
            <w:r w:rsidRPr="00433DD9">
              <w:rPr>
                <w:color w:val="auto"/>
              </w:rPr>
              <w:t>Objetivo: conocer la situación de PAM en municipios CSR para determinar intervenciones de NMD, cooperación técnica y financiera.</w:t>
            </w:r>
          </w:p>
          <w:p w:rsidR="00196CDD" w:rsidRPr="00433DD9" w:rsidRDefault="00196CDD" w:rsidP="00443BB7">
            <w:pPr>
              <w:cnfStyle w:val="000000000000"/>
              <w:rPr>
                <w:color w:val="auto"/>
              </w:rPr>
            </w:pPr>
            <w:r w:rsidRPr="00433DD9">
              <w:rPr>
                <w:color w:val="auto"/>
              </w:rPr>
              <w:t>Resultados: datos y evaluación PAM en municipios de intervención.</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433DD9" w:rsidRDefault="00196CDD" w:rsidP="00433DD9">
            <w:pPr>
              <w:cnfStyle w:val="000000000000"/>
              <w:rPr>
                <w:color w:val="auto"/>
              </w:rPr>
            </w:pPr>
            <w:r w:rsidRPr="00433DD9">
              <w:rPr>
                <w:color w:val="auto"/>
              </w:rPr>
              <w:t>Junio 2011 a marzo 2012</w:t>
            </w:r>
          </w:p>
          <w:p w:rsidR="00196CDD" w:rsidRPr="00433DD9" w:rsidRDefault="00196CDD" w:rsidP="006D4E93">
            <w:pPr>
              <w:jc w:val="center"/>
              <w:cnfStyle w:val="000000000000"/>
              <w:rPr>
                <w:color w:val="auto"/>
                <w:sz w:val="22"/>
                <w:szCs w:val="22"/>
              </w:rPr>
            </w:pPr>
          </w:p>
        </w:tc>
        <w:tc>
          <w:tcPr>
            <w:tcW w:w="2127"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433DD9" w:rsidRDefault="00196CDD" w:rsidP="006D4E93">
            <w:pPr>
              <w:jc w:val="center"/>
              <w:cnfStyle w:val="000000000000"/>
              <w:rPr>
                <w:color w:val="auto"/>
                <w:sz w:val="22"/>
                <w:szCs w:val="22"/>
              </w:rPr>
            </w:pPr>
            <w:r w:rsidRPr="00433DD9">
              <w:rPr>
                <w:color w:val="auto"/>
              </w:rPr>
              <w:t>$120,000.00</w:t>
            </w:r>
          </w:p>
        </w:tc>
        <w:tc>
          <w:tcPr>
            <w:tcW w:w="255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Pr>
                <w:color w:val="auto"/>
                <w:sz w:val="22"/>
                <w:szCs w:val="22"/>
              </w:rPr>
              <w:t>BID</w:t>
            </w:r>
          </w:p>
        </w:tc>
      </w:tr>
      <w:tr w:rsidR="00196CDD" w:rsidRPr="009F0A23" w:rsidTr="0071442E">
        <w:tc>
          <w:tcPr>
            <w:cnfStyle w:val="001000000000"/>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r>
              <w:t>Mejoramiento de hogares</w:t>
            </w: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433DD9" w:rsidRDefault="00196CDD" w:rsidP="00433DD9">
            <w:pPr>
              <w:jc w:val="center"/>
              <w:cnfStyle w:val="000000000000"/>
              <w:rPr>
                <w:color w:val="auto"/>
                <w:sz w:val="22"/>
                <w:szCs w:val="22"/>
              </w:rPr>
            </w:pPr>
            <w:r w:rsidRPr="00433DD9">
              <w:rPr>
                <w:color w:val="auto"/>
              </w:rPr>
              <w:t>SIS y hogares</w:t>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pStyle w:val="HeaderFooterA"/>
              <w:cnfStyle w:val="000000000000"/>
              <w:rPr>
                <w:rFonts w:ascii="Times New Roman" w:hAnsi="Times New Roman"/>
                <w:b w:val="0"/>
                <w:color w:val="auto"/>
                <w:sz w:val="22"/>
                <w:szCs w:val="22"/>
                <w:lang w:val="es-ES"/>
              </w:rPr>
            </w:pPr>
            <w:r w:rsidRPr="00433DD9">
              <w:rPr>
                <w:rFonts w:ascii="Times New Roman" w:hAnsi="Times New Roman"/>
                <w:b w:val="0"/>
                <w:color w:val="auto"/>
                <w:sz w:val="22"/>
                <w:szCs w:val="22"/>
                <w:lang w:val="es-SV"/>
              </w:rPr>
              <w:t>Análisis, evaluación y recomendaciones para mejorar calidad de servicios de hogares.</w:t>
            </w: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433DD9" w:rsidRDefault="00196CDD" w:rsidP="00433DD9">
            <w:pPr>
              <w:jc w:val="center"/>
              <w:cnfStyle w:val="000000000000"/>
              <w:rPr>
                <w:color w:val="auto"/>
                <w:sz w:val="22"/>
                <w:szCs w:val="22"/>
                <w:lang w:val="es-SV"/>
              </w:rPr>
            </w:pPr>
            <w:r w:rsidRPr="00433DD9">
              <w:rPr>
                <w:color w:val="auto"/>
                <w:sz w:val="22"/>
                <w:szCs w:val="22"/>
                <w:lang w:val="es-SV"/>
              </w:rPr>
              <w:t>Mayo a octubre 2011</w:t>
            </w:r>
          </w:p>
          <w:p w:rsidR="00196CDD" w:rsidRPr="00C4221C" w:rsidRDefault="00196CDD" w:rsidP="006D4E93">
            <w:pPr>
              <w:jc w:val="center"/>
              <w:cnfStyle w:val="000000000000"/>
              <w:rPr>
                <w:color w:val="auto"/>
                <w:sz w:val="22"/>
                <w:szCs w:val="22"/>
              </w:rPr>
            </w:pPr>
          </w:p>
        </w:tc>
        <w:tc>
          <w:tcPr>
            <w:tcW w:w="2127"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433DD9">
              <w:rPr>
                <w:color w:val="auto"/>
                <w:sz w:val="22"/>
                <w:szCs w:val="22"/>
                <w:lang w:val="es-SV"/>
              </w:rPr>
              <w:t>$30,000.00</w:t>
            </w:r>
          </w:p>
        </w:tc>
        <w:tc>
          <w:tcPr>
            <w:tcW w:w="255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r w:rsidRPr="00433DD9">
              <w:rPr>
                <w:color w:val="auto"/>
                <w:sz w:val="22"/>
                <w:szCs w:val="22"/>
                <w:lang w:val="es-SV"/>
              </w:rPr>
              <w:t>RIICOTEC-IMSERSO</w:t>
            </w:r>
          </w:p>
        </w:tc>
      </w:tr>
      <w:tr w:rsidR="00196CDD" w:rsidRPr="009F0A23" w:rsidTr="0071442E">
        <w:tc>
          <w:tcPr>
            <w:cnfStyle w:val="001000000001"/>
            <w:tcW w:w="2660" w:type="dxa"/>
            <w:tcBorders>
              <w:top w:val="single" w:sz="4" w:space="0" w:color="002060"/>
              <w:left w:val="single" w:sz="4" w:space="0" w:color="002060"/>
              <w:bottom w:val="single" w:sz="4" w:space="0" w:color="002060"/>
              <w:right w:val="single" w:sz="4" w:space="0" w:color="002060"/>
            </w:tcBorders>
          </w:tcPr>
          <w:p w:rsidR="00196CDD" w:rsidRPr="009F0A23" w:rsidRDefault="00196CDD" w:rsidP="009F0A23">
            <w:pPr>
              <w:jc w:val="center"/>
              <w:rPr>
                <w:b w:val="0"/>
                <w:sz w:val="22"/>
                <w:szCs w:val="22"/>
              </w:rPr>
            </w:pPr>
          </w:p>
        </w:tc>
        <w:tc>
          <w:tcPr>
            <w:tcW w:w="170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BB5990">
            <w:pPr>
              <w:tabs>
                <w:tab w:val="left" w:pos="1351"/>
              </w:tabs>
              <w:cnfStyle w:val="000000000000"/>
              <w:rPr>
                <w:color w:val="auto"/>
                <w:sz w:val="22"/>
                <w:szCs w:val="22"/>
              </w:rPr>
            </w:pPr>
            <w:r w:rsidRPr="00C4221C">
              <w:rPr>
                <w:color w:val="auto"/>
                <w:sz w:val="22"/>
                <w:szCs w:val="22"/>
              </w:rPr>
              <w:tab/>
            </w:r>
          </w:p>
        </w:tc>
        <w:tc>
          <w:tcPr>
            <w:tcW w:w="3260"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pStyle w:val="HeaderFooterA"/>
              <w:cnfStyle w:val="000000000000"/>
              <w:rPr>
                <w:rFonts w:ascii="Times New Roman" w:hAnsi="Times New Roman"/>
                <w:b w:val="0"/>
                <w:color w:val="auto"/>
                <w:sz w:val="22"/>
                <w:szCs w:val="22"/>
                <w:lang w:val="es-ES"/>
              </w:rPr>
            </w:pPr>
          </w:p>
        </w:tc>
        <w:tc>
          <w:tcPr>
            <w:tcW w:w="1559"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p>
        </w:tc>
        <w:tc>
          <w:tcPr>
            <w:tcW w:w="2127" w:type="dxa"/>
            <w:gridSpan w:val="2"/>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p>
        </w:tc>
        <w:tc>
          <w:tcPr>
            <w:tcW w:w="2551" w:type="dxa"/>
            <w:tcBorders>
              <w:top w:val="single" w:sz="4" w:space="0" w:color="002060"/>
              <w:left w:val="single" w:sz="4" w:space="0" w:color="002060"/>
              <w:bottom w:val="single" w:sz="4" w:space="0" w:color="002060"/>
              <w:right w:val="single" w:sz="4" w:space="0" w:color="002060"/>
            </w:tcBorders>
            <w:shd w:val="clear" w:color="auto" w:fill="DBE5F1" w:themeFill="accent1" w:themeFillTint="33"/>
          </w:tcPr>
          <w:p w:rsidR="00196CDD" w:rsidRPr="00C4221C" w:rsidRDefault="00196CDD" w:rsidP="006D4E93">
            <w:pPr>
              <w:jc w:val="center"/>
              <w:cnfStyle w:val="000000000000"/>
              <w:rPr>
                <w:color w:val="auto"/>
                <w:sz w:val="22"/>
                <w:szCs w:val="22"/>
              </w:rPr>
            </w:pPr>
          </w:p>
        </w:tc>
      </w:tr>
    </w:tbl>
    <w:p w:rsidR="00C8718D" w:rsidRPr="009F0A23" w:rsidRDefault="00C8718D" w:rsidP="006D4E93">
      <w:pPr>
        <w:jc w:val="both"/>
        <w:rPr>
          <w:sz w:val="22"/>
          <w:szCs w:val="22"/>
        </w:rPr>
      </w:pPr>
    </w:p>
    <w:p w:rsidR="00B247DB" w:rsidRDefault="00B247DB" w:rsidP="005E53FB">
      <w:pPr>
        <w:rPr>
          <w:sz w:val="22"/>
          <w:szCs w:val="22"/>
        </w:rPr>
      </w:pPr>
    </w:p>
    <w:p w:rsidR="00B247DB" w:rsidRDefault="00B247DB" w:rsidP="006D4E93">
      <w:pPr>
        <w:jc w:val="both"/>
        <w:rPr>
          <w:sz w:val="22"/>
          <w:szCs w:val="22"/>
        </w:rPr>
      </w:pPr>
    </w:p>
    <w:p w:rsidR="00B247DB" w:rsidRPr="009F0A23" w:rsidRDefault="00B247DB" w:rsidP="006D4E93">
      <w:pPr>
        <w:jc w:val="both"/>
        <w:rPr>
          <w:sz w:val="22"/>
          <w:szCs w:val="22"/>
        </w:rPr>
      </w:pPr>
    </w:p>
    <w:sectPr w:rsidR="00B247DB" w:rsidRPr="009F0A23" w:rsidSect="00AD0FCE">
      <w:pgSz w:w="16838" w:h="11906" w:orient="landscape"/>
      <w:pgMar w:top="1701" w:right="962" w:bottom="170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D01" w:rsidRDefault="00770D01" w:rsidP="00FF3646">
      <w:r>
        <w:separator/>
      </w:r>
    </w:p>
  </w:endnote>
  <w:endnote w:type="continuationSeparator" w:id="1">
    <w:p w:rsidR="00770D01" w:rsidRDefault="00770D01" w:rsidP="00FF36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D01" w:rsidRDefault="00770D01" w:rsidP="00FF3646">
      <w:r>
        <w:separator/>
      </w:r>
    </w:p>
  </w:footnote>
  <w:footnote w:type="continuationSeparator" w:id="1">
    <w:p w:rsidR="00770D01" w:rsidRDefault="00770D01" w:rsidP="00FF3646">
      <w:r>
        <w:continuationSeparator/>
      </w:r>
    </w:p>
  </w:footnote>
  <w:footnote w:id="2">
    <w:p w:rsidR="00A936BC" w:rsidRPr="00B247DB" w:rsidRDefault="00A936BC">
      <w:pPr>
        <w:pStyle w:val="FootnoteText"/>
        <w:rPr>
          <w:rFonts w:ascii="Bookman Old Style" w:hAnsi="Bookman Old Style"/>
        </w:rPr>
      </w:pPr>
      <w:r w:rsidRPr="00B247DB">
        <w:rPr>
          <w:rStyle w:val="FootnoteReference"/>
          <w:rFonts w:ascii="Bookman Old Style" w:hAnsi="Bookman Old Style"/>
        </w:rPr>
        <w:footnoteRef/>
      </w:r>
      <w:r w:rsidRPr="00B247DB">
        <w:rPr>
          <w:rFonts w:ascii="Bookman Old Style" w:hAnsi="Bookman Old Style"/>
        </w:rPr>
        <w:t xml:space="preserve"> El mapeo se ha ordenado en base a las Instituciones Ejecutoras del Programa Comunidades Solidarias (PCS)  en sus dos ejes de acción territorial, es decir: Comunidades Solidarias Urbanas (PCSU) como Comunidades Solidarias Rurales (CSR)</w:t>
      </w:r>
    </w:p>
  </w:footnote>
  <w:footnote w:id="3">
    <w:p w:rsidR="00984452" w:rsidRPr="00B247DB" w:rsidRDefault="00984452" w:rsidP="00984452">
      <w:pPr>
        <w:pStyle w:val="FootnoteText"/>
        <w:jc w:val="both"/>
        <w:rPr>
          <w:rFonts w:ascii="Bookman Old Style" w:hAnsi="Bookman Old Style"/>
          <w:lang w:val="es-ES"/>
        </w:rPr>
      </w:pPr>
      <w:r w:rsidRPr="00B247DB">
        <w:rPr>
          <w:rStyle w:val="FootnoteReference"/>
          <w:rFonts w:ascii="Bookman Old Style" w:hAnsi="Bookman Old Style"/>
        </w:rPr>
        <w:footnoteRef/>
      </w:r>
      <w:r w:rsidRPr="00B247DB">
        <w:rPr>
          <w:rFonts w:ascii="Bookman Old Style" w:hAnsi="Bookman Old Style"/>
        </w:rPr>
        <w:t xml:space="preserve"> Dentro de las Instituciones Ejecutoras la Dirección de Protección Civil no tiene programado tener asistencias técnicas entre el período que incluye el presente mapeo (enero 2011 a junio 2012). Por su parte el Ministerio Nacional de Educación (MINED) reportó que </w:t>
      </w:r>
      <w:r w:rsidRPr="00B247DB">
        <w:rPr>
          <w:rFonts w:ascii="Bookman Old Style" w:hAnsi="Bookman Old Style"/>
          <w:lang w:val="es-ES"/>
        </w:rPr>
        <w:t>Como programa, no tenemos  asistencias técnicas ejecutando o programadas para el periodo solicitado, de enero a junio 2012. No obstante, tenemos planificadas para el segundo semestre del 2012, asistencias técnicas para el fortalecimiento de capacidades vinculadas al seguimiento y evaluación educativa de la implementación del modelo de atención  y desarrollo integral  de la primera infancia,  así como un sistema de registro y referencia. Ambas actividades se realizarán en el marco del convenio con la Unión Europea para el “Programa de apoyo a comunidades solidarias de El Salvador”.</w:t>
      </w:r>
    </w:p>
  </w:footnote>
  <w:footnote w:id="4">
    <w:p w:rsidR="00196CDD" w:rsidRDefault="00196CDD">
      <w:pPr>
        <w:pStyle w:val="FootnoteText"/>
      </w:pPr>
      <w:r w:rsidRPr="00B247DB">
        <w:rPr>
          <w:rStyle w:val="FootnoteReference"/>
          <w:rFonts w:ascii="Bookman Old Style" w:hAnsi="Bookman Old Style"/>
        </w:rPr>
        <w:footnoteRef/>
      </w:r>
      <w:r w:rsidRPr="00B247DB">
        <w:rPr>
          <w:rFonts w:ascii="Bookman Old Style" w:hAnsi="Bookman Old Style"/>
        </w:rPr>
        <w:t xml:space="preserve"> Las Asistencias técnicas financiadas por AECID, se prorrogan dos meses m</w:t>
      </w:r>
      <w:r w:rsidR="00984452" w:rsidRPr="00B247DB">
        <w:rPr>
          <w:rFonts w:ascii="Bookman Old Style" w:hAnsi="Bookman Old Style"/>
        </w:rPr>
        <w:t>ás a partir de la fecha de finalización de contrato.</w:t>
      </w:r>
      <w:r w:rsidR="00984452">
        <w:t xml:space="preserve"> </w:t>
      </w:r>
    </w:p>
  </w:footnote>
  <w:footnote w:id="5">
    <w:p w:rsidR="00196CDD" w:rsidRDefault="00196CDD" w:rsidP="006D4E93">
      <w:pPr>
        <w:pStyle w:val="FootnoteText"/>
      </w:pPr>
      <w:r>
        <w:rPr>
          <w:rStyle w:val="FootnoteReference"/>
        </w:rPr>
        <w:footnoteRef/>
      </w:r>
      <w:r>
        <w:t xml:space="preserve"> En el caso de las AT financiadas por la UE se prevé Misiones temáticas de corta duración de 10 meses cada una.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31731"/>
    <w:multiLevelType w:val="hybridMultilevel"/>
    <w:tmpl w:val="E51C18B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46322D4B"/>
    <w:multiLevelType w:val="hybridMultilevel"/>
    <w:tmpl w:val="C65A0C36"/>
    <w:lvl w:ilvl="0" w:tplc="FF865290">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D200BC1"/>
    <w:multiLevelType w:val="hybridMultilevel"/>
    <w:tmpl w:val="709A36A2"/>
    <w:lvl w:ilvl="0" w:tplc="4F143F80">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228440C"/>
    <w:multiLevelType w:val="hybridMultilevel"/>
    <w:tmpl w:val="A0348B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footnotePr>
    <w:footnote w:id="0"/>
    <w:footnote w:id="1"/>
  </w:footnotePr>
  <w:endnotePr>
    <w:endnote w:id="0"/>
    <w:endnote w:id="1"/>
  </w:endnotePr>
  <w:compat/>
  <w:rsids>
    <w:rsidRoot w:val="00D24DE5"/>
    <w:rsid w:val="00001155"/>
    <w:rsid w:val="00011741"/>
    <w:rsid w:val="00011C51"/>
    <w:rsid w:val="00012471"/>
    <w:rsid w:val="00015C9E"/>
    <w:rsid w:val="00075C31"/>
    <w:rsid w:val="00085A57"/>
    <w:rsid w:val="00095244"/>
    <w:rsid w:val="000C394F"/>
    <w:rsid w:val="000E2941"/>
    <w:rsid w:val="000E79E1"/>
    <w:rsid w:val="0014136F"/>
    <w:rsid w:val="0015792E"/>
    <w:rsid w:val="00162111"/>
    <w:rsid w:val="001754B7"/>
    <w:rsid w:val="00196CDD"/>
    <w:rsid w:val="001A6B68"/>
    <w:rsid w:val="001B3078"/>
    <w:rsid w:val="001C19A8"/>
    <w:rsid w:val="001D49DF"/>
    <w:rsid w:val="001E4E63"/>
    <w:rsid w:val="00210AEB"/>
    <w:rsid w:val="00215395"/>
    <w:rsid w:val="002920ED"/>
    <w:rsid w:val="003F0F34"/>
    <w:rsid w:val="0041783A"/>
    <w:rsid w:val="00433DD9"/>
    <w:rsid w:val="00440DC7"/>
    <w:rsid w:val="004533A0"/>
    <w:rsid w:val="00506B09"/>
    <w:rsid w:val="00525AED"/>
    <w:rsid w:val="00555183"/>
    <w:rsid w:val="00596436"/>
    <w:rsid w:val="005B60CE"/>
    <w:rsid w:val="005D2998"/>
    <w:rsid w:val="005D331C"/>
    <w:rsid w:val="005E1B41"/>
    <w:rsid w:val="005E53FB"/>
    <w:rsid w:val="006000A0"/>
    <w:rsid w:val="00633A3A"/>
    <w:rsid w:val="00650C3F"/>
    <w:rsid w:val="00653D86"/>
    <w:rsid w:val="00685955"/>
    <w:rsid w:val="006D4E93"/>
    <w:rsid w:val="0071442E"/>
    <w:rsid w:val="00770D01"/>
    <w:rsid w:val="00771126"/>
    <w:rsid w:val="00791DE6"/>
    <w:rsid w:val="007D31F9"/>
    <w:rsid w:val="007F0707"/>
    <w:rsid w:val="00807BBF"/>
    <w:rsid w:val="008104E3"/>
    <w:rsid w:val="00845A2C"/>
    <w:rsid w:val="008509B9"/>
    <w:rsid w:val="00933C42"/>
    <w:rsid w:val="0098243F"/>
    <w:rsid w:val="00984452"/>
    <w:rsid w:val="009B73DB"/>
    <w:rsid w:val="009D0C7C"/>
    <w:rsid w:val="009E2B9F"/>
    <w:rsid w:val="009F0A23"/>
    <w:rsid w:val="009F3D55"/>
    <w:rsid w:val="009F554C"/>
    <w:rsid w:val="00A461F2"/>
    <w:rsid w:val="00A936BC"/>
    <w:rsid w:val="00A96C1E"/>
    <w:rsid w:val="00AB1896"/>
    <w:rsid w:val="00AC77BE"/>
    <w:rsid w:val="00AD0FCE"/>
    <w:rsid w:val="00AD1AEA"/>
    <w:rsid w:val="00AD4BC0"/>
    <w:rsid w:val="00AD55A4"/>
    <w:rsid w:val="00B247DB"/>
    <w:rsid w:val="00B9001E"/>
    <w:rsid w:val="00B94CD9"/>
    <w:rsid w:val="00BB5990"/>
    <w:rsid w:val="00BD5FC5"/>
    <w:rsid w:val="00C03F09"/>
    <w:rsid w:val="00C21F84"/>
    <w:rsid w:val="00C4221C"/>
    <w:rsid w:val="00C520FA"/>
    <w:rsid w:val="00C54536"/>
    <w:rsid w:val="00C8454A"/>
    <w:rsid w:val="00C8718D"/>
    <w:rsid w:val="00CA7CF2"/>
    <w:rsid w:val="00D12CFC"/>
    <w:rsid w:val="00D24DE5"/>
    <w:rsid w:val="00D252DF"/>
    <w:rsid w:val="00D64FCF"/>
    <w:rsid w:val="00D74171"/>
    <w:rsid w:val="00D9323D"/>
    <w:rsid w:val="00E20204"/>
    <w:rsid w:val="00E343C8"/>
    <w:rsid w:val="00E47922"/>
    <w:rsid w:val="00E5443D"/>
    <w:rsid w:val="00E578E4"/>
    <w:rsid w:val="00E666A5"/>
    <w:rsid w:val="00E7381A"/>
    <w:rsid w:val="00E81C1A"/>
    <w:rsid w:val="00ED0274"/>
    <w:rsid w:val="00EE1DB5"/>
    <w:rsid w:val="00F340E8"/>
    <w:rsid w:val="00F46276"/>
    <w:rsid w:val="00F54C2F"/>
    <w:rsid w:val="00FB2D6B"/>
    <w:rsid w:val="00FB775C"/>
    <w:rsid w:val="00FF3646"/>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3C42"/>
    <w:rPr>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4D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FooterA">
    <w:name w:val="Header &amp; Footer A"/>
    <w:autoRedefine/>
    <w:rsid w:val="00095244"/>
    <w:pPr>
      <w:spacing w:line="100" w:lineRule="atLeast"/>
      <w:ind w:right="333"/>
      <w:jc w:val="both"/>
    </w:pPr>
    <w:rPr>
      <w:rFonts w:ascii="Calibri" w:hAnsi="Calibri"/>
      <w:b/>
      <w:sz w:val="24"/>
      <w:lang w:eastAsia="es-SV"/>
    </w:rPr>
  </w:style>
  <w:style w:type="paragraph" w:customStyle="1" w:styleId="BodyA">
    <w:name w:val="Body A"/>
    <w:rsid w:val="00685955"/>
    <w:pPr>
      <w:spacing w:line="100" w:lineRule="atLeast"/>
    </w:pPr>
    <w:rPr>
      <w:rFonts w:ascii="Helvetica" w:eastAsia="ヒラギノ角ゴ Pro W3" w:hAnsi="Helvetica"/>
      <w:color w:val="000000"/>
      <w:kern w:val="1"/>
      <w:sz w:val="24"/>
      <w:lang w:val="en-US" w:eastAsia="en-US"/>
    </w:rPr>
  </w:style>
  <w:style w:type="character" w:styleId="CommentReference">
    <w:name w:val="annotation reference"/>
    <w:basedOn w:val="DefaultParagraphFont"/>
    <w:semiHidden/>
    <w:rsid w:val="00AD1AEA"/>
    <w:rPr>
      <w:sz w:val="16"/>
      <w:szCs w:val="16"/>
    </w:rPr>
  </w:style>
  <w:style w:type="paragraph" w:styleId="CommentText">
    <w:name w:val="annotation text"/>
    <w:basedOn w:val="Normal"/>
    <w:semiHidden/>
    <w:rsid w:val="00AD1AEA"/>
    <w:rPr>
      <w:sz w:val="20"/>
      <w:szCs w:val="20"/>
    </w:rPr>
  </w:style>
  <w:style w:type="paragraph" w:styleId="CommentSubject">
    <w:name w:val="annotation subject"/>
    <w:basedOn w:val="CommentText"/>
    <w:next w:val="CommentText"/>
    <w:semiHidden/>
    <w:rsid w:val="00AD1AEA"/>
    <w:rPr>
      <w:b/>
      <w:bCs/>
    </w:rPr>
  </w:style>
  <w:style w:type="paragraph" w:styleId="BalloonText">
    <w:name w:val="Balloon Text"/>
    <w:basedOn w:val="Normal"/>
    <w:semiHidden/>
    <w:rsid w:val="00AD1AEA"/>
    <w:rPr>
      <w:rFonts w:ascii="Tahoma" w:hAnsi="Tahoma" w:cs="Tahoma"/>
      <w:sz w:val="16"/>
      <w:szCs w:val="16"/>
    </w:rPr>
  </w:style>
  <w:style w:type="paragraph" w:styleId="ListParagraph">
    <w:name w:val="List Paragraph"/>
    <w:basedOn w:val="Normal"/>
    <w:uiPriority w:val="34"/>
    <w:qFormat/>
    <w:rsid w:val="005D331C"/>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rsid w:val="00FF3646"/>
    <w:pPr>
      <w:tabs>
        <w:tab w:val="center" w:pos="4419"/>
        <w:tab w:val="right" w:pos="8838"/>
      </w:tabs>
    </w:pPr>
  </w:style>
  <w:style w:type="character" w:customStyle="1" w:styleId="HeaderChar">
    <w:name w:val="Header Char"/>
    <w:basedOn w:val="DefaultParagraphFont"/>
    <w:link w:val="Header"/>
    <w:rsid w:val="00FF3646"/>
    <w:rPr>
      <w:sz w:val="24"/>
      <w:szCs w:val="24"/>
      <w:lang w:eastAsia="es-ES"/>
    </w:rPr>
  </w:style>
  <w:style w:type="paragraph" w:styleId="Footer">
    <w:name w:val="footer"/>
    <w:basedOn w:val="Normal"/>
    <w:link w:val="FooterChar"/>
    <w:rsid w:val="00FF3646"/>
    <w:pPr>
      <w:tabs>
        <w:tab w:val="center" w:pos="4419"/>
        <w:tab w:val="right" w:pos="8838"/>
      </w:tabs>
    </w:pPr>
  </w:style>
  <w:style w:type="character" w:customStyle="1" w:styleId="FooterChar">
    <w:name w:val="Footer Char"/>
    <w:basedOn w:val="DefaultParagraphFont"/>
    <w:link w:val="Footer"/>
    <w:rsid w:val="00FF3646"/>
    <w:rPr>
      <w:sz w:val="24"/>
      <w:szCs w:val="24"/>
      <w:lang w:eastAsia="es-ES"/>
    </w:rPr>
  </w:style>
  <w:style w:type="paragraph" w:styleId="FootnoteText">
    <w:name w:val="footnote text"/>
    <w:basedOn w:val="Normal"/>
    <w:link w:val="FootnoteTextChar"/>
    <w:uiPriority w:val="99"/>
    <w:rsid w:val="006D4E93"/>
    <w:rPr>
      <w:sz w:val="20"/>
      <w:szCs w:val="20"/>
    </w:rPr>
  </w:style>
  <w:style w:type="character" w:customStyle="1" w:styleId="FootnoteTextChar">
    <w:name w:val="Footnote Text Char"/>
    <w:basedOn w:val="DefaultParagraphFont"/>
    <w:link w:val="FootnoteText"/>
    <w:uiPriority w:val="99"/>
    <w:rsid w:val="006D4E93"/>
    <w:rPr>
      <w:lang w:eastAsia="es-ES"/>
    </w:rPr>
  </w:style>
  <w:style w:type="character" w:styleId="FootnoteReference">
    <w:name w:val="footnote reference"/>
    <w:basedOn w:val="DefaultParagraphFont"/>
    <w:uiPriority w:val="99"/>
    <w:rsid w:val="006D4E93"/>
    <w:rPr>
      <w:vertAlign w:val="superscript"/>
    </w:rPr>
  </w:style>
  <w:style w:type="table" w:styleId="TableGrid8">
    <w:name w:val="Table Grid 8"/>
    <w:basedOn w:val="TableNormal"/>
    <w:rsid w:val="009F0A2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6">
    <w:name w:val="Table List 6"/>
    <w:basedOn w:val="TableNormal"/>
    <w:rsid w:val="009F0A2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Columns3">
    <w:name w:val="Table Columns 3"/>
    <w:basedOn w:val="TableNormal"/>
    <w:rsid w:val="009F0A2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lassic3">
    <w:name w:val="Table Classic 3"/>
    <w:basedOn w:val="TableNormal"/>
    <w:rsid w:val="009F0A2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1">
    <w:name w:val="Table Colorful 1"/>
    <w:basedOn w:val="TableNormal"/>
    <w:rsid w:val="00BB5990"/>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78606016">
      <w:bodyDiv w:val="1"/>
      <w:marLeft w:val="0"/>
      <w:marRight w:val="0"/>
      <w:marTop w:val="0"/>
      <w:marBottom w:val="0"/>
      <w:divBdr>
        <w:top w:val="none" w:sz="0" w:space="0" w:color="auto"/>
        <w:left w:val="none" w:sz="0" w:space="0" w:color="auto"/>
        <w:bottom w:val="none" w:sz="0" w:space="0" w:color="auto"/>
        <w:right w:val="none" w:sz="0" w:space="0" w:color="auto"/>
      </w:divBdr>
    </w:div>
    <w:div w:id="93861425">
      <w:bodyDiv w:val="1"/>
      <w:marLeft w:val="0"/>
      <w:marRight w:val="0"/>
      <w:marTop w:val="0"/>
      <w:marBottom w:val="0"/>
      <w:divBdr>
        <w:top w:val="none" w:sz="0" w:space="0" w:color="auto"/>
        <w:left w:val="none" w:sz="0" w:space="0" w:color="auto"/>
        <w:bottom w:val="none" w:sz="0" w:space="0" w:color="auto"/>
        <w:right w:val="none" w:sz="0" w:space="0" w:color="auto"/>
      </w:divBdr>
    </w:div>
    <w:div w:id="134296046">
      <w:bodyDiv w:val="1"/>
      <w:marLeft w:val="0"/>
      <w:marRight w:val="0"/>
      <w:marTop w:val="0"/>
      <w:marBottom w:val="0"/>
      <w:divBdr>
        <w:top w:val="none" w:sz="0" w:space="0" w:color="auto"/>
        <w:left w:val="none" w:sz="0" w:space="0" w:color="auto"/>
        <w:bottom w:val="none" w:sz="0" w:space="0" w:color="auto"/>
        <w:right w:val="none" w:sz="0" w:space="0" w:color="auto"/>
      </w:divBdr>
    </w:div>
    <w:div w:id="244146198">
      <w:bodyDiv w:val="1"/>
      <w:marLeft w:val="0"/>
      <w:marRight w:val="0"/>
      <w:marTop w:val="0"/>
      <w:marBottom w:val="0"/>
      <w:divBdr>
        <w:top w:val="none" w:sz="0" w:space="0" w:color="auto"/>
        <w:left w:val="none" w:sz="0" w:space="0" w:color="auto"/>
        <w:bottom w:val="none" w:sz="0" w:space="0" w:color="auto"/>
        <w:right w:val="none" w:sz="0" w:space="0" w:color="auto"/>
      </w:divBdr>
    </w:div>
    <w:div w:id="361370833">
      <w:bodyDiv w:val="1"/>
      <w:marLeft w:val="0"/>
      <w:marRight w:val="0"/>
      <w:marTop w:val="0"/>
      <w:marBottom w:val="0"/>
      <w:divBdr>
        <w:top w:val="none" w:sz="0" w:space="0" w:color="auto"/>
        <w:left w:val="none" w:sz="0" w:space="0" w:color="auto"/>
        <w:bottom w:val="none" w:sz="0" w:space="0" w:color="auto"/>
        <w:right w:val="none" w:sz="0" w:space="0" w:color="auto"/>
      </w:divBdr>
    </w:div>
    <w:div w:id="386488712">
      <w:bodyDiv w:val="1"/>
      <w:marLeft w:val="0"/>
      <w:marRight w:val="0"/>
      <w:marTop w:val="0"/>
      <w:marBottom w:val="0"/>
      <w:divBdr>
        <w:top w:val="none" w:sz="0" w:space="0" w:color="auto"/>
        <w:left w:val="none" w:sz="0" w:space="0" w:color="auto"/>
        <w:bottom w:val="none" w:sz="0" w:space="0" w:color="auto"/>
        <w:right w:val="none" w:sz="0" w:space="0" w:color="auto"/>
      </w:divBdr>
    </w:div>
    <w:div w:id="552933741">
      <w:bodyDiv w:val="1"/>
      <w:marLeft w:val="0"/>
      <w:marRight w:val="0"/>
      <w:marTop w:val="0"/>
      <w:marBottom w:val="0"/>
      <w:divBdr>
        <w:top w:val="none" w:sz="0" w:space="0" w:color="auto"/>
        <w:left w:val="none" w:sz="0" w:space="0" w:color="auto"/>
        <w:bottom w:val="none" w:sz="0" w:space="0" w:color="auto"/>
        <w:right w:val="none" w:sz="0" w:space="0" w:color="auto"/>
      </w:divBdr>
    </w:div>
    <w:div w:id="577596261">
      <w:bodyDiv w:val="1"/>
      <w:marLeft w:val="0"/>
      <w:marRight w:val="0"/>
      <w:marTop w:val="0"/>
      <w:marBottom w:val="0"/>
      <w:divBdr>
        <w:top w:val="none" w:sz="0" w:space="0" w:color="auto"/>
        <w:left w:val="none" w:sz="0" w:space="0" w:color="auto"/>
        <w:bottom w:val="none" w:sz="0" w:space="0" w:color="auto"/>
        <w:right w:val="none" w:sz="0" w:space="0" w:color="auto"/>
      </w:divBdr>
    </w:div>
    <w:div w:id="751895928">
      <w:bodyDiv w:val="1"/>
      <w:marLeft w:val="0"/>
      <w:marRight w:val="0"/>
      <w:marTop w:val="0"/>
      <w:marBottom w:val="0"/>
      <w:divBdr>
        <w:top w:val="none" w:sz="0" w:space="0" w:color="auto"/>
        <w:left w:val="none" w:sz="0" w:space="0" w:color="auto"/>
        <w:bottom w:val="none" w:sz="0" w:space="0" w:color="auto"/>
        <w:right w:val="none" w:sz="0" w:space="0" w:color="auto"/>
      </w:divBdr>
    </w:div>
    <w:div w:id="788470559">
      <w:bodyDiv w:val="1"/>
      <w:marLeft w:val="0"/>
      <w:marRight w:val="0"/>
      <w:marTop w:val="0"/>
      <w:marBottom w:val="0"/>
      <w:divBdr>
        <w:top w:val="none" w:sz="0" w:space="0" w:color="auto"/>
        <w:left w:val="none" w:sz="0" w:space="0" w:color="auto"/>
        <w:bottom w:val="none" w:sz="0" w:space="0" w:color="auto"/>
        <w:right w:val="none" w:sz="0" w:space="0" w:color="auto"/>
      </w:divBdr>
    </w:div>
    <w:div w:id="799880338">
      <w:bodyDiv w:val="1"/>
      <w:marLeft w:val="0"/>
      <w:marRight w:val="0"/>
      <w:marTop w:val="0"/>
      <w:marBottom w:val="0"/>
      <w:divBdr>
        <w:top w:val="none" w:sz="0" w:space="0" w:color="auto"/>
        <w:left w:val="none" w:sz="0" w:space="0" w:color="auto"/>
        <w:bottom w:val="none" w:sz="0" w:space="0" w:color="auto"/>
        <w:right w:val="none" w:sz="0" w:space="0" w:color="auto"/>
      </w:divBdr>
    </w:div>
    <w:div w:id="838427606">
      <w:bodyDiv w:val="1"/>
      <w:marLeft w:val="0"/>
      <w:marRight w:val="0"/>
      <w:marTop w:val="0"/>
      <w:marBottom w:val="0"/>
      <w:divBdr>
        <w:top w:val="none" w:sz="0" w:space="0" w:color="auto"/>
        <w:left w:val="none" w:sz="0" w:space="0" w:color="auto"/>
        <w:bottom w:val="none" w:sz="0" w:space="0" w:color="auto"/>
        <w:right w:val="none" w:sz="0" w:space="0" w:color="auto"/>
      </w:divBdr>
    </w:div>
    <w:div w:id="840202545">
      <w:bodyDiv w:val="1"/>
      <w:marLeft w:val="0"/>
      <w:marRight w:val="0"/>
      <w:marTop w:val="0"/>
      <w:marBottom w:val="0"/>
      <w:divBdr>
        <w:top w:val="none" w:sz="0" w:space="0" w:color="auto"/>
        <w:left w:val="none" w:sz="0" w:space="0" w:color="auto"/>
        <w:bottom w:val="none" w:sz="0" w:space="0" w:color="auto"/>
        <w:right w:val="none" w:sz="0" w:space="0" w:color="auto"/>
      </w:divBdr>
    </w:div>
    <w:div w:id="1007248084">
      <w:bodyDiv w:val="1"/>
      <w:marLeft w:val="0"/>
      <w:marRight w:val="0"/>
      <w:marTop w:val="0"/>
      <w:marBottom w:val="0"/>
      <w:divBdr>
        <w:top w:val="none" w:sz="0" w:space="0" w:color="auto"/>
        <w:left w:val="none" w:sz="0" w:space="0" w:color="auto"/>
        <w:bottom w:val="none" w:sz="0" w:space="0" w:color="auto"/>
        <w:right w:val="none" w:sz="0" w:space="0" w:color="auto"/>
      </w:divBdr>
    </w:div>
    <w:div w:id="1063794383">
      <w:bodyDiv w:val="1"/>
      <w:marLeft w:val="0"/>
      <w:marRight w:val="0"/>
      <w:marTop w:val="0"/>
      <w:marBottom w:val="0"/>
      <w:divBdr>
        <w:top w:val="none" w:sz="0" w:space="0" w:color="auto"/>
        <w:left w:val="none" w:sz="0" w:space="0" w:color="auto"/>
        <w:bottom w:val="none" w:sz="0" w:space="0" w:color="auto"/>
        <w:right w:val="none" w:sz="0" w:space="0" w:color="auto"/>
      </w:divBdr>
    </w:div>
    <w:div w:id="1081029512">
      <w:bodyDiv w:val="1"/>
      <w:marLeft w:val="0"/>
      <w:marRight w:val="0"/>
      <w:marTop w:val="0"/>
      <w:marBottom w:val="0"/>
      <w:divBdr>
        <w:top w:val="none" w:sz="0" w:space="0" w:color="auto"/>
        <w:left w:val="none" w:sz="0" w:space="0" w:color="auto"/>
        <w:bottom w:val="none" w:sz="0" w:space="0" w:color="auto"/>
        <w:right w:val="none" w:sz="0" w:space="0" w:color="auto"/>
      </w:divBdr>
    </w:div>
    <w:div w:id="1278174123">
      <w:bodyDiv w:val="1"/>
      <w:marLeft w:val="0"/>
      <w:marRight w:val="0"/>
      <w:marTop w:val="0"/>
      <w:marBottom w:val="0"/>
      <w:divBdr>
        <w:top w:val="none" w:sz="0" w:space="0" w:color="auto"/>
        <w:left w:val="none" w:sz="0" w:space="0" w:color="auto"/>
        <w:bottom w:val="none" w:sz="0" w:space="0" w:color="auto"/>
        <w:right w:val="none" w:sz="0" w:space="0" w:color="auto"/>
      </w:divBdr>
    </w:div>
    <w:div w:id="1432582632">
      <w:bodyDiv w:val="1"/>
      <w:marLeft w:val="0"/>
      <w:marRight w:val="0"/>
      <w:marTop w:val="0"/>
      <w:marBottom w:val="0"/>
      <w:divBdr>
        <w:top w:val="none" w:sz="0" w:space="0" w:color="auto"/>
        <w:left w:val="none" w:sz="0" w:space="0" w:color="auto"/>
        <w:bottom w:val="none" w:sz="0" w:space="0" w:color="auto"/>
        <w:right w:val="none" w:sz="0" w:space="0" w:color="auto"/>
      </w:divBdr>
    </w:div>
    <w:div w:id="1599950071">
      <w:bodyDiv w:val="1"/>
      <w:marLeft w:val="0"/>
      <w:marRight w:val="0"/>
      <w:marTop w:val="0"/>
      <w:marBottom w:val="0"/>
      <w:divBdr>
        <w:top w:val="none" w:sz="0" w:space="0" w:color="auto"/>
        <w:left w:val="none" w:sz="0" w:space="0" w:color="auto"/>
        <w:bottom w:val="none" w:sz="0" w:space="0" w:color="auto"/>
        <w:right w:val="none" w:sz="0" w:space="0" w:color="auto"/>
      </w:divBdr>
    </w:div>
    <w:div w:id="1775249921">
      <w:bodyDiv w:val="1"/>
      <w:marLeft w:val="0"/>
      <w:marRight w:val="0"/>
      <w:marTop w:val="0"/>
      <w:marBottom w:val="0"/>
      <w:divBdr>
        <w:top w:val="none" w:sz="0" w:space="0" w:color="auto"/>
        <w:left w:val="none" w:sz="0" w:space="0" w:color="auto"/>
        <w:bottom w:val="none" w:sz="0" w:space="0" w:color="auto"/>
        <w:right w:val="none" w:sz="0" w:space="0" w:color="auto"/>
      </w:divBdr>
    </w:div>
    <w:div w:id="1803233800">
      <w:bodyDiv w:val="1"/>
      <w:marLeft w:val="0"/>
      <w:marRight w:val="0"/>
      <w:marTop w:val="0"/>
      <w:marBottom w:val="0"/>
      <w:divBdr>
        <w:top w:val="none" w:sz="0" w:space="0" w:color="auto"/>
        <w:left w:val="none" w:sz="0" w:space="0" w:color="auto"/>
        <w:bottom w:val="none" w:sz="0" w:space="0" w:color="auto"/>
        <w:right w:val="none" w:sz="0" w:space="0" w:color="auto"/>
      </w:divBdr>
    </w:div>
    <w:div w:id="1824277104">
      <w:bodyDiv w:val="1"/>
      <w:marLeft w:val="0"/>
      <w:marRight w:val="0"/>
      <w:marTop w:val="0"/>
      <w:marBottom w:val="0"/>
      <w:divBdr>
        <w:top w:val="none" w:sz="0" w:space="0" w:color="auto"/>
        <w:left w:val="none" w:sz="0" w:space="0" w:color="auto"/>
        <w:bottom w:val="none" w:sz="0" w:space="0" w:color="auto"/>
        <w:right w:val="none" w:sz="0" w:space="0" w:color="auto"/>
      </w:divBdr>
    </w:div>
    <w:div w:id="1863593749">
      <w:bodyDiv w:val="1"/>
      <w:marLeft w:val="0"/>
      <w:marRight w:val="0"/>
      <w:marTop w:val="0"/>
      <w:marBottom w:val="0"/>
      <w:divBdr>
        <w:top w:val="none" w:sz="0" w:space="0" w:color="auto"/>
        <w:left w:val="none" w:sz="0" w:space="0" w:color="auto"/>
        <w:bottom w:val="none" w:sz="0" w:space="0" w:color="auto"/>
        <w:right w:val="none" w:sz="0" w:space="0" w:color="auto"/>
      </w:divBdr>
    </w:div>
    <w:div w:id="2016808294">
      <w:bodyDiv w:val="1"/>
      <w:marLeft w:val="0"/>
      <w:marRight w:val="0"/>
      <w:marTop w:val="0"/>
      <w:marBottom w:val="0"/>
      <w:divBdr>
        <w:top w:val="none" w:sz="0" w:space="0" w:color="auto"/>
        <w:left w:val="none" w:sz="0" w:space="0" w:color="auto"/>
        <w:bottom w:val="none" w:sz="0" w:space="0" w:color="auto"/>
        <w:right w:val="none" w:sz="0" w:space="0" w:color="auto"/>
      </w:divBdr>
    </w:div>
    <w:div w:id="2085177095">
      <w:bodyDiv w:val="1"/>
      <w:marLeft w:val="0"/>
      <w:marRight w:val="0"/>
      <w:marTop w:val="0"/>
      <w:marBottom w:val="0"/>
      <w:divBdr>
        <w:top w:val="none" w:sz="0" w:space="0" w:color="auto"/>
        <w:left w:val="none" w:sz="0" w:space="0" w:color="auto"/>
        <w:bottom w:val="none" w:sz="0" w:space="0" w:color="auto"/>
        <w:right w:val="none" w:sz="0" w:space="0" w:color="auto"/>
      </w:divBdr>
    </w:div>
    <w:div w:id="208733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B7090B-25D8-4B06-B045-37F01868C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26</Pages>
  <Words>4767</Words>
  <Characters>26220</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Formulario para la identificación de asistencia técnicas recibidas y programadas/ MINSAL</vt:lpstr>
    </vt:vector>
  </TitlesOfParts>
  <Company> MSPAS</Company>
  <LinksUpToDate>false</LinksUpToDate>
  <CharactersWithSpaces>30926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para la identificación de asistencia técnicas recibidas y programadas/ MINSAL</dc:title>
  <dc:subject/>
  <dc:creator>rbengoa</dc:creator>
  <cp:keywords/>
  <dc:description/>
  <cp:lastModifiedBy>Eventos</cp:lastModifiedBy>
  <cp:revision>8</cp:revision>
  <dcterms:created xsi:type="dcterms:W3CDTF">2012-06-08T06:01:00Z</dcterms:created>
  <dcterms:modified xsi:type="dcterms:W3CDTF">2012-06-15T16:43:00Z</dcterms:modified>
</cp:coreProperties>
</file>