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4FCD0" w14:textId="204001E5" w:rsidR="00F635B5" w:rsidRPr="00FD64C1" w:rsidRDefault="00FD64C1">
      <w:pPr>
        <w:pStyle w:val="P68B1DB1-Normal1"/>
        <w:spacing w:before="0" w:after="0" w:line="276" w:lineRule="auto"/>
        <w:ind w:left="425" w:hanging="425"/>
        <w:jc w:val="center"/>
        <w:rPr>
          <w:lang w:val="fr-FR"/>
        </w:rPr>
      </w:pPr>
      <w:r w:rsidRPr="00FD64C1">
        <w:rPr>
          <w:lang w:val="fr-FR"/>
        </w:rPr>
        <w:t>Deuxième c</w:t>
      </w:r>
      <w:r>
        <w:rPr>
          <w:lang w:val="fr-FR"/>
        </w:rPr>
        <w:t>onsultation</w:t>
      </w:r>
      <w:r w:rsidRPr="00FD64C1">
        <w:rPr>
          <w:lang w:val="fr-FR"/>
        </w:rPr>
        <w:t xml:space="preserve"> </w:t>
      </w:r>
      <w:r>
        <w:rPr>
          <w:lang w:val="fr-FR"/>
        </w:rPr>
        <w:t>des</w:t>
      </w:r>
      <w:r w:rsidRPr="00FD64C1">
        <w:rPr>
          <w:lang w:val="fr-FR"/>
        </w:rPr>
        <w:t xml:space="preserve"> OSC et </w:t>
      </w:r>
      <w:r>
        <w:rPr>
          <w:lang w:val="fr-FR"/>
        </w:rPr>
        <w:t>AL</w:t>
      </w:r>
      <w:r w:rsidRPr="00FD64C1">
        <w:rPr>
          <w:lang w:val="fr-FR"/>
        </w:rPr>
        <w:t xml:space="preserve"> sur la programmation régionale de l’UE pour l’Afrique subsaharienne (2021-2027)</w:t>
      </w:r>
    </w:p>
    <w:p w14:paraId="7D0184D7" w14:textId="77777777" w:rsidR="00F635B5" w:rsidRPr="00FD64C1" w:rsidRDefault="00F635B5">
      <w:pPr>
        <w:spacing w:before="0" w:after="0" w:line="276" w:lineRule="auto"/>
        <w:ind w:left="425" w:hanging="425"/>
        <w:jc w:val="center"/>
        <w:rPr>
          <w:rFonts w:ascii="Avenir" w:hAnsi="Avenir"/>
          <w:b/>
          <w:color w:val="ED7D31" w:themeColor="accent2"/>
          <w:sz w:val="24"/>
          <w:lang w:val="fr-FR"/>
        </w:rPr>
      </w:pPr>
    </w:p>
    <w:p w14:paraId="7E674979" w14:textId="4A0CC83F" w:rsidR="00F635B5" w:rsidRPr="00FD64C1" w:rsidRDefault="00FD64C1">
      <w:pPr>
        <w:pStyle w:val="P68B1DB1-NormalWeb2"/>
        <w:spacing w:before="0" w:beforeAutospacing="0" w:after="0" w:afterAutospacing="0" w:line="276" w:lineRule="auto"/>
        <w:ind w:left="425" w:hanging="425"/>
        <w:jc w:val="center"/>
        <w:rPr>
          <w:lang w:val="fr-FR"/>
        </w:rPr>
      </w:pPr>
      <w:r w:rsidRPr="00FD64C1">
        <w:rPr>
          <w:lang w:val="fr-FR"/>
        </w:rPr>
        <w:t>MODÈLE POUR CONTRIBUTIONS ÉCRITES</w:t>
      </w:r>
    </w:p>
    <w:p w14:paraId="58001DCE" w14:textId="4C657A07" w:rsidR="00F635B5" w:rsidRPr="00FD64C1" w:rsidRDefault="00FD64C1">
      <w:pPr>
        <w:spacing w:before="120" w:line="276" w:lineRule="auto"/>
        <w:jc w:val="both"/>
        <w:rPr>
          <w:rFonts w:ascii="Avenir" w:hAnsi="Avenir"/>
          <w:color w:val="000000"/>
          <w:lang w:val="fr-FR"/>
        </w:rPr>
      </w:pPr>
      <w:r w:rsidRPr="00FD64C1">
        <w:rPr>
          <w:rFonts w:ascii="Avenir" w:hAnsi="Avenir"/>
          <w:color w:val="000000"/>
          <w:lang w:val="fr-FR"/>
        </w:rPr>
        <w:t>Une discussion en ligne a eu lieu</w:t>
      </w:r>
      <w:r>
        <w:rPr>
          <w:rFonts w:ascii="Avenir" w:hAnsi="Avenir"/>
          <w:color w:val="000000"/>
          <w:vertAlign w:val="superscript"/>
          <w:lang w:val="fr-FR"/>
        </w:rPr>
        <w:t xml:space="preserve"> </w:t>
      </w:r>
      <w:r>
        <w:rPr>
          <w:rFonts w:ascii="Avenir" w:hAnsi="Avenir"/>
          <w:color w:val="000000"/>
          <w:lang w:val="fr-FR"/>
        </w:rPr>
        <w:t>le</w:t>
      </w:r>
      <w:r w:rsidRPr="00FD64C1">
        <w:rPr>
          <w:rFonts w:ascii="Avenir" w:hAnsi="Avenir"/>
          <w:color w:val="000000"/>
          <w:lang w:val="fr-FR"/>
        </w:rPr>
        <w:t xml:space="preserve"> 13 décembre sur: 1) Fournir une mise à jour du processus de programmation de la programmation pluriannuelle régionale pour </w:t>
      </w:r>
      <w:r>
        <w:rPr>
          <w:rFonts w:ascii="Avenir" w:hAnsi="Avenir"/>
          <w:color w:val="000000"/>
          <w:lang w:val="fr-FR"/>
        </w:rPr>
        <w:t>l’Afrique subsaharienne</w:t>
      </w:r>
      <w:r w:rsidRPr="00FD64C1">
        <w:rPr>
          <w:rFonts w:ascii="Avenir" w:hAnsi="Avenir"/>
          <w:color w:val="000000"/>
          <w:lang w:val="fr-FR"/>
        </w:rPr>
        <w:t xml:space="preserve">; 2) fournir un retour d’information sur les contributions de la réunion de mars 2021; 3) entendre les points de vue et les contributions des OSC et des </w:t>
      </w:r>
      <w:r>
        <w:rPr>
          <w:rFonts w:ascii="Avenir" w:hAnsi="Avenir"/>
          <w:color w:val="000000"/>
          <w:lang w:val="fr-FR"/>
        </w:rPr>
        <w:t xml:space="preserve">AL </w:t>
      </w:r>
      <w:r w:rsidRPr="00FD64C1">
        <w:rPr>
          <w:rFonts w:ascii="Avenir" w:hAnsi="Avenir"/>
          <w:color w:val="000000"/>
          <w:lang w:val="fr-FR"/>
        </w:rPr>
        <w:t xml:space="preserve">sur la version «avancée» des PIP régionaux; et 4) </w:t>
      </w:r>
      <w:r>
        <w:rPr>
          <w:rFonts w:ascii="Avenir" w:hAnsi="Avenir"/>
          <w:color w:val="000000"/>
          <w:lang w:val="fr-FR"/>
        </w:rPr>
        <w:t>écouter</w:t>
      </w:r>
      <w:r w:rsidRPr="00FD64C1">
        <w:rPr>
          <w:rFonts w:ascii="Avenir" w:hAnsi="Avenir"/>
          <w:color w:val="000000"/>
          <w:lang w:val="fr-FR"/>
        </w:rPr>
        <w:t xml:space="preserve"> le</w:t>
      </w:r>
      <w:r>
        <w:rPr>
          <w:rFonts w:ascii="Avenir" w:hAnsi="Avenir"/>
          <w:color w:val="000000"/>
          <w:lang w:val="fr-FR"/>
        </w:rPr>
        <w:t>s</w:t>
      </w:r>
      <w:r w:rsidRPr="00FD64C1">
        <w:rPr>
          <w:rFonts w:ascii="Avenir" w:hAnsi="Avenir"/>
          <w:color w:val="000000"/>
          <w:lang w:val="fr-FR"/>
        </w:rPr>
        <w:t xml:space="preserve"> point de vue </w:t>
      </w:r>
      <w:r>
        <w:rPr>
          <w:rFonts w:ascii="Avenir" w:hAnsi="Avenir"/>
          <w:color w:val="000000"/>
          <w:lang w:val="fr-FR"/>
        </w:rPr>
        <w:t>et les contributions des OSC et AL</w:t>
      </w:r>
      <w:r w:rsidRPr="00FD64C1">
        <w:rPr>
          <w:rFonts w:ascii="Avenir" w:hAnsi="Avenir"/>
          <w:color w:val="000000"/>
          <w:lang w:val="fr-FR"/>
        </w:rPr>
        <w:t xml:space="preserve"> </w:t>
      </w:r>
      <w:r>
        <w:rPr>
          <w:lang w:val="fr-FR"/>
        </w:rPr>
        <w:t>sur les P</w:t>
      </w:r>
      <w:r w:rsidRPr="005E748F">
        <w:rPr>
          <w:lang w:val="fr-FR"/>
        </w:rPr>
        <w:t>lans d’action annuels</w:t>
      </w:r>
      <w:r>
        <w:rPr>
          <w:lang w:val="fr-FR"/>
        </w:rPr>
        <w:t xml:space="preserve"> (PAA)</w:t>
      </w:r>
      <w:r w:rsidRPr="005E748F">
        <w:rPr>
          <w:lang w:val="fr-FR"/>
        </w:rPr>
        <w:t xml:space="preserve"> 2021 et 2022 (actuellement en cours d’élaboration)</w:t>
      </w:r>
      <w:r w:rsidRPr="00FD64C1">
        <w:rPr>
          <w:rFonts w:ascii="Avenir" w:hAnsi="Avenir"/>
          <w:color w:val="000000"/>
          <w:lang w:val="fr-FR"/>
        </w:rPr>
        <w:t xml:space="preserve">. Si vos commentaires n’ont pas été pleinement pris en compte lors de la réunion, nous vous invitons à envoyer vos contributions à l’adresse suivante: </w:t>
      </w:r>
      <w:hyperlink r:id="rId9" w:history="1">
        <w:r w:rsidRPr="00FD64C1">
          <w:rPr>
            <w:rStyle w:val="Hyperlink"/>
            <w:rFonts w:ascii="Avenir" w:hAnsi="Avenir"/>
            <w:lang w:val="fr-FR"/>
          </w:rPr>
          <w:t>INTPA-G2@ec.europa.eu</w:t>
        </w:r>
      </w:hyperlink>
      <w:r>
        <w:rPr>
          <w:rFonts w:ascii="Avenir" w:hAnsi="Avenir"/>
          <w:color w:val="000000"/>
          <w:lang w:val="fr-FR"/>
        </w:rPr>
        <w:t xml:space="preserve"> jusqu’</w:t>
      </w:r>
      <w:r w:rsidR="006318FD">
        <w:rPr>
          <w:rFonts w:ascii="Avenir" w:hAnsi="Avenir"/>
          <w:color w:val="000000"/>
          <w:lang w:val="fr-FR"/>
        </w:rPr>
        <w:t>au</w:t>
      </w:r>
      <w:r>
        <w:rPr>
          <w:rFonts w:ascii="Avenir" w:hAnsi="Avenir"/>
          <w:color w:val="000000"/>
          <w:lang w:val="fr-FR"/>
        </w:rPr>
        <w:t xml:space="preserve"> lundi</w:t>
      </w:r>
      <w:r w:rsidRPr="00FD64C1">
        <w:rPr>
          <w:rFonts w:ascii="Avenir" w:hAnsi="Avenir"/>
          <w:color w:val="000000"/>
          <w:lang w:val="fr-FR"/>
        </w:rPr>
        <w:t xml:space="preserve"> </w:t>
      </w:r>
      <w:r>
        <w:rPr>
          <w:rFonts w:ascii="Avenir" w:hAnsi="Avenir"/>
          <w:b/>
          <w:color w:val="000000"/>
          <w:u w:val="single"/>
          <w:lang w:val="fr-FR"/>
        </w:rPr>
        <w:t>20</w:t>
      </w:r>
      <w:r w:rsidRPr="00FD64C1">
        <w:rPr>
          <w:rFonts w:ascii="Avenir" w:hAnsi="Avenir"/>
          <w:b/>
          <w:color w:val="000000"/>
          <w:u w:val="single"/>
          <w:lang w:val="fr-FR"/>
        </w:rPr>
        <w:t xml:space="preserve"> </w:t>
      </w:r>
      <w:r w:rsidRPr="00FD64C1">
        <w:rPr>
          <w:rFonts w:ascii="Avenir" w:hAnsi="Avenir"/>
          <w:b/>
          <w:color w:val="000000"/>
          <w:u w:val="single"/>
          <w:lang w:val="fr-FR"/>
        </w:rPr>
        <w:tab/>
        <w:t>Décembre 2021.</w:t>
      </w:r>
      <w:r w:rsidRPr="00FD64C1">
        <w:rPr>
          <w:rFonts w:ascii="Avenir" w:hAnsi="Avenir"/>
          <w:color w:val="000000"/>
          <w:lang w:val="fr-FR"/>
        </w:rPr>
        <w:t xml:space="preserve"> </w:t>
      </w:r>
    </w:p>
    <w:p w14:paraId="72AB56BC" w14:textId="77777777" w:rsidR="00F635B5" w:rsidRPr="00FD64C1" w:rsidRDefault="00F635B5">
      <w:pPr>
        <w:spacing w:before="120" w:line="276" w:lineRule="auto"/>
        <w:rPr>
          <w:rFonts w:ascii="Avenir" w:hAnsi="Avenir"/>
          <w:color w:val="000000"/>
          <w:lang w:val="fr-FR"/>
        </w:rPr>
      </w:pPr>
    </w:p>
    <w:p w14:paraId="7345671F" w14:textId="4E52763E" w:rsidR="00F635B5" w:rsidRPr="00FD64C1" w:rsidRDefault="00FD64C1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lang w:val="fr-FR"/>
        </w:rPr>
      </w:pPr>
      <w:r w:rsidRPr="00FD64C1">
        <w:rPr>
          <w:lang w:val="fr-FR"/>
        </w:rPr>
        <w:t>Votre réponse ne doit pas dépasser une page par thème</w:t>
      </w:r>
    </w:p>
    <w:p w14:paraId="6E0FAE8D" w14:textId="1F25A611" w:rsidR="00F635B5" w:rsidRPr="00FD64C1" w:rsidRDefault="00FD64C1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lang w:val="fr-FR"/>
        </w:rPr>
      </w:pPr>
      <w:r w:rsidRPr="00FD64C1">
        <w:rPr>
          <w:lang w:val="fr-FR"/>
        </w:rPr>
        <w:t>Veuillez-vous référer exclusivement à la présentation de la réunion et aux documents d’information.</w:t>
      </w:r>
    </w:p>
    <w:p w14:paraId="45627087" w14:textId="77777777" w:rsidR="00F635B5" w:rsidRPr="00FD64C1" w:rsidRDefault="00F635B5">
      <w:pPr>
        <w:spacing w:before="120" w:line="276" w:lineRule="auto"/>
        <w:ind w:left="426" w:hanging="426"/>
        <w:jc w:val="center"/>
        <w:rPr>
          <w:rFonts w:ascii="Avenir" w:hAnsi="Avenir"/>
          <w:color w:val="000000"/>
          <w:lang w:val="fr-FR"/>
        </w:rPr>
      </w:pPr>
    </w:p>
    <w:p w14:paraId="0205BB20" w14:textId="322B622F" w:rsidR="00F635B5" w:rsidRPr="00FD64C1" w:rsidRDefault="00FD64C1">
      <w:pPr>
        <w:pStyle w:val="P68B1DB1-Normal4"/>
        <w:spacing w:before="120" w:line="276" w:lineRule="auto"/>
        <w:ind w:left="426" w:hanging="426"/>
        <w:jc w:val="center"/>
        <w:rPr>
          <w:lang w:val="fr-FR"/>
        </w:rPr>
      </w:pPr>
      <w:bookmarkStart w:id="0" w:name="_GoBack"/>
      <w:bookmarkEnd w:id="0"/>
      <w:r w:rsidRPr="00FD64C1">
        <w:rPr>
          <w:lang w:val="fr-FR"/>
        </w:rPr>
        <w:t>Veuillez remplir les informations suivantes:</w:t>
      </w:r>
    </w:p>
    <w:p w14:paraId="0078ED24" w14:textId="7A8BF80E" w:rsidR="00F635B5" w:rsidRPr="00FD64C1" w:rsidRDefault="00FD64C1">
      <w:pPr>
        <w:pStyle w:val="P68B1DB1-Normal4"/>
        <w:spacing w:before="120" w:line="276" w:lineRule="auto"/>
        <w:ind w:left="426" w:hanging="426"/>
        <w:rPr>
          <w:lang w:val="fr-FR"/>
        </w:rPr>
      </w:pPr>
      <w:r w:rsidRPr="00FD64C1">
        <w:rPr>
          <w:lang w:val="fr-FR"/>
        </w:rPr>
        <w:t>Nom complet de l’organisation (pas d’abréviations, s’il vous plaît):</w:t>
      </w:r>
    </w:p>
    <w:p w14:paraId="0D975773" w14:textId="2686F50E" w:rsidR="00F635B5" w:rsidRPr="00FD64C1" w:rsidRDefault="00FD64C1">
      <w:pPr>
        <w:pStyle w:val="P68B1DB1-Normal4"/>
        <w:spacing w:before="120" w:line="276" w:lineRule="auto"/>
        <w:ind w:left="426" w:hanging="426"/>
        <w:rPr>
          <w:lang w:val="fr-FR"/>
        </w:rPr>
      </w:pPr>
      <w:r w:rsidRPr="00FD64C1">
        <w:rPr>
          <w:lang w:val="fr-FR"/>
        </w:rPr>
        <w:t>Pays/Région/Affiliation:</w:t>
      </w:r>
    </w:p>
    <w:p w14:paraId="16E2A0C6" w14:textId="4D6C0E3C" w:rsidR="00F635B5" w:rsidRPr="00FD64C1" w:rsidRDefault="00FD64C1">
      <w:pPr>
        <w:pStyle w:val="P68B1DB1-Normal4"/>
        <w:spacing w:before="120" w:line="276" w:lineRule="auto"/>
        <w:ind w:left="426" w:hanging="426"/>
        <w:rPr>
          <w:lang w:val="fr-FR"/>
        </w:rPr>
      </w:pPr>
      <w:r w:rsidRPr="00FD64C1">
        <w:rPr>
          <w:lang w:val="fr-FR"/>
        </w:rPr>
        <w:t>Type d’organisation (</w:t>
      </w:r>
      <w:r w:rsidRPr="00FD64C1">
        <w:rPr>
          <w:lang w:val="fr-FR"/>
        </w:rPr>
        <w:tab/>
      </w:r>
      <w:r w:rsidRPr="00FD64C1">
        <w:rPr>
          <w:lang w:val="fr-FR"/>
        </w:rPr>
        <w:tab/>
        <w:t>Autorités locales, ONG, syndicats, coopératives, fondations</w:t>
      </w:r>
      <w:r>
        <w:rPr>
          <w:lang w:val="fr-FR"/>
        </w:rPr>
        <w:t xml:space="preserve">, associations professionnelles </w:t>
      </w:r>
      <w:r w:rsidRPr="00FD64C1">
        <w:rPr>
          <w:lang w:val="fr-FR"/>
        </w:rPr>
        <w:t xml:space="preserve">ou commerciales, groupe de diaspora, organisation de femmes ou de jeunes, autre — veuillez indiquer-: </w:t>
      </w:r>
    </w:p>
    <w:p w14:paraId="3525804D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15A38999" w14:textId="77777777" w:rsidR="00F635B5" w:rsidRPr="00FD64C1" w:rsidRDefault="00FD64C1">
      <w:pPr>
        <w:pStyle w:val="P68B1DB1-Normal5"/>
        <w:spacing w:before="0" w:after="160" w:line="259" w:lineRule="auto"/>
        <w:rPr>
          <w:lang w:val="fr-FR"/>
        </w:rPr>
      </w:pPr>
      <w:r w:rsidRPr="00FD64C1">
        <w:rPr>
          <w:lang w:val="fr-FR"/>
        </w:rPr>
        <w:br w:type="page"/>
      </w:r>
    </w:p>
    <w:p w14:paraId="65CF2F11" w14:textId="1585D954" w:rsidR="00F635B5" w:rsidRPr="00FD64C1" w:rsidRDefault="00FD64C1">
      <w:pPr>
        <w:pStyle w:val="P68B1DB1-Normal6"/>
        <w:shd w:val="clear" w:color="auto" w:fill="ED7D31" w:themeFill="accent2"/>
        <w:jc w:val="both"/>
        <w:rPr>
          <w:lang w:val="fr-FR"/>
        </w:rPr>
      </w:pPr>
      <w:r w:rsidRPr="00FD64C1">
        <w:rPr>
          <w:lang w:val="fr-FR"/>
        </w:rPr>
        <w:lastRenderedPageBreak/>
        <w:t>Développement humain (y compris la santé, l’éducation, les compétences)</w:t>
      </w:r>
    </w:p>
    <w:p w14:paraId="17990C6C" w14:textId="657E3A23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750D69C6" w14:textId="5A44DAD4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>Quelles sont les positions des OSC/AL sur les plans d’action régionaux pour 2022 à la lumière des priorités du programme indicatif régional pluriannuel?</w:t>
      </w:r>
    </w:p>
    <w:p w14:paraId="14FD3E45" w14:textId="03E3A8A1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4FC8D525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333F3AE" w14:textId="0143E545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4BF4642" w14:textId="3181F230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134F726" w14:textId="47FA533B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957E3E2" w14:textId="6BCE530E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55526E3" w14:textId="397E767E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39485FB" w14:textId="33E4CF9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BFCB2CA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832700B" w14:textId="02011850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F0E5F05" w14:textId="6560383B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75A121D" w14:textId="1575C4D8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20D51E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BFA1DE1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368945AE" w14:textId="6BF4168C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Quels sont les aspects clés qui devraient être pris en compte dans la phase de formulation des initiatives régionales de </w:t>
      </w:r>
      <w:r w:rsidR="006318FD">
        <w:rPr>
          <w:lang w:val="fr-FR"/>
        </w:rPr>
        <w:t>l’Afrique subsaharienne</w:t>
      </w:r>
      <w:r w:rsidRPr="00FD64C1">
        <w:rPr>
          <w:lang w:val="fr-FR"/>
        </w:rPr>
        <w:t xml:space="preserve"> dans le PAA 2022?</w:t>
      </w:r>
    </w:p>
    <w:p w14:paraId="617588C9" w14:textId="4B180CB6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74AC8C4A" w14:textId="1A8EDB7C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586ED66" w14:textId="66A5D02B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22FF8C3" w14:textId="340D11E5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4745063" w14:textId="2D3CC9C5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7F7785A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3A59598" w14:textId="2268ABF5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4999146" w14:textId="3266F7E8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3415214" w14:textId="6BF69816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E35877D" w14:textId="169BBE39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FDD5544" w14:textId="191CF343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6A1338F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584D8E38" w14:textId="14B6DA3E" w:rsidR="00F635B5" w:rsidRPr="00FD64C1" w:rsidRDefault="00FD64C1">
      <w:pPr>
        <w:pStyle w:val="P68B1DB1-Normal6"/>
        <w:shd w:val="clear" w:color="auto" w:fill="ED7D31" w:themeFill="accent2"/>
        <w:jc w:val="both"/>
        <w:rPr>
          <w:lang w:val="fr-FR"/>
        </w:rPr>
      </w:pPr>
      <w:r w:rsidRPr="00FD64C1">
        <w:rPr>
          <w:lang w:val="fr-FR"/>
        </w:rPr>
        <w:t>TRANSITION Verte (y compris le changement climatique, l’énergie durable, l’agroalimentaire, la biodiversité, la gestion transfrontalière de l’eau et les océans)</w:t>
      </w:r>
    </w:p>
    <w:p w14:paraId="39E929D0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40F5E190" w14:textId="0502B5AD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lastRenderedPageBreak/>
        <w:t>Quelles sont les positions des OSC/AL sur les plans d’action régionaux pour 2022 à la lumière des priorités du programme indicatif régional pluriannuel?</w:t>
      </w:r>
    </w:p>
    <w:p w14:paraId="33DB295B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79CE4BF1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A444C1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9290692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5EDE9A1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328901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72A5F1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F8E665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4FA17C3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96E782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E04EBC7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DD60930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672B2C62" w14:textId="6DE09379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Quels sont les aspects clés qui devraient être pris en compte dans la phase de formulation des initiatives régionales de </w:t>
      </w:r>
      <w:r w:rsidR="006318FD">
        <w:rPr>
          <w:lang w:val="fr-FR"/>
        </w:rPr>
        <w:t>l’Afrique subsaharienne</w:t>
      </w:r>
      <w:r w:rsidR="006318FD" w:rsidRPr="00FD64C1">
        <w:rPr>
          <w:lang w:val="fr-FR"/>
        </w:rPr>
        <w:t xml:space="preserve"> </w:t>
      </w:r>
      <w:r w:rsidRPr="00FD64C1">
        <w:rPr>
          <w:lang w:val="fr-FR"/>
        </w:rPr>
        <w:t>dans le PAA 2022?</w:t>
      </w:r>
    </w:p>
    <w:p w14:paraId="7E52A369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4353DDF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378340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BE10E55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3EFA59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BB0CCCD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8ADB5C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B2477C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114D6C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77F777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015EEE8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52DC455" w14:textId="552EDF86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024205E7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3255DB87" w14:textId="73B047B0" w:rsidR="00F635B5" w:rsidRPr="00FD64C1" w:rsidRDefault="00FD64C1">
      <w:pPr>
        <w:pStyle w:val="P68B1DB1-Normal6"/>
        <w:shd w:val="clear" w:color="auto" w:fill="ED7D31" w:themeFill="accent2"/>
        <w:jc w:val="both"/>
        <w:rPr>
          <w:lang w:val="fr-FR"/>
        </w:rPr>
      </w:pPr>
      <w:r w:rsidRPr="00FD64C1">
        <w:rPr>
          <w:lang w:val="fr-FR"/>
        </w:rPr>
        <w:t>INVESTISSEMENTS ET INFRASTRUCTURES, NUMÉRIQUE, STI, INTÉGRATION RÉGIONALE ET COMMERCE</w:t>
      </w:r>
    </w:p>
    <w:p w14:paraId="078B6699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09EBB02F" w14:textId="4F118A74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Quelles sont les </w:t>
      </w:r>
      <w:r w:rsidR="006318FD">
        <w:rPr>
          <w:lang w:val="fr-FR"/>
        </w:rPr>
        <w:t>points de vue</w:t>
      </w:r>
      <w:r w:rsidRPr="00FD64C1">
        <w:rPr>
          <w:lang w:val="fr-FR"/>
        </w:rPr>
        <w:t xml:space="preserve"> des OSC/AL sur la pertinence des plans d’action régionaux pour 2022 à la lumière des priorités du programme indicatif pluriannuel régional?</w:t>
      </w:r>
    </w:p>
    <w:p w14:paraId="31D2C22F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7D704702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76111EF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1F9E18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A4ED55C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D5BFCE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D029CB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841D332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04FF50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6784C3D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0117E3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A236205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A7430A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67B8AE0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7C8B9826" w14:textId="4F3DEA33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Quels sont les aspects clés qui devraient être pris en compte dans la phase de formulation des initiatives régionales de </w:t>
      </w:r>
      <w:r w:rsidR="006318FD">
        <w:rPr>
          <w:lang w:val="fr-FR"/>
        </w:rPr>
        <w:t>l’Afrique subsaharienne</w:t>
      </w:r>
      <w:r w:rsidR="006318FD" w:rsidRPr="00FD64C1">
        <w:rPr>
          <w:lang w:val="fr-FR"/>
        </w:rPr>
        <w:t xml:space="preserve"> </w:t>
      </w:r>
      <w:r w:rsidRPr="00FD64C1">
        <w:rPr>
          <w:lang w:val="fr-FR"/>
        </w:rPr>
        <w:t>dans le PAA 2022?</w:t>
      </w:r>
    </w:p>
    <w:p w14:paraId="1258F5D9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79DC4C0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35DFD0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7C14792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CE364D5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AA03371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EE25DD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D365771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8C58A8D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D6130D8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49B9E5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8A6B085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2CCA57DF" w14:textId="5EB72F09" w:rsidR="00F635B5" w:rsidRDefault="00FD64C1">
      <w:pPr>
        <w:pStyle w:val="P68B1DB1-Normal6"/>
        <w:shd w:val="clear" w:color="auto" w:fill="ED7D31" w:themeFill="accent2"/>
        <w:jc w:val="both"/>
      </w:pPr>
      <w:r>
        <w:t>GOUVERNANCE, PAIX ET SÉCURITÉ</w:t>
      </w:r>
    </w:p>
    <w:p w14:paraId="32AA0272" w14:textId="77777777" w:rsidR="00F635B5" w:rsidRDefault="00F635B5">
      <w:pPr>
        <w:jc w:val="both"/>
        <w:rPr>
          <w:rFonts w:ascii="Avenir Book" w:hAnsi="Avenir Book" w:cstheme="minorHAnsi"/>
        </w:rPr>
      </w:pPr>
    </w:p>
    <w:p w14:paraId="3F2C922D" w14:textId="3D173B89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Quelles sont les </w:t>
      </w:r>
      <w:r w:rsidR="006318FD">
        <w:rPr>
          <w:lang w:val="fr-FR"/>
        </w:rPr>
        <w:t>points de vue</w:t>
      </w:r>
      <w:r w:rsidRPr="00FD64C1">
        <w:rPr>
          <w:lang w:val="fr-FR"/>
        </w:rPr>
        <w:t xml:space="preserve"> des OSC/AL sur la pertinence des plans d’action régionaux 2022 à la lumière des priorités du programme indicatif pluriannuel régional?</w:t>
      </w:r>
    </w:p>
    <w:p w14:paraId="2BF09C1E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48A20796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B09D36C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300861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625E30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6823005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B79126D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EC49493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6848EF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66E539A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18A3708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E6DD997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7414BB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F02E3B1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1CE5D99D" w14:textId="0CECC88E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Quels sont les aspects clés qui devraient être pris en compte dans la phase de formulation des initiatives régionales de </w:t>
      </w:r>
      <w:r w:rsidR="006318FD">
        <w:rPr>
          <w:lang w:val="fr-FR"/>
        </w:rPr>
        <w:t>l’Afrique subsaharienne</w:t>
      </w:r>
      <w:r w:rsidR="006318FD" w:rsidRPr="00FD64C1">
        <w:rPr>
          <w:lang w:val="fr-FR"/>
        </w:rPr>
        <w:t xml:space="preserve"> </w:t>
      </w:r>
      <w:r w:rsidRPr="00FD64C1">
        <w:rPr>
          <w:lang w:val="fr-FR"/>
        </w:rPr>
        <w:t>dans le PAA 2022?</w:t>
      </w:r>
    </w:p>
    <w:p w14:paraId="38DA2D7C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250FB28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640E5F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2C43243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BC9313F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0730FDD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93439D3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39B116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EF71CF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91E2DCD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45D0132C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A7C68EF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992CC64" w14:textId="3A912C78" w:rsidR="00F635B5" w:rsidRDefault="00FD64C1">
      <w:pPr>
        <w:pStyle w:val="P68B1DB1-Normal6"/>
        <w:shd w:val="clear" w:color="auto" w:fill="ED7D31" w:themeFill="accent2"/>
        <w:jc w:val="both"/>
      </w:pPr>
      <w:r>
        <w:t>MIGRATIONS ET DÉPLACEMENTS FORCÉS</w:t>
      </w:r>
    </w:p>
    <w:p w14:paraId="71D26C84" w14:textId="77777777" w:rsidR="00F635B5" w:rsidRDefault="00F635B5">
      <w:pPr>
        <w:jc w:val="both"/>
        <w:rPr>
          <w:rFonts w:ascii="Avenir Book" w:hAnsi="Avenir Book" w:cstheme="minorHAnsi"/>
        </w:rPr>
      </w:pPr>
    </w:p>
    <w:p w14:paraId="309A0009" w14:textId="50080058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Quelles sont les </w:t>
      </w:r>
      <w:r w:rsidR="006318FD">
        <w:rPr>
          <w:lang w:val="fr-FR"/>
        </w:rPr>
        <w:t>points de vue</w:t>
      </w:r>
      <w:r w:rsidRPr="00FD64C1">
        <w:rPr>
          <w:lang w:val="fr-FR"/>
        </w:rPr>
        <w:t xml:space="preserve"> des OSC/AL sur la pertinence des plans d’action régionaux pour 2022 à la lumière des priorités du programme indicatif pluriannuel régional?</w:t>
      </w:r>
    </w:p>
    <w:p w14:paraId="1F002B51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648A984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401553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22F860F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436CE2E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590A7A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97CB5EB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05BC2B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B492E0F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178D7E9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3FFBB12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74B86891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1908A5F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0119368E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3F4EA979" w14:textId="11A92012" w:rsidR="00F635B5" w:rsidRPr="00FD64C1" w:rsidRDefault="00FD64C1">
      <w:pPr>
        <w:pStyle w:val="P68B1DB1-ListParagraph7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lang w:val="fr-FR"/>
        </w:rPr>
      </w:pPr>
      <w:r w:rsidRPr="00FD64C1">
        <w:rPr>
          <w:lang w:val="fr-FR"/>
        </w:rPr>
        <w:t xml:space="preserve">Quels sont les aspects clés qui devraient être pris en compte dans la phase de formulation des initiatives régionales de </w:t>
      </w:r>
      <w:r w:rsidR="006318FD">
        <w:rPr>
          <w:lang w:val="fr-FR"/>
        </w:rPr>
        <w:t>l’Afrique subsaharienne</w:t>
      </w:r>
      <w:r w:rsidR="006318FD" w:rsidRPr="00FD64C1">
        <w:rPr>
          <w:lang w:val="fr-FR"/>
        </w:rPr>
        <w:t xml:space="preserve"> </w:t>
      </w:r>
      <w:r w:rsidRPr="00FD64C1">
        <w:rPr>
          <w:lang w:val="fr-FR"/>
        </w:rPr>
        <w:t>dans le PAA 2022?</w:t>
      </w:r>
    </w:p>
    <w:p w14:paraId="47C8502A" w14:textId="77777777" w:rsidR="00F635B5" w:rsidRPr="00FD64C1" w:rsidRDefault="00F635B5">
      <w:pPr>
        <w:jc w:val="both"/>
        <w:rPr>
          <w:rFonts w:ascii="Avenir Book" w:hAnsi="Avenir Book" w:cstheme="minorHAnsi"/>
          <w:lang w:val="fr-FR"/>
        </w:rPr>
      </w:pPr>
    </w:p>
    <w:p w14:paraId="6AB82BF4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67B2188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CC23BD8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27E945A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D0E1417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6025969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1D0DF4D8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B76D6D7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591CBDD0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3EAAA7E2" w14:textId="77777777" w:rsidR="00F635B5" w:rsidRPr="00FD64C1" w:rsidRDefault="00F63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fr-FR"/>
        </w:rPr>
      </w:pPr>
    </w:p>
    <w:p w14:paraId="29AE5CA5" w14:textId="77777777" w:rsidR="00F635B5" w:rsidRPr="00FD64C1" w:rsidRDefault="00F635B5">
      <w:pPr>
        <w:spacing w:after="0"/>
        <w:rPr>
          <w:rFonts w:ascii="Avenir Book" w:hAnsi="Avenir Book"/>
          <w:sz w:val="24"/>
          <w:lang w:val="fr-FR"/>
        </w:rPr>
      </w:pPr>
    </w:p>
    <w:sectPr w:rsidR="00F635B5" w:rsidRPr="00FD64C1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5815F" w14:textId="77777777" w:rsidR="00F635B5" w:rsidRDefault="00FD64C1">
      <w:pPr>
        <w:spacing w:after="0"/>
      </w:pPr>
      <w:r>
        <w:separator/>
      </w:r>
    </w:p>
  </w:endnote>
  <w:endnote w:type="continuationSeparator" w:id="0">
    <w:p w14:paraId="431A69EA" w14:textId="77777777" w:rsidR="00F635B5" w:rsidRDefault="00FD64C1">
      <w:pPr>
        <w:spacing w:after="0"/>
      </w:pPr>
      <w:r>
        <w:continuationSeparator/>
      </w:r>
    </w:p>
  </w:endnote>
  <w:endnote w:type="continuationNotice" w:id="1">
    <w:p w14:paraId="1DF7907D" w14:textId="77777777" w:rsidR="00F635B5" w:rsidRDefault="00F635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Avenir">
    <w:altName w:val="Corbel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7538A" w14:textId="77777777" w:rsidR="00F635B5" w:rsidRDefault="00FD64C1">
      <w:pPr>
        <w:spacing w:after="0"/>
      </w:pPr>
      <w:r>
        <w:separator/>
      </w:r>
    </w:p>
  </w:footnote>
  <w:footnote w:type="continuationSeparator" w:id="0">
    <w:p w14:paraId="108EFF0B" w14:textId="77777777" w:rsidR="00F635B5" w:rsidRDefault="00FD64C1">
      <w:pPr>
        <w:spacing w:after="0"/>
      </w:pPr>
      <w:r>
        <w:continuationSeparator/>
      </w:r>
    </w:p>
  </w:footnote>
  <w:footnote w:type="continuationNotice" w:id="1">
    <w:p w14:paraId="64EEF5CC" w14:textId="77777777" w:rsidR="00F635B5" w:rsidRDefault="00F635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CBB3" w14:textId="5DDFCCE4" w:rsidR="00F635B5" w:rsidRDefault="00FD64C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A2454"/>
    <w:multiLevelType w:val="hybridMultilevel"/>
    <w:tmpl w:val="D98A086A"/>
    <w:lvl w:ilvl="0" w:tplc="B3962D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4E31A7F"/>
    <w:multiLevelType w:val="hybridMultilevel"/>
    <w:tmpl w:val="E7CE5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F5F7EA8"/>
    <w:multiLevelType w:val="hybridMultilevel"/>
    <w:tmpl w:val="70B8CAB8"/>
    <w:lvl w:ilvl="0" w:tplc="040A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6" w:hanging="360"/>
      </w:pPr>
    </w:lvl>
    <w:lvl w:ilvl="2" w:tplc="040A001B" w:tentative="1">
      <w:start w:val="1"/>
      <w:numFmt w:val="lowerRoman"/>
      <w:lvlText w:val="%3."/>
      <w:lvlJc w:val="right"/>
      <w:pPr>
        <w:ind w:left="2156" w:hanging="180"/>
      </w:pPr>
    </w:lvl>
    <w:lvl w:ilvl="3" w:tplc="040A000F" w:tentative="1">
      <w:start w:val="1"/>
      <w:numFmt w:val="decimal"/>
      <w:lvlText w:val="%4."/>
      <w:lvlJc w:val="left"/>
      <w:pPr>
        <w:ind w:left="2876" w:hanging="360"/>
      </w:pPr>
    </w:lvl>
    <w:lvl w:ilvl="4" w:tplc="040A0019" w:tentative="1">
      <w:start w:val="1"/>
      <w:numFmt w:val="lowerLetter"/>
      <w:lvlText w:val="%5."/>
      <w:lvlJc w:val="left"/>
      <w:pPr>
        <w:ind w:left="3596" w:hanging="360"/>
      </w:pPr>
    </w:lvl>
    <w:lvl w:ilvl="5" w:tplc="040A001B" w:tentative="1">
      <w:start w:val="1"/>
      <w:numFmt w:val="lowerRoman"/>
      <w:lvlText w:val="%6."/>
      <w:lvlJc w:val="right"/>
      <w:pPr>
        <w:ind w:left="4316" w:hanging="180"/>
      </w:pPr>
    </w:lvl>
    <w:lvl w:ilvl="6" w:tplc="040A000F" w:tentative="1">
      <w:start w:val="1"/>
      <w:numFmt w:val="decimal"/>
      <w:lvlText w:val="%7."/>
      <w:lvlJc w:val="left"/>
      <w:pPr>
        <w:ind w:left="5036" w:hanging="360"/>
      </w:pPr>
    </w:lvl>
    <w:lvl w:ilvl="7" w:tplc="040A0019" w:tentative="1">
      <w:start w:val="1"/>
      <w:numFmt w:val="lowerLetter"/>
      <w:lvlText w:val="%8."/>
      <w:lvlJc w:val="left"/>
      <w:pPr>
        <w:ind w:left="5756" w:hanging="360"/>
      </w:pPr>
    </w:lvl>
    <w:lvl w:ilvl="8" w:tplc="04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4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E073C"/>
    <w:multiLevelType w:val="hybridMultilevel"/>
    <w:tmpl w:val="6CE03D5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5B3373A"/>
    <w:multiLevelType w:val="hybridMultilevel"/>
    <w:tmpl w:val="BA4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9"/>
  </w:num>
  <w:num w:numId="3">
    <w:abstractNumId w:val="29"/>
  </w:num>
  <w:num w:numId="4">
    <w:abstractNumId w:val="24"/>
  </w:num>
  <w:num w:numId="5">
    <w:abstractNumId w:val="12"/>
  </w:num>
  <w:num w:numId="6">
    <w:abstractNumId w:val="27"/>
  </w:num>
  <w:num w:numId="7">
    <w:abstractNumId w:val="16"/>
  </w:num>
  <w:num w:numId="8">
    <w:abstractNumId w:val="46"/>
  </w:num>
  <w:num w:numId="9">
    <w:abstractNumId w:val="21"/>
  </w:num>
  <w:num w:numId="10">
    <w:abstractNumId w:val="41"/>
  </w:num>
  <w:num w:numId="11">
    <w:abstractNumId w:val="31"/>
  </w:num>
  <w:num w:numId="12">
    <w:abstractNumId w:val="42"/>
  </w:num>
  <w:num w:numId="13">
    <w:abstractNumId w:val="11"/>
  </w:num>
  <w:num w:numId="14">
    <w:abstractNumId w:val="1"/>
  </w:num>
  <w:num w:numId="15">
    <w:abstractNumId w:val="23"/>
  </w:num>
  <w:num w:numId="16">
    <w:abstractNumId w:val="10"/>
  </w:num>
  <w:num w:numId="17">
    <w:abstractNumId w:val="37"/>
  </w:num>
  <w:num w:numId="18">
    <w:abstractNumId w:val="28"/>
  </w:num>
  <w:num w:numId="19">
    <w:abstractNumId w:val="40"/>
  </w:num>
  <w:num w:numId="20">
    <w:abstractNumId w:val="8"/>
  </w:num>
  <w:num w:numId="21">
    <w:abstractNumId w:val="6"/>
  </w:num>
  <w:num w:numId="22">
    <w:abstractNumId w:val="3"/>
  </w:num>
  <w:num w:numId="23">
    <w:abstractNumId w:val="26"/>
  </w:num>
  <w:num w:numId="24">
    <w:abstractNumId w:val="32"/>
  </w:num>
  <w:num w:numId="25">
    <w:abstractNumId w:val="38"/>
  </w:num>
  <w:num w:numId="26">
    <w:abstractNumId w:val="4"/>
  </w:num>
  <w:num w:numId="27">
    <w:abstractNumId w:val="7"/>
  </w:num>
  <w:num w:numId="28">
    <w:abstractNumId w:val="22"/>
  </w:num>
  <w:num w:numId="29">
    <w:abstractNumId w:val="2"/>
  </w:num>
  <w:num w:numId="30">
    <w:abstractNumId w:val="19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30"/>
  </w:num>
  <w:num w:numId="37">
    <w:abstractNumId w:val="36"/>
  </w:num>
  <w:num w:numId="38">
    <w:abstractNumId w:val="0"/>
  </w:num>
  <w:num w:numId="39">
    <w:abstractNumId w:val="43"/>
  </w:num>
  <w:num w:numId="40">
    <w:abstractNumId w:val="34"/>
  </w:num>
  <w:num w:numId="41">
    <w:abstractNumId w:val="15"/>
  </w:num>
  <w:num w:numId="42">
    <w:abstractNumId w:val="45"/>
  </w:num>
  <w:num w:numId="43">
    <w:abstractNumId w:val="47"/>
  </w:num>
  <w:num w:numId="44">
    <w:abstractNumId w:val="35"/>
  </w:num>
  <w:num w:numId="45">
    <w:abstractNumId w:val="25"/>
  </w:num>
  <w:num w:numId="46">
    <w:abstractNumId w:val="44"/>
  </w:num>
  <w:num w:numId="47">
    <w:abstractNumId w:val="33"/>
  </w:num>
  <w:num w:numId="48">
    <w:abstractNumId w:val="39"/>
  </w:num>
  <w:num w:numId="49">
    <w:abstractNumId w:val="1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100AEF"/>
    <w:rsid w:val="001056EC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20F7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428"/>
    <w:rsid w:val="001E49F0"/>
    <w:rsid w:val="001E509C"/>
    <w:rsid w:val="001F1EE2"/>
    <w:rsid w:val="001F6A1E"/>
    <w:rsid w:val="0020030F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4C3A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45E8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9432B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5ADB"/>
    <w:rsid w:val="004B7D68"/>
    <w:rsid w:val="004D001B"/>
    <w:rsid w:val="004D6971"/>
    <w:rsid w:val="004D7BD2"/>
    <w:rsid w:val="004E266B"/>
    <w:rsid w:val="004E46C5"/>
    <w:rsid w:val="004F4163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264"/>
    <w:rsid w:val="005543C3"/>
    <w:rsid w:val="0055502F"/>
    <w:rsid w:val="00561706"/>
    <w:rsid w:val="005648B3"/>
    <w:rsid w:val="005652DE"/>
    <w:rsid w:val="00570C06"/>
    <w:rsid w:val="005726E5"/>
    <w:rsid w:val="00576949"/>
    <w:rsid w:val="00583CEF"/>
    <w:rsid w:val="00591313"/>
    <w:rsid w:val="00592217"/>
    <w:rsid w:val="005931F5"/>
    <w:rsid w:val="005A6910"/>
    <w:rsid w:val="005B4239"/>
    <w:rsid w:val="005C44F2"/>
    <w:rsid w:val="005C5F7D"/>
    <w:rsid w:val="005C6C21"/>
    <w:rsid w:val="005C6D8A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18FD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3E16"/>
    <w:rsid w:val="006C52A0"/>
    <w:rsid w:val="006C7054"/>
    <w:rsid w:val="006D78B4"/>
    <w:rsid w:val="006E37C1"/>
    <w:rsid w:val="006E42B9"/>
    <w:rsid w:val="006E4835"/>
    <w:rsid w:val="006E60D7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13DD"/>
    <w:rsid w:val="008067F9"/>
    <w:rsid w:val="0081489D"/>
    <w:rsid w:val="008201F3"/>
    <w:rsid w:val="0082162A"/>
    <w:rsid w:val="00822495"/>
    <w:rsid w:val="008335BA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27EC1"/>
    <w:rsid w:val="00B3102D"/>
    <w:rsid w:val="00B32197"/>
    <w:rsid w:val="00B3386A"/>
    <w:rsid w:val="00B37002"/>
    <w:rsid w:val="00B426FF"/>
    <w:rsid w:val="00B60078"/>
    <w:rsid w:val="00B625E2"/>
    <w:rsid w:val="00B6651B"/>
    <w:rsid w:val="00B811DD"/>
    <w:rsid w:val="00B815E2"/>
    <w:rsid w:val="00B87B9E"/>
    <w:rsid w:val="00B912D6"/>
    <w:rsid w:val="00B9610E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19AE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19A5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5B5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C7D0E"/>
    <w:rsid w:val="00FD520C"/>
    <w:rsid w:val="00FD64C1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509C"/>
  </w:style>
  <w:style w:type="paragraph" w:styleId="Footer">
    <w:name w:val="footer"/>
    <w:basedOn w:val="Normal"/>
    <w:link w:val="Foot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</w:rPr>
  </w:style>
  <w:style w:type="character" w:styleId="Hyperlink">
    <w:name w:val="Hyperlink"/>
    <w:basedOn w:val="DefaultParagraphFont"/>
    <w:uiPriority w:val="99"/>
    <w:rsid w:val="00230CE9"/>
    <w:rPr>
      <w:u w:val="thick"/>
    </w:rPr>
  </w:style>
  <w:style w:type="table" w:styleId="TableGrid">
    <w:name w:val="Table Grid"/>
    <w:basedOn w:val="Table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</w:style>
  <w:style w:type="character" w:customStyle="1" w:styleId="AvenirnormalboldorangeCar">
    <w:name w:val="Avenir_normal_bold_orange Car"/>
    <w:basedOn w:val="DefaultParagraphFont"/>
    <w:link w:val="Avenirnormalboldorange"/>
    <w:rsid w:val="00072823"/>
    <w:rPr>
      <w:rFonts w:ascii="Avenir" w:hAnsi="Avenir" w:cs="Avenir-Book"/>
      <w:b/>
      <w:color w:val="F17732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DefaultParagraphFont"/>
    <w:rsid w:val="00704B4F"/>
  </w:style>
  <w:style w:type="character" w:customStyle="1" w:styleId="Heading3Char">
    <w:name w:val="Heading 3 Char"/>
    <w:basedOn w:val="DefaultParagraphFont"/>
    <w:link w:val="Heading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386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8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86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86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8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6"/>
    <w:rPr>
      <w:rFonts w:ascii="Times New Roman" w:hAnsi="Times New Roman" w:cs="Times New Roman"/>
      <w:sz w:val="18"/>
    </w:rPr>
  </w:style>
  <w:style w:type="paragraph" w:styleId="Revisio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7248"/>
    <w:rPr>
      <w:rFonts w:ascii="Consolas" w:hAnsi="Consolas" w:cs="Consolas"/>
      <w:sz w:val="21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648B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venir" w:hAnsi="Avenir"/>
      <w:b/>
      <w:color w:val="ED7D31" w:themeColor="accent2"/>
      <w:sz w:val="24"/>
    </w:rPr>
  </w:style>
  <w:style w:type="paragraph" w:customStyle="1" w:styleId="P68B1DB1-NormalWeb2">
    <w:name w:val="P68B1DB1-NormalWeb2"/>
    <w:basedOn w:val="NormalWeb"/>
    <w:rPr>
      <w:rFonts w:ascii="Avenir" w:hAnsi="Avenir"/>
      <w:b/>
      <w:color w:val="ED7D31" w:themeColor="accent2"/>
    </w:rPr>
  </w:style>
  <w:style w:type="paragraph" w:customStyle="1" w:styleId="P68B1DB1-Normal3">
    <w:name w:val="P68B1DB1-Normal3"/>
    <w:basedOn w:val="Normal"/>
    <w:rPr>
      <w:rFonts w:ascii="Avenir" w:hAnsi="Avenir"/>
      <w:b/>
      <w:i/>
      <w:color w:val="000000"/>
    </w:rPr>
  </w:style>
  <w:style w:type="paragraph" w:customStyle="1" w:styleId="P68B1DB1-Normal4">
    <w:name w:val="P68B1DB1-Normal4"/>
    <w:basedOn w:val="Normal"/>
    <w:rPr>
      <w:rFonts w:ascii="Avenir" w:hAnsi="Avenir"/>
      <w:color w:val="000000"/>
    </w:rPr>
  </w:style>
  <w:style w:type="paragraph" w:customStyle="1" w:styleId="P68B1DB1-Normal5">
    <w:name w:val="P68B1DB1-Normal5"/>
    <w:basedOn w:val="Normal"/>
    <w:rPr>
      <w:rFonts w:ascii="Avenir Book" w:hAnsi="Avenir Book" w:cstheme="minorHAnsi"/>
      <w:b/>
      <w:color w:val="FFFFFF" w:themeColor="background1"/>
    </w:rPr>
  </w:style>
  <w:style w:type="paragraph" w:customStyle="1" w:styleId="P68B1DB1-Normal6">
    <w:name w:val="P68B1DB1-Normal6"/>
    <w:basedOn w:val="Normal"/>
    <w:rPr>
      <w:rFonts w:ascii="Avenir Book" w:hAnsi="Avenir Book" w:cstheme="minorHAnsi"/>
      <w:b/>
      <w:color w:val="FFFFFF" w:themeColor="background1"/>
      <w:sz w:val="24"/>
    </w:rPr>
  </w:style>
  <w:style w:type="paragraph" w:customStyle="1" w:styleId="P68B1DB1-ListParagraph7">
    <w:name w:val="P68B1DB1-ListParagraph7"/>
    <w:basedOn w:val="ListParagraph"/>
    <w:rPr>
      <w:rFonts w:ascii="Avenir Book" w:hAnsi="Avenir Book" w:cs="Times New Roman"/>
      <w:i/>
    </w:rPr>
  </w:style>
  <w:style w:type="paragraph" w:customStyle="1" w:styleId="P68B1DB1-ListParagraph9">
    <w:name w:val="P68B1DB1-ListParagraph9"/>
    <w:basedOn w:val="ListParagraph"/>
    <w:rsid w:val="00FD64C1"/>
    <w:rPr>
      <w:rFonts w:ascii="Avenir Book" w:hAnsi="Avenir Book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616C-8BC8-428B-9FFD-8E89B5A8C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D9E4F-3098-4970-8D1D-974D9DE6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537</Words>
  <Characters>3064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Microsoft account</cp:lastModifiedBy>
  <cp:revision>5</cp:revision>
  <cp:lastPrinted>2021-12-14T07:10:00Z</cp:lastPrinted>
  <dcterms:created xsi:type="dcterms:W3CDTF">2021-12-13T18:19:00Z</dcterms:created>
  <dcterms:modified xsi:type="dcterms:W3CDTF">2021-12-14T07:19:00Z</dcterms:modified>
</cp:coreProperties>
</file>