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theme/themeOverride3.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8.xml" ContentType="application/vnd.openxmlformats-officedocument.drawingml.chart+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id w:val="-2075190778"/>
        <w:docPartObj>
          <w:docPartGallery w:val="Cover Pages"/>
          <w:docPartUnique/>
        </w:docPartObj>
      </w:sdtPr>
      <w:sdtEndPr>
        <w:rPr>
          <w:noProof/>
          <w:lang w:eastAsia="en-GB"/>
        </w:rPr>
      </w:sdtEndPr>
      <w:sdtContent>
        <w:sdt>
          <w:sdtPr>
            <w:rPr>
              <w:rFonts w:eastAsiaTheme="minorEastAsia"/>
              <w:lang w:val="en-US"/>
            </w:rPr>
            <w:id w:val="1295718083"/>
            <w:docPartObj>
              <w:docPartGallery w:val="Cover Pages"/>
              <w:docPartUnique/>
            </w:docPartObj>
          </w:sdtPr>
          <w:sdtEndPr>
            <w:rPr>
              <w:noProof/>
              <w:lang w:eastAsia="en-GB"/>
            </w:rPr>
          </w:sdtEndPr>
          <w:sdtContent>
            <w:p w14:paraId="6BABF213" w14:textId="77777777" w:rsidR="00C029EF" w:rsidRDefault="00C029EF" w:rsidP="00C029EF">
              <w:pPr>
                <w:spacing w:line="240" w:lineRule="auto"/>
              </w:pPr>
              <w:r>
                <w:rPr>
                  <w:noProof/>
                  <w:lang w:val="en-IE" w:eastAsia="en-IE"/>
                </w:rPr>
                <w:drawing>
                  <wp:inline distT="0" distB="0" distL="0" distR="0" wp14:anchorId="3CE3C024" wp14:editId="084EF661">
                    <wp:extent cx="5731510" cy="5731510"/>
                    <wp:effectExtent l="0" t="0" r="2540" b="2540"/>
                    <wp:docPr id="20" name="Picture 20" descr="Full screen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Full screen preview"/>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3E72B88A" w14:textId="77777777" w:rsidR="00C029EF" w:rsidRDefault="00C029EF" w:rsidP="00C029EF">
              <w:pPr>
                <w:spacing w:line="240" w:lineRule="auto"/>
              </w:pPr>
            </w:p>
            <w:p w14:paraId="521E66DD" w14:textId="77777777" w:rsidR="00C029EF" w:rsidRPr="0056628C" w:rsidRDefault="00C029EF" w:rsidP="00C029EF">
              <w:pPr>
                <w:jc w:val="center"/>
                <w:rPr>
                  <w:rFonts w:ascii="Franklin Gothic Medium" w:hAnsi="Franklin Gothic Medium"/>
                  <w:color w:val="003399"/>
                  <w:sz w:val="56"/>
                  <w:szCs w:val="56"/>
                </w:rPr>
              </w:pPr>
              <w:r w:rsidRPr="0056628C">
                <w:rPr>
                  <w:rFonts w:ascii="Franklin Gothic Medium" w:hAnsi="Franklin Gothic Medium"/>
                  <w:color w:val="003399"/>
                  <w:sz w:val="56"/>
                  <w:szCs w:val="56"/>
                </w:rPr>
                <w:t>Gender Country Profile Nigeria</w:t>
              </w:r>
            </w:p>
            <w:p w14:paraId="735D193A" w14:textId="77777777" w:rsidR="00C029EF" w:rsidRPr="0056628C" w:rsidRDefault="00C029EF" w:rsidP="00C029EF">
              <w:pPr>
                <w:jc w:val="center"/>
                <w:rPr>
                  <w:rFonts w:ascii="MS Reference Sans Serif" w:hAnsi="MS Reference Sans Serif"/>
                  <w:color w:val="003399"/>
                  <w:sz w:val="44"/>
                  <w:szCs w:val="44"/>
                </w:rPr>
              </w:pPr>
              <w:r w:rsidRPr="0056628C">
                <w:rPr>
                  <w:rFonts w:ascii="Franklin Gothic Medium" w:hAnsi="Franklin Gothic Medium"/>
                  <w:color w:val="003399"/>
                  <w:sz w:val="44"/>
                  <w:szCs w:val="44"/>
                </w:rPr>
                <w:t>Gender Action Plan III 2021 – 2024</w:t>
              </w:r>
            </w:p>
            <w:p w14:paraId="559DCA51" w14:textId="77777777" w:rsidR="00C029EF" w:rsidRDefault="00C029EF" w:rsidP="00C029EF"/>
            <w:p w14:paraId="21677632" w14:textId="77777777" w:rsidR="00C029EF" w:rsidRPr="00025D6E" w:rsidRDefault="00C029EF" w:rsidP="00C029EF">
              <w:pPr>
                <w:pStyle w:val="NoSpacing"/>
                <w:rPr>
                  <w:color w:val="003399"/>
                </w:rPr>
              </w:pPr>
              <w:r w:rsidRPr="00025D6E">
                <w:rPr>
                  <w:color w:val="003399"/>
                </w:rPr>
                <w:t>This report was prepared in collaboration with British Council and written by:</w:t>
              </w:r>
            </w:p>
            <w:p w14:paraId="192E1DCE" w14:textId="77777777" w:rsidR="00C029EF" w:rsidRPr="00025D6E" w:rsidRDefault="00C029EF" w:rsidP="00C029EF">
              <w:pPr>
                <w:pStyle w:val="NoSpacing"/>
                <w:rPr>
                  <w:color w:val="003399"/>
                </w:rPr>
              </w:pPr>
              <w:r w:rsidRPr="00025D6E">
                <w:rPr>
                  <w:color w:val="003399"/>
                </w:rPr>
                <w:t>Cheluchi Onyemelukwe</w:t>
              </w:r>
              <w:r w:rsidR="004D4BED">
                <w:rPr>
                  <w:color w:val="003399"/>
                </w:rPr>
                <w:t xml:space="preserve"> </w:t>
              </w:r>
              <w:r w:rsidRPr="00025D6E">
                <w:rPr>
                  <w:color w:val="003399"/>
                </w:rPr>
                <w:t>- Centre for Health Ethics Law and Development (CHELD)</w:t>
              </w:r>
            </w:p>
            <w:p w14:paraId="193A1FCF" w14:textId="77777777" w:rsidR="00C029EF" w:rsidRDefault="00C029EF" w:rsidP="00C029EF">
              <w:pPr>
                <w:pStyle w:val="NoSpacing"/>
                <w:rPr>
                  <w:rFonts w:ascii="MS Reference Sans Serif" w:hAnsi="MS Reference Sans Serif"/>
                  <w:sz w:val="40"/>
                  <w:szCs w:val="40"/>
                </w:rPr>
              </w:pPr>
              <w:r w:rsidRPr="00025D6E">
                <w:rPr>
                  <w:noProof/>
                  <w:color w:val="003399"/>
                  <w:lang w:val="en-IE" w:eastAsia="en-IE"/>
                </w:rPr>
                <w:drawing>
                  <wp:anchor distT="0" distB="0" distL="114300" distR="114300" simplePos="0" relativeHeight="251730944" behindDoc="0" locked="0" layoutInCell="1" allowOverlap="1" wp14:anchorId="584E9DC9" wp14:editId="5B080AD9">
                    <wp:simplePos x="0" y="0"/>
                    <wp:positionH relativeFrom="margin">
                      <wp:posOffset>3210670</wp:posOffset>
                    </wp:positionH>
                    <wp:positionV relativeFrom="paragraph">
                      <wp:posOffset>532130</wp:posOffset>
                    </wp:positionV>
                    <wp:extent cx="1266632" cy="503472"/>
                    <wp:effectExtent l="0" t="0" r="0" b="0"/>
                    <wp:wrapNone/>
                    <wp:docPr id="33" name="Picture 6" descr="British Council | Ashoka | Everyone a Changemaker"/>
                    <wp:cNvGraphicFramePr/>
                    <a:graphic xmlns:a="http://schemas.openxmlformats.org/drawingml/2006/main">
                      <a:graphicData uri="http://schemas.openxmlformats.org/drawingml/2006/picture">
                        <pic:pic xmlns:pic="http://schemas.openxmlformats.org/drawingml/2006/picture">
                          <pic:nvPicPr>
                            <pic:cNvPr id="7" name="Picture 6" descr="British Council | Ashoka | Everyone a Changemaker"/>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66632" cy="50347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25D6E">
                <w:rPr>
                  <w:noProof/>
                  <w:color w:val="003399"/>
                  <w:lang w:val="en-IE" w:eastAsia="en-IE"/>
                </w:rPr>
                <w:drawing>
                  <wp:anchor distT="0" distB="0" distL="114300" distR="114300" simplePos="0" relativeHeight="251731968" behindDoc="1" locked="0" layoutInCell="1" allowOverlap="1" wp14:anchorId="5E951713" wp14:editId="18A3117E">
                    <wp:simplePos x="0" y="0"/>
                    <wp:positionH relativeFrom="margin">
                      <wp:align>right</wp:align>
                    </wp:positionH>
                    <wp:positionV relativeFrom="paragraph">
                      <wp:posOffset>273685</wp:posOffset>
                    </wp:positionV>
                    <wp:extent cx="1041621" cy="766231"/>
                    <wp:effectExtent l="0" t="0" r="6350" b="0"/>
                    <wp:wrapTight wrapText="bothSides">
                      <wp:wrapPolygon edited="0">
                        <wp:start x="13434" y="0"/>
                        <wp:lineTo x="5927" y="8597"/>
                        <wp:lineTo x="0" y="11821"/>
                        <wp:lineTo x="0" y="17731"/>
                        <wp:lineTo x="5137" y="19881"/>
                        <wp:lineTo x="5927" y="20955"/>
                        <wp:lineTo x="7902" y="20955"/>
                        <wp:lineTo x="21337" y="19881"/>
                        <wp:lineTo x="21337" y="12358"/>
                        <wp:lineTo x="18571" y="8597"/>
                        <wp:lineTo x="15410" y="0"/>
                        <wp:lineTo x="13434" y="0"/>
                      </wp:wrapPolygon>
                    </wp:wrapTight>
                    <wp:docPr id="474" name="Picture 474" descr="C:\Users\lenovo\AppData\Local\Microsoft\Windows\INetCache\Content.Outlook\VMWDNA0K\CHIELD 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novo\AppData\Local\Microsoft\Windows\INetCache\Content.Outlook\VMWDNA0K\CHIELD 22-1.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41621" cy="766231"/>
                            </a:xfrm>
                            <a:prstGeom prst="rect">
                              <a:avLst/>
                            </a:prstGeom>
                            <a:noFill/>
                            <a:ln>
                              <a:noFill/>
                            </a:ln>
                          </pic:spPr>
                        </pic:pic>
                      </a:graphicData>
                    </a:graphic>
                  </wp:anchor>
                </w:drawing>
              </w:r>
              <w:r w:rsidRPr="00025D6E">
                <w:rPr>
                  <w:color w:val="003399"/>
                </w:rPr>
                <w:t>Chioma Ezegwu</w:t>
              </w:r>
              <w:r w:rsidRPr="00C03266">
                <w:t xml:space="preserve"> </w:t>
              </w:r>
              <w:r>
                <w:rPr>
                  <w:rFonts w:ascii="MS Reference Sans Serif" w:hAnsi="MS Reference Sans Serif"/>
                  <w:sz w:val="40"/>
                  <w:szCs w:val="40"/>
                </w:rPr>
                <w:br w:type="page"/>
              </w:r>
            </w:p>
          </w:sdtContent>
        </w:sdt>
        <w:p w14:paraId="65E315F9" w14:textId="77777777" w:rsidR="00DE2534" w:rsidRDefault="00C029EF" w:rsidP="00C029EF">
          <w:pPr>
            <w:spacing w:line="240" w:lineRule="auto"/>
            <w:rPr>
              <w:noProof/>
              <w:lang w:eastAsia="en-GB"/>
            </w:rPr>
          </w:pPr>
          <w:r>
            <w:rPr>
              <w:noProof/>
              <w:lang w:eastAsia="en-GB"/>
            </w:rPr>
            <w:lastRenderedPageBreak/>
            <w:t xml:space="preserve"> </w:t>
          </w:r>
        </w:p>
      </w:sdtContent>
    </w:sdt>
    <w:sdt>
      <w:sdtPr>
        <w:rPr>
          <w:rFonts w:asciiTheme="minorHAnsi" w:eastAsiaTheme="minorHAnsi" w:hAnsiTheme="minorHAnsi" w:cstheme="minorBidi"/>
          <w:color w:val="auto"/>
          <w:sz w:val="22"/>
          <w:szCs w:val="22"/>
          <w:lang w:val="en-GB"/>
        </w:rPr>
        <w:id w:val="6798471"/>
        <w:docPartObj>
          <w:docPartGallery w:val="Table of Contents"/>
          <w:docPartUnique/>
        </w:docPartObj>
      </w:sdtPr>
      <w:sdtEndPr/>
      <w:sdtContent>
        <w:p w14:paraId="53CEE020" w14:textId="77777777" w:rsidR="00035C08" w:rsidRPr="00C029EF" w:rsidRDefault="00035C08" w:rsidP="00E75191">
          <w:pPr>
            <w:pStyle w:val="TOCHeading"/>
            <w:spacing w:line="240" w:lineRule="auto"/>
            <w:rPr>
              <w:rStyle w:val="Heading1Char"/>
            </w:rPr>
          </w:pPr>
          <w:r w:rsidRPr="00C029EF">
            <w:rPr>
              <w:rStyle w:val="Heading1Char"/>
            </w:rPr>
            <w:t>Table of Contents</w:t>
          </w:r>
        </w:p>
        <w:p w14:paraId="42791054" w14:textId="77777777" w:rsidR="005667FD" w:rsidRDefault="00035C08">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81229081" w:history="1">
            <w:r w:rsidR="005667FD" w:rsidRPr="00F92A62">
              <w:rPr>
                <w:rStyle w:val="Hyperlink"/>
                <w:noProof/>
              </w:rPr>
              <w:t>Abbreviation</w:t>
            </w:r>
            <w:r w:rsidR="005667FD">
              <w:rPr>
                <w:noProof/>
                <w:webHidden/>
              </w:rPr>
              <w:tab/>
            </w:r>
            <w:r w:rsidR="005667FD">
              <w:rPr>
                <w:noProof/>
                <w:webHidden/>
              </w:rPr>
              <w:fldChar w:fldCharType="begin"/>
            </w:r>
            <w:r w:rsidR="005667FD">
              <w:rPr>
                <w:noProof/>
                <w:webHidden/>
              </w:rPr>
              <w:instrText xml:space="preserve"> PAGEREF _Toc81229081 \h </w:instrText>
            </w:r>
            <w:r w:rsidR="005667FD">
              <w:rPr>
                <w:noProof/>
                <w:webHidden/>
              </w:rPr>
            </w:r>
            <w:r w:rsidR="005667FD">
              <w:rPr>
                <w:noProof/>
                <w:webHidden/>
              </w:rPr>
              <w:fldChar w:fldCharType="separate"/>
            </w:r>
            <w:r w:rsidR="005667FD">
              <w:rPr>
                <w:noProof/>
                <w:webHidden/>
              </w:rPr>
              <w:t>2</w:t>
            </w:r>
            <w:r w:rsidR="005667FD">
              <w:rPr>
                <w:noProof/>
                <w:webHidden/>
              </w:rPr>
              <w:fldChar w:fldCharType="end"/>
            </w:r>
          </w:hyperlink>
        </w:p>
        <w:p w14:paraId="39744527" w14:textId="77777777" w:rsidR="005667FD" w:rsidRDefault="00FB1E39">
          <w:pPr>
            <w:pStyle w:val="TOC1"/>
            <w:tabs>
              <w:tab w:val="right" w:leader="dot" w:pos="9016"/>
            </w:tabs>
            <w:rPr>
              <w:rFonts w:eastAsiaTheme="minorEastAsia"/>
              <w:noProof/>
              <w:lang w:eastAsia="en-GB"/>
            </w:rPr>
          </w:pPr>
          <w:hyperlink w:anchor="_Toc81229082" w:history="1">
            <w:r w:rsidR="005667FD" w:rsidRPr="00F92A62">
              <w:rPr>
                <w:rStyle w:val="Hyperlink"/>
                <w:noProof/>
              </w:rPr>
              <w:t>Executive Summary</w:t>
            </w:r>
            <w:r w:rsidR="005667FD">
              <w:rPr>
                <w:noProof/>
                <w:webHidden/>
              </w:rPr>
              <w:tab/>
            </w:r>
            <w:r w:rsidR="005667FD">
              <w:rPr>
                <w:noProof/>
                <w:webHidden/>
              </w:rPr>
              <w:fldChar w:fldCharType="begin"/>
            </w:r>
            <w:r w:rsidR="005667FD">
              <w:rPr>
                <w:noProof/>
                <w:webHidden/>
              </w:rPr>
              <w:instrText xml:space="preserve"> PAGEREF _Toc81229082 \h </w:instrText>
            </w:r>
            <w:r w:rsidR="005667FD">
              <w:rPr>
                <w:noProof/>
                <w:webHidden/>
              </w:rPr>
            </w:r>
            <w:r w:rsidR="005667FD">
              <w:rPr>
                <w:noProof/>
                <w:webHidden/>
              </w:rPr>
              <w:fldChar w:fldCharType="separate"/>
            </w:r>
            <w:r w:rsidR="005667FD">
              <w:rPr>
                <w:noProof/>
                <w:webHidden/>
              </w:rPr>
              <w:t>3</w:t>
            </w:r>
            <w:r w:rsidR="005667FD">
              <w:rPr>
                <w:noProof/>
                <w:webHidden/>
              </w:rPr>
              <w:fldChar w:fldCharType="end"/>
            </w:r>
          </w:hyperlink>
        </w:p>
        <w:p w14:paraId="3C8DAC74" w14:textId="77777777" w:rsidR="005667FD" w:rsidRDefault="00FB1E39">
          <w:pPr>
            <w:pStyle w:val="TOC1"/>
            <w:tabs>
              <w:tab w:val="right" w:leader="dot" w:pos="9016"/>
            </w:tabs>
            <w:rPr>
              <w:rFonts w:eastAsiaTheme="minorEastAsia"/>
              <w:noProof/>
              <w:lang w:eastAsia="en-GB"/>
            </w:rPr>
          </w:pPr>
          <w:hyperlink r:id="rId15" w:anchor="_Toc81229083" w:history="1">
            <w:r w:rsidR="005667FD" w:rsidRPr="00F92A62">
              <w:rPr>
                <w:rStyle w:val="Hyperlink"/>
                <w:noProof/>
              </w:rPr>
              <w:t>Introduction</w:t>
            </w:r>
            <w:r w:rsidR="005667FD">
              <w:rPr>
                <w:noProof/>
                <w:webHidden/>
              </w:rPr>
              <w:tab/>
            </w:r>
            <w:r w:rsidR="005667FD">
              <w:rPr>
                <w:noProof/>
                <w:webHidden/>
              </w:rPr>
              <w:fldChar w:fldCharType="begin"/>
            </w:r>
            <w:r w:rsidR="005667FD">
              <w:rPr>
                <w:noProof/>
                <w:webHidden/>
              </w:rPr>
              <w:instrText xml:space="preserve"> PAGEREF _Toc81229083 \h </w:instrText>
            </w:r>
            <w:r w:rsidR="005667FD">
              <w:rPr>
                <w:noProof/>
                <w:webHidden/>
              </w:rPr>
            </w:r>
            <w:r w:rsidR="005667FD">
              <w:rPr>
                <w:noProof/>
                <w:webHidden/>
              </w:rPr>
              <w:fldChar w:fldCharType="separate"/>
            </w:r>
            <w:r w:rsidR="005667FD">
              <w:rPr>
                <w:noProof/>
                <w:webHidden/>
              </w:rPr>
              <w:t>5</w:t>
            </w:r>
            <w:r w:rsidR="005667FD">
              <w:rPr>
                <w:noProof/>
                <w:webHidden/>
              </w:rPr>
              <w:fldChar w:fldCharType="end"/>
            </w:r>
          </w:hyperlink>
        </w:p>
        <w:p w14:paraId="221DBC54" w14:textId="77777777" w:rsidR="005667FD" w:rsidRDefault="00FB1E39">
          <w:pPr>
            <w:pStyle w:val="TOC1"/>
            <w:tabs>
              <w:tab w:val="left" w:pos="660"/>
              <w:tab w:val="right" w:leader="dot" w:pos="9016"/>
            </w:tabs>
            <w:rPr>
              <w:rFonts w:eastAsiaTheme="minorEastAsia"/>
              <w:noProof/>
              <w:lang w:eastAsia="en-GB"/>
            </w:rPr>
          </w:pPr>
          <w:hyperlink w:anchor="_Toc81229084" w:history="1">
            <w:r w:rsidR="005667FD" w:rsidRPr="00F92A62">
              <w:rPr>
                <w:rStyle w:val="Hyperlink"/>
                <w:noProof/>
              </w:rPr>
              <w:t>1.1</w:t>
            </w:r>
            <w:r w:rsidR="005667FD">
              <w:rPr>
                <w:rFonts w:eastAsiaTheme="minorEastAsia"/>
                <w:noProof/>
                <w:lang w:eastAsia="en-GB"/>
              </w:rPr>
              <w:tab/>
            </w:r>
            <w:r w:rsidR="005667FD" w:rsidRPr="00F92A62">
              <w:rPr>
                <w:rStyle w:val="Hyperlink"/>
                <w:noProof/>
              </w:rPr>
              <w:t>Context</w:t>
            </w:r>
            <w:r w:rsidR="005667FD">
              <w:rPr>
                <w:noProof/>
                <w:webHidden/>
              </w:rPr>
              <w:tab/>
            </w:r>
            <w:r w:rsidR="005667FD">
              <w:rPr>
                <w:noProof/>
                <w:webHidden/>
              </w:rPr>
              <w:fldChar w:fldCharType="begin"/>
            </w:r>
            <w:r w:rsidR="005667FD">
              <w:rPr>
                <w:noProof/>
                <w:webHidden/>
              </w:rPr>
              <w:instrText xml:space="preserve"> PAGEREF _Toc81229084 \h </w:instrText>
            </w:r>
            <w:r w:rsidR="005667FD">
              <w:rPr>
                <w:noProof/>
                <w:webHidden/>
              </w:rPr>
            </w:r>
            <w:r w:rsidR="005667FD">
              <w:rPr>
                <w:noProof/>
                <w:webHidden/>
              </w:rPr>
              <w:fldChar w:fldCharType="separate"/>
            </w:r>
            <w:r w:rsidR="005667FD">
              <w:rPr>
                <w:noProof/>
                <w:webHidden/>
              </w:rPr>
              <w:t>5</w:t>
            </w:r>
            <w:r w:rsidR="005667FD">
              <w:rPr>
                <w:noProof/>
                <w:webHidden/>
              </w:rPr>
              <w:fldChar w:fldCharType="end"/>
            </w:r>
          </w:hyperlink>
        </w:p>
        <w:p w14:paraId="69CEA25A" w14:textId="77777777" w:rsidR="005667FD" w:rsidRDefault="00FB1E39">
          <w:pPr>
            <w:pStyle w:val="TOC1"/>
            <w:tabs>
              <w:tab w:val="left" w:pos="660"/>
              <w:tab w:val="right" w:leader="dot" w:pos="9016"/>
            </w:tabs>
            <w:rPr>
              <w:rFonts w:eastAsiaTheme="minorEastAsia"/>
              <w:noProof/>
              <w:lang w:eastAsia="en-GB"/>
            </w:rPr>
          </w:pPr>
          <w:hyperlink w:anchor="_Toc81229085" w:history="1">
            <w:r w:rsidR="005667FD" w:rsidRPr="00F92A62">
              <w:rPr>
                <w:rStyle w:val="Hyperlink"/>
                <w:noProof/>
              </w:rPr>
              <w:t>1.2</w:t>
            </w:r>
            <w:r w:rsidR="005667FD">
              <w:rPr>
                <w:rFonts w:eastAsiaTheme="minorEastAsia"/>
                <w:noProof/>
                <w:lang w:eastAsia="en-GB"/>
              </w:rPr>
              <w:tab/>
            </w:r>
            <w:r w:rsidR="005667FD" w:rsidRPr="00F92A62">
              <w:rPr>
                <w:rStyle w:val="Hyperlink"/>
                <w:noProof/>
              </w:rPr>
              <w:t>Purpose</w:t>
            </w:r>
            <w:r w:rsidR="005667FD">
              <w:rPr>
                <w:noProof/>
                <w:webHidden/>
              </w:rPr>
              <w:tab/>
            </w:r>
            <w:r w:rsidR="005667FD">
              <w:rPr>
                <w:noProof/>
                <w:webHidden/>
              </w:rPr>
              <w:fldChar w:fldCharType="begin"/>
            </w:r>
            <w:r w:rsidR="005667FD">
              <w:rPr>
                <w:noProof/>
                <w:webHidden/>
              </w:rPr>
              <w:instrText xml:space="preserve"> PAGEREF _Toc81229085 \h </w:instrText>
            </w:r>
            <w:r w:rsidR="005667FD">
              <w:rPr>
                <w:noProof/>
                <w:webHidden/>
              </w:rPr>
            </w:r>
            <w:r w:rsidR="005667FD">
              <w:rPr>
                <w:noProof/>
                <w:webHidden/>
              </w:rPr>
              <w:fldChar w:fldCharType="separate"/>
            </w:r>
            <w:r w:rsidR="005667FD">
              <w:rPr>
                <w:noProof/>
                <w:webHidden/>
              </w:rPr>
              <w:t>6</w:t>
            </w:r>
            <w:r w:rsidR="005667FD">
              <w:rPr>
                <w:noProof/>
                <w:webHidden/>
              </w:rPr>
              <w:fldChar w:fldCharType="end"/>
            </w:r>
          </w:hyperlink>
        </w:p>
        <w:p w14:paraId="37374D9B" w14:textId="77777777" w:rsidR="005667FD" w:rsidRDefault="00FB1E39">
          <w:pPr>
            <w:pStyle w:val="TOC1"/>
            <w:tabs>
              <w:tab w:val="left" w:pos="660"/>
              <w:tab w:val="right" w:leader="dot" w:pos="9016"/>
            </w:tabs>
            <w:rPr>
              <w:rFonts w:eastAsiaTheme="minorEastAsia"/>
              <w:noProof/>
              <w:lang w:eastAsia="en-GB"/>
            </w:rPr>
          </w:pPr>
          <w:hyperlink w:anchor="_Toc81229086" w:history="1">
            <w:r w:rsidR="005667FD" w:rsidRPr="00F92A62">
              <w:rPr>
                <w:rStyle w:val="Hyperlink"/>
                <w:noProof/>
              </w:rPr>
              <w:t>1.3</w:t>
            </w:r>
            <w:r w:rsidR="005667FD">
              <w:rPr>
                <w:rFonts w:eastAsiaTheme="minorEastAsia"/>
                <w:noProof/>
                <w:lang w:eastAsia="en-GB"/>
              </w:rPr>
              <w:tab/>
            </w:r>
            <w:r w:rsidR="005667FD" w:rsidRPr="00F92A62">
              <w:rPr>
                <w:rStyle w:val="Hyperlink"/>
                <w:noProof/>
              </w:rPr>
              <w:t>Objectives</w:t>
            </w:r>
            <w:r w:rsidR="005667FD">
              <w:rPr>
                <w:noProof/>
                <w:webHidden/>
              </w:rPr>
              <w:tab/>
            </w:r>
            <w:r w:rsidR="005667FD">
              <w:rPr>
                <w:noProof/>
                <w:webHidden/>
              </w:rPr>
              <w:fldChar w:fldCharType="begin"/>
            </w:r>
            <w:r w:rsidR="005667FD">
              <w:rPr>
                <w:noProof/>
                <w:webHidden/>
              </w:rPr>
              <w:instrText xml:space="preserve"> PAGEREF _Toc81229086 \h </w:instrText>
            </w:r>
            <w:r w:rsidR="005667FD">
              <w:rPr>
                <w:noProof/>
                <w:webHidden/>
              </w:rPr>
            </w:r>
            <w:r w:rsidR="005667FD">
              <w:rPr>
                <w:noProof/>
                <w:webHidden/>
              </w:rPr>
              <w:fldChar w:fldCharType="separate"/>
            </w:r>
            <w:r w:rsidR="005667FD">
              <w:rPr>
                <w:noProof/>
                <w:webHidden/>
              </w:rPr>
              <w:t>7</w:t>
            </w:r>
            <w:r w:rsidR="005667FD">
              <w:rPr>
                <w:noProof/>
                <w:webHidden/>
              </w:rPr>
              <w:fldChar w:fldCharType="end"/>
            </w:r>
          </w:hyperlink>
        </w:p>
        <w:p w14:paraId="5FA91743" w14:textId="77777777" w:rsidR="005667FD" w:rsidRDefault="00FB1E39">
          <w:pPr>
            <w:pStyle w:val="TOC1"/>
            <w:tabs>
              <w:tab w:val="left" w:pos="660"/>
              <w:tab w:val="right" w:leader="dot" w:pos="9016"/>
            </w:tabs>
            <w:rPr>
              <w:rFonts w:eastAsiaTheme="minorEastAsia"/>
              <w:noProof/>
              <w:lang w:eastAsia="en-GB"/>
            </w:rPr>
          </w:pPr>
          <w:hyperlink w:anchor="_Toc81229087" w:history="1">
            <w:r w:rsidR="005667FD" w:rsidRPr="00F92A62">
              <w:rPr>
                <w:rStyle w:val="Hyperlink"/>
                <w:noProof/>
              </w:rPr>
              <w:t>1.4</w:t>
            </w:r>
            <w:r w:rsidR="005667FD">
              <w:rPr>
                <w:rFonts w:eastAsiaTheme="minorEastAsia"/>
                <w:noProof/>
                <w:lang w:eastAsia="en-GB"/>
              </w:rPr>
              <w:tab/>
            </w:r>
            <w:r w:rsidR="005667FD" w:rsidRPr="00F92A62">
              <w:rPr>
                <w:rStyle w:val="Hyperlink"/>
                <w:noProof/>
              </w:rPr>
              <w:t>Methodology</w:t>
            </w:r>
            <w:r w:rsidR="005667FD">
              <w:rPr>
                <w:noProof/>
                <w:webHidden/>
              </w:rPr>
              <w:tab/>
            </w:r>
            <w:r w:rsidR="005667FD">
              <w:rPr>
                <w:noProof/>
                <w:webHidden/>
              </w:rPr>
              <w:fldChar w:fldCharType="begin"/>
            </w:r>
            <w:r w:rsidR="005667FD">
              <w:rPr>
                <w:noProof/>
                <w:webHidden/>
              </w:rPr>
              <w:instrText xml:space="preserve"> PAGEREF _Toc81229087 \h </w:instrText>
            </w:r>
            <w:r w:rsidR="005667FD">
              <w:rPr>
                <w:noProof/>
                <w:webHidden/>
              </w:rPr>
            </w:r>
            <w:r w:rsidR="005667FD">
              <w:rPr>
                <w:noProof/>
                <w:webHidden/>
              </w:rPr>
              <w:fldChar w:fldCharType="separate"/>
            </w:r>
            <w:r w:rsidR="005667FD">
              <w:rPr>
                <w:noProof/>
                <w:webHidden/>
              </w:rPr>
              <w:t>7</w:t>
            </w:r>
            <w:r w:rsidR="005667FD">
              <w:rPr>
                <w:noProof/>
                <w:webHidden/>
              </w:rPr>
              <w:fldChar w:fldCharType="end"/>
            </w:r>
          </w:hyperlink>
        </w:p>
        <w:p w14:paraId="74EE4B04" w14:textId="77777777" w:rsidR="005667FD" w:rsidRDefault="00FB1E39">
          <w:pPr>
            <w:pStyle w:val="TOC1"/>
            <w:tabs>
              <w:tab w:val="right" w:leader="dot" w:pos="9016"/>
            </w:tabs>
            <w:rPr>
              <w:rFonts w:eastAsiaTheme="minorEastAsia"/>
              <w:noProof/>
              <w:lang w:eastAsia="en-GB"/>
            </w:rPr>
          </w:pPr>
          <w:hyperlink r:id="rId16" w:anchor="_Toc81229088" w:history="1">
            <w:r w:rsidR="005667FD" w:rsidRPr="00F92A62">
              <w:rPr>
                <w:rStyle w:val="Hyperlink"/>
                <w:noProof/>
              </w:rPr>
              <w:t>2. Legal and Policy Framework</w:t>
            </w:r>
            <w:r w:rsidR="005667FD">
              <w:rPr>
                <w:noProof/>
                <w:webHidden/>
              </w:rPr>
              <w:tab/>
            </w:r>
            <w:r w:rsidR="005667FD">
              <w:rPr>
                <w:noProof/>
                <w:webHidden/>
              </w:rPr>
              <w:fldChar w:fldCharType="begin"/>
            </w:r>
            <w:r w:rsidR="005667FD">
              <w:rPr>
                <w:noProof/>
                <w:webHidden/>
              </w:rPr>
              <w:instrText xml:space="preserve"> PAGEREF _Toc81229088 \h </w:instrText>
            </w:r>
            <w:r w:rsidR="005667FD">
              <w:rPr>
                <w:noProof/>
                <w:webHidden/>
              </w:rPr>
            </w:r>
            <w:r w:rsidR="005667FD">
              <w:rPr>
                <w:noProof/>
                <w:webHidden/>
              </w:rPr>
              <w:fldChar w:fldCharType="separate"/>
            </w:r>
            <w:r w:rsidR="005667FD">
              <w:rPr>
                <w:noProof/>
                <w:webHidden/>
              </w:rPr>
              <w:t>9</w:t>
            </w:r>
            <w:r w:rsidR="005667FD">
              <w:rPr>
                <w:noProof/>
                <w:webHidden/>
              </w:rPr>
              <w:fldChar w:fldCharType="end"/>
            </w:r>
          </w:hyperlink>
        </w:p>
        <w:p w14:paraId="74C0C4F2" w14:textId="77777777" w:rsidR="005667FD" w:rsidRDefault="00FB1E39">
          <w:pPr>
            <w:pStyle w:val="TOC2"/>
            <w:tabs>
              <w:tab w:val="right" w:leader="dot" w:pos="9016"/>
            </w:tabs>
            <w:rPr>
              <w:rFonts w:eastAsiaTheme="minorEastAsia"/>
              <w:noProof/>
              <w:lang w:eastAsia="en-GB"/>
            </w:rPr>
          </w:pPr>
          <w:hyperlink w:anchor="_Toc81229089" w:history="1">
            <w:r w:rsidR="005667FD" w:rsidRPr="00F92A62">
              <w:rPr>
                <w:rStyle w:val="Hyperlink"/>
                <w:noProof/>
              </w:rPr>
              <w:t>2.1 Gaps in Legal and Policy Framework</w:t>
            </w:r>
            <w:r w:rsidR="005667FD">
              <w:rPr>
                <w:noProof/>
                <w:webHidden/>
              </w:rPr>
              <w:tab/>
            </w:r>
            <w:r w:rsidR="005667FD">
              <w:rPr>
                <w:noProof/>
                <w:webHidden/>
              </w:rPr>
              <w:fldChar w:fldCharType="begin"/>
            </w:r>
            <w:r w:rsidR="005667FD">
              <w:rPr>
                <w:noProof/>
                <w:webHidden/>
              </w:rPr>
              <w:instrText xml:space="preserve"> PAGEREF _Toc81229089 \h </w:instrText>
            </w:r>
            <w:r w:rsidR="005667FD">
              <w:rPr>
                <w:noProof/>
                <w:webHidden/>
              </w:rPr>
            </w:r>
            <w:r w:rsidR="005667FD">
              <w:rPr>
                <w:noProof/>
                <w:webHidden/>
              </w:rPr>
              <w:fldChar w:fldCharType="separate"/>
            </w:r>
            <w:r w:rsidR="005667FD">
              <w:rPr>
                <w:noProof/>
                <w:webHidden/>
              </w:rPr>
              <w:t>11</w:t>
            </w:r>
            <w:r w:rsidR="005667FD">
              <w:rPr>
                <w:noProof/>
                <w:webHidden/>
              </w:rPr>
              <w:fldChar w:fldCharType="end"/>
            </w:r>
          </w:hyperlink>
        </w:p>
        <w:p w14:paraId="225078B8" w14:textId="77777777" w:rsidR="005667FD" w:rsidRDefault="00FB1E39">
          <w:pPr>
            <w:pStyle w:val="TOC1"/>
            <w:tabs>
              <w:tab w:val="right" w:leader="dot" w:pos="9016"/>
            </w:tabs>
            <w:rPr>
              <w:rFonts w:eastAsiaTheme="minorEastAsia"/>
              <w:noProof/>
              <w:lang w:eastAsia="en-GB"/>
            </w:rPr>
          </w:pPr>
          <w:hyperlink r:id="rId17" w:anchor="_Toc81229090" w:history="1">
            <w:r w:rsidR="005667FD" w:rsidRPr="00F92A62">
              <w:rPr>
                <w:rStyle w:val="Hyperlink"/>
                <w:noProof/>
              </w:rPr>
              <w:t>3. Thematic Analysis</w:t>
            </w:r>
            <w:r w:rsidR="005667FD">
              <w:rPr>
                <w:noProof/>
                <w:webHidden/>
              </w:rPr>
              <w:tab/>
            </w:r>
            <w:r w:rsidR="005667FD">
              <w:rPr>
                <w:noProof/>
                <w:webHidden/>
              </w:rPr>
              <w:fldChar w:fldCharType="begin"/>
            </w:r>
            <w:r w:rsidR="005667FD">
              <w:rPr>
                <w:noProof/>
                <w:webHidden/>
              </w:rPr>
              <w:instrText xml:space="preserve"> PAGEREF _Toc81229090 \h </w:instrText>
            </w:r>
            <w:r w:rsidR="005667FD">
              <w:rPr>
                <w:noProof/>
                <w:webHidden/>
              </w:rPr>
            </w:r>
            <w:r w:rsidR="005667FD">
              <w:rPr>
                <w:noProof/>
                <w:webHidden/>
              </w:rPr>
              <w:fldChar w:fldCharType="separate"/>
            </w:r>
            <w:r w:rsidR="005667FD">
              <w:rPr>
                <w:noProof/>
                <w:webHidden/>
              </w:rPr>
              <w:t>14</w:t>
            </w:r>
            <w:r w:rsidR="005667FD">
              <w:rPr>
                <w:noProof/>
                <w:webHidden/>
              </w:rPr>
              <w:fldChar w:fldCharType="end"/>
            </w:r>
          </w:hyperlink>
        </w:p>
        <w:p w14:paraId="0433E79D" w14:textId="77777777" w:rsidR="005667FD" w:rsidRDefault="00FB1E39">
          <w:pPr>
            <w:pStyle w:val="TOC1"/>
            <w:tabs>
              <w:tab w:val="right" w:leader="dot" w:pos="9016"/>
            </w:tabs>
            <w:rPr>
              <w:rFonts w:eastAsiaTheme="minorEastAsia"/>
              <w:noProof/>
              <w:lang w:eastAsia="en-GB"/>
            </w:rPr>
          </w:pPr>
          <w:hyperlink r:id="rId18" w:anchor="_Toc81229091" w:history="1">
            <w:r w:rsidR="005667FD" w:rsidRPr="00F92A62">
              <w:rPr>
                <w:rStyle w:val="Hyperlink"/>
                <w:noProof/>
              </w:rPr>
              <w:t>3.1 Gender Norms</w:t>
            </w:r>
            <w:r w:rsidR="005667FD">
              <w:rPr>
                <w:noProof/>
                <w:webHidden/>
              </w:rPr>
              <w:tab/>
            </w:r>
            <w:r w:rsidR="005667FD">
              <w:rPr>
                <w:noProof/>
                <w:webHidden/>
              </w:rPr>
              <w:fldChar w:fldCharType="begin"/>
            </w:r>
            <w:r w:rsidR="005667FD">
              <w:rPr>
                <w:noProof/>
                <w:webHidden/>
              </w:rPr>
              <w:instrText xml:space="preserve"> PAGEREF _Toc81229091 \h </w:instrText>
            </w:r>
            <w:r w:rsidR="005667FD">
              <w:rPr>
                <w:noProof/>
                <w:webHidden/>
              </w:rPr>
            </w:r>
            <w:r w:rsidR="005667FD">
              <w:rPr>
                <w:noProof/>
                <w:webHidden/>
              </w:rPr>
              <w:fldChar w:fldCharType="separate"/>
            </w:r>
            <w:r w:rsidR="005667FD">
              <w:rPr>
                <w:noProof/>
                <w:webHidden/>
              </w:rPr>
              <w:t>15</w:t>
            </w:r>
            <w:r w:rsidR="005667FD">
              <w:rPr>
                <w:noProof/>
                <w:webHidden/>
              </w:rPr>
              <w:fldChar w:fldCharType="end"/>
            </w:r>
          </w:hyperlink>
        </w:p>
        <w:p w14:paraId="5649316C" w14:textId="77777777" w:rsidR="005667FD" w:rsidRDefault="00FB1E39">
          <w:pPr>
            <w:pStyle w:val="TOC1"/>
            <w:tabs>
              <w:tab w:val="right" w:leader="dot" w:pos="9016"/>
            </w:tabs>
            <w:rPr>
              <w:rFonts w:eastAsiaTheme="minorEastAsia"/>
              <w:noProof/>
              <w:lang w:eastAsia="en-GB"/>
            </w:rPr>
          </w:pPr>
          <w:hyperlink r:id="rId19" w:anchor="_Toc81229092" w:history="1">
            <w:r w:rsidR="005667FD" w:rsidRPr="00F92A62">
              <w:rPr>
                <w:rStyle w:val="Hyperlink"/>
                <w:noProof/>
              </w:rPr>
              <w:t>3.2 Political Participation</w:t>
            </w:r>
            <w:r w:rsidR="005667FD">
              <w:rPr>
                <w:noProof/>
                <w:webHidden/>
              </w:rPr>
              <w:tab/>
            </w:r>
            <w:r w:rsidR="005667FD">
              <w:rPr>
                <w:noProof/>
                <w:webHidden/>
              </w:rPr>
              <w:fldChar w:fldCharType="begin"/>
            </w:r>
            <w:r w:rsidR="005667FD">
              <w:rPr>
                <w:noProof/>
                <w:webHidden/>
              </w:rPr>
              <w:instrText xml:space="preserve"> PAGEREF _Toc81229092 \h </w:instrText>
            </w:r>
            <w:r w:rsidR="005667FD">
              <w:rPr>
                <w:noProof/>
                <w:webHidden/>
              </w:rPr>
            </w:r>
            <w:r w:rsidR="005667FD">
              <w:rPr>
                <w:noProof/>
                <w:webHidden/>
              </w:rPr>
              <w:fldChar w:fldCharType="separate"/>
            </w:r>
            <w:r w:rsidR="005667FD">
              <w:rPr>
                <w:noProof/>
                <w:webHidden/>
              </w:rPr>
              <w:t>19</w:t>
            </w:r>
            <w:r w:rsidR="005667FD">
              <w:rPr>
                <w:noProof/>
                <w:webHidden/>
              </w:rPr>
              <w:fldChar w:fldCharType="end"/>
            </w:r>
          </w:hyperlink>
        </w:p>
        <w:p w14:paraId="50F9EFB3" w14:textId="77777777" w:rsidR="005667FD" w:rsidRDefault="00FB1E39">
          <w:pPr>
            <w:pStyle w:val="TOC1"/>
            <w:tabs>
              <w:tab w:val="right" w:leader="dot" w:pos="9016"/>
            </w:tabs>
            <w:rPr>
              <w:rFonts w:eastAsiaTheme="minorEastAsia"/>
              <w:noProof/>
              <w:lang w:eastAsia="en-GB"/>
            </w:rPr>
          </w:pPr>
          <w:hyperlink r:id="rId20" w:anchor="_Toc81229093" w:history="1">
            <w:r w:rsidR="005667FD" w:rsidRPr="00F92A62">
              <w:rPr>
                <w:rStyle w:val="Hyperlink"/>
                <w:noProof/>
              </w:rPr>
              <w:t>3.3 Poverty and Inequality</w:t>
            </w:r>
            <w:r w:rsidR="005667FD">
              <w:rPr>
                <w:noProof/>
                <w:webHidden/>
              </w:rPr>
              <w:tab/>
            </w:r>
            <w:r w:rsidR="005667FD">
              <w:rPr>
                <w:noProof/>
                <w:webHidden/>
              </w:rPr>
              <w:fldChar w:fldCharType="begin"/>
            </w:r>
            <w:r w:rsidR="005667FD">
              <w:rPr>
                <w:noProof/>
                <w:webHidden/>
              </w:rPr>
              <w:instrText xml:space="preserve"> PAGEREF _Toc81229093 \h </w:instrText>
            </w:r>
            <w:r w:rsidR="005667FD">
              <w:rPr>
                <w:noProof/>
                <w:webHidden/>
              </w:rPr>
            </w:r>
            <w:r w:rsidR="005667FD">
              <w:rPr>
                <w:noProof/>
                <w:webHidden/>
              </w:rPr>
              <w:fldChar w:fldCharType="separate"/>
            </w:r>
            <w:r w:rsidR="005667FD">
              <w:rPr>
                <w:noProof/>
                <w:webHidden/>
              </w:rPr>
              <w:t>21</w:t>
            </w:r>
            <w:r w:rsidR="005667FD">
              <w:rPr>
                <w:noProof/>
                <w:webHidden/>
              </w:rPr>
              <w:fldChar w:fldCharType="end"/>
            </w:r>
          </w:hyperlink>
        </w:p>
        <w:p w14:paraId="1F6D7C59" w14:textId="77777777" w:rsidR="005667FD" w:rsidRDefault="00FB1E39">
          <w:pPr>
            <w:pStyle w:val="TOC1"/>
            <w:tabs>
              <w:tab w:val="right" w:leader="dot" w:pos="9016"/>
            </w:tabs>
            <w:rPr>
              <w:rFonts w:eastAsiaTheme="minorEastAsia"/>
              <w:noProof/>
              <w:lang w:eastAsia="en-GB"/>
            </w:rPr>
          </w:pPr>
          <w:hyperlink r:id="rId21" w:anchor="_Toc81229094" w:history="1">
            <w:r w:rsidR="005667FD" w:rsidRPr="00F92A62">
              <w:rPr>
                <w:rStyle w:val="Hyperlink"/>
                <w:noProof/>
              </w:rPr>
              <w:t>3.4 Enterprise and Employment</w:t>
            </w:r>
            <w:r w:rsidR="005667FD">
              <w:rPr>
                <w:noProof/>
                <w:webHidden/>
              </w:rPr>
              <w:tab/>
            </w:r>
            <w:r w:rsidR="005667FD">
              <w:rPr>
                <w:noProof/>
                <w:webHidden/>
              </w:rPr>
              <w:fldChar w:fldCharType="begin"/>
            </w:r>
            <w:r w:rsidR="005667FD">
              <w:rPr>
                <w:noProof/>
                <w:webHidden/>
              </w:rPr>
              <w:instrText xml:space="preserve"> PAGEREF _Toc81229094 \h </w:instrText>
            </w:r>
            <w:r w:rsidR="005667FD">
              <w:rPr>
                <w:noProof/>
                <w:webHidden/>
              </w:rPr>
            </w:r>
            <w:r w:rsidR="005667FD">
              <w:rPr>
                <w:noProof/>
                <w:webHidden/>
              </w:rPr>
              <w:fldChar w:fldCharType="separate"/>
            </w:r>
            <w:r w:rsidR="005667FD">
              <w:rPr>
                <w:noProof/>
                <w:webHidden/>
              </w:rPr>
              <w:t>25</w:t>
            </w:r>
            <w:r w:rsidR="005667FD">
              <w:rPr>
                <w:noProof/>
                <w:webHidden/>
              </w:rPr>
              <w:fldChar w:fldCharType="end"/>
            </w:r>
          </w:hyperlink>
        </w:p>
        <w:p w14:paraId="46481F66" w14:textId="77777777" w:rsidR="005667FD" w:rsidRDefault="00FB1E39">
          <w:pPr>
            <w:pStyle w:val="TOC1"/>
            <w:tabs>
              <w:tab w:val="right" w:leader="dot" w:pos="9016"/>
            </w:tabs>
            <w:rPr>
              <w:rFonts w:eastAsiaTheme="minorEastAsia"/>
              <w:noProof/>
              <w:lang w:eastAsia="en-GB"/>
            </w:rPr>
          </w:pPr>
          <w:hyperlink r:id="rId22" w:anchor="_Toc81229095" w:history="1">
            <w:r w:rsidR="005667FD" w:rsidRPr="00F92A62">
              <w:rPr>
                <w:rStyle w:val="Hyperlink"/>
                <w:noProof/>
              </w:rPr>
              <w:t>3.5 Gender-Based Violence</w:t>
            </w:r>
            <w:r w:rsidR="005667FD">
              <w:rPr>
                <w:noProof/>
                <w:webHidden/>
              </w:rPr>
              <w:tab/>
            </w:r>
            <w:r w:rsidR="005667FD">
              <w:rPr>
                <w:noProof/>
                <w:webHidden/>
              </w:rPr>
              <w:fldChar w:fldCharType="begin"/>
            </w:r>
            <w:r w:rsidR="005667FD">
              <w:rPr>
                <w:noProof/>
                <w:webHidden/>
              </w:rPr>
              <w:instrText xml:space="preserve"> PAGEREF _Toc81229095 \h </w:instrText>
            </w:r>
            <w:r w:rsidR="005667FD">
              <w:rPr>
                <w:noProof/>
                <w:webHidden/>
              </w:rPr>
            </w:r>
            <w:r w:rsidR="005667FD">
              <w:rPr>
                <w:noProof/>
                <w:webHidden/>
              </w:rPr>
              <w:fldChar w:fldCharType="separate"/>
            </w:r>
            <w:r w:rsidR="005667FD">
              <w:rPr>
                <w:noProof/>
                <w:webHidden/>
              </w:rPr>
              <w:t>34</w:t>
            </w:r>
            <w:r w:rsidR="005667FD">
              <w:rPr>
                <w:noProof/>
                <w:webHidden/>
              </w:rPr>
              <w:fldChar w:fldCharType="end"/>
            </w:r>
          </w:hyperlink>
        </w:p>
        <w:p w14:paraId="57E96751" w14:textId="77777777" w:rsidR="005667FD" w:rsidRDefault="00FB1E39">
          <w:pPr>
            <w:pStyle w:val="TOC1"/>
            <w:tabs>
              <w:tab w:val="right" w:leader="dot" w:pos="9016"/>
            </w:tabs>
            <w:rPr>
              <w:rFonts w:eastAsiaTheme="minorEastAsia"/>
              <w:noProof/>
              <w:lang w:eastAsia="en-GB"/>
            </w:rPr>
          </w:pPr>
          <w:hyperlink r:id="rId23" w:anchor="_Toc81229096" w:history="1">
            <w:r w:rsidR="005667FD" w:rsidRPr="00F92A62">
              <w:rPr>
                <w:rStyle w:val="Hyperlink"/>
                <w:noProof/>
              </w:rPr>
              <w:t>3.6 Peace and Security</w:t>
            </w:r>
            <w:r w:rsidR="005667FD">
              <w:rPr>
                <w:noProof/>
                <w:webHidden/>
              </w:rPr>
              <w:tab/>
            </w:r>
            <w:r w:rsidR="005667FD">
              <w:rPr>
                <w:noProof/>
                <w:webHidden/>
              </w:rPr>
              <w:fldChar w:fldCharType="begin"/>
            </w:r>
            <w:r w:rsidR="005667FD">
              <w:rPr>
                <w:noProof/>
                <w:webHidden/>
              </w:rPr>
              <w:instrText xml:space="preserve"> PAGEREF _Toc81229096 \h </w:instrText>
            </w:r>
            <w:r w:rsidR="005667FD">
              <w:rPr>
                <w:noProof/>
                <w:webHidden/>
              </w:rPr>
            </w:r>
            <w:r w:rsidR="005667FD">
              <w:rPr>
                <w:noProof/>
                <w:webHidden/>
              </w:rPr>
              <w:fldChar w:fldCharType="separate"/>
            </w:r>
            <w:r w:rsidR="005667FD">
              <w:rPr>
                <w:noProof/>
                <w:webHidden/>
              </w:rPr>
              <w:t>41</w:t>
            </w:r>
            <w:r w:rsidR="005667FD">
              <w:rPr>
                <w:noProof/>
                <w:webHidden/>
              </w:rPr>
              <w:fldChar w:fldCharType="end"/>
            </w:r>
          </w:hyperlink>
        </w:p>
        <w:p w14:paraId="302D7168" w14:textId="77777777" w:rsidR="005667FD" w:rsidRDefault="00FB1E39">
          <w:pPr>
            <w:pStyle w:val="TOC1"/>
            <w:tabs>
              <w:tab w:val="right" w:leader="dot" w:pos="9016"/>
            </w:tabs>
            <w:rPr>
              <w:rFonts w:eastAsiaTheme="minorEastAsia"/>
              <w:noProof/>
              <w:lang w:eastAsia="en-GB"/>
            </w:rPr>
          </w:pPr>
          <w:hyperlink r:id="rId24" w:anchor="_Toc81229097" w:history="1">
            <w:r w:rsidR="005667FD" w:rsidRPr="00F92A62">
              <w:rPr>
                <w:rStyle w:val="Hyperlink"/>
                <w:noProof/>
              </w:rPr>
              <w:t>3.7 Health</w:t>
            </w:r>
            <w:r w:rsidR="005667FD">
              <w:rPr>
                <w:noProof/>
                <w:webHidden/>
              </w:rPr>
              <w:tab/>
            </w:r>
            <w:r w:rsidR="005667FD">
              <w:rPr>
                <w:noProof/>
                <w:webHidden/>
              </w:rPr>
              <w:fldChar w:fldCharType="begin"/>
            </w:r>
            <w:r w:rsidR="005667FD">
              <w:rPr>
                <w:noProof/>
                <w:webHidden/>
              </w:rPr>
              <w:instrText xml:space="preserve"> PAGEREF _Toc81229097 \h </w:instrText>
            </w:r>
            <w:r w:rsidR="005667FD">
              <w:rPr>
                <w:noProof/>
                <w:webHidden/>
              </w:rPr>
            </w:r>
            <w:r w:rsidR="005667FD">
              <w:rPr>
                <w:noProof/>
                <w:webHidden/>
              </w:rPr>
              <w:fldChar w:fldCharType="separate"/>
            </w:r>
            <w:r w:rsidR="005667FD">
              <w:rPr>
                <w:noProof/>
                <w:webHidden/>
              </w:rPr>
              <w:t>45</w:t>
            </w:r>
            <w:r w:rsidR="005667FD">
              <w:rPr>
                <w:noProof/>
                <w:webHidden/>
              </w:rPr>
              <w:fldChar w:fldCharType="end"/>
            </w:r>
          </w:hyperlink>
        </w:p>
        <w:p w14:paraId="5A647A99" w14:textId="77777777" w:rsidR="005667FD" w:rsidRDefault="00FB1E39">
          <w:pPr>
            <w:pStyle w:val="TOC1"/>
            <w:tabs>
              <w:tab w:val="right" w:leader="dot" w:pos="9016"/>
            </w:tabs>
            <w:rPr>
              <w:rFonts w:eastAsiaTheme="minorEastAsia"/>
              <w:noProof/>
              <w:lang w:eastAsia="en-GB"/>
            </w:rPr>
          </w:pPr>
          <w:hyperlink r:id="rId25" w:anchor="_Toc81229098" w:history="1">
            <w:r w:rsidR="005667FD" w:rsidRPr="00F92A62">
              <w:rPr>
                <w:rStyle w:val="Hyperlink"/>
                <w:noProof/>
              </w:rPr>
              <w:t>3.8 Education</w:t>
            </w:r>
            <w:r w:rsidR="005667FD">
              <w:rPr>
                <w:noProof/>
                <w:webHidden/>
              </w:rPr>
              <w:tab/>
            </w:r>
            <w:r w:rsidR="005667FD">
              <w:rPr>
                <w:noProof/>
                <w:webHidden/>
              </w:rPr>
              <w:fldChar w:fldCharType="begin"/>
            </w:r>
            <w:r w:rsidR="005667FD">
              <w:rPr>
                <w:noProof/>
                <w:webHidden/>
              </w:rPr>
              <w:instrText xml:space="preserve"> PAGEREF _Toc81229098 \h </w:instrText>
            </w:r>
            <w:r w:rsidR="005667FD">
              <w:rPr>
                <w:noProof/>
                <w:webHidden/>
              </w:rPr>
            </w:r>
            <w:r w:rsidR="005667FD">
              <w:rPr>
                <w:noProof/>
                <w:webHidden/>
              </w:rPr>
              <w:fldChar w:fldCharType="separate"/>
            </w:r>
            <w:r w:rsidR="005667FD">
              <w:rPr>
                <w:noProof/>
                <w:webHidden/>
              </w:rPr>
              <w:t>51</w:t>
            </w:r>
            <w:r w:rsidR="005667FD">
              <w:rPr>
                <w:noProof/>
                <w:webHidden/>
              </w:rPr>
              <w:fldChar w:fldCharType="end"/>
            </w:r>
          </w:hyperlink>
        </w:p>
        <w:p w14:paraId="5BC014ED" w14:textId="77777777" w:rsidR="005667FD" w:rsidRDefault="00FB1E39">
          <w:pPr>
            <w:pStyle w:val="TOC1"/>
            <w:tabs>
              <w:tab w:val="right" w:leader="dot" w:pos="9016"/>
            </w:tabs>
            <w:rPr>
              <w:rFonts w:eastAsiaTheme="minorEastAsia"/>
              <w:noProof/>
              <w:lang w:eastAsia="en-GB"/>
            </w:rPr>
          </w:pPr>
          <w:hyperlink r:id="rId26" w:anchor="_Toc81229099" w:history="1">
            <w:r w:rsidR="005667FD" w:rsidRPr="00F92A62">
              <w:rPr>
                <w:rStyle w:val="Hyperlink"/>
                <w:noProof/>
              </w:rPr>
              <w:t>3.9 Digitalisation</w:t>
            </w:r>
            <w:r w:rsidR="005667FD">
              <w:rPr>
                <w:noProof/>
                <w:webHidden/>
              </w:rPr>
              <w:tab/>
            </w:r>
            <w:r w:rsidR="005667FD">
              <w:rPr>
                <w:noProof/>
                <w:webHidden/>
              </w:rPr>
              <w:fldChar w:fldCharType="begin"/>
            </w:r>
            <w:r w:rsidR="005667FD">
              <w:rPr>
                <w:noProof/>
                <w:webHidden/>
              </w:rPr>
              <w:instrText xml:space="preserve"> PAGEREF _Toc81229099 \h </w:instrText>
            </w:r>
            <w:r w:rsidR="005667FD">
              <w:rPr>
                <w:noProof/>
                <w:webHidden/>
              </w:rPr>
            </w:r>
            <w:r w:rsidR="005667FD">
              <w:rPr>
                <w:noProof/>
                <w:webHidden/>
              </w:rPr>
              <w:fldChar w:fldCharType="separate"/>
            </w:r>
            <w:r w:rsidR="005667FD">
              <w:rPr>
                <w:noProof/>
                <w:webHidden/>
              </w:rPr>
              <w:t>55</w:t>
            </w:r>
            <w:r w:rsidR="005667FD">
              <w:rPr>
                <w:noProof/>
                <w:webHidden/>
              </w:rPr>
              <w:fldChar w:fldCharType="end"/>
            </w:r>
          </w:hyperlink>
        </w:p>
        <w:p w14:paraId="72EF9DAA" w14:textId="77777777" w:rsidR="005667FD" w:rsidRDefault="00FB1E39">
          <w:pPr>
            <w:pStyle w:val="TOC1"/>
            <w:tabs>
              <w:tab w:val="right" w:leader="dot" w:pos="9016"/>
            </w:tabs>
            <w:rPr>
              <w:rFonts w:eastAsiaTheme="minorEastAsia"/>
              <w:noProof/>
              <w:lang w:eastAsia="en-GB"/>
            </w:rPr>
          </w:pPr>
          <w:hyperlink r:id="rId27" w:anchor="_Toc81229100" w:history="1">
            <w:r w:rsidR="005667FD" w:rsidRPr="00F92A62">
              <w:rPr>
                <w:rStyle w:val="Hyperlink"/>
                <w:noProof/>
              </w:rPr>
              <w:t>3.10 Climate Change</w:t>
            </w:r>
            <w:r w:rsidR="005667FD">
              <w:rPr>
                <w:noProof/>
                <w:webHidden/>
              </w:rPr>
              <w:tab/>
            </w:r>
            <w:r w:rsidR="005667FD">
              <w:rPr>
                <w:noProof/>
                <w:webHidden/>
              </w:rPr>
              <w:fldChar w:fldCharType="begin"/>
            </w:r>
            <w:r w:rsidR="005667FD">
              <w:rPr>
                <w:noProof/>
                <w:webHidden/>
              </w:rPr>
              <w:instrText xml:space="preserve"> PAGEREF _Toc81229100 \h </w:instrText>
            </w:r>
            <w:r w:rsidR="005667FD">
              <w:rPr>
                <w:noProof/>
                <w:webHidden/>
              </w:rPr>
            </w:r>
            <w:r w:rsidR="005667FD">
              <w:rPr>
                <w:noProof/>
                <w:webHidden/>
              </w:rPr>
              <w:fldChar w:fldCharType="separate"/>
            </w:r>
            <w:r w:rsidR="005667FD">
              <w:rPr>
                <w:noProof/>
                <w:webHidden/>
              </w:rPr>
              <w:t>60</w:t>
            </w:r>
            <w:r w:rsidR="005667FD">
              <w:rPr>
                <w:noProof/>
                <w:webHidden/>
              </w:rPr>
              <w:fldChar w:fldCharType="end"/>
            </w:r>
          </w:hyperlink>
        </w:p>
        <w:p w14:paraId="6D806D3A" w14:textId="77777777" w:rsidR="005667FD" w:rsidRDefault="00FB1E39">
          <w:pPr>
            <w:pStyle w:val="TOC1"/>
            <w:tabs>
              <w:tab w:val="right" w:leader="dot" w:pos="9016"/>
            </w:tabs>
            <w:rPr>
              <w:rFonts w:eastAsiaTheme="minorEastAsia"/>
              <w:noProof/>
              <w:lang w:eastAsia="en-GB"/>
            </w:rPr>
          </w:pPr>
          <w:hyperlink r:id="rId28" w:anchor="_Toc81229101" w:history="1">
            <w:r w:rsidR="005667FD" w:rsidRPr="00F92A62">
              <w:rPr>
                <w:rStyle w:val="Hyperlink"/>
                <w:noProof/>
              </w:rPr>
              <w:t>3.11 Inclusion and Intersectionality</w:t>
            </w:r>
            <w:r w:rsidR="005667FD">
              <w:rPr>
                <w:noProof/>
                <w:webHidden/>
              </w:rPr>
              <w:tab/>
            </w:r>
            <w:r w:rsidR="005667FD">
              <w:rPr>
                <w:noProof/>
                <w:webHidden/>
              </w:rPr>
              <w:fldChar w:fldCharType="begin"/>
            </w:r>
            <w:r w:rsidR="005667FD">
              <w:rPr>
                <w:noProof/>
                <w:webHidden/>
              </w:rPr>
              <w:instrText xml:space="preserve"> PAGEREF _Toc81229101 \h </w:instrText>
            </w:r>
            <w:r w:rsidR="005667FD">
              <w:rPr>
                <w:noProof/>
                <w:webHidden/>
              </w:rPr>
            </w:r>
            <w:r w:rsidR="005667FD">
              <w:rPr>
                <w:noProof/>
                <w:webHidden/>
              </w:rPr>
              <w:fldChar w:fldCharType="separate"/>
            </w:r>
            <w:r w:rsidR="005667FD">
              <w:rPr>
                <w:noProof/>
                <w:webHidden/>
              </w:rPr>
              <w:t>63</w:t>
            </w:r>
            <w:r w:rsidR="005667FD">
              <w:rPr>
                <w:noProof/>
                <w:webHidden/>
              </w:rPr>
              <w:fldChar w:fldCharType="end"/>
            </w:r>
          </w:hyperlink>
        </w:p>
        <w:p w14:paraId="72EB4E9E" w14:textId="77777777" w:rsidR="005667FD" w:rsidRDefault="00FB1E39">
          <w:pPr>
            <w:pStyle w:val="TOC1"/>
            <w:tabs>
              <w:tab w:val="right" w:leader="dot" w:pos="9016"/>
            </w:tabs>
            <w:rPr>
              <w:rFonts w:eastAsiaTheme="minorEastAsia"/>
              <w:noProof/>
              <w:lang w:eastAsia="en-GB"/>
            </w:rPr>
          </w:pPr>
          <w:hyperlink r:id="rId29" w:anchor="_Toc81229102" w:history="1">
            <w:r w:rsidR="005667FD" w:rsidRPr="00F92A62">
              <w:rPr>
                <w:rStyle w:val="Hyperlink"/>
                <w:noProof/>
              </w:rPr>
              <w:t>4. Summary of Findings</w:t>
            </w:r>
            <w:r w:rsidR="005667FD">
              <w:rPr>
                <w:noProof/>
                <w:webHidden/>
              </w:rPr>
              <w:tab/>
            </w:r>
            <w:r w:rsidR="005667FD">
              <w:rPr>
                <w:noProof/>
                <w:webHidden/>
              </w:rPr>
              <w:fldChar w:fldCharType="begin"/>
            </w:r>
            <w:r w:rsidR="005667FD">
              <w:rPr>
                <w:noProof/>
                <w:webHidden/>
              </w:rPr>
              <w:instrText xml:space="preserve"> PAGEREF _Toc81229102 \h </w:instrText>
            </w:r>
            <w:r w:rsidR="005667FD">
              <w:rPr>
                <w:noProof/>
                <w:webHidden/>
              </w:rPr>
            </w:r>
            <w:r w:rsidR="005667FD">
              <w:rPr>
                <w:noProof/>
                <w:webHidden/>
              </w:rPr>
              <w:fldChar w:fldCharType="separate"/>
            </w:r>
            <w:r w:rsidR="005667FD">
              <w:rPr>
                <w:noProof/>
                <w:webHidden/>
              </w:rPr>
              <w:t>70</w:t>
            </w:r>
            <w:r w:rsidR="005667FD">
              <w:rPr>
                <w:noProof/>
                <w:webHidden/>
              </w:rPr>
              <w:fldChar w:fldCharType="end"/>
            </w:r>
          </w:hyperlink>
        </w:p>
        <w:p w14:paraId="4833E9AD" w14:textId="77777777" w:rsidR="005667FD" w:rsidRDefault="00FB1E39">
          <w:pPr>
            <w:pStyle w:val="TOC1"/>
            <w:tabs>
              <w:tab w:val="right" w:leader="dot" w:pos="9016"/>
            </w:tabs>
            <w:rPr>
              <w:rFonts w:eastAsiaTheme="minorEastAsia"/>
              <w:noProof/>
              <w:lang w:eastAsia="en-GB"/>
            </w:rPr>
          </w:pPr>
          <w:hyperlink r:id="rId30" w:anchor="_Toc81229103" w:history="1">
            <w:r w:rsidR="005667FD" w:rsidRPr="00F92A62">
              <w:rPr>
                <w:rStyle w:val="Hyperlink"/>
                <w:noProof/>
              </w:rPr>
              <w:t>5. Recommendations</w:t>
            </w:r>
            <w:r w:rsidR="005667FD">
              <w:rPr>
                <w:noProof/>
                <w:webHidden/>
              </w:rPr>
              <w:tab/>
            </w:r>
            <w:r w:rsidR="005667FD">
              <w:rPr>
                <w:noProof/>
                <w:webHidden/>
              </w:rPr>
              <w:fldChar w:fldCharType="begin"/>
            </w:r>
            <w:r w:rsidR="005667FD">
              <w:rPr>
                <w:noProof/>
                <w:webHidden/>
              </w:rPr>
              <w:instrText xml:space="preserve"> PAGEREF _Toc81229103 \h </w:instrText>
            </w:r>
            <w:r w:rsidR="005667FD">
              <w:rPr>
                <w:noProof/>
                <w:webHidden/>
              </w:rPr>
            </w:r>
            <w:r w:rsidR="005667FD">
              <w:rPr>
                <w:noProof/>
                <w:webHidden/>
              </w:rPr>
              <w:fldChar w:fldCharType="separate"/>
            </w:r>
            <w:r w:rsidR="005667FD">
              <w:rPr>
                <w:noProof/>
                <w:webHidden/>
              </w:rPr>
              <w:t>73</w:t>
            </w:r>
            <w:r w:rsidR="005667FD">
              <w:rPr>
                <w:noProof/>
                <w:webHidden/>
              </w:rPr>
              <w:fldChar w:fldCharType="end"/>
            </w:r>
          </w:hyperlink>
        </w:p>
        <w:p w14:paraId="0A986971" w14:textId="77777777" w:rsidR="005667FD" w:rsidRDefault="00FB1E39">
          <w:pPr>
            <w:pStyle w:val="TOC1"/>
            <w:tabs>
              <w:tab w:val="right" w:leader="dot" w:pos="9016"/>
            </w:tabs>
            <w:rPr>
              <w:rFonts w:eastAsiaTheme="minorEastAsia"/>
              <w:noProof/>
              <w:lang w:eastAsia="en-GB"/>
            </w:rPr>
          </w:pPr>
          <w:hyperlink w:anchor="_Toc81229104" w:history="1">
            <w:r w:rsidR="005667FD" w:rsidRPr="00F92A62">
              <w:rPr>
                <w:rStyle w:val="Hyperlink"/>
                <w:noProof/>
              </w:rPr>
              <w:t>Bibliography</w:t>
            </w:r>
            <w:r w:rsidR="005667FD">
              <w:rPr>
                <w:noProof/>
                <w:webHidden/>
              </w:rPr>
              <w:tab/>
            </w:r>
            <w:r w:rsidR="005667FD">
              <w:rPr>
                <w:noProof/>
                <w:webHidden/>
              </w:rPr>
              <w:fldChar w:fldCharType="begin"/>
            </w:r>
            <w:r w:rsidR="005667FD">
              <w:rPr>
                <w:noProof/>
                <w:webHidden/>
              </w:rPr>
              <w:instrText xml:space="preserve"> PAGEREF _Toc81229104 \h </w:instrText>
            </w:r>
            <w:r w:rsidR="005667FD">
              <w:rPr>
                <w:noProof/>
                <w:webHidden/>
              </w:rPr>
            </w:r>
            <w:r w:rsidR="005667FD">
              <w:rPr>
                <w:noProof/>
                <w:webHidden/>
              </w:rPr>
              <w:fldChar w:fldCharType="separate"/>
            </w:r>
            <w:r w:rsidR="005667FD">
              <w:rPr>
                <w:noProof/>
                <w:webHidden/>
              </w:rPr>
              <w:t>79</w:t>
            </w:r>
            <w:r w:rsidR="005667FD">
              <w:rPr>
                <w:noProof/>
                <w:webHidden/>
              </w:rPr>
              <w:fldChar w:fldCharType="end"/>
            </w:r>
          </w:hyperlink>
        </w:p>
        <w:p w14:paraId="1411D47E" w14:textId="77777777" w:rsidR="005667FD" w:rsidRDefault="00FB1E39">
          <w:pPr>
            <w:pStyle w:val="TOC1"/>
            <w:tabs>
              <w:tab w:val="right" w:leader="dot" w:pos="9016"/>
            </w:tabs>
            <w:rPr>
              <w:rFonts w:eastAsiaTheme="minorEastAsia"/>
              <w:noProof/>
              <w:lang w:eastAsia="en-GB"/>
            </w:rPr>
          </w:pPr>
          <w:hyperlink w:anchor="_Toc81229105" w:history="1">
            <w:r w:rsidR="005667FD" w:rsidRPr="00F92A62">
              <w:rPr>
                <w:rStyle w:val="Hyperlink"/>
                <w:noProof/>
              </w:rPr>
              <w:t>Methodology</w:t>
            </w:r>
            <w:r w:rsidR="005667FD">
              <w:rPr>
                <w:noProof/>
                <w:webHidden/>
              </w:rPr>
              <w:tab/>
            </w:r>
            <w:r w:rsidR="005667FD">
              <w:rPr>
                <w:noProof/>
                <w:webHidden/>
              </w:rPr>
              <w:fldChar w:fldCharType="begin"/>
            </w:r>
            <w:r w:rsidR="005667FD">
              <w:rPr>
                <w:noProof/>
                <w:webHidden/>
              </w:rPr>
              <w:instrText xml:space="preserve"> PAGEREF _Toc81229105 \h </w:instrText>
            </w:r>
            <w:r w:rsidR="005667FD">
              <w:rPr>
                <w:noProof/>
                <w:webHidden/>
              </w:rPr>
            </w:r>
            <w:r w:rsidR="005667FD">
              <w:rPr>
                <w:noProof/>
                <w:webHidden/>
              </w:rPr>
              <w:fldChar w:fldCharType="separate"/>
            </w:r>
            <w:r w:rsidR="005667FD">
              <w:rPr>
                <w:noProof/>
                <w:webHidden/>
              </w:rPr>
              <w:t>89</w:t>
            </w:r>
            <w:r w:rsidR="005667FD">
              <w:rPr>
                <w:noProof/>
                <w:webHidden/>
              </w:rPr>
              <w:fldChar w:fldCharType="end"/>
            </w:r>
          </w:hyperlink>
        </w:p>
        <w:p w14:paraId="0B11A158" w14:textId="77777777" w:rsidR="005667FD" w:rsidRDefault="00FB1E39">
          <w:pPr>
            <w:pStyle w:val="TOC2"/>
            <w:tabs>
              <w:tab w:val="right" w:leader="dot" w:pos="9016"/>
            </w:tabs>
            <w:rPr>
              <w:rFonts w:eastAsiaTheme="minorEastAsia"/>
              <w:noProof/>
              <w:lang w:eastAsia="en-GB"/>
            </w:rPr>
          </w:pPr>
          <w:hyperlink w:anchor="_Toc81229106" w:history="1">
            <w:r w:rsidR="005667FD" w:rsidRPr="00F92A62">
              <w:rPr>
                <w:rStyle w:val="Hyperlink"/>
                <w:noProof/>
              </w:rPr>
              <w:t>Desk Review</w:t>
            </w:r>
            <w:r w:rsidR="005667FD">
              <w:rPr>
                <w:noProof/>
                <w:webHidden/>
              </w:rPr>
              <w:tab/>
            </w:r>
            <w:r w:rsidR="005667FD">
              <w:rPr>
                <w:noProof/>
                <w:webHidden/>
              </w:rPr>
              <w:fldChar w:fldCharType="begin"/>
            </w:r>
            <w:r w:rsidR="005667FD">
              <w:rPr>
                <w:noProof/>
                <w:webHidden/>
              </w:rPr>
              <w:instrText xml:space="preserve"> PAGEREF _Toc81229106 \h </w:instrText>
            </w:r>
            <w:r w:rsidR="005667FD">
              <w:rPr>
                <w:noProof/>
                <w:webHidden/>
              </w:rPr>
            </w:r>
            <w:r w:rsidR="005667FD">
              <w:rPr>
                <w:noProof/>
                <w:webHidden/>
              </w:rPr>
              <w:fldChar w:fldCharType="separate"/>
            </w:r>
            <w:r w:rsidR="005667FD">
              <w:rPr>
                <w:noProof/>
                <w:webHidden/>
              </w:rPr>
              <w:t>89</w:t>
            </w:r>
            <w:r w:rsidR="005667FD">
              <w:rPr>
                <w:noProof/>
                <w:webHidden/>
              </w:rPr>
              <w:fldChar w:fldCharType="end"/>
            </w:r>
          </w:hyperlink>
        </w:p>
        <w:p w14:paraId="3E676FF4" w14:textId="77777777" w:rsidR="005667FD" w:rsidRDefault="00FB1E39">
          <w:pPr>
            <w:pStyle w:val="TOC2"/>
            <w:tabs>
              <w:tab w:val="right" w:leader="dot" w:pos="9016"/>
            </w:tabs>
            <w:rPr>
              <w:rFonts w:eastAsiaTheme="minorEastAsia"/>
              <w:noProof/>
              <w:lang w:eastAsia="en-GB"/>
            </w:rPr>
          </w:pPr>
          <w:hyperlink w:anchor="_Toc81229107" w:history="1">
            <w:r w:rsidR="005667FD" w:rsidRPr="00F92A62">
              <w:rPr>
                <w:rStyle w:val="Hyperlink"/>
                <w:noProof/>
              </w:rPr>
              <w:t>Sampling</w:t>
            </w:r>
            <w:r w:rsidR="005667FD">
              <w:rPr>
                <w:noProof/>
                <w:webHidden/>
              </w:rPr>
              <w:tab/>
            </w:r>
            <w:r w:rsidR="005667FD">
              <w:rPr>
                <w:noProof/>
                <w:webHidden/>
              </w:rPr>
              <w:fldChar w:fldCharType="begin"/>
            </w:r>
            <w:r w:rsidR="005667FD">
              <w:rPr>
                <w:noProof/>
                <w:webHidden/>
              </w:rPr>
              <w:instrText xml:space="preserve"> PAGEREF _Toc81229107 \h </w:instrText>
            </w:r>
            <w:r w:rsidR="005667FD">
              <w:rPr>
                <w:noProof/>
                <w:webHidden/>
              </w:rPr>
            </w:r>
            <w:r w:rsidR="005667FD">
              <w:rPr>
                <w:noProof/>
                <w:webHidden/>
              </w:rPr>
              <w:fldChar w:fldCharType="separate"/>
            </w:r>
            <w:r w:rsidR="005667FD">
              <w:rPr>
                <w:noProof/>
                <w:webHidden/>
              </w:rPr>
              <w:t>90</w:t>
            </w:r>
            <w:r w:rsidR="005667FD">
              <w:rPr>
                <w:noProof/>
                <w:webHidden/>
              </w:rPr>
              <w:fldChar w:fldCharType="end"/>
            </w:r>
          </w:hyperlink>
        </w:p>
        <w:p w14:paraId="213ECC51" w14:textId="77777777" w:rsidR="005667FD" w:rsidRDefault="00FB1E39">
          <w:pPr>
            <w:pStyle w:val="TOC2"/>
            <w:tabs>
              <w:tab w:val="right" w:leader="dot" w:pos="9016"/>
            </w:tabs>
            <w:rPr>
              <w:rFonts w:eastAsiaTheme="minorEastAsia"/>
              <w:noProof/>
              <w:lang w:eastAsia="en-GB"/>
            </w:rPr>
          </w:pPr>
          <w:hyperlink w:anchor="_Toc81229108" w:history="1">
            <w:r w:rsidR="005667FD" w:rsidRPr="00F92A62">
              <w:rPr>
                <w:rStyle w:val="Hyperlink"/>
                <w:noProof/>
                <w:lang w:val="en-US"/>
              </w:rPr>
              <w:t>Focus Group Discussions</w:t>
            </w:r>
            <w:r w:rsidR="005667FD">
              <w:rPr>
                <w:noProof/>
                <w:webHidden/>
              </w:rPr>
              <w:tab/>
            </w:r>
            <w:r w:rsidR="005667FD">
              <w:rPr>
                <w:noProof/>
                <w:webHidden/>
              </w:rPr>
              <w:fldChar w:fldCharType="begin"/>
            </w:r>
            <w:r w:rsidR="005667FD">
              <w:rPr>
                <w:noProof/>
                <w:webHidden/>
              </w:rPr>
              <w:instrText xml:space="preserve"> PAGEREF _Toc81229108 \h </w:instrText>
            </w:r>
            <w:r w:rsidR="005667FD">
              <w:rPr>
                <w:noProof/>
                <w:webHidden/>
              </w:rPr>
            </w:r>
            <w:r w:rsidR="005667FD">
              <w:rPr>
                <w:noProof/>
                <w:webHidden/>
              </w:rPr>
              <w:fldChar w:fldCharType="separate"/>
            </w:r>
            <w:r w:rsidR="005667FD">
              <w:rPr>
                <w:noProof/>
                <w:webHidden/>
              </w:rPr>
              <w:t>90</w:t>
            </w:r>
            <w:r w:rsidR="005667FD">
              <w:rPr>
                <w:noProof/>
                <w:webHidden/>
              </w:rPr>
              <w:fldChar w:fldCharType="end"/>
            </w:r>
          </w:hyperlink>
        </w:p>
        <w:p w14:paraId="01310FC1" w14:textId="77777777" w:rsidR="005667FD" w:rsidRDefault="00FB1E39">
          <w:pPr>
            <w:pStyle w:val="TOC2"/>
            <w:tabs>
              <w:tab w:val="right" w:leader="dot" w:pos="9016"/>
            </w:tabs>
            <w:rPr>
              <w:rFonts w:eastAsiaTheme="minorEastAsia"/>
              <w:noProof/>
              <w:lang w:eastAsia="en-GB"/>
            </w:rPr>
          </w:pPr>
          <w:hyperlink w:anchor="_Toc81229109" w:history="1">
            <w:r w:rsidR="005667FD" w:rsidRPr="00F92A62">
              <w:rPr>
                <w:rStyle w:val="Hyperlink"/>
                <w:noProof/>
                <w:lang w:val="en-US"/>
              </w:rPr>
              <w:t>Key Informant Interviews</w:t>
            </w:r>
            <w:r w:rsidR="005667FD">
              <w:rPr>
                <w:noProof/>
                <w:webHidden/>
              </w:rPr>
              <w:tab/>
            </w:r>
            <w:r w:rsidR="005667FD">
              <w:rPr>
                <w:noProof/>
                <w:webHidden/>
              </w:rPr>
              <w:fldChar w:fldCharType="begin"/>
            </w:r>
            <w:r w:rsidR="005667FD">
              <w:rPr>
                <w:noProof/>
                <w:webHidden/>
              </w:rPr>
              <w:instrText xml:space="preserve"> PAGEREF _Toc81229109 \h </w:instrText>
            </w:r>
            <w:r w:rsidR="005667FD">
              <w:rPr>
                <w:noProof/>
                <w:webHidden/>
              </w:rPr>
            </w:r>
            <w:r w:rsidR="005667FD">
              <w:rPr>
                <w:noProof/>
                <w:webHidden/>
              </w:rPr>
              <w:fldChar w:fldCharType="separate"/>
            </w:r>
            <w:r w:rsidR="005667FD">
              <w:rPr>
                <w:noProof/>
                <w:webHidden/>
              </w:rPr>
              <w:t>91</w:t>
            </w:r>
            <w:r w:rsidR="005667FD">
              <w:rPr>
                <w:noProof/>
                <w:webHidden/>
              </w:rPr>
              <w:fldChar w:fldCharType="end"/>
            </w:r>
          </w:hyperlink>
        </w:p>
        <w:p w14:paraId="523607CC" w14:textId="77777777" w:rsidR="005667FD" w:rsidRDefault="00FB1E39">
          <w:pPr>
            <w:pStyle w:val="TOC2"/>
            <w:tabs>
              <w:tab w:val="right" w:leader="dot" w:pos="9016"/>
            </w:tabs>
            <w:rPr>
              <w:rFonts w:eastAsiaTheme="minorEastAsia"/>
              <w:noProof/>
              <w:lang w:eastAsia="en-GB"/>
            </w:rPr>
          </w:pPr>
          <w:hyperlink w:anchor="_Toc81229110" w:history="1">
            <w:r w:rsidR="005667FD" w:rsidRPr="00F92A62">
              <w:rPr>
                <w:rStyle w:val="Hyperlink"/>
                <w:noProof/>
                <w:lang w:val="en-US"/>
              </w:rPr>
              <w:t>Questionnaire</w:t>
            </w:r>
            <w:r w:rsidR="005667FD">
              <w:rPr>
                <w:noProof/>
                <w:webHidden/>
              </w:rPr>
              <w:tab/>
            </w:r>
            <w:r w:rsidR="005667FD">
              <w:rPr>
                <w:noProof/>
                <w:webHidden/>
              </w:rPr>
              <w:fldChar w:fldCharType="begin"/>
            </w:r>
            <w:r w:rsidR="005667FD">
              <w:rPr>
                <w:noProof/>
                <w:webHidden/>
              </w:rPr>
              <w:instrText xml:space="preserve"> PAGEREF _Toc81229110 \h </w:instrText>
            </w:r>
            <w:r w:rsidR="005667FD">
              <w:rPr>
                <w:noProof/>
                <w:webHidden/>
              </w:rPr>
            </w:r>
            <w:r w:rsidR="005667FD">
              <w:rPr>
                <w:noProof/>
                <w:webHidden/>
              </w:rPr>
              <w:fldChar w:fldCharType="separate"/>
            </w:r>
            <w:r w:rsidR="005667FD">
              <w:rPr>
                <w:noProof/>
                <w:webHidden/>
              </w:rPr>
              <w:t>92</w:t>
            </w:r>
            <w:r w:rsidR="005667FD">
              <w:rPr>
                <w:noProof/>
                <w:webHidden/>
              </w:rPr>
              <w:fldChar w:fldCharType="end"/>
            </w:r>
          </w:hyperlink>
        </w:p>
        <w:p w14:paraId="7DD60F26" w14:textId="77777777" w:rsidR="005667FD" w:rsidRDefault="00FB1E39">
          <w:pPr>
            <w:pStyle w:val="TOC1"/>
            <w:tabs>
              <w:tab w:val="right" w:leader="dot" w:pos="9016"/>
            </w:tabs>
            <w:rPr>
              <w:rFonts w:eastAsiaTheme="minorEastAsia"/>
              <w:noProof/>
              <w:lang w:eastAsia="en-GB"/>
            </w:rPr>
          </w:pPr>
          <w:hyperlink w:anchor="_Toc81229111" w:history="1">
            <w:r w:rsidR="005667FD" w:rsidRPr="00F92A62">
              <w:rPr>
                <w:rStyle w:val="Hyperlink"/>
                <w:noProof/>
              </w:rPr>
              <w:t>Annex 1</w:t>
            </w:r>
            <w:r w:rsidR="005667FD">
              <w:rPr>
                <w:noProof/>
                <w:webHidden/>
              </w:rPr>
              <w:tab/>
            </w:r>
            <w:r w:rsidR="005667FD">
              <w:rPr>
                <w:noProof/>
                <w:webHidden/>
              </w:rPr>
              <w:fldChar w:fldCharType="begin"/>
            </w:r>
            <w:r w:rsidR="005667FD">
              <w:rPr>
                <w:noProof/>
                <w:webHidden/>
              </w:rPr>
              <w:instrText xml:space="preserve"> PAGEREF _Toc81229111 \h </w:instrText>
            </w:r>
            <w:r w:rsidR="005667FD">
              <w:rPr>
                <w:noProof/>
                <w:webHidden/>
              </w:rPr>
            </w:r>
            <w:r w:rsidR="005667FD">
              <w:rPr>
                <w:noProof/>
                <w:webHidden/>
              </w:rPr>
              <w:fldChar w:fldCharType="separate"/>
            </w:r>
            <w:r w:rsidR="005667FD">
              <w:rPr>
                <w:noProof/>
                <w:webHidden/>
              </w:rPr>
              <w:t>94</w:t>
            </w:r>
            <w:r w:rsidR="005667FD">
              <w:rPr>
                <w:noProof/>
                <w:webHidden/>
              </w:rPr>
              <w:fldChar w:fldCharType="end"/>
            </w:r>
          </w:hyperlink>
        </w:p>
        <w:p w14:paraId="18101BA5" w14:textId="77777777" w:rsidR="00E75191" w:rsidRDefault="00035C08" w:rsidP="00E75191">
          <w:pPr>
            <w:spacing w:line="240" w:lineRule="auto"/>
          </w:pPr>
          <w:r>
            <w:rPr>
              <w:b/>
              <w:bCs/>
              <w:noProof/>
            </w:rPr>
            <w:fldChar w:fldCharType="end"/>
          </w:r>
        </w:p>
      </w:sdtContent>
    </w:sdt>
    <w:p w14:paraId="3D013FB7" w14:textId="77777777" w:rsidR="00E75191" w:rsidRDefault="00E75191" w:rsidP="00E75191">
      <w:pPr>
        <w:spacing w:line="240" w:lineRule="auto"/>
      </w:pPr>
      <w:r>
        <w:br w:type="page"/>
      </w:r>
    </w:p>
    <w:p w14:paraId="73F620DA" w14:textId="77777777" w:rsidR="00C6536D" w:rsidRDefault="00C6536D" w:rsidP="00E75191">
      <w:pPr>
        <w:spacing w:line="240" w:lineRule="auto"/>
      </w:pPr>
    </w:p>
    <w:p w14:paraId="44572F13" w14:textId="77777777" w:rsidR="00035C08" w:rsidRPr="006D6A0C" w:rsidRDefault="00035C08" w:rsidP="006D6A0C">
      <w:pPr>
        <w:pStyle w:val="Heading1"/>
      </w:pPr>
      <w:bookmarkStart w:id="1" w:name="_Toc81229081"/>
      <w:r w:rsidRPr="006D6A0C">
        <w:t>Abbreviation</w:t>
      </w:r>
      <w:bookmarkEnd w:id="1"/>
    </w:p>
    <w:p w14:paraId="5FB5CAAF" w14:textId="77777777" w:rsidR="00035C08" w:rsidRDefault="00035C08" w:rsidP="00E75191">
      <w:pPr>
        <w:spacing w:line="240" w:lineRule="auto"/>
        <w:rPr>
          <w:sz w:val="24"/>
          <w:szCs w:val="24"/>
        </w:rPr>
      </w:pPr>
    </w:p>
    <w:p w14:paraId="5C2D9329" w14:textId="77777777" w:rsidR="00395AA4" w:rsidRPr="00C212C1" w:rsidRDefault="00395AA4" w:rsidP="00E75191">
      <w:pPr>
        <w:spacing w:line="240" w:lineRule="auto"/>
        <w:ind w:left="2880" w:hanging="2880"/>
        <w:rPr>
          <w:sz w:val="24"/>
          <w:szCs w:val="24"/>
        </w:rPr>
      </w:pPr>
      <w:r w:rsidRPr="00C212C1">
        <w:rPr>
          <w:sz w:val="24"/>
          <w:szCs w:val="24"/>
        </w:rPr>
        <w:t xml:space="preserve">ACJA </w:t>
      </w:r>
      <w:r w:rsidRPr="00C212C1">
        <w:rPr>
          <w:sz w:val="24"/>
          <w:szCs w:val="24"/>
        </w:rPr>
        <w:tab/>
        <w:t xml:space="preserve">Administration of Criminal Justice Act </w:t>
      </w:r>
    </w:p>
    <w:p w14:paraId="5B7361D6" w14:textId="77777777" w:rsidR="00A441FB" w:rsidRPr="00C212C1" w:rsidRDefault="00A441FB" w:rsidP="00E75191">
      <w:pPr>
        <w:spacing w:line="240" w:lineRule="auto"/>
        <w:ind w:left="2880" w:hanging="2880"/>
        <w:rPr>
          <w:sz w:val="24"/>
          <w:szCs w:val="24"/>
        </w:rPr>
      </w:pPr>
      <w:r w:rsidRPr="00C212C1">
        <w:rPr>
          <w:sz w:val="24"/>
          <w:szCs w:val="24"/>
        </w:rPr>
        <w:t>BHCPF</w:t>
      </w:r>
      <w:r w:rsidRPr="00C212C1">
        <w:rPr>
          <w:sz w:val="24"/>
          <w:szCs w:val="24"/>
        </w:rPr>
        <w:tab/>
        <w:t>Basic Health Care Provision Fund</w:t>
      </w:r>
    </w:p>
    <w:p w14:paraId="747D35B1" w14:textId="77777777" w:rsidR="00035C08" w:rsidRPr="00C212C1" w:rsidRDefault="00035C08" w:rsidP="00E75191">
      <w:pPr>
        <w:spacing w:line="240" w:lineRule="auto"/>
        <w:ind w:left="2880" w:hanging="2880"/>
        <w:rPr>
          <w:sz w:val="24"/>
          <w:szCs w:val="24"/>
        </w:rPr>
      </w:pPr>
      <w:r w:rsidRPr="00C212C1">
        <w:rPr>
          <w:sz w:val="24"/>
          <w:szCs w:val="24"/>
        </w:rPr>
        <w:t>CCT</w:t>
      </w:r>
      <w:r w:rsidRPr="00C212C1">
        <w:rPr>
          <w:sz w:val="24"/>
          <w:szCs w:val="24"/>
        </w:rPr>
        <w:tab/>
        <w:t>Conditional Cash Transfer</w:t>
      </w:r>
    </w:p>
    <w:p w14:paraId="0281B72C" w14:textId="77777777" w:rsidR="00035C08" w:rsidRPr="00C212C1" w:rsidRDefault="00035C08" w:rsidP="00E75191">
      <w:pPr>
        <w:spacing w:line="240" w:lineRule="auto"/>
        <w:ind w:left="2880" w:hanging="2880"/>
        <w:rPr>
          <w:sz w:val="24"/>
          <w:szCs w:val="24"/>
        </w:rPr>
      </w:pPr>
      <w:r w:rsidRPr="00C212C1">
        <w:rPr>
          <w:sz w:val="24"/>
          <w:szCs w:val="24"/>
        </w:rPr>
        <w:t>CEDAW</w:t>
      </w:r>
      <w:r w:rsidRPr="00C212C1">
        <w:rPr>
          <w:sz w:val="24"/>
          <w:szCs w:val="24"/>
        </w:rPr>
        <w:tab/>
        <w:t xml:space="preserve">Convention on the Elimination of All Forms of Discrimination against Women </w:t>
      </w:r>
    </w:p>
    <w:p w14:paraId="455CCDCE" w14:textId="77777777" w:rsidR="000D63D5" w:rsidRPr="00C212C1" w:rsidRDefault="000D63D5" w:rsidP="00E75191">
      <w:pPr>
        <w:spacing w:line="240" w:lineRule="auto"/>
        <w:rPr>
          <w:sz w:val="24"/>
          <w:szCs w:val="24"/>
        </w:rPr>
      </w:pPr>
      <w:r w:rsidRPr="00C212C1">
        <w:rPr>
          <w:sz w:val="24"/>
          <w:szCs w:val="24"/>
        </w:rPr>
        <w:t>CGP</w:t>
      </w:r>
      <w:r w:rsidRPr="00C212C1">
        <w:rPr>
          <w:sz w:val="24"/>
          <w:szCs w:val="24"/>
        </w:rPr>
        <w:tab/>
      </w:r>
      <w:r w:rsidRPr="00C212C1">
        <w:rPr>
          <w:sz w:val="24"/>
          <w:szCs w:val="24"/>
        </w:rPr>
        <w:tab/>
      </w:r>
      <w:r w:rsidRPr="00C212C1">
        <w:rPr>
          <w:sz w:val="24"/>
          <w:szCs w:val="24"/>
        </w:rPr>
        <w:tab/>
      </w:r>
      <w:r w:rsidRPr="00C212C1">
        <w:rPr>
          <w:sz w:val="24"/>
          <w:szCs w:val="24"/>
        </w:rPr>
        <w:tab/>
        <w:t>Country Gender Profile</w:t>
      </w:r>
    </w:p>
    <w:p w14:paraId="145021DF" w14:textId="77777777" w:rsidR="00087970" w:rsidRPr="00C212C1" w:rsidRDefault="00087970" w:rsidP="00E75191">
      <w:pPr>
        <w:spacing w:line="240" w:lineRule="auto"/>
        <w:rPr>
          <w:sz w:val="24"/>
          <w:szCs w:val="24"/>
        </w:rPr>
      </w:pPr>
      <w:r w:rsidRPr="00C212C1">
        <w:rPr>
          <w:sz w:val="24"/>
          <w:szCs w:val="24"/>
        </w:rPr>
        <w:t>CRA</w:t>
      </w:r>
      <w:r w:rsidRPr="00C212C1">
        <w:rPr>
          <w:sz w:val="24"/>
          <w:szCs w:val="24"/>
        </w:rPr>
        <w:tab/>
      </w:r>
      <w:r w:rsidRPr="00C212C1">
        <w:rPr>
          <w:sz w:val="24"/>
          <w:szCs w:val="24"/>
        </w:rPr>
        <w:tab/>
      </w:r>
      <w:r w:rsidRPr="00C212C1">
        <w:rPr>
          <w:sz w:val="24"/>
          <w:szCs w:val="24"/>
        </w:rPr>
        <w:tab/>
      </w:r>
      <w:r w:rsidRPr="00C212C1">
        <w:rPr>
          <w:sz w:val="24"/>
          <w:szCs w:val="24"/>
        </w:rPr>
        <w:tab/>
        <w:t>Child Rights Act</w:t>
      </w:r>
    </w:p>
    <w:p w14:paraId="61301DCF" w14:textId="77777777" w:rsidR="00084ECD" w:rsidRPr="00C212C1" w:rsidRDefault="00084ECD" w:rsidP="00E75191">
      <w:pPr>
        <w:spacing w:line="240" w:lineRule="auto"/>
        <w:rPr>
          <w:sz w:val="24"/>
          <w:szCs w:val="24"/>
        </w:rPr>
      </w:pPr>
      <w:r w:rsidRPr="00C212C1">
        <w:rPr>
          <w:sz w:val="24"/>
          <w:szCs w:val="24"/>
        </w:rPr>
        <w:t>DSVRT</w:t>
      </w:r>
      <w:r w:rsidR="00CC39E7" w:rsidRPr="00C212C1">
        <w:rPr>
          <w:sz w:val="24"/>
          <w:szCs w:val="24"/>
        </w:rPr>
        <w:tab/>
      </w:r>
      <w:r w:rsidR="00CC39E7" w:rsidRPr="00C212C1">
        <w:rPr>
          <w:sz w:val="24"/>
          <w:szCs w:val="24"/>
        </w:rPr>
        <w:tab/>
      </w:r>
      <w:r w:rsidR="00CC39E7" w:rsidRPr="00C212C1">
        <w:rPr>
          <w:sz w:val="24"/>
          <w:szCs w:val="24"/>
        </w:rPr>
        <w:tab/>
      </w:r>
      <w:r w:rsidR="00CC39E7" w:rsidRPr="00C212C1">
        <w:rPr>
          <w:sz w:val="24"/>
          <w:szCs w:val="24"/>
        </w:rPr>
        <w:tab/>
        <w:t>Domestic and Sexual Violence Referral Team</w:t>
      </w:r>
    </w:p>
    <w:p w14:paraId="0DF47814" w14:textId="77777777" w:rsidR="00035C08" w:rsidRPr="00C212C1" w:rsidRDefault="00035C08" w:rsidP="00E75191">
      <w:pPr>
        <w:spacing w:line="240" w:lineRule="auto"/>
        <w:rPr>
          <w:sz w:val="24"/>
          <w:szCs w:val="24"/>
        </w:rPr>
      </w:pPr>
      <w:r w:rsidRPr="00C212C1">
        <w:rPr>
          <w:sz w:val="24"/>
          <w:szCs w:val="24"/>
        </w:rPr>
        <w:t xml:space="preserve">EU </w:t>
      </w:r>
      <w:r w:rsidRPr="00C212C1">
        <w:rPr>
          <w:sz w:val="24"/>
          <w:szCs w:val="24"/>
        </w:rPr>
        <w:tab/>
      </w:r>
      <w:r w:rsidRPr="00C212C1">
        <w:rPr>
          <w:sz w:val="24"/>
          <w:szCs w:val="24"/>
        </w:rPr>
        <w:tab/>
      </w:r>
      <w:r w:rsidRPr="00C212C1">
        <w:rPr>
          <w:sz w:val="24"/>
          <w:szCs w:val="24"/>
        </w:rPr>
        <w:tab/>
      </w:r>
      <w:r w:rsidRPr="00C212C1">
        <w:rPr>
          <w:sz w:val="24"/>
          <w:szCs w:val="24"/>
        </w:rPr>
        <w:tab/>
        <w:t>European Union</w:t>
      </w:r>
    </w:p>
    <w:p w14:paraId="76AF3DA0" w14:textId="77777777" w:rsidR="00794454" w:rsidRPr="00C212C1" w:rsidRDefault="00794454" w:rsidP="00E75191">
      <w:pPr>
        <w:spacing w:line="240" w:lineRule="auto"/>
        <w:rPr>
          <w:sz w:val="24"/>
          <w:szCs w:val="24"/>
        </w:rPr>
      </w:pPr>
      <w:r w:rsidRPr="00C212C1">
        <w:rPr>
          <w:rFonts w:eastAsia="Times New Roman"/>
          <w:sz w:val="24"/>
          <w:szCs w:val="24"/>
        </w:rPr>
        <w:t>FSP</w:t>
      </w:r>
      <w:r w:rsidRPr="00C212C1">
        <w:rPr>
          <w:rFonts w:eastAsia="Times New Roman"/>
          <w:sz w:val="24"/>
          <w:szCs w:val="24"/>
        </w:rPr>
        <w:tab/>
      </w:r>
      <w:r w:rsidRPr="00C212C1">
        <w:rPr>
          <w:rFonts w:eastAsia="Times New Roman"/>
          <w:sz w:val="24"/>
          <w:szCs w:val="24"/>
        </w:rPr>
        <w:tab/>
      </w:r>
      <w:r w:rsidRPr="00C212C1">
        <w:rPr>
          <w:rFonts w:eastAsia="Times New Roman"/>
          <w:sz w:val="24"/>
          <w:szCs w:val="24"/>
        </w:rPr>
        <w:tab/>
      </w:r>
      <w:r w:rsidRPr="00C212C1">
        <w:rPr>
          <w:rFonts w:eastAsia="Times New Roman"/>
          <w:sz w:val="24"/>
          <w:szCs w:val="24"/>
        </w:rPr>
        <w:tab/>
        <w:t>Financial Service Providers</w:t>
      </w:r>
    </w:p>
    <w:p w14:paraId="3BDC2354" w14:textId="77777777" w:rsidR="00035C08" w:rsidRPr="00C212C1" w:rsidRDefault="00035C08" w:rsidP="00E75191">
      <w:pPr>
        <w:spacing w:line="240" w:lineRule="auto"/>
        <w:rPr>
          <w:sz w:val="24"/>
          <w:szCs w:val="24"/>
        </w:rPr>
      </w:pPr>
      <w:r w:rsidRPr="00C212C1">
        <w:rPr>
          <w:sz w:val="24"/>
          <w:szCs w:val="24"/>
        </w:rPr>
        <w:t>GBV</w:t>
      </w:r>
      <w:r w:rsidRPr="00C212C1">
        <w:rPr>
          <w:sz w:val="24"/>
          <w:szCs w:val="24"/>
        </w:rPr>
        <w:tab/>
      </w:r>
      <w:r w:rsidRPr="00C212C1">
        <w:rPr>
          <w:sz w:val="24"/>
          <w:szCs w:val="24"/>
        </w:rPr>
        <w:tab/>
      </w:r>
      <w:r w:rsidRPr="00C212C1">
        <w:rPr>
          <w:sz w:val="24"/>
          <w:szCs w:val="24"/>
        </w:rPr>
        <w:tab/>
      </w:r>
      <w:r w:rsidRPr="00C212C1">
        <w:rPr>
          <w:sz w:val="24"/>
          <w:szCs w:val="24"/>
        </w:rPr>
        <w:tab/>
        <w:t>Gender-Based Violence</w:t>
      </w:r>
    </w:p>
    <w:p w14:paraId="07441F44" w14:textId="77777777" w:rsidR="00B41C1A" w:rsidRPr="00C212C1" w:rsidRDefault="00B41C1A" w:rsidP="00E75191">
      <w:pPr>
        <w:spacing w:line="240" w:lineRule="auto"/>
        <w:rPr>
          <w:sz w:val="24"/>
          <w:szCs w:val="24"/>
        </w:rPr>
      </w:pPr>
      <w:r w:rsidRPr="00C212C1">
        <w:rPr>
          <w:sz w:val="24"/>
          <w:szCs w:val="24"/>
        </w:rPr>
        <w:t xml:space="preserve">GEWE </w:t>
      </w:r>
      <w:r w:rsidRPr="00C212C1">
        <w:rPr>
          <w:sz w:val="24"/>
          <w:szCs w:val="24"/>
        </w:rPr>
        <w:tab/>
      </w:r>
      <w:r w:rsidRPr="00C212C1">
        <w:rPr>
          <w:sz w:val="24"/>
          <w:szCs w:val="24"/>
        </w:rPr>
        <w:tab/>
      </w:r>
      <w:r w:rsidRPr="00C212C1">
        <w:rPr>
          <w:sz w:val="24"/>
          <w:szCs w:val="24"/>
        </w:rPr>
        <w:tab/>
      </w:r>
      <w:r w:rsidRPr="00C212C1">
        <w:rPr>
          <w:sz w:val="24"/>
          <w:szCs w:val="24"/>
        </w:rPr>
        <w:tab/>
        <w:t>Gender Equality and Women Empowerment</w:t>
      </w:r>
    </w:p>
    <w:p w14:paraId="5B702DB2" w14:textId="77777777" w:rsidR="00035C08" w:rsidRPr="00C212C1" w:rsidRDefault="00035C08" w:rsidP="00E75191">
      <w:pPr>
        <w:spacing w:line="240" w:lineRule="auto"/>
        <w:rPr>
          <w:sz w:val="24"/>
          <w:szCs w:val="24"/>
        </w:rPr>
      </w:pPr>
      <w:r w:rsidRPr="00C212C1">
        <w:rPr>
          <w:sz w:val="24"/>
          <w:szCs w:val="24"/>
        </w:rPr>
        <w:t>IDP</w:t>
      </w:r>
      <w:r w:rsidRPr="00C212C1">
        <w:rPr>
          <w:sz w:val="24"/>
          <w:szCs w:val="24"/>
        </w:rPr>
        <w:tab/>
      </w:r>
      <w:r w:rsidRPr="00C212C1">
        <w:rPr>
          <w:sz w:val="24"/>
          <w:szCs w:val="24"/>
        </w:rPr>
        <w:tab/>
      </w:r>
      <w:r w:rsidRPr="00C212C1">
        <w:rPr>
          <w:sz w:val="24"/>
          <w:szCs w:val="24"/>
        </w:rPr>
        <w:tab/>
      </w:r>
      <w:r w:rsidRPr="00C212C1">
        <w:rPr>
          <w:sz w:val="24"/>
          <w:szCs w:val="24"/>
        </w:rPr>
        <w:tab/>
        <w:t>Internally Displaced Persons</w:t>
      </w:r>
    </w:p>
    <w:p w14:paraId="7995F621" w14:textId="77777777" w:rsidR="00CC39E7" w:rsidRPr="00C212C1" w:rsidRDefault="00CC39E7" w:rsidP="00E75191">
      <w:pPr>
        <w:spacing w:line="240" w:lineRule="auto"/>
        <w:rPr>
          <w:sz w:val="24"/>
          <w:szCs w:val="24"/>
        </w:rPr>
      </w:pPr>
      <w:r w:rsidRPr="00C212C1">
        <w:rPr>
          <w:sz w:val="24"/>
          <w:szCs w:val="24"/>
        </w:rPr>
        <w:t>MICS</w:t>
      </w:r>
      <w:r w:rsidRPr="00C212C1">
        <w:rPr>
          <w:sz w:val="24"/>
          <w:szCs w:val="24"/>
        </w:rPr>
        <w:tab/>
      </w:r>
      <w:r w:rsidRPr="00C212C1">
        <w:rPr>
          <w:sz w:val="24"/>
          <w:szCs w:val="24"/>
        </w:rPr>
        <w:tab/>
      </w:r>
      <w:r w:rsidRPr="00C212C1">
        <w:rPr>
          <w:sz w:val="24"/>
          <w:szCs w:val="24"/>
        </w:rPr>
        <w:tab/>
      </w:r>
      <w:r w:rsidRPr="00C212C1">
        <w:rPr>
          <w:sz w:val="24"/>
          <w:szCs w:val="24"/>
        </w:rPr>
        <w:tab/>
        <w:t>Multiple Indicator Cluster Survey</w:t>
      </w:r>
    </w:p>
    <w:p w14:paraId="0910427B" w14:textId="77777777" w:rsidR="00E1389D" w:rsidRDefault="00E1389D" w:rsidP="00E75191">
      <w:pPr>
        <w:spacing w:line="240" w:lineRule="auto"/>
        <w:rPr>
          <w:sz w:val="24"/>
          <w:szCs w:val="24"/>
        </w:rPr>
      </w:pPr>
      <w:r>
        <w:rPr>
          <w:sz w:val="24"/>
          <w:szCs w:val="24"/>
        </w:rPr>
        <w:t>MNCH</w:t>
      </w:r>
      <w:r>
        <w:rPr>
          <w:sz w:val="24"/>
          <w:szCs w:val="24"/>
        </w:rPr>
        <w:tab/>
      </w:r>
      <w:r>
        <w:rPr>
          <w:sz w:val="24"/>
          <w:szCs w:val="24"/>
        </w:rPr>
        <w:tab/>
      </w:r>
      <w:r>
        <w:rPr>
          <w:sz w:val="24"/>
          <w:szCs w:val="24"/>
        </w:rPr>
        <w:tab/>
      </w:r>
      <w:r>
        <w:rPr>
          <w:sz w:val="24"/>
          <w:szCs w:val="24"/>
        </w:rPr>
        <w:tab/>
      </w:r>
      <w:r w:rsidRPr="00E1389D">
        <w:rPr>
          <w:sz w:val="24"/>
          <w:szCs w:val="24"/>
        </w:rPr>
        <w:t xml:space="preserve">Maternal, Neonatal and Child Health </w:t>
      </w:r>
    </w:p>
    <w:p w14:paraId="4FD33123" w14:textId="77777777" w:rsidR="00035C08" w:rsidRPr="00C212C1" w:rsidRDefault="00035C08" w:rsidP="00E75191">
      <w:pPr>
        <w:spacing w:line="240" w:lineRule="auto"/>
        <w:rPr>
          <w:sz w:val="24"/>
          <w:szCs w:val="24"/>
        </w:rPr>
      </w:pPr>
      <w:r w:rsidRPr="00C212C1">
        <w:rPr>
          <w:sz w:val="24"/>
          <w:szCs w:val="24"/>
        </w:rPr>
        <w:t xml:space="preserve">NDHS </w:t>
      </w:r>
      <w:r w:rsidRPr="00C212C1">
        <w:rPr>
          <w:sz w:val="24"/>
          <w:szCs w:val="24"/>
        </w:rPr>
        <w:tab/>
      </w:r>
      <w:r w:rsidRPr="00C212C1">
        <w:rPr>
          <w:sz w:val="24"/>
          <w:szCs w:val="24"/>
        </w:rPr>
        <w:tab/>
      </w:r>
      <w:r w:rsidRPr="00C212C1">
        <w:rPr>
          <w:sz w:val="24"/>
          <w:szCs w:val="24"/>
        </w:rPr>
        <w:tab/>
      </w:r>
      <w:r w:rsidRPr="00C212C1">
        <w:rPr>
          <w:sz w:val="24"/>
          <w:szCs w:val="24"/>
        </w:rPr>
        <w:tab/>
        <w:t>Nigeria Demographic and Health Survey</w:t>
      </w:r>
    </w:p>
    <w:p w14:paraId="7410FE5A" w14:textId="77777777" w:rsidR="00035C08" w:rsidRPr="00C212C1" w:rsidRDefault="00035C08" w:rsidP="00E75191">
      <w:pPr>
        <w:spacing w:line="240" w:lineRule="auto"/>
        <w:rPr>
          <w:sz w:val="24"/>
          <w:szCs w:val="24"/>
        </w:rPr>
      </w:pPr>
      <w:r w:rsidRPr="00C212C1">
        <w:rPr>
          <w:sz w:val="24"/>
          <w:szCs w:val="24"/>
        </w:rPr>
        <w:t>OECD</w:t>
      </w:r>
      <w:r w:rsidRPr="00C212C1">
        <w:rPr>
          <w:sz w:val="24"/>
          <w:szCs w:val="24"/>
        </w:rPr>
        <w:tab/>
      </w:r>
      <w:r w:rsidRPr="00C212C1">
        <w:rPr>
          <w:sz w:val="24"/>
          <w:szCs w:val="24"/>
        </w:rPr>
        <w:tab/>
      </w:r>
      <w:r w:rsidRPr="00C212C1">
        <w:rPr>
          <w:sz w:val="24"/>
          <w:szCs w:val="24"/>
        </w:rPr>
        <w:tab/>
      </w:r>
      <w:r w:rsidRPr="00C212C1">
        <w:rPr>
          <w:sz w:val="24"/>
          <w:szCs w:val="24"/>
        </w:rPr>
        <w:tab/>
        <w:t xml:space="preserve">Organisation of Economic Development </w:t>
      </w:r>
    </w:p>
    <w:p w14:paraId="4AFABF73" w14:textId="77777777" w:rsidR="00947179" w:rsidRPr="00C212C1" w:rsidRDefault="00947179" w:rsidP="00E75191">
      <w:pPr>
        <w:spacing w:line="240" w:lineRule="auto"/>
        <w:rPr>
          <w:sz w:val="24"/>
          <w:szCs w:val="24"/>
        </w:rPr>
      </w:pPr>
      <w:r w:rsidRPr="00C212C1">
        <w:rPr>
          <w:sz w:val="24"/>
          <w:szCs w:val="24"/>
        </w:rPr>
        <w:t>PCA</w:t>
      </w:r>
      <w:r w:rsidRPr="00C212C1">
        <w:rPr>
          <w:sz w:val="24"/>
          <w:szCs w:val="24"/>
        </w:rPr>
        <w:tab/>
      </w:r>
      <w:r w:rsidRPr="00C212C1">
        <w:rPr>
          <w:sz w:val="24"/>
          <w:szCs w:val="24"/>
        </w:rPr>
        <w:tab/>
      </w:r>
      <w:r w:rsidRPr="00C212C1">
        <w:rPr>
          <w:sz w:val="24"/>
          <w:szCs w:val="24"/>
        </w:rPr>
        <w:tab/>
      </w:r>
      <w:r w:rsidRPr="00C212C1">
        <w:rPr>
          <w:sz w:val="24"/>
          <w:szCs w:val="24"/>
        </w:rPr>
        <w:tab/>
        <w:t>Penal Code Act</w:t>
      </w:r>
    </w:p>
    <w:p w14:paraId="108F8941" w14:textId="77777777" w:rsidR="00E1389D" w:rsidRDefault="00E1389D" w:rsidP="00E75191">
      <w:pPr>
        <w:spacing w:line="240" w:lineRule="auto"/>
        <w:rPr>
          <w:sz w:val="24"/>
          <w:szCs w:val="24"/>
        </w:rPr>
      </w:pPr>
      <w:r>
        <w:rPr>
          <w:sz w:val="24"/>
          <w:szCs w:val="24"/>
        </w:rPr>
        <w:t>PWD</w:t>
      </w:r>
      <w:r>
        <w:rPr>
          <w:sz w:val="24"/>
          <w:szCs w:val="24"/>
        </w:rPr>
        <w:tab/>
      </w:r>
      <w:r>
        <w:rPr>
          <w:sz w:val="24"/>
          <w:szCs w:val="24"/>
        </w:rPr>
        <w:tab/>
      </w:r>
      <w:r>
        <w:rPr>
          <w:sz w:val="24"/>
          <w:szCs w:val="24"/>
        </w:rPr>
        <w:tab/>
      </w:r>
      <w:r>
        <w:rPr>
          <w:sz w:val="24"/>
          <w:szCs w:val="24"/>
        </w:rPr>
        <w:tab/>
        <w:t>People Living with Disabilities</w:t>
      </w:r>
    </w:p>
    <w:p w14:paraId="6D913A5C" w14:textId="77777777" w:rsidR="00084ECD" w:rsidRPr="00C212C1" w:rsidRDefault="00084ECD" w:rsidP="00E75191">
      <w:pPr>
        <w:spacing w:line="240" w:lineRule="auto"/>
        <w:rPr>
          <w:sz w:val="24"/>
          <w:szCs w:val="24"/>
        </w:rPr>
      </w:pPr>
      <w:r w:rsidRPr="00C212C1">
        <w:rPr>
          <w:sz w:val="24"/>
          <w:szCs w:val="24"/>
        </w:rPr>
        <w:t>SARCs</w:t>
      </w:r>
      <w:r w:rsidR="00C320B5" w:rsidRPr="00C212C1">
        <w:rPr>
          <w:sz w:val="24"/>
          <w:szCs w:val="24"/>
        </w:rPr>
        <w:tab/>
      </w:r>
      <w:r w:rsidR="00C320B5" w:rsidRPr="00C212C1">
        <w:rPr>
          <w:sz w:val="24"/>
          <w:szCs w:val="24"/>
        </w:rPr>
        <w:tab/>
      </w:r>
      <w:r w:rsidR="00C320B5" w:rsidRPr="00C212C1">
        <w:rPr>
          <w:sz w:val="24"/>
          <w:szCs w:val="24"/>
        </w:rPr>
        <w:tab/>
      </w:r>
      <w:r w:rsidR="00C320B5" w:rsidRPr="00C212C1">
        <w:rPr>
          <w:sz w:val="24"/>
          <w:szCs w:val="24"/>
        </w:rPr>
        <w:tab/>
        <w:t>Sexual Assault Referral Centres</w:t>
      </w:r>
    </w:p>
    <w:p w14:paraId="7778BAA7" w14:textId="77777777" w:rsidR="005A4AB5" w:rsidRDefault="00035C08" w:rsidP="00E75191">
      <w:pPr>
        <w:spacing w:line="240" w:lineRule="auto"/>
        <w:rPr>
          <w:sz w:val="24"/>
          <w:szCs w:val="24"/>
        </w:rPr>
      </w:pPr>
      <w:r w:rsidRPr="00C212C1">
        <w:rPr>
          <w:sz w:val="24"/>
          <w:szCs w:val="24"/>
        </w:rPr>
        <w:t>SDGs</w:t>
      </w:r>
      <w:r w:rsidRPr="00C212C1">
        <w:rPr>
          <w:sz w:val="24"/>
          <w:szCs w:val="24"/>
        </w:rPr>
        <w:tab/>
      </w:r>
      <w:r w:rsidRPr="00C212C1">
        <w:rPr>
          <w:sz w:val="24"/>
          <w:szCs w:val="24"/>
        </w:rPr>
        <w:tab/>
      </w:r>
      <w:r w:rsidRPr="00C212C1">
        <w:rPr>
          <w:sz w:val="24"/>
          <w:szCs w:val="24"/>
        </w:rPr>
        <w:tab/>
      </w:r>
      <w:r w:rsidRPr="00C212C1">
        <w:rPr>
          <w:sz w:val="24"/>
          <w:szCs w:val="24"/>
        </w:rPr>
        <w:tab/>
        <w:t xml:space="preserve">Sustainable Development Goals </w:t>
      </w:r>
    </w:p>
    <w:p w14:paraId="6D9D93C6" w14:textId="77777777" w:rsidR="00EA1EBD" w:rsidRPr="00C212C1" w:rsidRDefault="00EA1EBD" w:rsidP="00EA1EBD">
      <w:pPr>
        <w:spacing w:line="240" w:lineRule="auto"/>
        <w:rPr>
          <w:rFonts w:cstheme="minorHAnsi"/>
          <w:sz w:val="24"/>
          <w:szCs w:val="24"/>
          <w:lang w:val="en-US"/>
        </w:rPr>
      </w:pPr>
      <w:r>
        <w:rPr>
          <w:rFonts w:cstheme="minorHAnsi"/>
          <w:sz w:val="24"/>
          <w:szCs w:val="24"/>
        </w:rPr>
        <w:t>STEM</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Science, Technology, Engineering and Mathematics</w:t>
      </w:r>
    </w:p>
    <w:p w14:paraId="513AFD8D" w14:textId="77777777" w:rsidR="00084ECD" w:rsidRPr="00C212C1" w:rsidRDefault="00084ECD" w:rsidP="00E75191">
      <w:pPr>
        <w:spacing w:line="240" w:lineRule="auto"/>
        <w:rPr>
          <w:sz w:val="24"/>
          <w:szCs w:val="24"/>
        </w:rPr>
      </w:pPr>
      <w:r w:rsidRPr="00C212C1">
        <w:rPr>
          <w:sz w:val="24"/>
          <w:szCs w:val="24"/>
        </w:rPr>
        <w:t>UNFPA</w:t>
      </w:r>
      <w:r w:rsidR="00C320B5" w:rsidRPr="00C212C1">
        <w:rPr>
          <w:sz w:val="24"/>
          <w:szCs w:val="24"/>
        </w:rPr>
        <w:tab/>
      </w:r>
      <w:r w:rsidR="00C320B5" w:rsidRPr="00C212C1">
        <w:rPr>
          <w:sz w:val="24"/>
          <w:szCs w:val="24"/>
        </w:rPr>
        <w:tab/>
      </w:r>
      <w:r w:rsidR="00C320B5" w:rsidRPr="00C212C1">
        <w:rPr>
          <w:sz w:val="24"/>
          <w:szCs w:val="24"/>
        </w:rPr>
        <w:tab/>
      </w:r>
      <w:r w:rsidR="00C320B5" w:rsidRPr="00C212C1">
        <w:rPr>
          <w:sz w:val="24"/>
          <w:szCs w:val="24"/>
        </w:rPr>
        <w:tab/>
        <w:t>United Nations Population Fund Agency</w:t>
      </w:r>
    </w:p>
    <w:p w14:paraId="5F1DF658" w14:textId="77777777" w:rsidR="00D85481" w:rsidRDefault="00D85481" w:rsidP="00D85481">
      <w:pPr>
        <w:spacing w:line="240" w:lineRule="auto"/>
        <w:ind w:left="2880" w:hanging="2880"/>
        <w:rPr>
          <w:sz w:val="24"/>
          <w:szCs w:val="24"/>
        </w:rPr>
      </w:pPr>
      <w:r>
        <w:rPr>
          <w:sz w:val="24"/>
          <w:szCs w:val="24"/>
        </w:rPr>
        <w:t xml:space="preserve">UNSCR </w:t>
      </w:r>
      <w:r>
        <w:rPr>
          <w:sz w:val="24"/>
          <w:szCs w:val="24"/>
        </w:rPr>
        <w:tab/>
        <w:t>U</w:t>
      </w:r>
      <w:r w:rsidRPr="00D85481">
        <w:rPr>
          <w:sz w:val="24"/>
          <w:szCs w:val="24"/>
        </w:rPr>
        <w:t>N Security Council Resolution 1325 on women, peace and security</w:t>
      </w:r>
    </w:p>
    <w:p w14:paraId="1B806BEE" w14:textId="77777777" w:rsidR="00947179" w:rsidRPr="00C212C1" w:rsidRDefault="00947179" w:rsidP="00E75191">
      <w:pPr>
        <w:spacing w:line="240" w:lineRule="auto"/>
        <w:rPr>
          <w:sz w:val="24"/>
          <w:szCs w:val="24"/>
        </w:rPr>
      </w:pPr>
      <w:r w:rsidRPr="00C212C1">
        <w:rPr>
          <w:sz w:val="24"/>
          <w:szCs w:val="24"/>
        </w:rPr>
        <w:t>VAPP</w:t>
      </w:r>
      <w:r w:rsidR="00C205C4" w:rsidRPr="00C212C1">
        <w:rPr>
          <w:sz w:val="24"/>
          <w:szCs w:val="24"/>
        </w:rPr>
        <w:t xml:space="preserve"> </w:t>
      </w:r>
      <w:r w:rsidR="00C205C4" w:rsidRPr="00C212C1">
        <w:rPr>
          <w:sz w:val="24"/>
          <w:szCs w:val="24"/>
        </w:rPr>
        <w:tab/>
      </w:r>
      <w:r w:rsidRPr="00C212C1">
        <w:rPr>
          <w:sz w:val="24"/>
          <w:szCs w:val="24"/>
        </w:rPr>
        <w:tab/>
      </w:r>
      <w:r w:rsidRPr="00C212C1">
        <w:rPr>
          <w:sz w:val="24"/>
          <w:szCs w:val="24"/>
        </w:rPr>
        <w:tab/>
      </w:r>
      <w:r w:rsidRPr="00C212C1">
        <w:rPr>
          <w:sz w:val="24"/>
          <w:szCs w:val="24"/>
        </w:rPr>
        <w:tab/>
      </w:r>
      <w:r w:rsidR="00E37127" w:rsidRPr="00C212C1">
        <w:rPr>
          <w:sz w:val="24"/>
          <w:szCs w:val="24"/>
        </w:rPr>
        <w:t>Violence Ag</w:t>
      </w:r>
      <w:r w:rsidRPr="00C212C1">
        <w:rPr>
          <w:sz w:val="24"/>
          <w:szCs w:val="24"/>
        </w:rPr>
        <w:t>ainst</w:t>
      </w:r>
      <w:r w:rsidR="005A4AB5" w:rsidRPr="00C212C1">
        <w:rPr>
          <w:sz w:val="24"/>
          <w:szCs w:val="24"/>
        </w:rPr>
        <w:t xml:space="preserve"> Persons (</w:t>
      </w:r>
      <w:r w:rsidRPr="00C212C1">
        <w:rPr>
          <w:sz w:val="24"/>
          <w:szCs w:val="24"/>
        </w:rPr>
        <w:t>Prohibition</w:t>
      </w:r>
      <w:r w:rsidR="005A4AB5" w:rsidRPr="00C212C1">
        <w:rPr>
          <w:sz w:val="24"/>
          <w:szCs w:val="24"/>
        </w:rPr>
        <w:t>) Act</w:t>
      </w:r>
      <w:r w:rsidRPr="00C212C1">
        <w:rPr>
          <w:sz w:val="24"/>
          <w:szCs w:val="24"/>
        </w:rPr>
        <w:t xml:space="preserve"> </w:t>
      </w:r>
    </w:p>
    <w:p w14:paraId="28B95AC3" w14:textId="77777777" w:rsidR="00C956E4" w:rsidRDefault="00C956E4" w:rsidP="00E75191">
      <w:pPr>
        <w:spacing w:line="240" w:lineRule="auto"/>
        <w:rPr>
          <w:sz w:val="24"/>
          <w:szCs w:val="24"/>
        </w:rPr>
      </w:pPr>
      <w:r>
        <w:rPr>
          <w:sz w:val="24"/>
          <w:szCs w:val="24"/>
        </w:rPr>
        <w:br w:type="page"/>
      </w:r>
    </w:p>
    <w:p w14:paraId="69DBA163" w14:textId="77777777" w:rsidR="00B343C1" w:rsidRPr="006D6A0C" w:rsidRDefault="005F00F2" w:rsidP="006D6A0C">
      <w:pPr>
        <w:pStyle w:val="Heading1"/>
      </w:pPr>
      <w:bookmarkStart w:id="2" w:name="_Toc81229082"/>
      <w:r w:rsidRPr="006D6A0C">
        <w:lastRenderedPageBreak/>
        <w:t>Executive Summary</w:t>
      </w:r>
      <w:bookmarkEnd w:id="2"/>
      <w:r w:rsidRPr="006D6A0C">
        <w:t xml:space="preserve"> </w:t>
      </w:r>
    </w:p>
    <w:p w14:paraId="29CB35CC" w14:textId="77777777" w:rsidR="00E75191" w:rsidRPr="00C212C1" w:rsidRDefault="00550AEB" w:rsidP="00E75191">
      <w:pPr>
        <w:spacing w:line="240" w:lineRule="auto"/>
        <w:jc w:val="both"/>
        <w:rPr>
          <w:rFonts w:cstheme="minorHAnsi"/>
          <w:sz w:val="24"/>
          <w:szCs w:val="24"/>
          <w:lang w:val="en-US"/>
        </w:rPr>
      </w:pPr>
      <w:r w:rsidRPr="00C212C1">
        <w:rPr>
          <w:rFonts w:cstheme="minorHAnsi"/>
          <w:bCs/>
          <w:sz w:val="24"/>
          <w:szCs w:val="24"/>
        </w:rPr>
        <w:t xml:space="preserve">Nigeria is signatory to several international </w:t>
      </w:r>
      <w:r w:rsidR="001C71F8">
        <w:rPr>
          <w:rFonts w:cstheme="minorHAnsi"/>
          <w:bCs/>
          <w:sz w:val="24"/>
          <w:szCs w:val="24"/>
        </w:rPr>
        <w:t xml:space="preserve">and </w:t>
      </w:r>
      <w:r w:rsidRPr="00C212C1">
        <w:rPr>
          <w:rFonts w:cstheme="minorHAnsi"/>
          <w:bCs/>
          <w:sz w:val="24"/>
          <w:szCs w:val="24"/>
        </w:rPr>
        <w:t>regional instruments including the Convention on the Elimination of Discrimination Against Women (CEDAW)</w:t>
      </w:r>
      <w:r w:rsidR="00910053" w:rsidRPr="00C212C1">
        <w:rPr>
          <w:rFonts w:cstheme="minorHAnsi"/>
          <w:bCs/>
          <w:sz w:val="24"/>
          <w:szCs w:val="24"/>
        </w:rPr>
        <w:t xml:space="preserve">. </w:t>
      </w:r>
      <w:r w:rsidR="001C71F8">
        <w:rPr>
          <w:rFonts w:cstheme="minorHAnsi"/>
          <w:bCs/>
          <w:sz w:val="24"/>
          <w:szCs w:val="24"/>
        </w:rPr>
        <w:t>T</w:t>
      </w:r>
      <w:r w:rsidR="00910053" w:rsidRPr="00C212C1">
        <w:rPr>
          <w:rFonts w:cstheme="minorHAnsi"/>
          <w:bCs/>
          <w:sz w:val="24"/>
          <w:szCs w:val="24"/>
        </w:rPr>
        <w:t>he Sustainable Development Goals (SDGs), to which the country has committed itself, underscores the core principle of ‘leaving no one behind’. Achieving gender equality and empowering women and girls is central to the realisation of all the SDGs. In particular, SDG 5 sets out the goal of gender equality and elimination of discrimination against women and girls in all facets. The end goal of this R</w:t>
      </w:r>
      <w:r w:rsidR="00E75191" w:rsidRPr="00C212C1">
        <w:rPr>
          <w:rFonts w:cstheme="minorHAnsi"/>
          <w:bCs/>
          <w:sz w:val="24"/>
          <w:szCs w:val="24"/>
        </w:rPr>
        <w:t>eport is to assist the EU’s program of work in Nigeria towards fast-tracking gender equality and women’s and girls’ empowerment in all its interventions.</w:t>
      </w:r>
      <w:r w:rsidR="00910053" w:rsidRPr="00C212C1">
        <w:rPr>
          <w:rFonts w:cstheme="minorHAnsi"/>
          <w:bCs/>
          <w:sz w:val="24"/>
          <w:szCs w:val="24"/>
        </w:rPr>
        <w:t xml:space="preserve"> </w:t>
      </w:r>
    </w:p>
    <w:p w14:paraId="73DB9CFC" w14:textId="77777777" w:rsidR="00550AEB" w:rsidRPr="00C212C1" w:rsidRDefault="00910053" w:rsidP="00E75191">
      <w:pPr>
        <w:spacing w:line="240" w:lineRule="auto"/>
        <w:jc w:val="both"/>
        <w:rPr>
          <w:rFonts w:cstheme="minorHAnsi"/>
          <w:sz w:val="24"/>
          <w:szCs w:val="24"/>
          <w:lang w:val="en-US"/>
        </w:rPr>
      </w:pPr>
      <w:r w:rsidRPr="00C212C1">
        <w:rPr>
          <w:rFonts w:cstheme="minorHAnsi"/>
          <w:bCs/>
          <w:sz w:val="24"/>
          <w:szCs w:val="24"/>
        </w:rPr>
        <w:t xml:space="preserve">The objective of the Report </w:t>
      </w:r>
      <w:r w:rsidR="001C71F8">
        <w:rPr>
          <w:rFonts w:cstheme="minorHAnsi"/>
          <w:bCs/>
          <w:sz w:val="24"/>
          <w:szCs w:val="24"/>
        </w:rPr>
        <w:t>is</w:t>
      </w:r>
      <w:r w:rsidRPr="00C212C1">
        <w:rPr>
          <w:rFonts w:cstheme="minorHAnsi"/>
          <w:bCs/>
          <w:sz w:val="24"/>
          <w:szCs w:val="24"/>
        </w:rPr>
        <w:t xml:space="preserve"> to provide an understanding of gender equality challenges and opportunities, the position and roles of girls, boys, women, and men, in all their diversity, in society, as well as the distribution of resources and power between them. </w:t>
      </w:r>
      <w:r w:rsidR="00550AEB" w:rsidRPr="00C212C1">
        <w:rPr>
          <w:rFonts w:cstheme="minorHAnsi"/>
          <w:bCs/>
          <w:sz w:val="24"/>
          <w:szCs w:val="24"/>
        </w:rPr>
        <w:t xml:space="preserve">A thematic approach was employed in analysing gender equality in Nigeria. The Report considers and analyses gender equality broadly in various spheres of activity and sectors including poverty and inequality, employment and enterprise, peace and security, health, education, gender based violence, digitalisation, climate change, and inclusion and intersectionality. </w:t>
      </w:r>
      <w:r w:rsidR="00550AEB" w:rsidRPr="00C212C1">
        <w:rPr>
          <w:rFonts w:cstheme="minorHAnsi"/>
          <w:sz w:val="24"/>
          <w:szCs w:val="24"/>
        </w:rPr>
        <w:t>Drawing from extensive desk review and primary research, this report provides a background of social norms which dictate gender relations in Nigeria as well as key</w:t>
      </w:r>
      <w:r w:rsidR="00550AEB" w:rsidRPr="00C212C1">
        <w:rPr>
          <w:rFonts w:cstheme="minorHAnsi"/>
          <w:sz w:val="24"/>
          <w:szCs w:val="24"/>
          <w:lang w:val="en-US"/>
        </w:rPr>
        <w:t xml:space="preserve"> themes</w:t>
      </w:r>
      <w:r w:rsidRPr="00C212C1">
        <w:rPr>
          <w:rFonts w:cstheme="minorHAnsi"/>
          <w:sz w:val="24"/>
          <w:szCs w:val="24"/>
          <w:lang w:val="en-US"/>
        </w:rPr>
        <w:t xml:space="preserve"> </w:t>
      </w:r>
      <w:r w:rsidR="00550AEB" w:rsidRPr="00C212C1">
        <w:rPr>
          <w:rFonts w:cstheme="minorHAnsi"/>
          <w:sz w:val="24"/>
          <w:szCs w:val="24"/>
          <w:lang w:val="en-US"/>
        </w:rPr>
        <w:t>and their impact on gender equality in Nigeria.</w:t>
      </w:r>
    </w:p>
    <w:p w14:paraId="4B22737F" w14:textId="77777777" w:rsidR="00910053" w:rsidRPr="00C212C1" w:rsidRDefault="00910053" w:rsidP="00E75191">
      <w:pPr>
        <w:spacing w:line="240" w:lineRule="auto"/>
        <w:jc w:val="both"/>
        <w:rPr>
          <w:rFonts w:cstheme="minorHAnsi"/>
          <w:bCs/>
          <w:sz w:val="24"/>
          <w:szCs w:val="24"/>
        </w:rPr>
      </w:pPr>
      <w:r w:rsidRPr="00C212C1">
        <w:rPr>
          <w:rFonts w:cstheme="minorHAnsi"/>
          <w:bCs/>
          <w:sz w:val="24"/>
          <w:szCs w:val="24"/>
        </w:rPr>
        <w:t xml:space="preserve">As the report shows, there are still many areas of inequalities between women and men in Nigeria. </w:t>
      </w:r>
      <w:r w:rsidR="008118A6" w:rsidRPr="008118A6">
        <w:rPr>
          <w:rFonts w:cstheme="minorHAnsi"/>
          <w:bCs/>
          <w:sz w:val="24"/>
          <w:szCs w:val="24"/>
        </w:rPr>
        <w:t>There are variations in gender equality indicators along geographical and income lines, and gender inequality intersect</w:t>
      </w:r>
      <w:r w:rsidR="00DB58ED">
        <w:rPr>
          <w:rFonts w:cstheme="minorHAnsi"/>
          <w:bCs/>
          <w:sz w:val="24"/>
          <w:szCs w:val="24"/>
        </w:rPr>
        <w:t>s with other types of identities</w:t>
      </w:r>
      <w:r w:rsidR="008118A6" w:rsidRPr="008118A6">
        <w:rPr>
          <w:rFonts w:cstheme="minorHAnsi"/>
          <w:bCs/>
          <w:sz w:val="24"/>
          <w:szCs w:val="24"/>
        </w:rPr>
        <w:t>, for example</w:t>
      </w:r>
      <w:r w:rsidR="00DB58ED">
        <w:rPr>
          <w:rFonts w:cstheme="minorHAnsi"/>
          <w:bCs/>
          <w:sz w:val="24"/>
          <w:szCs w:val="24"/>
        </w:rPr>
        <w:t>,</w:t>
      </w:r>
      <w:r w:rsidR="008118A6" w:rsidRPr="008118A6">
        <w:rPr>
          <w:rFonts w:cstheme="minorHAnsi"/>
          <w:bCs/>
          <w:sz w:val="24"/>
          <w:szCs w:val="24"/>
        </w:rPr>
        <w:t xml:space="preserve"> for internally displaced persons</w:t>
      </w:r>
      <w:r w:rsidR="008118A6">
        <w:rPr>
          <w:rFonts w:cstheme="minorHAnsi"/>
          <w:bCs/>
          <w:sz w:val="24"/>
          <w:szCs w:val="24"/>
        </w:rPr>
        <w:t xml:space="preserve"> (IDPs)</w:t>
      </w:r>
      <w:r w:rsidR="008118A6" w:rsidRPr="008118A6">
        <w:rPr>
          <w:rFonts w:cstheme="minorHAnsi"/>
          <w:bCs/>
          <w:sz w:val="24"/>
          <w:szCs w:val="24"/>
        </w:rPr>
        <w:t xml:space="preserve">, </w:t>
      </w:r>
      <w:r w:rsidR="008118A6">
        <w:rPr>
          <w:rFonts w:cstheme="minorHAnsi"/>
          <w:bCs/>
          <w:sz w:val="24"/>
          <w:szCs w:val="24"/>
        </w:rPr>
        <w:t>persons</w:t>
      </w:r>
      <w:r w:rsidR="008118A6" w:rsidRPr="008118A6">
        <w:rPr>
          <w:rFonts w:cstheme="minorHAnsi"/>
          <w:bCs/>
          <w:sz w:val="24"/>
          <w:szCs w:val="24"/>
        </w:rPr>
        <w:t xml:space="preserve"> with disability</w:t>
      </w:r>
      <w:r w:rsidR="008118A6">
        <w:rPr>
          <w:rFonts w:cstheme="minorHAnsi"/>
          <w:bCs/>
          <w:sz w:val="24"/>
          <w:szCs w:val="24"/>
        </w:rPr>
        <w:t xml:space="preserve"> (PWDs)</w:t>
      </w:r>
      <w:r w:rsidR="008118A6" w:rsidRPr="008118A6">
        <w:rPr>
          <w:rFonts w:cstheme="minorHAnsi"/>
          <w:bCs/>
          <w:sz w:val="24"/>
          <w:szCs w:val="24"/>
        </w:rPr>
        <w:t xml:space="preserve">, sexual and gender minorities and elderly persons. </w:t>
      </w:r>
      <w:r w:rsidRPr="00C212C1">
        <w:rPr>
          <w:rFonts w:cstheme="minorHAnsi"/>
          <w:bCs/>
          <w:sz w:val="24"/>
          <w:szCs w:val="24"/>
        </w:rPr>
        <w:t xml:space="preserve">Progress </w:t>
      </w:r>
      <w:r w:rsidR="008118A6">
        <w:rPr>
          <w:rFonts w:cstheme="minorHAnsi"/>
          <w:bCs/>
          <w:sz w:val="24"/>
          <w:szCs w:val="24"/>
        </w:rPr>
        <w:t xml:space="preserve">on gender equality and women’s empowerment </w:t>
      </w:r>
      <w:r w:rsidRPr="00C212C1">
        <w:rPr>
          <w:rFonts w:cstheme="minorHAnsi"/>
          <w:bCs/>
          <w:sz w:val="24"/>
          <w:szCs w:val="24"/>
        </w:rPr>
        <w:t>has been recorded in several areas, notably with the passage of laws such as the Violence Against Persons Prohibition Act, 2019</w:t>
      </w:r>
      <w:r w:rsidR="00F80831">
        <w:rPr>
          <w:rFonts w:cstheme="minorHAnsi"/>
          <w:bCs/>
          <w:sz w:val="24"/>
          <w:szCs w:val="24"/>
        </w:rPr>
        <w:t xml:space="preserve"> and development of policies across a range of issues</w:t>
      </w:r>
      <w:r w:rsidRPr="00C212C1">
        <w:rPr>
          <w:rFonts w:cstheme="minorHAnsi"/>
          <w:bCs/>
          <w:sz w:val="24"/>
          <w:szCs w:val="24"/>
        </w:rPr>
        <w:t xml:space="preserve">. However, progress is limited in several other areas.  </w:t>
      </w:r>
    </w:p>
    <w:p w14:paraId="03B5A409" w14:textId="77777777" w:rsidR="00E75191" w:rsidRPr="00C212C1" w:rsidRDefault="00C212C1" w:rsidP="00E75191">
      <w:pPr>
        <w:spacing w:line="240" w:lineRule="auto"/>
        <w:jc w:val="both"/>
        <w:rPr>
          <w:rFonts w:cstheme="minorHAnsi"/>
          <w:sz w:val="24"/>
          <w:szCs w:val="24"/>
          <w:lang w:val="en-US"/>
        </w:rPr>
      </w:pPr>
      <w:r>
        <w:rPr>
          <w:rFonts w:cstheme="minorHAnsi"/>
          <w:sz w:val="24"/>
          <w:szCs w:val="24"/>
          <w:lang w:val="en-US"/>
        </w:rPr>
        <w:t>F</w:t>
      </w:r>
      <w:r w:rsidR="00E75191" w:rsidRPr="00C212C1">
        <w:rPr>
          <w:rFonts w:cstheme="minorHAnsi"/>
          <w:sz w:val="24"/>
          <w:szCs w:val="24"/>
          <w:lang w:val="en-US"/>
        </w:rPr>
        <w:t xml:space="preserve">actors affecting poverty such as education are also gendered, thus dealing double blows to women and girls. </w:t>
      </w:r>
      <w:r>
        <w:rPr>
          <w:rFonts w:cstheme="minorHAnsi"/>
          <w:sz w:val="24"/>
          <w:szCs w:val="24"/>
          <w:lang w:val="en-US"/>
        </w:rPr>
        <w:t>W</w:t>
      </w:r>
      <w:r w:rsidR="00E75191" w:rsidRPr="00C212C1">
        <w:rPr>
          <w:rFonts w:cstheme="minorHAnsi"/>
          <w:sz w:val="24"/>
          <w:szCs w:val="24"/>
          <w:lang w:val="en-US"/>
        </w:rPr>
        <w:t>ith regard to employment and work, it is clear that more women than men are unemployed with a majority of women working more in the informal sector than men. The wage gap between men and women is apparent with policy measures doing little to correct it. Section 3.4 examines employment opportunities and remuneration to men and women and emerging issues such as gender discrimination in recruitment as well as board diversity.</w:t>
      </w:r>
    </w:p>
    <w:p w14:paraId="6A629907" w14:textId="77777777" w:rsidR="00E75191" w:rsidRPr="00C212C1" w:rsidRDefault="00E75191" w:rsidP="00E75191">
      <w:pPr>
        <w:spacing w:line="240" w:lineRule="auto"/>
        <w:jc w:val="both"/>
        <w:rPr>
          <w:rFonts w:cstheme="minorHAnsi"/>
          <w:bCs/>
          <w:sz w:val="24"/>
          <w:szCs w:val="24"/>
        </w:rPr>
      </w:pPr>
      <w:r w:rsidRPr="00C212C1">
        <w:rPr>
          <w:rFonts w:cstheme="minorHAnsi"/>
          <w:sz w:val="24"/>
          <w:szCs w:val="24"/>
          <w:lang w:val="en-US"/>
        </w:rPr>
        <w:t>With the COVID-19 pandemic, the incidence of GBV increased astronomically highlighting</w:t>
      </w:r>
      <w:r w:rsidR="00910053" w:rsidRPr="00C212C1">
        <w:rPr>
          <w:rFonts w:cstheme="minorHAnsi"/>
          <w:sz w:val="24"/>
          <w:szCs w:val="24"/>
          <w:lang w:val="en-US"/>
        </w:rPr>
        <w:t xml:space="preserve"> a persisting </w:t>
      </w:r>
      <w:r w:rsidRPr="00C212C1">
        <w:rPr>
          <w:rFonts w:cstheme="minorHAnsi"/>
          <w:sz w:val="24"/>
          <w:szCs w:val="24"/>
          <w:lang w:val="en-US"/>
        </w:rPr>
        <w:t xml:space="preserve">problem affecting women </w:t>
      </w:r>
      <w:r w:rsidR="00910053" w:rsidRPr="00C212C1">
        <w:rPr>
          <w:rFonts w:cstheme="minorHAnsi"/>
          <w:sz w:val="24"/>
          <w:szCs w:val="24"/>
          <w:lang w:val="en-US"/>
        </w:rPr>
        <w:t>and girls disproportionately</w:t>
      </w:r>
      <w:r w:rsidRPr="00C212C1">
        <w:rPr>
          <w:rFonts w:cstheme="minorHAnsi"/>
          <w:sz w:val="24"/>
          <w:szCs w:val="24"/>
          <w:lang w:val="en-US"/>
        </w:rPr>
        <w:t xml:space="preserve">. Section 3.5 of this report examines </w:t>
      </w:r>
      <w:r w:rsidR="00450C98">
        <w:rPr>
          <w:rFonts w:cstheme="minorHAnsi"/>
          <w:sz w:val="24"/>
          <w:szCs w:val="24"/>
          <w:lang w:val="en-US"/>
        </w:rPr>
        <w:t xml:space="preserve">the </w:t>
      </w:r>
      <w:r w:rsidRPr="00C212C1">
        <w:rPr>
          <w:rFonts w:cstheme="minorHAnsi"/>
          <w:sz w:val="24"/>
          <w:szCs w:val="24"/>
          <w:lang w:val="en-US"/>
        </w:rPr>
        <w:t xml:space="preserve">drivers </w:t>
      </w:r>
      <w:r w:rsidR="00450C98">
        <w:rPr>
          <w:rFonts w:cstheme="minorHAnsi"/>
          <w:sz w:val="24"/>
          <w:szCs w:val="24"/>
          <w:lang w:val="en-US"/>
        </w:rPr>
        <w:t xml:space="preserve">of gender-based violence. It also highlights </w:t>
      </w:r>
      <w:r w:rsidRPr="00C212C1">
        <w:rPr>
          <w:rFonts w:cstheme="minorHAnsi"/>
          <w:sz w:val="24"/>
          <w:szCs w:val="24"/>
          <w:lang w:val="en-US"/>
        </w:rPr>
        <w:t>interventions</w:t>
      </w:r>
      <w:r w:rsidR="00450C98">
        <w:rPr>
          <w:rFonts w:cstheme="minorHAnsi"/>
          <w:sz w:val="24"/>
          <w:szCs w:val="24"/>
          <w:lang w:val="en-US"/>
        </w:rPr>
        <w:t>,</w:t>
      </w:r>
      <w:r w:rsidRPr="00C212C1">
        <w:rPr>
          <w:rFonts w:cstheme="minorHAnsi"/>
          <w:sz w:val="24"/>
          <w:szCs w:val="24"/>
          <w:lang w:val="en-US"/>
        </w:rPr>
        <w:t xml:space="preserve"> such as the establishment of </w:t>
      </w:r>
      <w:r w:rsidRPr="00C212C1">
        <w:rPr>
          <w:rFonts w:cstheme="minorHAnsi"/>
          <w:sz w:val="24"/>
          <w:szCs w:val="24"/>
        </w:rPr>
        <w:t>Sexual Assault Referral Centres (SARCs) with the support of the British Council</w:t>
      </w:r>
      <w:r w:rsidR="00450C98">
        <w:rPr>
          <w:rFonts w:cstheme="minorHAnsi"/>
          <w:sz w:val="24"/>
          <w:szCs w:val="24"/>
        </w:rPr>
        <w:t>,</w:t>
      </w:r>
      <w:r w:rsidRPr="00C212C1">
        <w:rPr>
          <w:rFonts w:cstheme="minorHAnsi"/>
          <w:sz w:val="24"/>
          <w:szCs w:val="24"/>
        </w:rPr>
        <w:t xml:space="preserve"> and </w:t>
      </w:r>
      <w:r w:rsidRPr="00C212C1">
        <w:rPr>
          <w:rFonts w:cstheme="minorHAnsi"/>
          <w:sz w:val="24"/>
          <w:szCs w:val="24"/>
          <w:lang w:val="en-US"/>
        </w:rPr>
        <w:t>policy responses</w:t>
      </w:r>
      <w:r w:rsidR="00450C98">
        <w:rPr>
          <w:rFonts w:cstheme="minorHAnsi"/>
          <w:sz w:val="24"/>
          <w:szCs w:val="24"/>
          <w:lang w:val="en-US"/>
        </w:rPr>
        <w:t xml:space="preserve">, </w:t>
      </w:r>
      <w:r w:rsidRPr="00C212C1">
        <w:rPr>
          <w:rFonts w:cstheme="minorHAnsi"/>
          <w:sz w:val="24"/>
          <w:szCs w:val="24"/>
          <w:lang w:val="en-US"/>
        </w:rPr>
        <w:t>such</w:t>
      </w:r>
      <w:r w:rsidRPr="00C212C1">
        <w:rPr>
          <w:rFonts w:cstheme="minorHAnsi"/>
          <w:sz w:val="24"/>
          <w:szCs w:val="24"/>
        </w:rPr>
        <w:t xml:space="preserve"> as the National Policy on Elimination of Female Genital in Nigeria (2021 -2025)</w:t>
      </w:r>
      <w:r w:rsidRPr="00C212C1">
        <w:rPr>
          <w:rFonts w:cstheme="minorHAnsi"/>
          <w:bCs/>
          <w:sz w:val="24"/>
          <w:szCs w:val="24"/>
        </w:rPr>
        <w:t>.</w:t>
      </w:r>
    </w:p>
    <w:p w14:paraId="63957E61" w14:textId="77777777" w:rsidR="00E75191" w:rsidRPr="00C212C1" w:rsidRDefault="00E75191" w:rsidP="00E75191">
      <w:pPr>
        <w:spacing w:line="240" w:lineRule="auto"/>
        <w:jc w:val="both"/>
        <w:rPr>
          <w:rFonts w:cstheme="minorHAnsi"/>
          <w:sz w:val="24"/>
          <w:szCs w:val="24"/>
          <w:lang w:val="en-US"/>
        </w:rPr>
      </w:pPr>
      <w:r w:rsidRPr="00C212C1">
        <w:rPr>
          <w:rFonts w:cstheme="minorHAnsi"/>
          <w:bCs/>
          <w:sz w:val="24"/>
          <w:szCs w:val="24"/>
        </w:rPr>
        <w:t xml:space="preserve">The activity of terrorist groups and kidnappers in Northern Nigeria, secessionist groups and ethnic clashes in Southern Nigeria, threatens the peace and security </w:t>
      </w:r>
      <w:r w:rsidR="00450C98">
        <w:rPr>
          <w:rFonts w:cstheme="minorHAnsi"/>
          <w:bCs/>
          <w:sz w:val="24"/>
          <w:szCs w:val="24"/>
        </w:rPr>
        <w:t>in the country</w:t>
      </w:r>
      <w:r w:rsidRPr="00C212C1">
        <w:rPr>
          <w:rFonts w:cstheme="minorHAnsi"/>
          <w:bCs/>
          <w:sz w:val="24"/>
          <w:szCs w:val="24"/>
        </w:rPr>
        <w:t xml:space="preserve">. Section 3.6 highlights how these threats make it harder for women to access much needed </w:t>
      </w:r>
      <w:r w:rsidR="00F80831">
        <w:rPr>
          <w:rFonts w:cstheme="minorHAnsi"/>
          <w:bCs/>
          <w:sz w:val="24"/>
          <w:szCs w:val="24"/>
        </w:rPr>
        <w:t xml:space="preserve">sexual and </w:t>
      </w:r>
      <w:r w:rsidR="00F80831">
        <w:rPr>
          <w:rFonts w:cstheme="minorHAnsi"/>
          <w:bCs/>
          <w:sz w:val="24"/>
          <w:szCs w:val="24"/>
        </w:rPr>
        <w:lastRenderedPageBreak/>
        <w:t>reproductive health</w:t>
      </w:r>
      <w:r w:rsidRPr="00C212C1">
        <w:rPr>
          <w:rFonts w:cstheme="minorHAnsi"/>
          <w:bCs/>
          <w:sz w:val="24"/>
          <w:szCs w:val="24"/>
        </w:rPr>
        <w:t xml:space="preserve"> services and put young men and boys at risk of becoming child soldiers</w:t>
      </w:r>
      <w:r w:rsidRPr="00C212C1">
        <w:rPr>
          <w:rFonts w:cstheme="minorHAnsi"/>
          <w:sz w:val="24"/>
          <w:szCs w:val="24"/>
          <w:lang w:val="en-US"/>
        </w:rPr>
        <w:t xml:space="preserve"> while compounding the problem of access to education. </w:t>
      </w:r>
    </w:p>
    <w:p w14:paraId="791E2B19" w14:textId="77777777" w:rsidR="00E75191" w:rsidRPr="00C212C1" w:rsidRDefault="00E75191" w:rsidP="00E75191">
      <w:pPr>
        <w:spacing w:line="240" w:lineRule="auto"/>
        <w:jc w:val="both"/>
        <w:rPr>
          <w:rFonts w:cstheme="minorHAnsi"/>
          <w:sz w:val="24"/>
          <w:szCs w:val="24"/>
          <w:lang w:val="en-US"/>
        </w:rPr>
      </w:pPr>
      <w:r w:rsidRPr="00C212C1">
        <w:rPr>
          <w:rFonts w:cstheme="minorHAnsi"/>
          <w:sz w:val="24"/>
          <w:szCs w:val="24"/>
          <w:lang w:val="en-US"/>
        </w:rPr>
        <w:t>Household expenditure on health is often catastrophic</w:t>
      </w:r>
      <w:r w:rsidR="00450C98">
        <w:rPr>
          <w:rFonts w:cstheme="minorHAnsi"/>
          <w:sz w:val="24"/>
          <w:szCs w:val="24"/>
          <w:lang w:val="en-US"/>
        </w:rPr>
        <w:t>, and a</w:t>
      </w:r>
      <w:r w:rsidRPr="00C212C1">
        <w:rPr>
          <w:rFonts w:cstheme="minorHAnsi"/>
          <w:sz w:val="24"/>
          <w:szCs w:val="24"/>
          <w:lang w:val="en-US"/>
        </w:rPr>
        <w:t>ccess to healthcare is fraught with difficulty especially for women. Although contraception rates and delivery by skilled birth attendants are increasing</w:t>
      </w:r>
      <w:r w:rsidR="00C4224E">
        <w:rPr>
          <w:rFonts w:cstheme="minorHAnsi"/>
          <w:sz w:val="24"/>
          <w:szCs w:val="24"/>
          <w:lang w:val="en-US"/>
        </w:rPr>
        <w:t xml:space="preserve"> with regional variations</w:t>
      </w:r>
      <w:r w:rsidRPr="00C212C1">
        <w:rPr>
          <w:rFonts w:cstheme="minorHAnsi"/>
          <w:sz w:val="24"/>
          <w:szCs w:val="24"/>
          <w:lang w:val="en-US"/>
        </w:rPr>
        <w:t xml:space="preserve">, improved investments </w:t>
      </w:r>
      <w:r w:rsidR="00450C98">
        <w:rPr>
          <w:rFonts w:cstheme="minorHAnsi"/>
          <w:sz w:val="24"/>
          <w:szCs w:val="24"/>
          <w:lang w:val="en-US"/>
        </w:rPr>
        <w:t>are</w:t>
      </w:r>
      <w:r w:rsidRPr="00C212C1">
        <w:rPr>
          <w:rFonts w:cstheme="minorHAnsi"/>
          <w:sz w:val="24"/>
          <w:szCs w:val="24"/>
          <w:lang w:val="en-US"/>
        </w:rPr>
        <w:t xml:space="preserve"> required to address the high </w:t>
      </w:r>
      <w:r w:rsidR="00C4224E">
        <w:rPr>
          <w:rFonts w:cstheme="minorHAnsi"/>
          <w:sz w:val="24"/>
          <w:szCs w:val="24"/>
          <w:lang w:val="en-US"/>
        </w:rPr>
        <w:t xml:space="preserve">maternal </w:t>
      </w:r>
      <w:r w:rsidRPr="00C212C1">
        <w:rPr>
          <w:rFonts w:cstheme="minorHAnsi"/>
          <w:sz w:val="24"/>
          <w:szCs w:val="24"/>
          <w:lang w:val="en-US"/>
        </w:rPr>
        <w:t>mortality rate.</w:t>
      </w:r>
      <w:r w:rsidR="00C756D6">
        <w:rPr>
          <w:rStyle w:val="FootnoteReference"/>
          <w:rFonts w:cstheme="minorHAnsi"/>
          <w:sz w:val="24"/>
          <w:szCs w:val="24"/>
          <w:lang w:val="en-US"/>
        </w:rPr>
        <w:footnoteReference w:id="1"/>
      </w:r>
      <w:r w:rsidR="00C4224E">
        <w:rPr>
          <w:rStyle w:val="FootnoteReference"/>
          <w:rFonts w:cstheme="minorHAnsi"/>
          <w:sz w:val="24"/>
          <w:szCs w:val="24"/>
          <w:lang w:val="en-US"/>
        </w:rPr>
        <w:footnoteReference w:id="2"/>
      </w:r>
      <w:r w:rsidRPr="00C212C1">
        <w:rPr>
          <w:rFonts w:cstheme="minorHAnsi"/>
          <w:sz w:val="24"/>
          <w:szCs w:val="24"/>
          <w:lang w:val="en-US"/>
        </w:rPr>
        <w:t>Also, while sexual reproductive health has been identified as a priority area for action</w:t>
      </w:r>
      <w:r w:rsidR="00CC0477">
        <w:rPr>
          <w:rFonts w:cstheme="minorHAnsi"/>
          <w:sz w:val="24"/>
          <w:szCs w:val="24"/>
          <w:lang w:val="en-US"/>
        </w:rPr>
        <w:t xml:space="preserve"> by the Nigerian government</w:t>
      </w:r>
      <w:r w:rsidRPr="00C212C1">
        <w:rPr>
          <w:rFonts w:cstheme="minorHAnsi"/>
          <w:sz w:val="24"/>
          <w:szCs w:val="24"/>
          <w:lang w:val="en-US"/>
        </w:rPr>
        <w:t>, the COVID-19 pandemic necessitated a prioritization of emergency health care services putting the sexual and reproductive services in jeopardy. Men have been established to be at risk more than women for cardiovascular diseases and are more likely to delay care seeking, due to prevailing norms around masculinity. Section 3.7 provides a reflection of the gendered nature of healthcare in Nigeria.</w:t>
      </w:r>
    </w:p>
    <w:p w14:paraId="523804E1" w14:textId="77777777" w:rsidR="00E75191" w:rsidRPr="00C212C1" w:rsidRDefault="00E75191" w:rsidP="00E75191">
      <w:pPr>
        <w:spacing w:line="240" w:lineRule="auto"/>
        <w:jc w:val="both"/>
        <w:rPr>
          <w:rFonts w:cstheme="minorHAnsi"/>
          <w:sz w:val="24"/>
          <w:szCs w:val="24"/>
        </w:rPr>
      </w:pPr>
      <w:r w:rsidRPr="00C212C1">
        <w:rPr>
          <w:rFonts w:cstheme="minorHAnsi"/>
          <w:sz w:val="24"/>
          <w:szCs w:val="24"/>
          <w:lang w:val="en-US"/>
        </w:rPr>
        <w:t xml:space="preserve">With Information Communication Technology (ICT), there has been observable positive change towards </w:t>
      </w:r>
      <w:r w:rsidRPr="00C212C1">
        <w:rPr>
          <w:rFonts w:cstheme="minorHAnsi"/>
          <w:sz w:val="24"/>
          <w:szCs w:val="24"/>
        </w:rPr>
        <w:t xml:space="preserve">gender equality. The internet is used as a tool to highlight issues affecting women and men while allowing people </w:t>
      </w:r>
      <w:r w:rsidR="00450C98">
        <w:rPr>
          <w:rFonts w:cstheme="minorHAnsi"/>
          <w:sz w:val="24"/>
          <w:szCs w:val="24"/>
        </w:rPr>
        <w:t xml:space="preserve">to </w:t>
      </w:r>
      <w:r w:rsidRPr="00C212C1">
        <w:rPr>
          <w:rFonts w:cstheme="minorHAnsi"/>
          <w:sz w:val="24"/>
          <w:szCs w:val="24"/>
        </w:rPr>
        <w:t xml:space="preserve">access wealth creating opportunities, education and healthcare in non-traditional ways. Despite the tremendous potential of ICT as outlined in Section 3.9, </w:t>
      </w:r>
      <w:r w:rsidR="00F80831">
        <w:rPr>
          <w:rFonts w:cstheme="minorHAnsi"/>
          <w:sz w:val="24"/>
          <w:szCs w:val="24"/>
        </w:rPr>
        <w:t xml:space="preserve">however, </w:t>
      </w:r>
      <w:r w:rsidRPr="00C212C1">
        <w:rPr>
          <w:rFonts w:cstheme="minorHAnsi"/>
          <w:sz w:val="24"/>
          <w:szCs w:val="24"/>
        </w:rPr>
        <w:t xml:space="preserve">there is still a significant gap with a clear need for improving access for people, particularly </w:t>
      </w:r>
      <w:r w:rsidR="00450C98">
        <w:rPr>
          <w:rFonts w:cstheme="minorHAnsi"/>
          <w:sz w:val="24"/>
          <w:szCs w:val="24"/>
        </w:rPr>
        <w:t xml:space="preserve">for </w:t>
      </w:r>
      <w:r w:rsidRPr="00C212C1">
        <w:rPr>
          <w:rFonts w:cstheme="minorHAnsi"/>
          <w:sz w:val="24"/>
          <w:szCs w:val="24"/>
        </w:rPr>
        <w:t xml:space="preserve">women in rural communities. </w:t>
      </w:r>
    </w:p>
    <w:p w14:paraId="4A200B32" w14:textId="77777777" w:rsidR="00E75191" w:rsidRPr="00C212C1" w:rsidRDefault="00E75191" w:rsidP="00E75191">
      <w:pPr>
        <w:spacing w:line="240" w:lineRule="auto"/>
        <w:jc w:val="both"/>
        <w:rPr>
          <w:rFonts w:cstheme="minorHAnsi"/>
          <w:sz w:val="24"/>
          <w:szCs w:val="24"/>
        </w:rPr>
      </w:pPr>
      <w:r w:rsidRPr="00C212C1">
        <w:rPr>
          <w:rFonts w:cstheme="minorHAnsi"/>
          <w:sz w:val="24"/>
          <w:szCs w:val="24"/>
        </w:rPr>
        <w:t xml:space="preserve">Within the agriculture sector, women are an important component of the workforce involved in farming, crop processing </w:t>
      </w:r>
      <w:r w:rsidR="00450C98">
        <w:rPr>
          <w:rFonts w:cstheme="minorHAnsi"/>
          <w:sz w:val="24"/>
          <w:szCs w:val="24"/>
        </w:rPr>
        <w:t>and marketing</w:t>
      </w:r>
      <w:r w:rsidRPr="00C212C1">
        <w:rPr>
          <w:rFonts w:cstheme="minorHAnsi"/>
          <w:sz w:val="24"/>
          <w:szCs w:val="24"/>
        </w:rPr>
        <w:t xml:space="preserve">. </w:t>
      </w:r>
      <w:r w:rsidR="008118A6">
        <w:rPr>
          <w:rFonts w:cstheme="minorHAnsi"/>
          <w:sz w:val="24"/>
          <w:szCs w:val="24"/>
        </w:rPr>
        <w:t>Climate c</w:t>
      </w:r>
      <w:r w:rsidRPr="00C212C1">
        <w:rPr>
          <w:rFonts w:cstheme="minorHAnsi"/>
          <w:sz w:val="24"/>
          <w:szCs w:val="24"/>
        </w:rPr>
        <w:t>hange</w:t>
      </w:r>
      <w:r w:rsidR="008118A6">
        <w:rPr>
          <w:rFonts w:cstheme="minorHAnsi"/>
          <w:sz w:val="24"/>
          <w:szCs w:val="24"/>
        </w:rPr>
        <w:t>,</w:t>
      </w:r>
      <w:r w:rsidRPr="00C212C1">
        <w:rPr>
          <w:rFonts w:cstheme="minorHAnsi"/>
          <w:sz w:val="24"/>
          <w:szCs w:val="24"/>
        </w:rPr>
        <w:t xml:space="preserve"> observed in phenomena such rising sea levels, </w:t>
      </w:r>
      <w:r w:rsidR="008118A6">
        <w:rPr>
          <w:rFonts w:cstheme="minorHAnsi"/>
          <w:sz w:val="24"/>
          <w:szCs w:val="24"/>
        </w:rPr>
        <w:t xml:space="preserve">flooding, </w:t>
      </w:r>
      <w:r w:rsidRPr="00C212C1">
        <w:rPr>
          <w:rFonts w:cstheme="minorHAnsi"/>
          <w:sz w:val="24"/>
          <w:szCs w:val="24"/>
        </w:rPr>
        <w:t xml:space="preserve">drought and desertification jeopardizes their ability to carry out economic activity </w:t>
      </w:r>
      <w:r w:rsidR="008118A6">
        <w:rPr>
          <w:rFonts w:cstheme="minorHAnsi"/>
          <w:sz w:val="24"/>
          <w:szCs w:val="24"/>
        </w:rPr>
        <w:t>and</w:t>
      </w:r>
      <w:r w:rsidRPr="00C212C1">
        <w:rPr>
          <w:rFonts w:cstheme="minorHAnsi"/>
          <w:sz w:val="24"/>
          <w:szCs w:val="24"/>
        </w:rPr>
        <w:t xml:space="preserve"> household duties such as sanitation. Section 3.10 outlines the consequence of climate change on gender as well as policy commitments in Nigeria towards addressing this issue.</w:t>
      </w:r>
      <w:r w:rsidR="00B7629E" w:rsidRPr="00C212C1">
        <w:rPr>
          <w:rFonts w:cstheme="minorHAnsi"/>
          <w:sz w:val="24"/>
          <w:szCs w:val="24"/>
        </w:rPr>
        <w:t xml:space="preserve"> </w:t>
      </w:r>
    </w:p>
    <w:p w14:paraId="4A5A66BD" w14:textId="77777777" w:rsidR="00E75191" w:rsidRPr="00C212C1" w:rsidRDefault="008118A6" w:rsidP="00E75191">
      <w:pPr>
        <w:spacing w:line="240" w:lineRule="auto"/>
        <w:jc w:val="both"/>
        <w:rPr>
          <w:rFonts w:cstheme="minorHAnsi"/>
          <w:sz w:val="24"/>
          <w:szCs w:val="24"/>
        </w:rPr>
      </w:pPr>
      <w:r w:rsidRPr="00C212C1">
        <w:rPr>
          <w:rFonts w:cstheme="minorHAnsi"/>
          <w:sz w:val="24"/>
          <w:szCs w:val="24"/>
        </w:rPr>
        <w:t xml:space="preserve">Section 3.11 highlights that PWDs and elderly persons are not effectively captured in social safety nets or in benefit schemes putting them at risk of poverty, unemployment and lower quality of life. </w:t>
      </w:r>
    </w:p>
    <w:p w14:paraId="092437E1" w14:textId="77777777" w:rsidR="00E75191" w:rsidRPr="00C212C1" w:rsidRDefault="00E75191" w:rsidP="00E75191">
      <w:pPr>
        <w:spacing w:line="240" w:lineRule="auto"/>
        <w:jc w:val="both"/>
        <w:rPr>
          <w:rFonts w:cstheme="minorHAnsi"/>
          <w:sz w:val="24"/>
          <w:szCs w:val="24"/>
        </w:rPr>
      </w:pPr>
      <w:r w:rsidRPr="00C212C1">
        <w:rPr>
          <w:rFonts w:cstheme="minorHAnsi"/>
          <w:sz w:val="24"/>
          <w:szCs w:val="24"/>
        </w:rPr>
        <w:t>In general,</w:t>
      </w:r>
      <w:r w:rsidRPr="00C212C1">
        <w:rPr>
          <w:rFonts w:cstheme="minorHAnsi"/>
          <w:sz w:val="24"/>
          <w:szCs w:val="24"/>
          <w:lang w:val="en-US"/>
        </w:rPr>
        <w:t xml:space="preserve"> women and girls continue to be the focus of research on gender</w:t>
      </w:r>
      <w:r w:rsidR="00F36671">
        <w:rPr>
          <w:rFonts w:cstheme="minorHAnsi"/>
          <w:sz w:val="24"/>
          <w:szCs w:val="24"/>
          <w:lang w:val="en-US"/>
        </w:rPr>
        <w:t>, resulting in</w:t>
      </w:r>
      <w:r w:rsidRPr="00C212C1">
        <w:rPr>
          <w:rFonts w:cstheme="minorHAnsi"/>
          <w:sz w:val="24"/>
          <w:szCs w:val="24"/>
          <w:lang w:val="en-US"/>
        </w:rPr>
        <w:t xml:space="preserve"> matters relating to men and boys </w:t>
      </w:r>
      <w:r w:rsidR="00F36671">
        <w:rPr>
          <w:rFonts w:cstheme="minorHAnsi"/>
          <w:sz w:val="24"/>
          <w:szCs w:val="24"/>
          <w:lang w:val="en-US"/>
        </w:rPr>
        <w:t>receiving insufficient</w:t>
      </w:r>
      <w:r w:rsidRPr="00C212C1">
        <w:rPr>
          <w:rFonts w:cstheme="minorHAnsi"/>
          <w:sz w:val="24"/>
          <w:szCs w:val="24"/>
          <w:lang w:val="en-US"/>
        </w:rPr>
        <w:t xml:space="preserve"> attention. </w:t>
      </w:r>
      <w:r w:rsidRPr="00C212C1">
        <w:rPr>
          <w:rFonts w:cstheme="minorHAnsi"/>
          <w:sz w:val="24"/>
          <w:szCs w:val="24"/>
        </w:rPr>
        <w:t>A multi-faceted approach is required to address the various thematic areas, all of which show significant levels of gender inequality skewed against women and girls. Urgent issues for prioritization are highlighted in the section 5. Some of these include advocacy and stakeholder engagement towards addressing threats to security, improved investment in research on digitalization, provision of technical support to stakeholders in the health and education sector</w:t>
      </w:r>
      <w:r w:rsidR="00550AEB" w:rsidRPr="00C212C1">
        <w:rPr>
          <w:rFonts w:cstheme="minorHAnsi"/>
          <w:sz w:val="24"/>
          <w:szCs w:val="24"/>
        </w:rPr>
        <w:t>s</w:t>
      </w:r>
      <w:r w:rsidRPr="00C212C1">
        <w:rPr>
          <w:rFonts w:cstheme="minorHAnsi"/>
          <w:sz w:val="24"/>
          <w:szCs w:val="24"/>
        </w:rPr>
        <w:t>.</w:t>
      </w:r>
      <w:r w:rsidR="00B7629E" w:rsidRPr="00C212C1">
        <w:rPr>
          <w:rFonts w:cstheme="minorHAnsi"/>
          <w:sz w:val="24"/>
          <w:szCs w:val="24"/>
        </w:rPr>
        <w:t xml:space="preserve"> </w:t>
      </w:r>
      <w:r w:rsidR="00C212C1" w:rsidRPr="00C212C1">
        <w:rPr>
          <w:rFonts w:cstheme="minorHAnsi"/>
          <w:sz w:val="24"/>
          <w:szCs w:val="24"/>
        </w:rPr>
        <w:t>T</w:t>
      </w:r>
      <w:r w:rsidR="00B7629E" w:rsidRPr="00C212C1">
        <w:rPr>
          <w:rFonts w:cstheme="minorHAnsi"/>
          <w:sz w:val="24"/>
          <w:szCs w:val="24"/>
        </w:rPr>
        <w:t>hese recommendations are consistent with extant policies, the SDG goals and Niger</w:t>
      </w:r>
      <w:r w:rsidR="00C212C1" w:rsidRPr="00C212C1">
        <w:rPr>
          <w:rFonts w:cstheme="minorHAnsi"/>
          <w:sz w:val="24"/>
          <w:szCs w:val="24"/>
        </w:rPr>
        <w:t xml:space="preserve">ia’s international obligations. </w:t>
      </w:r>
      <w:r w:rsidR="00F36671">
        <w:rPr>
          <w:rFonts w:cstheme="minorHAnsi"/>
          <w:sz w:val="24"/>
          <w:szCs w:val="24"/>
        </w:rPr>
        <w:t>M</w:t>
      </w:r>
      <w:r w:rsidR="00C212C1" w:rsidRPr="00C212C1">
        <w:rPr>
          <w:rFonts w:cstheme="minorHAnsi"/>
          <w:sz w:val="24"/>
          <w:szCs w:val="24"/>
        </w:rPr>
        <w:t xml:space="preserve">ore support </w:t>
      </w:r>
      <w:r w:rsidR="00F36671">
        <w:rPr>
          <w:rFonts w:cstheme="minorHAnsi"/>
          <w:sz w:val="24"/>
          <w:szCs w:val="24"/>
        </w:rPr>
        <w:t xml:space="preserve">is </w:t>
      </w:r>
      <w:r w:rsidR="00C212C1" w:rsidRPr="00C212C1">
        <w:rPr>
          <w:rFonts w:cstheme="minorHAnsi"/>
          <w:sz w:val="24"/>
          <w:szCs w:val="24"/>
        </w:rPr>
        <w:t xml:space="preserve">required to effectuate policy provisions, action plans and extant initiatives. </w:t>
      </w:r>
      <w:r w:rsidR="00F36671">
        <w:rPr>
          <w:rFonts w:cstheme="minorHAnsi"/>
          <w:sz w:val="24"/>
          <w:szCs w:val="24"/>
        </w:rPr>
        <w:t>I</w:t>
      </w:r>
      <w:r w:rsidR="00B7629E" w:rsidRPr="00C212C1">
        <w:rPr>
          <w:rFonts w:cstheme="minorHAnsi"/>
          <w:sz w:val="24"/>
          <w:szCs w:val="24"/>
        </w:rPr>
        <w:t>t is recommended that information on gender and how gender will be impacted is collected on each project supported by the EU, including through baseline and final reports.</w:t>
      </w:r>
    </w:p>
    <w:p w14:paraId="4D8076B3" w14:textId="77777777" w:rsidR="00E75191" w:rsidRDefault="00E75191" w:rsidP="00E75191">
      <w:pPr>
        <w:spacing w:line="240" w:lineRule="auto"/>
        <w:jc w:val="both"/>
        <w:rPr>
          <w:sz w:val="24"/>
          <w:szCs w:val="24"/>
        </w:rPr>
      </w:pPr>
    </w:p>
    <w:p w14:paraId="54568133" w14:textId="77777777" w:rsidR="00B343C1" w:rsidRDefault="00B343C1" w:rsidP="00E75191">
      <w:pPr>
        <w:spacing w:line="240" w:lineRule="auto"/>
        <w:jc w:val="both"/>
        <w:rPr>
          <w:sz w:val="24"/>
          <w:szCs w:val="24"/>
        </w:rPr>
      </w:pPr>
    </w:p>
    <w:p w14:paraId="15A76902" w14:textId="77777777" w:rsidR="00035C08" w:rsidRDefault="00440349" w:rsidP="00E75191">
      <w:pPr>
        <w:spacing w:line="240" w:lineRule="auto"/>
        <w:jc w:val="both"/>
        <w:rPr>
          <w:sz w:val="24"/>
          <w:szCs w:val="24"/>
        </w:rPr>
      </w:pPr>
      <w:r>
        <w:rPr>
          <w:noProof/>
          <w:lang w:val="en-IE" w:eastAsia="en-IE"/>
        </w:rPr>
        <mc:AlternateContent>
          <mc:Choice Requires="wps">
            <w:drawing>
              <wp:anchor distT="0" distB="0" distL="114300" distR="114300" simplePos="0" relativeHeight="251665408" behindDoc="0" locked="0" layoutInCell="1" allowOverlap="1" wp14:anchorId="158296D9" wp14:editId="4DE1BF60">
                <wp:simplePos x="0" y="0"/>
                <wp:positionH relativeFrom="margin">
                  <wp:align>right</wp:align>
                </wp:positionH>
                <wp:positionV relativeFrom="paragraph">
                  <wp:posOffset>-196850</wp:posOffset>
                </wp:positionV>
                <wp:extent cx="5905500" cy="1403985"/>
                <wp:effectExtent l="0" t="0" r="1905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403985"/>
                        </a:xfrm>
                        <a:prstGeom prst="rect">
                          <a:avLst/>
                        </a:prstGeom>
                        <a:solidFill>
                          <a:schemeClr val="accent1">
                            <a:lumMod val="60000"/>
                            <a:lumOff val="40000"/>
                          </a:schemeClr>
                        </a:solidFill>
                        <a:ln w="9525">
                          <a:solidFill>
                            <a:schemeClr val="accent1">
                              <a:lumMod val="60000"/>
                              <a:lumOff val="40000"/>
                            </a:schemeClr>
                          </a:solidFill>
                          <a:miter lim="800000"/>
                          <a:headEnd/>
                          <a:tailEnd/>
                        </a:ln>
                      </wps:spPr>
                      <wps:txbx>
                        <w:txbxContent>
                          <w:p w14:paraId="44D1D599" w14:textId="77777777" w:rsidR="006D6A0C" w:rsidRPr="00125047" w:rsidRDefault="006D6A0C" w:rsidP="00125047">
                            <w:pPr>
                              <w:pStyle w:val="Heading1"/>
                              <w:rPr>
                                <w:color w:val="auto"/>
                                <w:sz w:val="56"/>
                                <w:szCs w:val="56"/>
                              </w:rPr>
                            </w:pPr>
                            <w:bookmarkStart w:id="3" w:name="_Toc81229083"/>
                            <w:r w:rsidRPr="00125047">
                              <w:rPr>
                                <w:color w:val="auto"/>
                                <w:sz w:val="56"/>
                                <w:szCs w:val="56"/>
                              </w:rPr>
                              <w:t>Introduction</w:t>
                            </w:r>
                            <w:bookmarkEnd w:id="3"/>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8296D9" id="_x0000_t202" coordsize="21600,21600" o:spt="202" path="m,l,21600r21600,l21600,xe">
                <v:stroke joinstyle="miter"/>
                <v:path gradientshapeok="t" o:connecttype="rect"/>
              </v:shapetype>
              <v:shape id="Text Box 2" o:spid="_x0000_s1026" type="#_x0000_t202" style="position:absolute;left:0;text-align:left;margin-left:413.8pt;margin-top:-15.5pt;width:465pt;height:110.55pt;z-index:251665408;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" fillcolor="#9cc2e5 [1940]" strokecolor="#9cc2e5 [1940]">
                <v:textbox style="mso-fit-shape-to-text:t">
                  <w:txbxContent>
                    <w:p w:rsidR="006D6A0C" w:rsidRPr="00125047" w:rsidRDefault="006D6A0C" w:rsidP="00125047">
                      <w:pPr>
                        <w:pStyle w:val="Heading1"/>
                        <w:rPr>
                          <w:color w:val="auto"/>
                          <w:sz w:val="56"/>
                          <w:szCs w:val="56"/>
                        </w:rPr>
                      </w:pPr>
                      <w:bookmarkStart w:id="4" w:name="_Toc81229083"/>
                      <w:r w:rsidRPr="00125047">
                        <w:rPr>
                          <w:color w:val="auto"/>
                          <w:sz w:val="56"/>
                          <w:szCs w:val="56"/>
                        </w:rPr>
                        <w:t>Introduction</w:t>
                      </w:r>
                      <w:bookmarkEnd w:id="4"/>
                    </w:p>
                  </w:txbxContent>
                </v:textbox>
                <w10:wrap anchorx="margin"/>
              </v:shape>
            </w:pict>
          </mc:Fallback>
        </mc:AlternateContent>
      </w:r>
    </w:p>
    <w:p w14:paraId="40FC2400" w14:textId="77777777" w:rsidR="009470D0" w:rsidRPr="00440349" w:rsidRDefault="00035C08" w:rsidP="00E75191">
      <w:pPr>
        <w:pStyle w:val="Heading1"/>
        <w:numPr>
          <w:ilvl w:val="1"/>
          <w:numId w:val="7"/>
        </w:numPr>
        <w:spacing w:line="240" w:lineRule="auto"/>
      </w:pPr>
      <w:bookmarkStart w:id="4" w:name="_Toc81229084"/>
      <w:r>
        <w:t>Context</w:t>
      </w:r>
      <w:bookmarkEnd w:id="4"/>
    </w:p>
    <w:p w14:paraId="23FDF08A" w14:textId="77777777" w:rsidR="009470D0" w:rsidRDefault="009470D0" w:rsidP="00E75191">
      <w:pPr>
        <w:spacing w:line="240" w:lineRule="auto"/>
        <w:jc w:val="both"/>
        <w:rPr>
          <w:sz w:val="24"/>
          <w:szCs w:val="24"/>
        </w:rPr>
      </w:pPr>
      <w:r w:rsidRPr="009470D0">
        <w:rPr>
          <w:rFonts w:cstheme="minorHAnsi"/>
          <w:sz w:val="24"/>
          <w:szCs w:val="24"/>
        </w:rPr>
        <w:t>Nigeria is a federation system of government comprising 36 States and the Federal Capital Territory</w:t>
      </w:r>
      <w:r w:rsidRPr="009470D0">
        <w:rPr>
          <w:rFonts w:cstheme="minorHAnsi"/>
          <w:sz w:val="24"/>
          <w:szCs w:val="24"/>
          <w:lang w:val="en-US"/>
        </w:rPr>
        <w:t xml:space="preserve">, 774 Local Government Area (LGAs) and 9,565 wards. The States are grouped into six geo-political zones: South-South, South East, South West, North East, North West, and North Central. </w:t>
      </w:r>
      <w:r w:rsidRPr="009470D0">
        <w:rPr>
          <w:rFonts w:cstheme="minorHAnsi"/>
          <w:sz w:val="24"/>
          <w:szCs w:val="24"/>
        </w:rPr>
        <w:t>An estimated 48</w:t>
      </w:r>
      <w:r w:rsidR="00CE4FD2">
        <w:rPr>
          <w:rFonts w:cstheme="minorHAnsi"/>
          <w:sz w:val="24"/>
          <w:szCs w:val="24"/>
        </w:rPr>
        <w:t xml:space="preserve">% </w:t>
      </w:r>
      <w:r w:rsidRPr="009470D0">
        <w:rPr>
          <w:rFonts w:cstheme="minorHAnsi"/>
          <w:sz w:val="24"/>
          <w:szCs w:val="24"/>
        </w:rPr>
        <w:t>of its population resides in urban areas while 52</w:t>
      </w:r>
      <w:r w:rsidR="00CE4FD2">
        <w:rPr>
          <w:rFonts w:cstheme="minorHAnsi"/>
          <w:sz w:val="24"/>
          <w:szCs w:val="24"/>
        </w:rPr>
        <w:t>%</w:t>
      </w:r>
      <w:r w:rsidRPr="009470D0">
        <w:rPr>
          <w:rFonts w:cstheme="minorHAnsi"/>
          <w:sz w:val="24"/>
          <w:szCs w:val="24"/>
        </w:rPr>
        <w:t xml:space="preserve"> live in rural areas. </w:t>
      </w:r>
      <w:r w:rsidR="005418BE">
        <w:rPr>
          <w:sz w:val="24"/>
          <w:szCs w:val="24"/>
        </w:rPr>
        <w:t>As of January 2019, it is estimated that there are 200.9 mill</w:t>
      </w:r>
      <w:r w:rsidR="004F0190">
        <w:rPr>
          <w:sz w:val="24"/>
          <w:szCs w:val="24"/>
        </w:rPr>
        <w:t>ion Nigerians living in Nigeria</w:t>
      </w:r>
      <w:r w:rsidR="005418BE">
        <w:rPr>
          <w:sz w:val="24"/>
          <w:szCs w:val="24"/>
        </w:rPr>
        <w:t>.</w:t>
      </w:r>
      <w:r w:rsidR="005418BE">
        <w:rPr>
          <w:rStyle w:val="FootnoteReference"/>
          <w:sz w:val="24"/>
          <w:szCs w:val="24"/>
        </w:rPr>
        <w:footnoteReference w:id="3"/>
      </w:r>
      <w:r w:rsidR="005418BE">
        <w:rPr>
          <w:sz w:val="24"/>
          <w:szCs w:val="24"/>
        </w:rPr>
        <w:t xml:space="preserve"> Of population, 49.3% are female and 50.7% are male (NBS, 2021).</w:t>
      </w:r>
      <w:r w:rsidR="005418BE">
        <w:rPr>
          <w:rStyle w:val="FootnoteReference"/>
          <w:sz w:val="24"/>
          <w:szCs w:val="24"/>
        </w:rPr>
        <w:footnoteReference w:id="4"/>
      </w:r>
      <w:r w:rsidR="005418BE">
        <w:rPr>
          <w:sz w:val="24"/>
          <w:szCs w:val="24"/>
        </w:rPr>
        <w:t xml:space="preserve"> However, women in Nigeria face several challenges as a result of social, cultural and institutional</w:t>
      </w:r>
      <w:r w:rsidR="004F0190">
        <w:rPr>
          <w:sz w:val="24"/>
          <w:szCs w:val="24"/>
        </w:rPr>
        <w:t xml:space="preserve"> factors</w:t>
      </w:r>
      <w:r w:rsidR="005418BE">
        <w:rPr>
          <w:sz w:val="24"/>
          <w:szCs w:val="24"/>
        </w:rPr>
        <w:t>.</w:t>
      </w:r>
      <w:r w:rsidR="005418BE">
        <w:rPr>
          <w:rStyle w:val="FootnoteReference"/>
          <w:sz w:val="24"/>
          <w:szCs w:val="24"/>
        </w:rPr>
        <w:footnoteReference w:id="5"/>
      </w:r>
      <w:r w:rsidR="005418BE">
        <w:rPr>
          <w:sz w:val="24"/>
          <w:szCs w:val="24"/>
        </w:rPr>
        <w:t xml:space="preserve"> Gender inequality is observed in areas such as employment, mortality rates, school drop-out rate and number of women occupying appointive and elective positions within government.</w:t>
      </w:r>
    </w:p>
    <w:p w14:paraId="6A534582" w14:textId="77777777" w:rsidR="00681F77" w:rsidRDefault="00440349" w:rsidP="00E75191">
      <w:pPr>
        <w:keepNext/>
        <w:spacing w:line="240" w:lineRule="auto"/>
        <w:jc w:val="center"/>
      </w:pPr>
      <w:r w:rsidRPr="00440349">
        <w:rPr>
          <w:noProof/>
          <w:sz w:val="24"/>
          <w:szCs w:val="24"/>
          <w:lang w:val="en-IE" w:eastAsia="en-IE"/>
        </w:rPr>
        <w:drawing>
          <wp:inline distT="0" distB="0" distL="0" distR="0" wp14:anchorId="687796B8" wp14:editId="4EDE10AC">
            <wp:extent cx="3642360" cy="1822450"/>
            <wp:effectExtent l="0" t="0" r="15240" b="635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79E71C2" w14:textId="77777777" w:rsidR="00440349" w:rsidRDefault="00681F77" w:rsidP="00E75191">
      <w:pPr>
        <w:pStyle w:val="Caption"/>
        <w:jc w:val="center"/>
        <w:rPr>
          <w:sz w:val="24"/>
          <w:szCs w:val="24"/>
        </w:rPr>
      </w:pPr>
      <w:r>
        <w:t xml:space="preserve">Figure </w:t>
      </w:r>
      <w:fldSimple w:instr=" SEQ Figure \* ARABIC ">
        <w:r w:rsidR="00C15490">
          <w:rPr>
            <w:noProof/>
          </w:rPr>
          <w:t>1</w:t>
        </w:r>
      </w:fldSimple>
      <w:r>
        <w:t xml:space="preserve"> Gender Proportion in Nigeria derived from NBS Statistics 2020</w:t>
      </w:r>
    </w:p>
    <w:p w14:paraId="347ED7AC" w14:textId="77777777" w:rsidR="00035C08" w:rsidRDefault="00035C08" w:rsidP="00E75191">
      <w:pPr>
        <w:spacing w:line="240" w:lineRule="auto"/>
        <w:jc w:val="both"/>
        <w:rPr>
          <w:sz w:val="24"/>
          <w:szCs w:val="24"/>
        </w:rPr>
      </w:pPr>
      <w:r>
        <w:rPr>
          <w:sz w:val="24"/>
          <w:szCs w:val="24"/>
        </w:rPr>
        <w:t xml:space="preserve">Gender disparity is apparent in many aspects of life in Nigeria observed in vastly differing outcomes in metrics such as employment, mortality rates, school drop-out rate and number of women occupying appointive and elective positions within government. </w:t>
      </w:r>
      <w:r w:rsidR="003822F8">
        <w:rPr>
          <w:sz w:val="24"/>
          <w:szCs w:val="24"/>
        </w:rPr>
        <w:t>These pre-existing inequalities have been exacerbated by the pandemic</w:t>
      </w:r>
      <w:r w:rsidR="003F6D42">
        <w:rPr>
          <w:sz w:val="24"/>
          <w:szCs w:val="24"/>
        </w:rPr>
        <w:t xml:space="preserve">, which has negatively and disproportionately affected women, particularly with regard to access to health care, employment and experience of violence. </w:t>
      </w:r>
      <w:r>
        <w:rPr>
          <w:sz w:val="24"/>
          <w:szCs w:val="24"/>
        </w:rPr>
        <w:t xml:space="preserve">In the Global Gender Gap Index for 2021 which measures several key variables including poverty, education, health and political </w:t>
      </w:r>
      <w:r w:rsidR="006D6A0C">
        <w:rPr>
          <w:sz w:val="24"/>
          <w:szCs w:val="24"/>
        </w:rPr>
        <w:t>p</w:t>
      </w:r>
      <w:r>
        <w:rPr>
          <w:sz w:val="24"/>
          <w:szCs w:val="24"/>
        </w:rPr>
        <w:t xml:space="preserve">articipation, Nigeria ranks 139 out of 153 countries on the index; a significant downward move from 2006 when Nigeria </w:t>
      </w:r>
      <w:r w:rsidR="009470D0">
        <w:rPr>
          <w:sz w:val="24"/>
          <w:szCs w:val="24"/>
        </w:rPr>
        <w:t>ranked 94 out of 153</w:t>
      </w:r>
      <w:r>
        <w:rPr>
          <w:sz w:val="24"/>
          <w:szCs w:val="24"/>
        </w:rPr>
        <w:t>.</w:t>
      </w:r>
      <w:r>
        <w:rPr>
          <w:rStyle w:val="FootnoteReference"/>
          <w:sz w:val="24"/>
          <w:szCs w:val="24"/>
        </w:rPr>
        <w:footnoteReference w:id="6"/>
      </w:r>
    </w:p>
    <w:p w14:paraId="7A86618F" w14:textId="77777777" w:rsidR="00035C08" w:rsidRPr="003F6D42" w:rsidRDefault="009470D0" w:rsidP="00E75191">
      <w:pPr>
        <w:spacing w:line="240" w:lineRule="auto"/>
        <w:jc w:val="both"/>
        <w:rPr>
          <w:sz w:val="24"/>
          <w:szCs w:val="24"/>
        </w:rPr>
      </w:pPr>
      <w:r>
        <w:rPr>
          <w:sz w:val="24"/>
          <w:szCs w:val="24"/>
        </w:rPr>
        <w:t>Gender inequality</w:t>
      </w:r>
      <w:r w:rsidR="00035C08">
        <w:rPr>
          <w:sz w:val="24"/>
          <w:szCs w:val="24"/>
        </w:rPr>
        <w:t xml:space="preserve"> in the lived experience of women and men in Nigeria is often worsened by a legal and governance system</w:t>
      </w:r>
      <w:r w:rsidR="008E03B7">
        <w:rPr>
          <w:sz w:val="24"/>
          <w:szCs w:val="24"/>
        </w:rPr>
        <w:t xml:space="preserve">, </w:t>
      </w:r>
      <w:r w:rsidR="00035C08">
        <w:rPr>
          <w:sz w:val="24"/>
          <w:szCs w:val="24"/>
        </w:rPr>
        <w:t>which is often lacking enforcement</w:t>
      </w:r>
      <w:r w:rsidR="008E03B7">
        <w:rPr>
          <w:sz w:val="24"/>
          <w:szCs w:val="24"/>
        </w:rPr>
        <w:t xml:space="preserve">, </w:t>
      </w:r>
      <w:r w:rsidR="00035C08">
        <w:rPr>
          <w:sz w:val="24"/>
          <w:szCs w:val="24"/>
        </w:rPr>
        <w:t xml:space="preserve">comprehensiveness and </w:t>
      </w:r>
      <w:r w:rsidR="008E03B7">
        <w:rPr>
          <w:sz w:val="24"/>
          <w:szCs w:val="24"/>
        </w:rPr>
        <w:lastRenderedPageBreak/>
        <w:t>integration</w:t>
      </w:r>
      <w:r w:rsidR="003F6D42">
        <w:rPr>
          <w:sz w:val="24"/>
          <w:szCs w:val="24"/>
        </w:rPr>
        <w:t xml:space="preserve"> with other laws</w:t>
      </w:r>
      <w:r w:rsidR="008E03B7">
        <w:rPr>
          <w:sz w:val="24"/>
          <w:szCs w:val="24"/>
        </w:rPr>
        <w:t xml:space="preserve"> </w:t>
      </w:r>
      <w:r>
        <w:rPr>
          <w:sz w:val="24"/>
          <w:szCs w:val="24"/>
        </w:rPr>
        <w:t>that do not provide support for gender equality</w:t>
      </w:r>
      <w:r w:rsidR="003F6D42">
        <w:rPr>
          <w:sz w:val="24"/>
          <w:szCs w:val="24"/>
        </w:rPr>
        <w:t xml:space="preserve">. </w:t>
      </w:r>
      <w:r w:rsidR="004B1016">
        <w:rPr>
          <w:sz w:val="24"/>
          <w:szCs w:val="24"/>
        </w:rPr>
        <w:t>B</w:t>
      </w:r>
      <w:r w:rsidR="006D3B69">
        <w:rPr>
          <w:rFonts w:cstheme="minorHAnsi"/>
          <w:sz w:val="24"/>
          <w:szCs w:val="24"/>
          <w:lang w:val="en-US"/>
        </w:rPr>
        <w:t>eyond</w:t>
      </w:r>
      <w:r w:rsidR="00035C08">
        <w:rPr>
          <w:rFonts w:cstheme="minorHAnsi"/>
          <w:sz w:val="24"/>
          <w:szCs w:val="24"/>
          <w:lang w:val="en-US"/>
        </w:rPr>
        <w:t xml:space="preserve"> the legal and policy context, the evidence suggests that gender inequality </w:t>
      </w:r>
      <w:r w:rsidR="003F6D42">
        <w:rPr>
          <w:rFonts w:cstheme="minorHAnsi"/>
          <w:sz w:val="24"/>
          <w:szCs w:val="24"/>
          <w:lang w:val="en-US"/>
        </w:rPr>
        <w:t xml:space="preserve">in other areas </w:t>
      </w:r>
      <w:r w:rsidR="00035C08">
        <w:rPr>
          <w:rFonts w:cstheme="minorHAnsi"/>
          <w:sz w:val="24"/>
          <w:szCs w:val="24"/>
          <w:lang w:val="en-US"/>
        </w:rPr>
        <w:t xml:space="preserve">is growing rather than decreasing.  </w:t>
      </w:r>
    </w:p>
    <w:tbl>
      <w:tblPr>
        <w:tblW w:w="0" w:type="auto"/>
        <w:jc w:val="center"/>
        <w:tblLook w:val="04A0" w:firstRow="1" w:lastRow="0" w:firstColumn="1" w:lastColumn="0" w:noHBand="0" w:noVBand="1"/>
      </w:tblPr>
      <w:tblGrid>
        <w:gridCol w:w="2626"/>
        <w:gridCol w:w="2324"/>
        <w:gridCol w:w="2325"/>
      </w:tblGrid>
      <w:tr w:rsidR="00035C08" w14:paraId="6F1D48DB" w14:textId="77777777" w:rsidTr="00035C08">
        <w:trPr>
          <w:trHeight w:val="547"/>
          <w:jc w:val="center"/>
        </w:trPr>
        <w:tc>
          <w:tcPr>
            <w:tcW w:w="2626" w:type="dxa"/>
            <w:tcBorders>
              <w:top w:val="single" w:sz="4" w:space="0" w:color="auto"/>
              <w:left w:val="single" w:sz="4" w:space="0" w:color="auto"/>
              <w:bottom w:val="single" w:sz="4" w:space="0" w:color="auto"/>
              <w:right w:val="single" w:sz="4" w:space="0" w:color="auto"/>
            </w:tcBorders>
            <w:shd w:val="clear" w:color="auto" w:fill="5B9BD5" w:themeFill="accent1"/>
            <w:hideMark/>
          </w:tcPr>
          <w:p w14:paraId="1059B725" w14:textId="77777777" w:rsidR="00035C08" w:rsidRDefault="00035C08" w:rsidP="00E75191">
            <w:pPr>
              <w:spacing w:line="240" w:lineRule="auto"/>
              <w:rPr>
                <w:rFonts w:cstheme="minorHAnsi"/>
                <w:color w:val="000000" w:themeColor="text1"/>
                <w:lang w:val="en-US"/>
              </w:rPr>
            </w:pPr>
            <w:r>
              <w:rPr>
                <w:rFonts w:cstheme="minorHAnsi"/>
                <w:color w:val="000000" w:themeColor="text1"/>
                <w:lang w:val="en-US"/>
              </w:rPr>
              <w:t>Indices vs Rank out of 156 countries</w:t>
            </w:r>
          </w:p>
        </w:tc>
        <w:tc>
          <w:tcPr>
            <w:tcW w:w="2324" w:type="dxa"/>
            <w:tcBorders>
              <w:top w:val="single" w:sz="4" w:space="0" w:color="auto"/>
              <w:left w:val="single" w:sz="4" w:space="0" w:color="auto"/>
              <w:bottom w:val="single" w:sz="4" w:space="0" w:color="auto"/>
              <w:right w:val="single" w:sz="4" w:space="0" w:color="auto"/>
            </w:tcBorders>
            <w:shd w:val="clear" w:color="auto" w:fill="5B9BD5" w:themeFill="accent1"/>
            <w:hideMark/>
          </w:tcPr>
          <w:p w14:paraId="5CD3BFC3" w14:textId="77777777" w:rsidR="00035C08" w:rsidRDefault="00035C08" w:rsidP="00E75191">
            <w:pPr>
              <w:spacing w:line="240" w:lineRule="auto"/>
              <w:rPr>
                <w:rStyle w:val="fontstyle01"/>
                <w:rFonts w:asciiTheme="minorHAnsi" w:hAnsiTheme="minorHAnsi"/>
                <w:color w:val="000000" w:themeColor="text1"/>
                <w:sz w:val="22"/>
                <w:szCs w:val="22"/>
              </w:rPr>
            </w:pPr>
            <w:r>
              <w:rPr>
                <w:rStyle w:val="fontstyle21"/>
                <w:rFonts w:cstheme="minorHAnsi"/>
                <w:color w:val="000000" w:themeColor="text1"/>
              </w:rPr>
              <w:t xml:space="preserve">2006 </w:t>
            </w:r>
            <w:r>
              <w:rPr>
                <w:rStyle w:val="fontstyle21"/>
                <w:rFonts w:cstheme="minorHAnsi"/>
                <w:color w:val="000000" w:themeColor="text1"/>
                <w:lang w:val="en-US"/>
              </w:rPr>
              <w:t>rank</w:t>
            </w:r>
          </w:p>
        </w:tc>
        <w:tc>
          <w:tcPr>
            <w:tcW w:w="2325" w:type="dxa"/>
            <w:tcBorders>
              <w:top w:val="single" w:sz="4" w:space="0" w:color="auto"/>
              <w:left w:val="single" w:sz="4" w:space="0" w:color="auto"/>
              <w:bottom w:val="single" w:sz="4" w:space="0" w:color="auto"/>
              <w:right w:val="single" w:sz="4" w:space="0" w:color="auto"/>
            </w:tcBorders>
            <w:shd w:val="clear" w:color="auto" w:fill="5B9BD5" w:themeFill="accent1"/>
            <w:hideMark/>
          </w:tcPr>
          <w:p w14:paraId="427073F5" w14:textId="77777777" w:rsidR="00035C08" w:rsidRDefault="00035C08" w:rsidP="00E75191">
            <w:pPr>
              <w:spacing w:line="240" w:lineRule="auto"/>
              <w:rPr>
                <w:rStyle w:val="fontstyle01"/>
                <w:rFonts w:cstheme="minorHAnsi"/>
                <w:color w:val="000000" w:themeColor="text1"/>
                <w:lang w:val="uz-Cyrl-UZ"/>
              </w:rPr>
            </w:pPr>
            <w:r>
              <w:rPr>
                <w:rStyle w:val="fontstyle21"/>
                <w:rFonts w:cstheme="minorHAnsi"/>
                <w:color w:val="000000" w:themeColor="text1"/>
              </w:rPr>
              <w:t>2021 rank</w:t>
            </w:r>
          </w:p>
        </w:tc>
      </w:tr>
      <w:tr w:rsidR="00035C08" w14:paraId="7B858005" w14:textId="77777777" w:rsidTr="00035C08">
        <w:trPr>
          <w:trHeight w:val="273"/>
          <w:jc w:val="center"/>
        </w:trPr>
        <w:tc>
          <w:tcPr>
            <w:tcW w:w="2626" w:type="dxa"/>
            <w:tcBorders>
              <w:top w:val="single" w:sz="4" w:space="0" w:color="auto"/>
              <w:left w:val="single" w:sz="4" w:space="0" w:color="auto"/>
              <w:bottom w:val="single" w:sz="4" w:space="0" w:color="auto"/>
              <w:right w:val="single" w:sz="4" w:space="0" w:color="auto"/>
            </w:tcBorders>
            <w:hideMark/>
          </w:tcPr>
          <w:p w14:paraId="5180E501" w14:textId="77777777" w:rsidR="00035C08" w:rsidRDefault="00035C08" w:rsidP="00E75191">
            <w:pPr>
              <w:spacing w:line="240" w:lineRule="auto"/>
            </w:pPr>
            <w:r>
              <w:rPr>
                <w:rFonts w:cstheme="minorHAnsi"/>
                <w:color w:val="000000" w:themeColor="text1"/>
              </w:rPr>
              <w:t>Global Gender Gap Index</w:t>
            </w:r>
          </w:p>
        </w:tc>
        <w:tc>
          <w:tcPr>
            <w:tcW w:w="2324" w:type="dxa"/>
            <w:tcBorders>
              <w:top w:val="single" w:sz="4" w:space="0" w:color="auto"/>
              <w:left w:val="single" w:sz="4" w:space="0" w:color="auto"/>
              <w:bottom w:val="single" w:sz="4" w:space="0" w:color="auto"/>
              <w:right w:val="single" w:sz="4" w:space="0" w:color="auto"/>
            </w:tcBorders>
            <w:hideMark/>
          </w:tcPr>
          <w:p w14:paraId="58DE437C" w14:textId="77777777" w:rsidR="00035C08" w:rsidRDefault="00035C08" w:rsidP="00E75191">
            <w:pPr>
              <w:spacing w:line="240" w:lineRule="auto"/>
              <w:rPr>
                <w:rFonts w:cstheme="minorHAnsi"/>
                <w:color w:val="000000" w:themeColor="text1"/>
              </w:rPr>
            </w:pPr>
            <w:r>
              <w:rPr>
                <w:rFonts w:cstheme="minorHAnsi"/>
                <w:color w:val="000000" w:themeColor="text1"/>
              </w:rPr>
              <w:t>94</w:t>
            </w:r>
          </w:p>
        </w:tc>
        <w:tc>
          <w:tcPr>
            <w:tcW w:w="2325" w:type="dxa"/>
            <w:tcBorders>
              <w:top w:val="single" w:sz="4" w:space="0" w:color="auto"/>
              <w:left w:val="single" w:sz="4" w:space="0" w:color="auto"/>
              <w:bottom w:val="single" w:sz="4" w:space="0" w:color="auto"/>
              <w:right w:val="single" w:sz="4" w:space="0" w:color="auto"/>
            </w:tcBorders>
            <w:hideMark/>
          </w:tcPr>
          <w:p w14:paraId="61CFCA01" w14:textId="77777777" w:rsidR="00035C08" w:rsidRDefault="00035C08" w:rsidP="00E75191">
            <w:pPr>
              <w:spacing w:line="240" w:lineRule="auto"/>
              <w:rPr>
                <w:rFonts w:cstheme="minorHAnsi"/>
                <w:color w:val="000000" w:themeColor="text1"/>
              </w:rPr>
            </w:pPr>
            <w:r>
              <w:rPr>
                <w:rFonts w:cstheme="minorHAnsi"/>
                <w:color w:val="000000" w:themeColor="text1"/>
              </w:rPr>
              <w:t>139</w:t>
            </w:r>
          </w:p>
        </w:tc>
      </w:tr>
      <w:tr w:rsidR="00035C08" w14:paraId="314B3C03" w14:textId="77777777" w:rsidTr="00035C08">
        <w:trPr>
          <w:trHeight w:val="537"/>
          <w:jc w:val="center"/>
        </w:trPr>
        <w:tc>
          <w:tcPr>
            <w:tcW w:w="2626" w:type="dxa"/>
            <w:tcBorders>
              <w:top w:val="single" w:sz="4" w:space="0" w:color="auto"/>
              <w:left w:val="single" w:sz="4" w:space="0" w:color="auto"/>
              <w:bottom w:val="single" w:sz="4" w:space="0" w:color="auto"/>
              <w:right w:val="single" w:sz="4" w:space="0" w:color="auto"/>
            </w:tcBorders>
            <w:hideMark/>
          </w:tcPr>
          <w:p w14:paraId="4B8D4317" w14:textId="77777777" w:rsidR="00035C08" w:rsidRDefault="00035C08" w:rsidP="00E75191">
            <w:pPr>
              <w:spacing w:line="240" w:lineRule="auto"/>
              <w:rPr>
                <w:rFonts w:cstheme="minorHAnsi"/>
                <w:color w:val="000000" w:themeColor="text1"/>
              </w:rPr>
            </w:pPr>
            <w:r>
              <w:rPr>
                <w:rFonts w:cstheme="minorHAnsi"/>
                <w:color w:val="000000" w:themeColor="text1"/>
              </w:rPr>
              <w:t>Economic participation and opportunity</w:t>
            </w:r>
          </w:p>
        </w:tc>
        <w:tc>
          <w:tcPr>
            <w:tcW w:w="2324" w:type="dxa"/>
            <w:tcBorders>
              <w:top w:val="single" w:sz="4" w:space="0" w:color="auto"/>
              <w:left w:val="single" w:sz="4" w:space="0" w:color="auto"/>
              <w:bottom w:val="single" w:sz="4" w:space="0" w:color="auto"/>
              <w:right w:val="single" w:sz="4" w:space="0" w:color="auto"/>
            </w:tcBorders>
            <w:hideMark/>
          </w:tcPr>
          <w:p w14:paraId="0553AC31" w14:textId="77777777" w:rsidR="00035C08" w:rsidRDefault="00035C08" w:rsidP="00E75191">
            <w:pPr>
              <w:spacing w:line="240" w:lineRule="auto"/>
              <w:rPr>
                <w:rFonts w:cstheme="minorHAnsi"/>
                <w:color w:val="000000" w:themeColor="text1"/>
              </w:rPr>
            </w:pPr>
            <w:r>
              <w:rPr>
                <w:rFonts w:cstheme="minorHAnsi"/>
                <w:color w:val="000000" w:themeColor="text1"/>
              </w:rPr>
              <w:t>59</w:t>
            </w:r>
          </w:p>
        </w:tc>
        <w:tc>
          <w:tcPr>
            <w:tcW w:w="2325" w:type="dxa"/>
            <w:tcBorders>
              <w:top w:val="single" w:sz="4" w:space="0" w:color="auto"/>
              <w:left w:val="single" w:sz="4" w:space="0" w:color="auto"/>
              <w:bottom w:val="single" w:sz="4" w:space="0" w:color="auto"/>
              <w:right w:val="single" w:sz="4" w:space="0" w:color="auto"/>
            </w:tcBorders>
            <w:hideMark/>
          </w:tcPr>
          <w:p w14:paraId="76017750" w14:textId="77777777" w:rsidR="00035C08" w:rsidRDefault="00035C08" w:rsidP="00E75191">
            <w:pPr>
              <w:spacing w:line="240" w:lineRule="auto"/>
              <w:rPr>
                <w:rFonts w:cstheme="minorHAnsi"/>
                <w:color w:val="000000" w:themeColor="text1"/>
              </w:rPr>
            </w:pPr>
            <w:r>
              <w:rPr>
                <w:rFonts w:cstheme="minorHAnsi"/>
                <w:color w:val="000000" w:themeColor="text1"/>
              </w:rPr>
              <w:t>78</w:t>
            </w:r>
          </w:p>
        </w:tc>
      </w:tr>
      <w:tr w:rsidR="00035C08" w14:paraId="7B96FAF0" w14:textId="77777777" w:rsidTr="00035C08">
        <w:trPr>
          <w:trHeight w:val="273"/>
          <w:jc w:val="center"/>
        </w:trPr>
        <w:tc>
          <w:tcPr>
            <w:tcW w:w="2626" w:type="dxa"/>
            <w:tcBorders>
              <w:top w:val="single" w:sz="4" w:space="0" w:color="auto"/>
              <w:left w:val="single" w:sz="4" w:space="0" w:color="auto"/>
              <w:bottom w:val="single" w:sz="4" w:space="0" w:color="auto"/>
              <w:right w:val="single" w:sz="4" w:space="0" w:color="auto"/>
            </w:tcBorders>
            <w:hideMark/>
          </w:tcPr>
          <w:p w14:paraId="2E4A13FC" w14:textId="77777777" w:rsidR="00035C08" w:rsidRDefault="00035C08" w:rsidP="00E75191">
            <w:pPr>
              <w:spacing w:line="240" w:lineRule="auto"/>
              <w:rPr>
                <w:rFonts w:cstheme="minorHAnsi"/>
                <w:color w:val="000000" w:themeColor="text1"/>
              </w:rPr>
            </w:pPr>
            <w:r>
              <w:rPr>
                <w:rFonts w:cstheme="minorHAnsi"/>
                <w:color w:val="000000" w:themeColor="text1"/>
              </w:rPr>
              <w:t>Educational attainment</w:t>
            </w:r>
          </w:p>
        </w:tc>
        <w:tc>
          <w:tcPr>
            <w:tcW w:w="2324" w:type="dxa"/>
            <w:tcBorders>
              <w:top w:val="single" w:sz="4" w:space="0" w:color="auto"/>
              <w:left w:val="single" w:sz="4" w:space="0" w:color="auto"/>
              <w:bottom w:val="single" w:sz="4" w:space="0" w:color="auto"/>
              <w:right w:val="single" w:sz="4" w:space="0" w:color="auto"/>
            </w:tcBorders>
            <w:hideMark/>
          </w:tcPr>
          <w:p w14:paraId="6AED7CAA" w14:textId="77777777" w:rsidR="00035C08" w:rsidRDefault="00035C08" w:rsidP="00E75191">
            <w:pPr>
              <w:spacing w:line="240" w:lineRule="auto"/>
              <w:rPr>
                <w:rFonts w:cstheme="minorHAnsi"/>
                <w:color w:val="000000" w:themeColor="text1"/>
              </w:rPr>
            </w:pPr>
            <w:r>
              <w:rPr>
                <w:rFonts w:cstheme="minorHAnsi"/>
                <w:color w:val="000000" w:themeColor="text1"/>
              </w:rPr>
              <w:t>104</w:t>
            </w:r>
          </w:p>
        </w:tc>
        <w:tc>
          <w:tcPr>
            <w:tcW w:w="2325" w:type="dxa"/>
            <w:tcBorders>
              <w:top w:val="single" w:sz="4" w:space="0" w:color="auto"/>
              <w:left w:val="single" w:sz="4" w:space="0" w:color="auto"/>
              <w:bottom w:val="single" w:sz="4" w:space="0" w:color="auto"/>
              <w:right w:val="single" w:sz="4" w:space="0" w:color="auto"/>
            </w:tcBorders>
            <w:hideMark/>
          </w:tcPr>
          <w:p w14:paraId="33D488F5" w14:textId="77777777" w:rsidR="00035C08" w:rsidRDefault="00035C08" w:rsidP="00E75191">
            <w:pPr>
              <w:spacing w:line="240" w:lineRule="auto"/>
              <w:rPr>
                <w:rFonts w:cstheme="minorHAnsi"/>
                <w:color w:val="000000" w:themeColor="text1"/>
              </w:rPr>
            </w:pPr>
            <w:r>
              <w:rPr>
                <w:rFonts w:cstheme="minorHAnsi"/>
                <w:color w:val="000000" w:themeColor="text1"/>
              </w:rPr>
              <w:t>146</w:t>
            </w:r>
          </w:p>
        </w:tc>
      </w:tr>
      <w:tr w:rsidR="00035C08" w14:paraId="21D8C128" w14:textId="77777777" w:rsidTr="00035C08">
        <w:trPr>
          <w:trHeight w:val="273"/>
          <w:jc w:val="center"/>
        </w:trPr>
        <w:tc>
          <w:tcPr>
            <w:tcW w:w="2626" w:type="dxa"/>
            <w:tcBorders>
              <w:top w:val="single" w:sz="4" w:space="0" w:color="auto"/>
              <w:left w:val="single" w:sz="4" w:space="0" w:color="auto"/>
              <w:bottom w:val="single" w:sz="4" w:space="0" w:color="auto"/>
              <w:right w:val="single" w:sz="4" w:space="0" w:color="auto"/>
            </w:tcBorders>
            <w:hideMark/>
          </w:tcPr>
          <w:p w14:paraId="6A25C484" w14:textId="77777777" w:rsidR="00035C08" w:rsidRDefault="00035C08" w:rsidP="00E75191">
            <w:pPr>
              <w:spacing w:line="240" w:lineRule="auto"/>
              <w:rPr>
                <w:rFonts w:cstheme="minorHAnsi"/>
                <w:color w:val="000000" w:themeColor="text1"/>
              </w:rPr>
            </w:pPr>
            <w:r>
              <w:rPr>
                <w:rFonts w:cstheme="minorHAnsi"/>
                <w:color w:val="000000" w:themeColor="text1"/>
              </w:rPr>
              <w:t>Health and survival</w:t>
            </w:r>
          </w:p>
        </w:tc>
        <w:tc>
          <w:tcPr>
            <w:tcW w:w="2324" w:type="dxa"/>
            <w:tcBorders>
              <w:top w:val="single" w:sz="4" w:space="0" w:color="auto"/>
              <w:left w:val="single" w:sz="4" w:space="0" w:color="auto"/>
              <w:bottom w:val="single" w:sz="4" w:space="0" w:color="auto"/>
              <w:right w:val="single" w:sz="4" w:space="0" w:color="auto"/>
            </w:tcBorders>
            <w:hideMark/>
          </w:tcPr>
          <w:p w14:paraId="45F0FB8E" w14:textId="77777777" w:rsidR="00035C08" w:rsidRDefault="00035C08" w:rsidP="00E75191">
            <w:pPr>
              <w:spacing w:line="240" w:lineRule="auto"/>
              <w:rPr>
                <w:rFonts w:cstheme="minorHAnsi"/>
                <w:color w:val="000000" w:themeColor="text1"/>
              </w:rPr>
            </w:pPr>
            <w:r>
              <w:rPr>
                <w:rFonts w:cstheme="minorHAnsi"/>
                <w:color w:val="000000" w:themeColor="text1"/>
              </w:rPr>
              <w:t>99</w:t>
            </w:r>
          </w:p>
        </w:tc>
        <w:tc>
          <w:tcPr>
            <w:tcW w:w="2325" w:type="dxa"/>
            <w:tcBorders>
              <w:top w:val="single" w:sz="4" w:space="0" w:color="auto"/>
              <w:left w:val="single" w:sz="4" w:space="0" w:color="auto"/>
              <w:bottom w:val="single" w:sz="4" w:space="0" w:color="auto"/>
              <w:right w:val="single" w:sz="4" w:space="0" w:color="auto"/>
            </w:tcBorders>
            <w:hideMark/>
          </w:tcPr>
          <w:p w14:paraId="48EF5D3D" w14:textId="77777777" w:rsidR="00035C08" w:rsidRDefault="00035C08" w:rsidP="00E75191">
            <w:pPr>
              <w:spacing w:line="240" w:lineRule="auto"/>
              <w:rPr>
                <w:rFonts w:cstheme="minorHAnsi"/>
                <w:color w:val="000000" w:themeColor="text1"/>
              </w:rPr>
            </w:pPr>
            <w:r>
              <w:rPr>
                <w:rFonts w:cstheme="minorHAnsi"/>
                <w:color w:val="000000" w:themeColor="text1"/>
              </w:rPr>
              <w:t>104</w:t>
            </w:r>
          </w:p>
        </w:tc>
      </w:tr>
      <w:tr w:rsidR="00035C08" w14:paraId="555E26EA" w14:textId="77777777" w:rsidTr="00035C08">
        <w:trPr>
          <w:trHeight w:val="273"/>
          <w:jc w:val="center"/>
        </w:trPr>
        <w:tc>
          <w:tcPr>
            <w:tcW w:w="2626" w:type="dxa"/>
            <w:tcBorders>
              <w:top w:val="single" w:sz="4" w:space="0" w:color="auto"/>
              <w:left w:val="single" w:sz="4" w:space="0" w:color="auto"/>
              <w:bottom w:val="single" w:sz="4" w:space="0" w:color="auto"/>
              <w:right w:val="single" w:sz="4" w:space="0" w:color="auto"/>
            </w:tcBorders>
            <w:hideMark/>
          </w:tcPr>
          <w:p w14:paraId="1376E6C3" w14:textId="77777777" w:rsidR="00035C08" w:rsidRDefault="00035C08" w:rsidP="00E75191">
            <w:pPr>
              <w:spacing w:line="240" w:lineRule="auto"/>
              <w:rPr>
                <w:rFonts w:cstheme="minorHAnsi"/>
                <w:color w:val="000000" w:themeColor="text1"/>
              </w:rPr>
            </w:pPr>
            <w:r>
              <w:rPr>
                <w:rFonts w:cstheme="minorHAnsi"/>
                <w:color w:val="000000" w:themeColor="text1"/>
              </w:rPr>
              <w:t>Political empowerment</w:t>
            </w:r>
          </w:p>
        </w:tc>
        <w:tc>
          <w:tcPr>
            <w:tcW w:w="2324" w:type="dxa"/>
            <w:tcBorders>
              <w:top w:val="single" w:sz="4" w:space="0" w:color="auto"/>
              <w:left w:val="single" w:sz="4" w:space="0" w:color="auto"/>
              <w:bottom w:val="single" w:sz="4" w:space="0" w:color="auto"/>
              <w:right w:val="single" w:sz="4" w:space="0" w:color="auto"/>
            </w:tcBorders>
            <w:hideMark/>
          </w:tcPr>
          <w:p w14:paraId="537F8867" w14:textId="77777777" w:rsidR="00035C08" w:rsidRDefault="00035C08" w:rsidP="00E75191">
            <w:pPr>
              <w:spacing w:line="240" w:lineRule="auto"/>
              <w:rPr>
                <w:rFonts w:cstheme="minorHAnsi"/>
                <w:color w:val="000000" w:themeColor="text1"/>
              </w:rPr>
            </w:pPr>
            <w:r>
              <w:rPr>
                <w:rFonts w:cstheme="minorHAnsi"/>
                <w:color w:val="000000" w:themeColor="text1"/>
              </w:rPr>
              <w:t>99</w:t>
            </w:r>
          </w:p>
        </w:tc>
        <w:tc>
          <w:tcPr>
            <w:tcW w:w="2325" w:type="dxa"/>
            <w:tcBorders>
              <w:top w:val="single" w:sz="4" w:space="0" w:color="auto"/>
              <w:left w:val="single" w:sz="4" w:space="0" w:color="auto"/>
              <w:bottom w:val="single" w:sz="4" w:space="0" w:color="auto"/>
              <w:right w:val="single" w:sz="4" w:space="0" w:color="auto"/>
            </w:tcBorders>
            <w:hideMark/>
          </w:tcPr>
          <w:p w14:paraId="5EA0AEC8" w14:textId="77777777" w:rsidR="00035C08" w:rsidRDefault="00035C08" w:rsidP="00E75191">
            <w:pPr>
              <w:keepNext/>
              <w:spacing w:line="240" w:lineRule="auto"/>
              <w:rPr>
                <w:rFonts w:cstheme="minorHAnsi"/>
                <w:color w:val="000000" w:themeColor="text1"/>
              </w:rPr>
            </w:pPr>
            <w:r>
              <w:rPr>
                <w:rFonts w:cstheme="minorHAnsi"/>
                <w:color w:val="000000" w:themeColor="text1"/>
              </w:rPr>
              <w:t>149</w:t>
            </w:r>
          </w:p>
        </w:tc>
      </w:tr>
    </w:tbl>
    <w:p w14:paraId="1807CD4E" w14:textId="77777777" w:rsidR="00681F77" w:rsidRDefault="00681F77" w:rsidP="00E75191">
      <w:pPr>
        <w:pStyle w:val="Caption"/>
        <w:jc w:val="center"/>
      </w:pPr>
      <w:r>
        <w:t xml:space="preserve">Table </w:t>
      </w:r>
      <w:fldSimple w:instr=" SEQ Table \* ARABIC ">
        <w:r>
          <w:rPr>
            <w:noProof/>
          </w:rPr>
          <w:t>1</w:t>
        </w:r>
      </w:fldSimple>
      <w:r>
        <w:t xml:space="preserve"> </w:t>
      </w:r>
      <w:r w:rsidRPr="00A15224">
        <w:t>Source: WEF (2021). Global Gender Gap Report</w:t>
      </w:r>
    </w:p>
    <w:p w14:paraId="7E5BEB32" w14:textId="77777777" w:rsidR="00035C08" w:rsidRDefault="00035C08" w:rsidP="00E75191">
      <w:pPr>
        <w:pStyle w:val="Heading1"/>
        <w:numPr>
          <w:ilvl w:val="1"/>
          <w:numId w:val="6"/>
        </w:numPr>
        <w:spacing w:line="240" w:lineRule="auto"/>
      </w:pPr>
      <w:bookmarkStart w:id="5" w:name="_Toc81229085"/>
      <w:r>
        <w:t>Purpose</w:t>
      </w:r>
      <w:bookmarkEnd w:id="5"/>
    </w:p>
    <w:p w14:paraId="275AD068" w14:textId="77777777" w:rsidR="009C4301" w:rsidRDefault="009C4301" w:rsidP="009C4301">
      <w:pPr>
        <w:spacing w:line="240" w:lineRule="auto"/>
        <w:jc w:val="both"/>
        <w:rPr>
          <w:sz w:val="24"/>
          <w:szCs w:val="24"/>
        </w:rPr>
      </w:pPr>
      <w:r>
        <w:rPr>
          <w:sz w:val="24"/>
          <w:szCs w:val="24"/>
        </w:rPr>
        <w:t xml:space="preserve">In late 2020, the European Union (EU) launched its new Gender Action Plan (GAP) III (2021-25) with the title: “Towards a gender-equal world: focusing on six thematic areas of engagement”. It is expected that the GAP III will expand the EU’s contribution to reach SDG 5 in all EU internal and external policy areas and across the 2030 Agenda. The GAP III aims to accelerate progress towards gender equality and women’s and girls’ empowerment, by setting objectives and action in six key thematic policy areas: </w:t>
      </w:r>
    </w:p>
    <w:p w14:paraId="61F9E757" w14:textId="77777777" w:rsidR="009C4301" w:rsidRDefault="009C4301" w:rsidP="009C4301">
      <w:pPr>
        <w:pStyle w:val="ListParagraph"/>
        <w:numPr>
          <w:ilvl w:val="0"/>
          <w:numId w:val="3"/>
        </w:numPr>
        <w:spacing w:line="240" w:lineRule="auto"/>
        <w:jc w:val="both"/>
        <w:rPr>
          <w:sz w:val="24"/>
          <w:szCs w:val="24"/>
        </w:rPr>
      </w:pPr>
      <w:r>
        <w:rPr>
          <w:sz w:val="24"/>
          <w:szCs w:val="24"/>
        </w:rPr>
        <w:t>Ensuring freedom from all forms of gender-based violence</w:t>
      </w:r>
    </w:p>
    <w:p w14:paraId="4B2CF256" w14:textId="77777777" w:rsidR="009C4301" w:rsidRDefault="009C4301" w:rsidP="009C4301">
      <w:pPr>
        <w:pStyle w:val="ListParagraph"/>
        <w:numPr>
          <w:ilvl w:val="0"/>
          <w:numId w:val="3"/>
        </w:numPr>
        <w:spacing w:line="240" w:lineRule="auto"/>
        <w:jc w:val="both"/>
        <w:rPr>
          <w:sz w:val="24"/>
          <w:szCs w:val="24"/>
        </w:rPr>
      </w:pPr>
      <w:r>
        <w:rPr>
          <w:sz w:val="24"/>
          <w:szCs w:val="24"/>
        </w:rPr>
        <w:t xml:space="preserve">Promoting sexual and reproductive health and rights </w:t>
      </w:r>
    </w:p>
    <w:p w14:paraId="16599F24" w14:textId="77777777" w:rsidR="009C4301" w:rsidRDefault="009C4301" w:rsidP="009C4301">
      <w:pPr>
        <w:pStyle w:val="ListParagraph"/>
        <w:numPr>
          <w:ilvl w:val="0"/>
          <w:numId w:val="3"/>
        </w:numPr>
        <w:spacing w:line="240" w:lineRule="auto"/>
        <w:jc w:val="both"/>
        <w:rPr>
          <w:sz w:val="24"/>
          <w:szCs w:val="24"/>
        </w:rPr>
      </w:pPr>
      <w:r>
        <w:rPr>
          <w:sz w:val="24"/>
          <w:szCs w:val="24"/>
        </w:rPr>
        <w:t xml:space="preserve">Promoting economic and social rights and empowering girls and women </w:t>
      </w:r>
    </w:p>
    <w:p w14:paraId="073AF003" w14:textId="77777777" w:rsidR="009C4301" w:rsidRDefault="009C4301" w:rsidP="009C4301">
      <w:pPr>
        <w:pStyle w:val="ListParagraph"/>
        <w:numPr>
          <w:ilvl w:val="0"/>
          <w:numId w:val="3"/>
        </w:numPr>
        <w:spacing w:line="240" w:lineRule="auto"/>
        <w:jc w:val="both"/>
        <w:rPr>
          <w:sz w:val="24"/>
          <w:szCs w:val="24"/>
        </w:rPr>
      </w:pPr>
      <w:r>
        <w:rPr>
          <w:sz w:val="24"/>
          <w:szCs w:val="24"/>
        </w:rPr>
        <w:t xml:space="preserve">Promoting equal participation and leadership </w:t>
      </w:r>
    </w:p>
    <w:p w14:paraId="7B1664F3" w14:textId="77777777" w:rsidR="009C4301" w:rsidRDefault="009C4301" w:rsidP="009C4301">
      <w:pPr>
        <w:pStyle w:val="ListParagraph"/>
        <w:numPr>
          <w:ilvl w:val="0"/>
          <w:numId w:val="3"/>
        </w:numPr>
        <w:spacing w:line="240" w:lineRule="auto"/>
        <w:jc w:val="both"/>
        <w:rPr>
          <w:sz w:val="24"/>
          <w:szCs w:val="24"/>
        </w:rPr>
      </w:pPr>
      <w:r>
        <w:rPr>
          <w:sz w:val="24"/>
          <w:szCs w:val="24"/>
        </w:rPr>
        <w:t xml:space="preserve">Integrating the women, peace and security agenda </w:t>
      </w:r>
    </w:p>
    <w:p w14:paraId="252BB185" w14:textId="77777777" w:rsidR="009C4301" w:rsidRDefault="009C4301" w:rsidP="009C4301">
      <w:pPr>
        <w:pStyle w:val="ListParagraph"/>
        <w:numPr>
          <w:ilvl w:val="0"/>
          <w:numId w:val="3"/>
        </w:numPr>
        <w:spacing w:line="240" w:lineRule="auto"/>
        <w:jc w:val="both"/>
        <w:rPr>
          <w:sz w:val="24"/>
          <w:szCs w:val="24"/>
        </w:rPr>
      </w:pPr>
      <w:r>
        <w:rPr>
          <w:sz w:val="24"/>
          <w:szCs w:val="24"/>
        </w:rPr>
        <w:t>Climate change and environment and Digitalisation</w:t>
      </w:r>
    </w:p>
    <w:p w14:paraId="1845FCE2" w14:textId="77777777" w:rsidR="009C4301" w:rsidRDefault="009C4301" w:rsidP="009C4301">
      <w:pPr>
        <w:spacing w:line="240" w:lineRule="auto"/>
        <w:jc w:val="both"/>
        <w:rPr>
          <w:sz w:val="24"/>
          <w:szCs w:val="24"/>
        </w:rPr>
      </w:pPr>
      <w:r>
        <w:rPr>
          <w:sz w:val="24"/>
          <w:szCs w:val="24"/>
        </w:rPr>
        <w:t xml:space="preserve">Gender equality and gender mainstreaming is required to feature prominently in the EU’s new programming cycle 2021-2027 to reach the target of at least 85% of new external actions have gender equality, women’s and girls’ empowerment as principal (OECD gender marker G2) or a significant (OECD Gender marker G1). </w:t>
      </w:r>
    </w:p>
    <w:p w14:paraId="50031B1B" w14:textId="77777777" w:rsidR="009C4301" w:rsidRDefault="009C4301" w:rsidP="009C4301">
      <w:pPr>
        <w:spacing w:line="240" w:lineRule="auto"/>
        <w:jc w:val="both"/>
        <w:rPr>
          <w:sz w:val="24"/>
          <w:szCs w:val="24"/>
        </w:rPr>
      </w:pPr>
      <w:r>
        <w:rPr>
          <w:sz w:val="24"/>
          <w:szCs w:val="24"/>
        </w:rPr>
        <w:t xml:space="preserve">A key step for ensuring that the EU’s programming can reflect this target of 85% is through a broad and comprehensive understanding of the current gender profile of the country. The EU, through its funded programme Agents for Citizen-driven Transformation (EU-ACT) Programme, has therefore commissioned a team of 2 researchers to conduct a gender country profile for its programming in Nigeria. </w:t>
      </w:r>
    </w:p>
    <w:p w14:paraId="2233ACB5" w14:textId="77777777" w:rsidR="005418BE" w:rsidRDefault="005418BE" w:rsidP="009C4301">
      <w:pPr>
        <w:spacing w:line="240" w:lineRule="auto"/>
        <w:jc w:val="both"/>
        <w:rPr>
          <w:sz w:val="24"/>
          <w:szCs w:val="24"/>
        </w:rPr>
      </w:pPr>
      <w:r>
        <w:rPr>
          <w:sz w:val="24"/>
          <w:szCs w:val="24"/>
        </w:rPr>
        <w:t xml:space="preserve">This Gender Country Profile for Nigeria will guide the development of a Country Level Implementation Plan on Gender, and provide entry points for the identification of priorities in the EU’s future long-term programming for the period 2021- 2027 in Nigeria. The gender analysis will provide an understanding of gender inequalities in Nigeria, its root causes, the intersection with other inequalities, and impacts on human rights enjoyment and/or benefits produced by and access to development efforts. It will also provide an understanding of the </w:t>
      </w:r>
      <w:r>
        <w:rPr>
          <w:sz w:val="24"/>
          <w:szCs w:val="24"/>
        </w:rPr>
        <w:lastRenderedPageBreak/>
        <w:t>relevant laws and policies, and the commitment and capacity of the Nigerian Government to work on gender equality and women empowerment (GEWE) issues.</w:t>
      </w:r>
    </w:p>
    <w:p w14:paraId="337563B0" w14:textId="77777777" w:rsidR="009C4301" w:rsidRPr="003F6D42" w:rsidRDefault="009C4301" w:rsidP="00E75191">
      <w:pPr>
        <w:spacing w:line="240" w:lineRule="auto"/>
        <w:jc w:val="both"/>
        <w:rPr>
          <w:sz w:val="24"/>
          <w:szCs w:val="24"/>
        </w:rPr>
      </w:pPr>
      <w:r>
        <w:rPr>
          <w:sz w:val="24"/>
          <w:szCs w:val="24"/>
        </w:rPr>
        <w:t>This ‘gender country profile’ will provide a summative view of gender in Nigeria along  the key themes of Poverty and Economic Inequality, Enterprise and Employment, Gender-Based Violence, Education and Health, Political Participation, Peace and Security, Inclusion and Intersectionality. A key component of the profile is a policy and legislative framework, governmental as well as non-governmental measures and actions, to foster gender equality and an examination of key obstacles to establishing gender equality. Specific issues related to discriminatory social norms and attitudes and harmful practices and how they play out within communities and their impact on gender dynamics as a whole in Nigeria are also critical to understanding gender equality in the country.</w:t>
      </w:r>
    </w:p>
    <w:p w14:paraId="397E18CD" w14:textId="77777777" w:rsidR="00B41C1A" w:rsidRDefault="00B41C1A" w:rsidP="00E75191">
      <w:pPr>
        <w:pStyle w:val="Heading1"/>
        <w:numPr>
          <w:ilvl w:val="1"/>
          <w:numId w:val="6"/>
        </w:numPr>
        <w:spacing w:line="240" w:lineRule="auto"/>
      </w:pPr>
      <w:bookmarkStart w:id="6" w:name="_Toc81229086"/>
      <w:r>
        <w:t>Objectives</w:t>
      </w:r>
      <w:bookmarkEnd w:id="6"/>
      <w:r>
        <w:t xml:space="preserve"> </w:t>
      </w:r>
    </w:p>
    <w:p w14:paraId="358A3D5A" w14:textId="77777777" w:rsidR="0050020E" w:rsidRDefault="0050020E" w:rsidP="00E75191">
      <w:pPr>
        <w:spacing w:line="240" w:lineRule="auto"/>
        <w:jc w:val="both"/>
        <w:rPr>
          <w:sz w:val="24"/>
          <w:szCs w:val="24"/>
        </w:rPr>
      </w:pPr>
      <w:r>
        <w:rPr>
          <w:sz w:val="24"/>
          <w:szCs w:val="24"/>
        </w:rPr>
        <w:t xml:space="preserve">In line with the terms of reference; the objectives for the </w:t>
      </w:r>
      <w:bookmarkStart w:id="7" w:name="_Hlk74043908"/>
      <w:r>
        <w:rPr>
          <w:sz w:val="24"/>
          <w:szCs w:val="24"/>
        </w:rPr>
        <w:t>Development of Gender Country Profile for Nigeria</w:t>
      </w:r>
      <w:bookmarkEnd w:id="7"/>
      <w:r>
        <w:rPr>
          <w:sz w:val="24"/>
          <w:szCs w:val="24"/>
        </w:rPr>
        <w:t xml:space="preserve"> are to:</w:t>
      </w:r>
    </w:p>
    <w:p w14:paraId="1360671C" w14:textId="77777777" w:rsidR="0050020E" w:rsidRDefault="0050020E" w:rsidP="00E75191">
      <w:pPr>
        <w:numPr>
          <w:ilvl w:val="0"/>
          <w:numId w:val="1"/>
        </w:numPr>
        <w:spacing w:line="240" w:lineRule="auto"/>
        <w:jc w:val="both"/>
        <w:rPr>
          <w:sz w:val="24"/>
          <w:szCs w:val="24"/>
        </w:rPr>
      </w:pPr>
      <w:r>
        <w:rPr>
          <w:sz w:val="24"/>
          <w:szCs w:val="24"/>
        </w:rPr>
        <w:t>To provide an understanding of gender equality challenges and opportunities, the position and roles of girls, boys, women, and men, in all their diversity, in society, as well as the distribution of resources and power between them.</w:t>
      </w:r>
    </w:p>
    <w:p w14:paraId="74606699" w14:textId="77777777" w:rsidR="0050020E" w:rsidRDefault="0050020E" w:rsidP="00E75191">
      <w:pPr>
        <w:numPr>
          <w:ilvl w:val="0"/>
          <w:numId w:val="1"/>
        </w:numPr>
        <w:spacing w:line="240" w:lineRule="auto"/>
        <w:jc w:val="both"/>
        <w:rPr>
          <w:sz w:val="24"/>
          <w:szCs w:val="24"/>
        </w:rPr>
      </w:pPr>
      <w:r>
        <w:rPr>
          <w:sz w:val="24"/>
          <w:szCs w:val="24"/>
        </w:rPr>
        <w:t xml:space="preserve">To provide clarity on existing social norms and stereotypical practices which may be discriminatory. </w:t>
      </w:r>
    </w:p>
    <w:p w14:paraId="314CFC16" w14:textId="77777777" w:rsidR="0050020E" w:rsidRDefault="0050020E" w:rsidP="00E75191">
      <w:pPr>
        <w:numPr>
          <w:ilvl w:val="0"/>
          <w:numId w:val="1"/>
        </w:numPr>
        <w:spacing w:line="240" w:lineRule="auto"/>
        <w:jc w:val="both"/>
        <w:rPr>
          <w:sz w:val="24"/>
          <w:szCs w:val="24"/>
        </w:rPr>
      </w:pPr>
      <w:r>
        <w:rPr>
          <w:sz w:val="24"/>
          <w:szCs w:val="24"/>
        </w:rPr>
        <w:t xml:space="preserve">To examine the existing legal and normative framework protecting the rights of women and girls </w:t>
      </w:r>
    </w:p>
    <w:p w14:paraId="716F9F3F" w14:textId="77777777" w:rsidR="0050020E" w:rsidRDefault="0050020E" w:rsidP="00E75191">
      <w:pPr>
        <w:numPr>
          <w:ilvl w:val="0"/>
          <w:numId w:val="1"/>
        </w:numPr>
        <w:spacing w:line="240" w:lineRule="auto"/>
        <w:jc w:val="both"/>
        <w:rPr>
          <w:sz w:val="24"/>
          <w:szCs w:val="24"/>
        </w:rPr>
      </w:pPr>
      <w:r>
        <w:rPr>
          <w:sz w:val="24"/>
          <w:szCs w:val="24"/>
        </w:rPr>
        <w:t xml:space="preserve">To examine existing national and sub national policies on women, including gender budgeting and other social safety nets. </w:t>
      </w:r>
    </w:p>
    <w:p w14:paraId="623D2A1F" w14:textId="77777777" w:rsidR="0050020E" w:rsidRDefault="0050020E" w:rsidP="00E75191">
      <w:pPr>
        <w:numPr>
          <w:ilvl w:val="0"/>
          <w:numId w:val="1"/>
        </w:numPr>
        <w:spacing w:line="240" w:lineRule="auto"/>
        <w:jc w:val="both"/>
        <w:rPr>
          <w:sz w:val="24"/>
          <w:szCs w:val="24"/>
        </w:rPr>
      </w:pPr>
      <w:r>
        <w:rPr>
          <w:sz w:val="24"/>
          <w:szCs w:val="24"/>
        </w:rPr>
        <w:t xml:space="preserve">To provide an analysis of the impact of gender inequalities on society, and how different layers of inequality intersect, as a basis for high-impact and high-quality sustainable programming. </w:t>
      </w:r>
    </w:p>
    <w:p w14:paraId="5F85D960" w14:textId="77777777" w:rsidR="0050020E" w:rsidRDefault="0050020E" w:rsidP="00E75191">
      <w:pPr>
        <w:numPr>
          <w:ilvl w:val="0"/>
          <w:numId w:val="1"/>
        </w:numPr>
        <w:spacing w:line="240" w:lineRule="auto"/>
        <w:jc w:val="both"/>
        <w:rPr>
          <w:sz w:val="24"/>
          <w:szCs w:val="24"/>
        </w:rPr>
      </w:pPr>
      <w:r>
        <w:rPr>
          <w:sz w:val="24"/>
          <w:szCs w:val="24"/>
        </w:rPr>
        <w:t>To provide an interpretation of how fragility and/or conflict situations affect women and men, girls and boys differently and how best to respond to these differences.</w:t>
      </w:r>
    </w:p>
    <w:p w14:paraId="2CF12A38" w14:textId="77777777" w:rsidR="00035C08" w:rsidRDefault="00035C08" w:rsidP="00E75191">
      <w:pPr>
        <w:pStyle w:val="Heading1"/>
        <w:numPr>
          <w:ilvl w:val="1"/>
          <w:numId w:val="6"/>
        </w:numPr>
        <w:spacing w:line="240" w:lineRule="auto"/>
      </w:pPr>
      <w:bookmarkStart w:id="8" w:name="_Toc81229087"/>
      <w:r>
        <w:t>Methodology</w:t>
      </w:r>
      <w:r w:rsidR="00547F82">
        <w:rPr>
          <w:rStyle w:val="FootnoteReference"/>
        </w:rPr>
        <w:footnoteReference w:id="7"/>
      </w:r>
      <w:bookmarkEnd w:id="8"/>
    </w:p>
    <w:p w14:paraId="3FA9D2CE" w14:textId="77777777" w:rsidR="00E75191" w:rsidRDefault="00E75191" w:rsidP="00E75191">
      <w:pPr>
        <w:spacing w:line="240" w:lineRule="auto"/>
        <w:jc w:val="both"/>
        <w:rPr>
          <w:sz w:val="24"/>
          <w:szCs w:val="24"/>
          <w:lang w:val="en-US"/>
        </w:rPr>
      </w:pPr>
      <w:r w:rsidRPr="00E75191">
        <w:rPr>
          <w:sz w:val="24"/>
          <w:szCs w:val="24"/>
        </w:rPr>
        <w:t>This study involved a mix of quantitative and qualitative methods. The desk review involved an analysis of the legal and policy framework, academic and grey literature and secondary data studies that have been undertaken on the different thematic issues. Focus</w:t>
      </w:r>
      <w:r w:rsidRPr="00E75191">
        <w:t xml:space="preserve"> </w:t>
      </w:r>
      <w:r w:rsidRPr="00E75191">
        <w:rPr>
          <w:sz w:val="24"/>
          <w:szCs w:val="24"/>
          <w:lang w:val="en-US"/>
        </w:rPr>
        <w:t>group discussions were held with grassroots organizations, households, minority groups and other stakeholders to ensure that local perspectives per context were reflected in the profile. Key informant interviews were also held with respondents drawn from selected MDAs at federal and state level, NGOs, private sector entities and other organizations working in gender/cross cutting areas such as sector, gender</w:t>
      </w:r>
      <w:r w:rsidR="005D1886">
        <w:rPr>
          <w:sz w:val="24"/>
          <w:szCs w:val="24"/>
          <w:lang w:val="en-US"/>
        </w:rPr>
        <w:t>-</w:t>
      </w:r>
      <w:r w:rsidRPr="00E75191">
        <w:rPr>
          <w:sz w:val="24"/>
          <w:szCs w:val="24"/>
          <w:lang w:val="en-US"/>
        </w:rPr>
        <w:t xml:space="preserve">based violence, economic empowerment, labour, minority rights and health. </w:t>
      </w:r>
    </w:p>
    <w:p w14:paraId="7108FE7A" w14:textId="77777777" w:rsidR="00E75191" w:rsidRDefault="00E75191" w:rsidP="00E75191">
      <w:pPr>
        <w:spacing w:line="240" w:lineRule="auto"/>
        <w:jc w:val="center"/>
        <w:rPr>
          <w:sz w:val="24"/>
          <w:szCs w:val="24"/>
          <w:lang w:val="en-US"/>
        </w:rPr>
      </w:pPr>
      <w:r w:rsidRPr="00A01184">
        <w:rPr>
          <w:noProof/>
          <w:lang w:val="en-IE" w:eastAsia="en-IE"/>
        </w:rPr>
        <w:lastRenderedPageBreak/>
        <w:drawing>
          <wp:inline distT="0" distB="0" distL="0" distR="0" wp14:anchorId="38326BAE" wp14:editId="0159B9D9">
            <wp:extent cx="4422335" cy="1754040"/>
            <wp:effectExtent l="0" t="0" r="0" b="0"/>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b="29486"/>
                    <a:stretch/>
                  </pic:blipFill>
                  <pic:spPr bwMode="auto">
                    <a:xfrm>
                      <a:off x="0" y="0"/>
                      <a:ext cx="4440444" cy="1761223"/>
                    </a:xfrm>
                    <a:prstGeom prst="rect">
                      <a:avLst/>
                    </a:prstGeom>
                    <a:ln>
                      <a:noFill/>
                    </a:ln>
                    <a:extLst>
                      <a:ext uri="{53640926-AAD7-44D8-BBD7-CCE9431645EC}">
                        <a14:shadowObscured xmlns:a14="http://schemas.microsoft.com/office/drawing/2010/main"/>
                      </a:ext>
                    </a:extLst>
                  </pic:spPr>
                </pic:pic>
              </a:graphicData>
            </a:graphic>
          </wp:inline>
        </w:drawing>
      </w:r>
    </w:p>
    <w:p w14:paraId="01177FC4" w14:textId="77777777" w:rsidR="00E75191" w:rsidRPr="00E75191" w:rsidRDefault="00E75191" w:rsidP="00E75191">
      <w:pPr>
        <w:spacing w:line="240" w:lineRule="auto"/>
        <w:jc w:val="both"/>
        <w:rPr>
          <w:sz w:val="24"/>
          <w:szCs w:val="24"/>
          <w:lang w:val="en-US"/>
        </w:rPr>
      </w:pPr>
      <w:r w:rsidRPr="00E75191">
        <w:rPr>
          <w:sz w:val="24"/>
          <w:szCs w:val="24"/>
          <w:lang w:val="en-US"/>
        </w:rPr>
        <w:t>For the focus group discussions, key informant interviews were stratified by geopolitical zones and respondents were selected by purposive sampling. This captured the heterogeneity of the country and ensured that regional variations in demographic and sociocultural factors were taken into account.</w:t>
      </w:r>
      <w:r>
        <w:rPr>
          <w:sz w:val="24"/>
          <w:szCs w:val="24"/>
          <w:lang w:val="en-US"/>
        </w:rPr>
        <w:t xml:space="preserve"> </w:t>
      </w:r>
      <w:r w:rsidRPr="00780278">
        <w:rPr>
          <w:sz w:val="24"/>
          <w:szCs w:val="24"/>
          <w:lang w:val="en-US"/>
        </w:rPr>
        <w:t xml:space="preserve">Additionally, questionnaires were deployed </w:t>
      </w:r>
      <w:r>
        <w:rPr>
          <w:sz w:val="24"/>
          <w:szCs w:val="24"/>
          <w:lang w:val="en-US"/>
        </w:rPr>
        <w:t xml:space="preserve">online </w:t>
      </w:r>
      <w:r w:rsidRPr="00780278">
        <w:rPr>
          <w:sz w:val="24"/>
          <w:szCs w:val="24"/>
          <w:lang w:val="en-US"/>
        </w:rPr>
        <w:t>via Kobo Collect Toolbox</w:t>
      </w:r>
      <w:r>
        <w:rPr>
          <w:sz w:val="24"/>
          <w:szCs w:val="24"/>
          <w:lang w:val="en-US"/>
        </w:rPr>
        <w:t xml:space="preserve"> </w:t>
      </w:r>
      <w:r w:rsidRPr="00780278">
        <w:rPr>
          <w:sz w:val="24"/>
          <w:szCs w:val="24"/>
          <w:lang w:val="en-US"/>
        </w:rPr>
        <w:t>across six states</w:t>
      </w:r>
      <w:r w:rsidR="00E42909">
        <w:rPr>
          <w:sz w:val="24"/>
          <w:szCs w:val="24"/>
          <w:lang w:val="en-US"/>
        </w:rPr>
        <w:t xml:space="preserve"> in each geopolitical zone</w:t>
      </w:r>
      <w:r w:rsidRPr="00780278">
        <w:rPr>
          <w:sz w:val="24"/>
          <w:szCs w:val="24"/>
          <w:lang w:val="en-US"/>
        </w:rPr>
        <w:t xml:space="preserve"> </w:t>
      </w:r>
      <w:r w:rsidR="00E42909">
        <w:rPr>
          <w:sz w:val="24"/>
          <w:szCs w:val="24"/>
          <w:lang w:val="en-US"/>
        </w:rPr>
        <w:t xml:space="preserve">sampled purposively </w:t>
      </w:r>
      <w:r w:rsidRPr="00780278">
        <w:rPr>
          <w:sz w:val="24"/>
          <w:szCs w:val="24"/>
          <w:lang w:val="en-US"/>
        </w:rPr>
        <w:t>targeting a total of 1,800 (300 per state) respondents.</w:t>
      </w:r>
      <w:r w:rsidRPr="00E75191">
        <w:rPr>
          <w:sz w:val="24"/>
          <w:szCs w:val="24"/>
          <w:lang w:val="en-US"/>
        </w:rPr>
        <w:t xml:space="preserve"> Further details on methodology are set out in Annex 1. </w:t>
      </w:r>
    </w:p>
    <w:p w14:paraId="7D8D35FA" w14:textId="77777777" w:rsidR="005418BE" w:rsidRDefault="005418BE">
      <w:pPr>
        <w:rPr>
          <w:sz w:val="24"/>
          <w:szCs w:val="24"/>
          <w:lang w:val="en-US"/>
        </w:rPr>
      </w:pPr>
      <w:r>
        <w:rPr>
          <w:sz w:val="24"/>
          <w:szCs w:val="24"/>
          <w:lang w:val="en-US"/>
        </w:rPr>
        <w:br w:type="page"/>
      </w:r>
    </w:p>
    <w:p w14:paraId="2D5CA55E" w14:textId="77777777" w:rsidR="00A01184" w:rsidRDefault="00A01184" w:rsidP="00E75191">
      <w:pPr>
        <w:spacing w:line="240" w:lineRule="auto"/>
        <w:jc w:val="both"/>
        <w:rPr>
          <w:sz w:val="24"/>
          <w:szCs w:val="24"/>
        </w:rPr>
      </w:pPr>
      <w:r>
        <w:rPr>
          <w:noProof/>
          <w:lang w:val="en-IE" w:eastAsia="en-IE"/>
        </w:rPr>
        <w:lastRenderedPageBreak/>
        <mc:AlternateContent>
          <mc:Choice Requires="wps">
            <w:drawing>
              <wp:anchor distT="0" distB="0" distL="114300" distR="114300" simplePos="0" relativeHeight="251675648" behindDoc="0" locked="0" layoutInCell="1" allowOverlap="1" wp14:anchorId="6A3B5FD2" wp14:editId="02D7D8A8">
                <wp:simplePos x="0" y="0"/>
                <wp:positionH relativeFrom="margin">
                  <wp:align>right</wp:align>
                </wp:positionH>
                <wp:positionV relativeFrom="paragraph">
                  <wp:posOffset>88265</wp:posOffset>
                </wp:positionV>
                <wp:extent cx="5915025" cy="1403985"/>
                <wp:effectExtent l="0" t="0" r="28575" b="1270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403985"/>
                        </a:xfrm>
                        <a:prstGeom prst="rect">
                          <a:avLst/>
                        </a:prstGeom>
                        <a:solidFill>
                          <a:schemeClr val="accent1">
                            <a:lumMod val="60000"/>
                            <a:lumOff val="40000"/>
                          </a:schemeClr>
                        </a:solidFill>
                        <a:ln w="9525">
                          <a:solidFill>
                            <a:schemeClr val="accent1">
                              <a:lumMod val="60000"/>
                              <a:lumOff val="40000"/>
                            </a:schemeClr>
                          </a:solidFill>
                          <a:miter lim="800000"/>
                          <a:headEnd/>
                          <a:tailEnd/>
                        </a:ln>
                      </wps:spPr>
                      <wps:txbx>
                        <w:txbxContent>
                          <w:p w14:paraId="3ED53464" w14:textId="77777777" w:rsidR="006D6A0C" w:rsidRPr="00125047" w:rsidRDefault="00EB6159" w:rsidP="00125047">
                            <w:pPr>
                              <w:pStyle w:val="Heading1"/>
                              <w:rPr>
                                <w:color w:val="auto"/>
                                <w:sz w:val="56"/>
                                <w:szCs w:val="56"/>
                              </w:rPr>
                            </w:pPr>
                            <w:bookmarkStart w:id="9" w:name="_Toc81228154"/>
                            <w:bookmarkStart w:id="10" w:name="_Toc81228276"/>
                            <w:bookmarkStart w:id="11" w:name="_Toc81229088"/>
                            <w:r w:rsidRPr="00125047">
                              <w:rPr>
                                <w:color w:val="auto"/>
                                <w:sz w:val="56"/>
                                <w:szCs w:val="56"/>
                              </w:rPr>
                              <w:t xml:space="preserve">2. </w:t>
                            </w:r>
                            <w:r w:rsidR="006D6A0C" w:rsidRPr="00125047">
                              <w:rPr>
                                <w:color w:val="auto"/>
                                <w:sz w:val="56"/>
                                <w:szCs w:val="56"/>
                              </w:rPr>
                              <w:t>Legal and Policy Framework</w:t>
                            </w:r>
                            <w:bookmarkEnd w:id="9"/>
                            <w:bookmarkEnd w:id="10"/>
                            <w:bookmarkEnd w:id="11"/>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A3B5FD2" id="_x0000_s1027" type="#_x0000_t202" style="position:absolute;left:0;text-align:left;margin-left:414.55pt;margin-top:6.95pt;width:465.75pt;height:110.55pt;z-index:251675648;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" fillcolor="#9cc2e5 [1940]" strokecolor="#9cc2e5 [1940]">
                <v:textbox style="mso-fit-shape-to-text:t">
                  <w:txbxContent>
                    <w:p w:rsidR="006D6A0C" w:rsidRPr="00125047" w:rsidRDefault="00EB6159" w:rsidP="00125047">
                      <w:pPr>
                        <w:pStyle w:val="Heading1"/>
                        <w:rPr>
                          <w:color w:val="auto"/>
                          <w:sz w:val="56"/>
                          <w:szCs w:val="56"/>
                        </w:rPr>
                      </w:pPr>
                      <w:bookmarkStart w:id="13" w:name="_Toc81228154"/>
                      <w:bookmarkStart w:id="14" w:name="_Toc81228276"/>
                      <w:bookmarkStart w:id="15" w:name="_Toc81229088"/>
                      <w:r w:rsidRPr="00125047">
                        <w:rPr>
                          <w:color w:val="auto"/>
                          <w:sz w:val="56"/>
                          <w:szCs w:val="56"/>
                        </w:rPr>
                        <w:t xml:space="preserve">2. </w:t>
                      </w:r>
                      <w:r w:rsidR="006D6A0C" w:rsidRPr="00125047">
                        <w:rPr>
                          <w:color w:val="auto"/>
                          <w:sz w:val="56"/>
                          <w:szCs w:val="56"/>
                        </w:rPr>
                        <w:t>Legal and Policy Framework</w:t>
                      </w:r>
                      <w:bookmarkEnd w:id="13"/>
                      <w:bookmarkEnd w:id="14"/>
                      <w:bookmarkEnd w:id="15"/>
                    </w:p>
                  </w:txbxContent>
                </v:textbox>
                <w10:wrap anchorx="margin"/>
              </v:shape>
            </w:pict>
          </mc:Fallback>
        </mc:AlternateContent>
      </w:r>
    </w:p>
    <w:p w14:paraId="1447B9F2" w14:textId="77777777" w:rsidR="00A441FB" w:rsidRDefault="00A441FB" w:rsidP="00E75191">
      <w:pPr>
        <w:spacing w:line="240" w:lineRule="auto"/>
        <w:jc w:val="both"/>
        <w:rPr>
          <w:sz w:val="24"/>
          <w:szCs w:val="24"/>
        </w:rPr>
      </w:pPr>
    </w:p>
    <w:p w14:paraId="1EB535AF" w14:textId="77777777" w:rsidR="00125047" w:rsidRDefault="00125047" w:rsidP="00D66BA4">
      <w:pPr>
        <w:spacing w:line="240" w:lineRule="auto"/>
        <w:jc w:val="both"/>
        <w:rPr>
          <w:rFonts w:cstheme="minorHAnsi"/>
          <w:sz w:val="24"/>
          <w:szCs w:val="24"/>
          <w:lang w:val="en-US"/>
        </w:rPr>
      </w:pPr>
    </w:p>
    <w:p w14:paraId="28D939F7" w14:textId="77777777" w:rsidR="00D66BA4" w:rsidRDefault="00947179" w:rsidP="00D66BA4">
      <w:pPr>
        <w:spacing w:line="240" w:lineRule="auto"/>
        <w:jc w:val="both"/>
        <w:rPr>
          <w:rFonts w:cstheme="minorHAnsi"/>
          <w:sz w:val="24"/>
          <w:szCs w:val="24"/>
          <w:lang w:val="en-US"/>
        </w:rPr>
      </w:pPr>
      <w:r>
        <w:rPr>
          <w:rFonts w:cstheme="minorHAnsi"/>
          <w:sz w:val="24"/>
          <w:szCs w:val="24"/>
          <w:lang w:val="en-US"/>
        </w:rPr>
        <w:t>T</w:t>
      </w:r>
      <w:r w:rsidR="009024DA">
        <w:rPr>
          <w:rFonts w:cstheme="minorHAnsi"/>
          <w:sz w:val="24"/>
          <w:szCs w:val="24"/>
          <w:lang w:val="en-US"/>
        </w:rPr>
        <w:t>he</w:t>
      </w:r>
      <w:r>
        <w:rPr>
          <w:rFonts w:cstheme="minorHAnsi"/>
          <w:sz w:val="24"/>
          <w:szCs w:val="24"/>
          <w:lang w:val="en-US"/>
        </w:rPr>
        <w:t xml:space="preserve"> Constitution of</w:t>
      </w:r>
      <w:r w:rsidR="009024DA">
        <w:rPr>
          <w:rFonts w:cstheme="minorHAnsi"/>
          <w:sz w:val="24"/>
          <w:szCs w:val="24"/>
          <w:lang w:val="en-US"/>
        </w:rPr>
        <w:t xml:space="preserve"> the Federal Republic of</w:t>
      </w:r>
      <w:r>
        <w:rPr>
          <w:rFonts w:cstheme="minorHAnsi"/>
          <w:sz w:val="24"/>
          <w:szCs w:val="24"/>
          <w:lang w:val="en-US"/>
        </w:rPr>
        <w:t xml:space="preserve"> Nigeria</w:t>
      </w:r>
      <w:r w:rsidR="009024DA">
        <w:rPr>
          <w:rFonts w:cstheme="minorHAnsi"/>
          <w:sz w:val="24"/>
          <w:szCs w:val="24"/>
          <w:lang w:val="en-US"/>
        </w:rPr>
        <w:t>, 1999 (‘the Constitution’)</w:t>
      </w:r>
      <w:r>
        <w:rPr>
          <w:rFonts w:cstheme="minorHAnsi"/>
          <w:sz w:val="24"/>
          <w:szCs w:val="24"/>
          <w:lang w:val="en-US"/>
        </w:rPr>
        <w:t xml:space="preserve"> </w:t>
      </w:r>
      <w:r w:rsidR="009024DA">
        <w:rPr>
          <w:rFonts w:cstheme="minorHAnsi"/>
          <w:sz w:val="24"/>
          <w:szCs w:val="24"/>
          <w:lang w:val="en-US"/>
        </w:rPr>
        <w:t>is the fundamental law and</w:t>
      </w:r>
      <w:r w:rsidR="008E03B7">
        <w:rPr>
          <w:rFonts w:cstheme="minorHAnsi"/>
          <w:sz w:val="24"/>
          <w:szCs w:val="24"/>
          <w:lang w:val="en-US"/>
        </w:rPr>
        <w:t xml:space="preserve"> i</w:t>
      </w:r>
      <w:r>
        <w:rPr>
          <w:rFonts w:cstheme="minorHAnsi"/>
          <w:sz w:val="24"/>
          <w:szCs w:val="24"/>
          <w:lang w:val="en-US"/>
        </w:rPr>
        <w:t xml:space="preserve">ts provisions are held to be supreme within Nigeria. </w:t>
      </w:r>
      <w:r w:rsidR="00D66BA4">
        <w:rPr>
          <w:rFonts w:cstheme="minorHAnsi"/>
          <w:sz w:val="24"/>
          <w:szCs w:val="24"/>
          <w:lang w:val="en-US"/>
        </w:rPr>
        <w:t>Generally, the Constitution prohibits discrimination or any form of deprivation on the basis of sex, place of origin, religion, status, ethnic or linguistic association, ties or the circumstances of birth.</w:t>
      </w:r>
      <w:r w:rsidR="00D66BA4">
        <w:rPr>
          <w:rFonts w:cstheme="minorHAnsi"/>
          <w:sz w:val="24"/>
          <w:szCs w:val="24"/>
          <w:vertAlign w:val="superscript"/>
          <w:lang w:val="en-US"/>
        </w:rPr>
        <w:footnoteReference w:id="8"/>
      </w:r>
      <w:r w:rsidR="00D66BA4">
        <w:rPr>
          <w:rFonts w:cstheme="minorHAnsi"/>
          <w:sz w:val="24"/>
          <w:szCs w:val="24"/>
          <w:lang w:val="en-US"/>
        </w:rPr>
        <w:t xml:space="preserve"> It also specifically prohibits laws or administrative orders that promote the deprivation or provision of advantage to a set of people based on the same factors.</w:t>
      </w:r>
      <w:r w:rsidR="00D66BA4">
        <w:rPr>
          <w:rFonts w:cstheme="minorHAnsi"/>
          <w:sz w:val="24"/>
          <w:szCs w:val="24"/>
          <w:vertAlign w:val="superscript"/>
          <w:lang w:val="en-US"/>
        </w:rPr>
        <w:footnoteReference w:id="9"/>
      </w:r>
      <w:r w:rsidR="00D66BA4">
        <w:rPr>
          <w:rFonts w:cstheme="minorHAnsi"/>
          <w:sz w:val="24"/>
          <w:szCs w:val="24"/>
          <w:lang w:val="en-US"/>
        </w:rPr>
        <w:t xml:space="preserve"> These provisions serve as a backdrop for all others in the Constitution that specifically provide for the equality of all citizens. Every citizen has equal rights, obligations and opportunities under the law. This includes equal access to justice and suitable employment.</w:t>
      </w:r>
      <w:r w:rsidR="00D66BA4">
        <w:rPr>
          <w:rFonts w:cstheme="minorHAnsi"/>
          <w:sz w:val="24"/>
          <w:szCs w:val="24"/>
          <w:vertAlign w:val="superscript"/>
          <w:lang w:val="en-US"/>
        </w:rPr>
        <w:footnoteReference w:id="10"/>
      </w:r>
      <w:r w:rsidR="00D66BA4">
        <w:rPr>
          <w:rFonts w:cstheme="minorHAnsi"/>
          <w:sz w:val="24"/>
          <w:szCs w:val="24"/>
          <w:lang w:val="en-US"/>
        </w:rPr>
        <w:t xml:space="preserve"> In addition, the Constitution secures the right of all citizens to acquire and own immovable property in Nigeria.</w:t>
      </w:r>
      <w:r w:rsidR="00D66BA4">
        <w:rPr>
          <w:rFonts w:cstheme="minorHAnsi"/>
          <w:sz w:val="24"/>
          <w:szCs w:val="24"/>
          <w:vertAlign w:val="superscript"/>
          <w:lang w:val="en-US"/>
        </w:rPr>
        <w:footnoteReference w:id="11"/>
      </w:r>
      <w:r w:rsidR="00D66BA4">
        <w:rPr>
          <w:rFonts w:cstheme="minorHAnsi"/>
          <w:sz w:val="24"/>
          <w:szCs w:val="24"/>
          <w:lang w:val="en-US"/>
        </w:rPr>
        <w:t xml:space="preserve"> </w:t>
      </w:r>
    </w:p>
    <w:p w14:paraId="3D96B150" w14:textId="77777777" w:rsidR="00D548CE" w:rsidRDefault="00947179" w:rsidP="00E75191">
      <w:pPr>
        <w:spacing w:line="240" w:lineRule="auto"/>
        <w:jc w:val="both"/>
        <w:rPr>
          <w:sz w:val="24"/>
          <w:szCs w:val="24"/>
        </w:rPr>
      </w:pPr>
      <w:r>
        <w:rPr>
          <w:rFonts w:cstheme="minorHAnsi"/>
          <w:sz w:val="24"/>
          <w:szCs w:val="24"/>
          <w:lang w:val="en-US"/>
        </w:rPr>
        <w:t xml:space="preserve">Nigeria is also signatory to </w:t>
      </w:r>
      <w:r w:rsidR="0011391E">
        <w:rPr>
          <w:rFonts w:cstheme="minorHAnsi"/>
          <w:sz w:val="24"/>
          <w:szCs w:val="24"/>
          <w:lang w:val="en-US"/>
        </w:rPr>
        <w:t xml:space="preserve">several international conventions and treaties that establish its commitment to the human rights of men and women, and to gender equality. Nigeria is signatory to </w:t>
      </w:r>
      <w:r>
        <w:rPr>
          <w:rFonts w:cstheme="minorHAnsi"/>
          <w:sz w:val="24"/>
          <w:szCs w:val="24"/>
          <w:lang w:val="en-US"/>
        </w:rPr>
        <w:t xml:space="preserve">the </w:t>
      </w:r>
      <w:r>
        <w:rPr>
          <w:sz w:val="24"/>
          <w:szCs w:val="24"/>
        </w:rPr>
        <w:t>Convention on the Elimination of All Forms of Discrimination against</w:t>
      </w:r>
      <w:r>
        <w:rPr>
          <w:rFonts w:cstheme="minorHAnsi"/>
          <w:sz w:val="24"/>
          <w:szCs w:val="24"/>
          <w:lang w:val="en-US"/>
        </w:rPr>
        <w:t xml:space="preserve"> </w:t>
      </w:r>
      <w:r>
        <w:rPr>
          <w:sz w:val="24"/>
          <w:szCs w:val="24"/>
        </w:rPr>
        <w:t>Women (CEDAW) in 1985, and the Optional Protocol in 2004</w:t>
      </w:r>
      <w:r w:rsidR="005D1886">
        <w:rPr>
          <w:sz w:val="24"/>
          <w:szCs w:val="24"/>
        </w:rPr>
        <w:t xml:space="preserve">. </w:t>
      </w:r>
      <w:r w:rsidR="005D1886" w:rsidRPr="006E3C5B">
        <w:rPr>
          <w:sz w:val="24"/>
          <w:szCs w:val="24"/>
        </w:rPr>
        <w:t>It is also signatory to</w:t>
      </w:r>
      <w:r w:rsidRPr="006E3C5B">
        <w:rPr>
          <w:sz w:val="24"/>
          <w:szCs w:val="24"/>
        </w:rPr>
        <w:t xml:space="preserve"> the Protocol to</w:t>
      </w:r>
      <w:r w:rsidRPr="006E3C5B">
        <w:rPr>
          <w:rFonts w:cstheme="minorHAnsi"/>
          <w:sz w:val="24"/>
          <w:szCs w:val="24"/>
          <w:lang w:val="en-US"/>
        </w:rPr>
        <w:t xml:space="preserve"> </w:t>
      </w:r>
      <w:r w:rsidRPr="006E3C5B">
        <w:rPr>
          <w:sz w:val="24"/>
          <w:szCs w:val="24"/>
        </w:rPr>
        <w:t>the African Charter on Human and Peoples’ Rights on the Rights of Women in Afr</w:t>
      </w:r>
      <w:r w:rsidR="006E3C5B">
        <w:rPr>
          <w:sz w:val="24"/>
          <w:szCs w:val="24"/>
        </w:rPr>
        <w:t>ica</w:t>
      </w:r>
      <w:r w:rsidR="00991A1C">
        <w:rPr>
          <w:sz w:val="24"/>
          <w:szCs w:val="24"/>
        </w:rPr>
        <w:t xml:space="preserve"> (Maputo Protocol). </w:t>
      </w:r>
      <w:r w:rsidR="00D548CE">
        <w:rPr>
          <w:sz w:val="24"/>
          <w:szCs w:val="24"/>
        </w:rPr>
        <w:t xml:space="preserve">The Maputo Protocol makes provisions for gender equality through comprehensive provisions on </w:t>
      </w:r>
      <w:r w:rsidR="00D548CE" w:rsidRPr="00D548CE">
        <w:rPr>
          <w:sz w:val="24"/>
          <w:szCs w:val="24"/>
        </w:rPr>
        <w:t>elimination of all</w:t>
      </w:r>
      <w:r w:rsidR="00D548CE">
        <w:rPr>
          <w:sz w:val="24"/>
          <w:szCs w:val="24"/>
        </w:rPr>
        <w:t xml:space="preserve"> </w:t>
      </w:r>
      <w:r w:rsidR="00D548CE" w:rsidRPr="00D548CE">
        <w:rPr>
          <w:sz w:val="24"/>
          <w:szCs w:val="24"/>
        </w:rPr>
        <w:t>forms of discrimination against women</w:t>
      </w:r>
      <w:r w:rsidR="00D548CE">
        <w:rPr>
          <w:sz w:val="24"/>
          <w:szCs w:val="24"/>
        </w:rPr>
        <w:t xml:space="preserve">, referencing women of different statuses including elderly women and disabled women. It provides for the rights of women to dignity and the </w:t>
      </w:r>
      <w:r w:rsidR="00D548CE" w:rsidRPr="00D548CE">
        <w:rPr>
          <w:sz w:val="24"/>
          <w:szCs w:val="24"/>
        </w:rPr>
        <w:t>prohibition of cruel, inhuman and degrading</w:t>
      </w:r>
      <w:r w:rsidR="00D548CE">
        <w:rPr>
          <w:sz w:val="24"/>
          <w:szCs w:val="24"/>
        </w:rPr>
        <w:t xml:space="preserve"> </w:t>
      </w:r>
      <w:r w:rsidR="00D548CE" w:rsidRPr="00D548CE">
        <w:rPr>
          <w:sz w:val="24"/>
          <w:szCs w:val="24"/>
        </w:rPr>
        <w:t xml:space="preserve">punishment and treatment, widows’ rights and inheritance rights. </w:t>
      </w:r>
    </w:p>
    <w:p w14:paraId="591D2FE4" w14:textId="77777777" w:rsidR="005A4AB5" w:rsidRDefault="00947179" w:rsidP="00E75191">
      <w:pPr>
        <w:spacing w:line="240" w:lineRule="auto"/>
        <w:jc w:val="both"/>
        <w:rPr>
          <w:sz w:val="24"/>
          <w:szCs w:val="24"/>
        </w:rPr>
      </w:pPr>
      <w:r>
        <w:rPr>
          <w:sz w:val="24"/>
          <w:szCs w:val="24"/>
        </w:rPr>
        <w:t xml:space="preserve">Nigeria has also committed to other international and regional frameworks with gender equality mandates, including the ECOWAS Gender Strategy 2010-2020, </w:t>
      </w:r>
      <w:r w:rsidR="005D1886">
        <w:rPr>
          <w:sz w:val="24"/>
          <w:szCs w:val="24"/>
        </w:rPr>
        <w:t xml:space="preserve">the </w:t>
      </w:r>
      <w:r>
        <w:rPr>
          <w:sz w:val="24"/>
          <w:szCs w:val="24"/>
        </w:rPr>
        <w:t>AU Solemn Declaration on Gender Equality in Africa, and the UN Sustainable Development Goals (SDGs) framework.</w:t>
      </w:r>
      <w:r w:rsidR="0011391E">
        <w:rPr>
          <w:sz w:val="24"/>
          <w:szCs w:val="24"/>
        </w:rPr>
        <w:t xml:space="preserve">  Moreover, in respect of the human rights of men and women, Nigeria is signatory to the </w:t>
      </w:r>
      <w:r w:rsidR="0011391E" w:rsidRPr="0011391E">
        <w:rPr>
          <w:sz w:val="24"/>
          <w:szCs w:val="24"/>
        </w:rPr>
        <w:t>International Covenant on Civil and Political Rights (ICCPR), International Covenant on Economic Social and Cultural Rights (ICESCR)</w:t>
      </w:r>
      <w:r w:rsidR="0011391E">
        <w:rPr>
          <w:sz w:val="24"/>
          <w:szCs w:val="24"/>
        </w:rPr>
        <w:t xml:space="preserve"> and the African Charter on Human and Peoples’ Rights. </w:t>
      </w:r>
    </w:p>
    <w:p w14:paraId="4FC311E6" w14:textId="77777777" w:rsidR="005418BE" w:rsidRDefault="003304DC" w:rsidP="00E75191">
      <w:pPr>
        <w:spacing w:line="240" w:lineRule="auto"/>
        <w:jc w:val="both"/>
        <w:rPr>
          <w:sz w:val="24"/>
          <w:szCs w:val="24"/>
        </w:rPr>
      </w:pPr>
      <w:r>
        <w:rPr>
          <w:sz w:val="24"/>
          <w:szCs w:val="24"/>
        </w:rPr>
        <w:t xml:space="preserve">In recent years, progress has been recorded in the adoption of domestic legislation that have an impact on gender equality such as the Violence Against Persons Prohibition Act, 2015 (VAPP Act) and the Child Rights Act, 2003 </w:t>
      </w:r>
      <w:r w:rsidR="00D66BA4">
        <w:rPr>
          <w:sz w:val="24"/>
          <w:szCs w:val="24"/>
        </w:rPr>
        <w:t xml:space="preserve">(CRA) </w:t>
      </w:r>
      <w:r>
        <w:rPr>
          <w:sz w:val="24"/>
          <w:szCs w:val="24"/>
        </w:rPr>
        <w:t>across the States of the country. These pieces of legislation prohibit gender</w:t>
      </w:r>
      <w:r w:rsidR="00D66BA4">
        <w:rPr>
          <w:sz w:val="24"/>
          <w:szCs w:val="24"/>
        </w:rPr>
        <w:t>-</w:t>
      </w:r>
      <w:r>
        <w:rPr>
          <w:sz w:val="24"/>
          <w:szCs w:val="24"/>
        </w:rPr>
        <w:t>based violence, including FGM (VAPP Act)</w:t>
      </w:r>
      <w:r>
        <w:rPr>
          <w:rStyle w:val="FootnoteReference"/>
          <w:sz w:val="24"/>
          <w:szCs w:val="24"/>
        </w:rPr>
        <w:footnoteReference w:id="12"/>
      </w:r>
      <w:r>
        <w:rPr>
          <w:sz w:val="24"/>
          <w:szCs w:val="24"/>
        </w:rPr>
        <w:t xml:space="preserve"> and child marriage (Child Rights Act)</w:t>
      </w:r>
      <w:r>
        <w:rPr>
          <w:rStyle w:val="FootnoteReference"/>
          <w:sz w:val="24"/>
          <w:szCs w:val="24"/>
        </w:rPr>
        <w:footnoteReference w:id="13"/>
      </w:r>
      <w:r>
        <w:rPr>
          <w:sz w:val="24"/>
          <w:szCs w:val="24"/>
        </w:rPr>
        <w:t xml:space="preserve"> which disproportionately affects girls. Nigeria being a federation, and given the division of legislative competence within the Constitution, </w:t>
      </w:r>
      <w:r w:rsidR="00365F1D">
        <w:rPr>
          <w:sz w:val="24"/>
          <w:szCs w:val="24"/>
        </w:rPr>
        <w:t>these acts</w:t>
      </w:r>
      <w:r>
        <w:rPr>
          <w:sz w:val="24"/>
          <w:szCs w:val="24"/>
        </w:rPr>
        <w:t xml:space="preserve"> require adoption at the domestic level by States. With intensive advocacy by several organisations including civil society organisations (CSOs), women’s rights organisations (WROs), 28 States </w:t>
      </w:r>
      <w:r>
        <w:rPr>
          <w:sz w:val="24"/>
          <w:szCs w:val="24"/>
        </w:rPr>
        <w:lastRenderedPageBreak/>
        <w:t>have adopted the Child Rights Act since 2003 while 21 States have adopted the VAPP Act.</w:t>
      </w:r>
      <w:r w:rsidR="005418BE">
        <w:rPr>
          <w:sz w:val="24"/>
          <w:szCs w:val="24"/>
        </w:rPr>
        <w:t xml:space="preserve"> </w:t>
      </w:r>
      <w:r w:rsidR="00391C94">
        <w:rPr>
          <w:sz w:val="24"/>
          <w:szCs w:val="24"/>
        </w:rPr>
        <w:t>S</w:t>
      </w:r>
      <w:r w:rsidR="005418BE">
        <w:rPr>
          <w:sz w:val="24"/>
          <w:szCs w:val="24"/>
        </w:rPr>
        <w:t>tates</w:t>
      </w:r>
      <w:r w:rsidR="00391C94">
        <w:rPr>
          <w:sz w:val="24"/>
          <w:szCs w:val="24"/>
        </w:rPr>
        <w:t xml:space="preserve"> which have not adopted the Child Rights Act are mostly Northern States, with ideological differences often attributed to an interpretation of Islamic law.  </w:t>
      </w:r>
      <w:r w:rsidR="005418BE">
        <w:rPr>
          <w:sz w:val="24"/>
          <w:szCs w:val="24"/>
        </w:rPr>
        <w:t>(See 3.5</w:t>
      </w:r>
      <w:r w:rsidR="00C44F52">
        <w:rPr>
          <w:sz w:val="24"/>
          <w:szCs w:val="24"/>
        </w:rPr>
        <w:t xml:space="preserve"> </w:t>
      </w:r>
      <w:r w:rsidR="00C44F52" w:rsidRPr="00C44F52">
        <w:rPr>
          <w:sz w:val="24"/>
          <w:szCs w:val="24"/>
        </w:rPr>
        <w:t>Legal Framework for Gender-Based Violence in Nigeria</w:t>
      </w:r>
      <w:r w:rsidR="00C44F52">
        <w:rPr>
          <w:sz w:val="24"/>
          <w:szCs w:val="24"/>
        </w:rPr>
        <w:t>)</w:t>
      </w:r>
    </w:p>
    <w:p w14:paraId="57772A53" w14:textId="77777777" w:rsidR="002B3774" w:rsidRPr="002A0C27" w:rsidRDefault="003304DC" w:rsidP="00E75191">
      <w:pPr>
        <w:spacing w:line="240" w:lineRule="auto"/>
        <w:jc w:val="both"/>
        <w:rPr>
          <w:sz w:val="24"/>
          <w:szCs w:val="24"/>
        </w:rPr>
      </w:pPr>
      <w:r>
        <w:rPr>
          <w:sz w:val="24"/>
          <w:szCs w:val="24"/>
        </w:rPr>
        <w:t xml:space="preserve"> Other areas of progress include the emphasis within the Administration of Criminal Justice Act</w:t>
      </w:r>
      <w:r w:rsidR="00395AA4">
        <w:rPr>
          <w:sz w:val="24"/>
          <w:szCs w:val="24"/>
        </w:rPr>
        <w:t xml:space="preserve"> (ACJA)</w:t>
      </w:r>
      <w:r>
        <w:rPr>
          <w:sz w:val="24"/>
          <w:szCs w:val="24"/>
        </w:rPr>
        <w:t xml:space="preserve"> on the equal rights of men and women to stand bail.  While Nigerian</w:t>
      </w:r>
      <w:r w:rsidRPr="003304DC">
        <w:rPr>
          <w:sz w:val="24"/>
          <w:szCs w:val="24"/>
        </w:rPr>
        <w:t xml:space="preserve"> law has never prohibited women from standing as surety in bail applications, in practice many</w:t>
      </w:r>
      <w:r>
        <w:rPr>
          <w:sz w:val="24"/>
          <w:szCs w:val="24"/>
        </w:rPr>
        <w:t xml:space="preserve"> courts and police officers had</w:t>
      </w:r>
      <w:r w:rsidRPr="003304DC">
        <w:rPr>
          <w:sz w:val="24"/>
          <w:szCs w:val="24"/>
        </w:rPr>
        <w:t xml:space="preserve"> frequently denied women the right to stand as surety. This is despite the fact that this denial is discriminatory and therefore unconstitutional by virtue of </w:t>
      </w:r>
      <w:r>
        <w:rPr>
          <w:sz w:val="24"/>
          <w:szCs w:val="24"/>
        </w:rPr>
        <w:t>the Constitution</w:t>
      </w:r>
      <w:r w:rsidRPr="003304DC">
        <w:rPr>
          <w:sz w:val="24"/>
          <w:szCs w:val="24"/>
        </w:rPr>
        <w:t>.</w:t>
      </w:r>
      <w:r>
        <w:rPr>
          <w:rStyle w:val="FootnoteReference"/>
          <w:sz w:val="24"/>
          <w:szCs w:val="24"/>
        </w:rPr>
        <w:footnoteReference w:id="14"/>
      </w:r>
      <w:r w:rsidR="001059D7">
        <w:rPr>
          <w:sz w:val="24"/>
          <w:szCs w:val="24"/>
        </w:rPr>
        <w:t xml:space="preserve"> </w:t>
      </w:r>
      <w:r w:rsidR="005C7AF1">
        <w:rPr>
          <w:sz w:val="24"/>
          <w:szCs w:val="24"/>
        </w:rPr>
        <w:t xml:space="preserve">The Police </w:t>
      </w:r>
      <w:r w:rsidR="005C7AF1" w:rsidRPr="00B703E3">
        <w:rPr>
          <w:sz w:val="24"/>
          <w:szCs w:val="24"/>
        </w:rPr>
        <w:t>Act</w:t>
      </w:r>
      <w:r w:rsidR="001059D7" w:rsidRPr="00B703E3">
        <w:rPr>
          <w:sz w:val="24"/>
          <w:szCs w:val="24"/>
        </w:rPr>
        <w:t xml:space="preserve"> </w:t>
      </w:r>
      <w:r w:rsidR="005C7AF1" w:rsidRPr="00B703E3">
        <w:rPr>
          <w:sz w:val="24"/>
          <w:szCs w:val="24"/>
        </w:rPr>
        <w:t>contained several</w:t>
      </w:r>
      <w:r w:rsidR="001059D7" w:rsidRPr="00B703E3">
        <w:rPr>
          <w:sz w:val="24"/>
          <w:szCs w:val="24"/>
        </w:rPr>
        <w:t xml:space="preserve"> discriminatory provisions on the employment conditions of women</w:t>
      </w:r>
      <w:r w:rsidR="00365F1D" w:rsidRPr="00B703E3">
        <w:rPr>
          <w:sz w:val="24"/>
          <w:szCs w:val="24"/>
        </w:rPr>
        <w:t>,</w:t>
      </w:r>
      <w:r w:rsidR="001059D7" w:rsidRPr="00B703E3">
        <w:rPr>
          <w:sz w:val="24"/>
          <w:szCs w:val="24"/>
        </w:rPr>
        <w:t xml:space="preserve"> including restrictions to the eligibility of women to undertake certain tasks and restrictions related to marriage and pregnancy</w:t>
      </w:r>
      <w:r w:rsidR="001059D7">
        <w:rPr>
          <w:sz w:val="24"/>
          <w:szCs w:val="24"/>
        </w:rPr>
        <w:t>.</w:t>
      </w:r>
      <w:r w:rsidR="001059D7">
        <w:rPr>
          <w:rStyle w:val="FootnoteReference"/>
          <w:sz w:val="24"/>
          <w:szCs w:val="24"/>
        </w:rPr>
        <w:footnoteReference w:id="15"/>
      </w:r>
      <w:r w:rsidR="00234BF5">
        <w:rPr>
          <w:sz w:val="24"/>
          <w:szCs w:val="24"/>
        </w:rPr>
        <w:t xml:space="preserve">  </w:t>
      </w:r>
      <w:r w:rsidR="002A0C27" w:rsidRPr="002A0C27">
        <w:rPr>
          <w:sz w:val="24"/>
          <w:szCs w:val="24"/>
        </w:rPr>
        <w:t>For instance, a female police officer</w:t>
      </w:r>
      <w:r w:rsidR="002A0C27">
        <w:rPr>
          <w:sz w:val="24"/>
          <w:szCs w:val="24"/>
        </w:rPr>
        <w:t xml:space="preserve"> cannot undertake drills under arms, or take part in riot exercises.</w:t>
      </w:r>
      <w:r w:rsidR="002A0C27">
        <w:rPr>
          <w:rStyle w:val="FootnoteReference"/>
          <w:sz w:val="24"/>
          <w:szCs w:val="24"/>
        </w:rPr>
        <w:footnoteReference w:id="16"/>
      </w:r>
      <w:r w:rsidR="002A0C27" w:rsidRPr="002A0C27">
        <w:rPr>
          <w:sz w:val="24"/>
          <w:szCs w:val="24"/>
        </w:rPr>
        <w:t xml:space="preserve"> </w:t>
      </w:r>
      <w:r w:rsidR="002A0C27">
        <w:rPr>
          <w:sz w:val="24"/>
          <w:szCs w:val="24"/>
        </w:rPr>
        <w:t xml:space="preserve">A female police officer </w:t>
      </w:r>
      <w:r w:rsidR="002A0C27" w:rsidRPr="002A0C27">
        <w:rPr>
          <w:sz w:val="24"/>
          <w:szCs w:val="24"/>
        </w:rPr>
        <w:t>must obtain permission</w:t>
      </w:r>
      <w:r w:rsidR="002A0C27">
        <w:rPr>
          <w:sz w:val="24"/>
          <w:szCs w:val="24"/>
        </w:rPr>
        <w:t xml:space="preserve"> to marry</w:t>
      </w:r>
      <w:r w:rsidR="002A0C27" w:rsidRPr="002A0C27">
        <w:rPr>
          <w:sz w:val="24"/>
          <w:szCs w:val="24"/>
        </w:rPr>
        <w:t>,</w:t>
      </w:r>
      <w:r w:rsidR="002A0C27">
        <w:rPr>
          <w:sz w:val="24"/>
          <w:szCs w:val="24"/>
        </w:rPr>
        <w:t xml:space="preserve"> “</w:t>
      </w:r>
      <w:r w:rsidR="002A0C27" w:rsidRPr="002A0C27">
        <w:rPr>
          <w:sz w:val="24"/>
          <w:szCs w:val="24"/>
        </w:rPr>
        <w:t>A woman police officer who is desirous of marrying must first “apply in writing to the commissioner of police for the State Police command in which she is serving, requesting permission to marry and giving the name, address, and occupation of the person she intends to marry. Permission will be granted for the marriage if the intended husband is of good character and the woman police officer has served in the Force for a period of not less than three years.”</w:t>
      </w:r>
      <w:r w:rsidR="002A0C27" w:rsidRPr="002A0C27">
        <w:rPr>
          <w:rStyle w:val="FootnoteReference"/>
          <w:sz w:val="24"/>
          <w:szCs w:val="24"/>
        </w:rPr>
        <w:footnoteReference w:id="17"/>
      </w:r>
      <w:r w:rsidR="002A0C27" w:rsidRPr="002A0C27">
        <w:rPr>
          <w:sz w:val="24"/>
          <w:szCs w:val="24"/>
        </w:rPr>
        <w:t xml:space="preserve"> The enactment of the Nigeria Police (Repeal and Re-enactment) Act, 2020, which repeale</w:t>
      </w:r>
      <w:r w:rsidR="00736B0F">
        <w:rPr>
          <w:sz w:val="24"/>
          <w:szCs w:val="24"/>
        </w:rPr>
        <w:t>d and replaced the Police Act has now specifically provided against gender discrimination and specifically requires compliance of all regulations with Section 42 of the Constitution which prohibits discrimination.</w:t>
      </w:r>
      <w:r w:rsidR="00736B0F">
        <w:rPr>
          <w:rStyle w:val="FootnoteReference"/>
          <w:sz w:val="24"/>
          <w:szCs w:val="24"/>
        </w:rPr>
        <w:footnoteReference w:id="18"/>
      </w:r>
    </w:p>
    <w:p w14:paraId="04EAEA92" w14:textId="77777777" w:rsidR="003304DC" w:rsidRDefault="00365F1D" w:rsidP="00E75191">
      <w:pPr>
        <w:spacing w:line="240" w:lineRule="auto"/>
        <w:jc w:val="both"/>
        <w:rPr>
          <w:sz w:val="24"/>
          <w:szCs w:val="24"/>
        </w:rPr>
      </w:pPr>
      <w:r w:rsidRPr="002A0C27">
        <w:rPr>
          <w:sz w:val="24"/>
          <w:szCs w:val="24"/>
        </w:rPr>
        <w:t>R</w:t>
      </w:r>
      <w:r w:rsidR="00234BF5" w:rsidRPr="002A0C27">
        <w:rPr>
          <w:sz w:val="24"/>
          <w:szCs w:val="24"/>
        </w:rPr>
        <w:t>ecent jurisprudence on the rights of women to inherit property from their husbands and fathers, emanating from Nigeria’s apex courts</w:t>
      </w:r>
      <w:r w:rsidRPr="002A0C27">
        <w:rPr>
          <w:sz w:val="24"/>
          <w:szCs w:val="24"/>
        </w:rPr>
        <w:t>,</w:t>
      </w:r>
      <w:r w:rsidR="00234BF5" w:rsidRPr="002A0C27">
        <w:rPr>
          <w:sz w:val="24"/>
          <w:szCs w:val="24"/>
        </w:rPr>
        <w:t xml:space="preserve"> has supported gender</w:t>
      </w:r>
      <w:r w:rsidR="00234BF5">
        <w:rPr>
          <w:sz w:val="24"/>
          <w:szCs w:val="24"/>
        </w:rPr>
        <w:t xml:space="preserve"> equality in relation to inheritance rights.</w:t>
      </w:r>
      <w:r w:rsidR="00234BF5">
        <w:rPr>
          <w:rStyle w:val="FootnoteReference"/>
          <w:sz w:val="24"/>
          <w:szCs w:val="24"/>
        </w:rPr>
        <w:footnoteReference w:id="19"/>
      </w:r>
      <w:r w:rsidR="002B3774">
        <w:rPr>
          <w:sz w:val="24"/>
          <w:szCs w:val="24"/>
        </w:rPr>
        <w:t xml:space="preserve"> Other jurisprudence promoting gender equality has included court decisions setting aside discriminatory polic</w:t>
      </w:r>
      <w:r w:rsidR="00DE01A2">
        <w:rPr>
          <w:sz w:val="24"/>
          <w:szCs w:val="24"/>
        </w:rPr>
        <w:t xml:space="preserve">ies that require a </w:t>
      </w:r>
      <w:r w:rsidR="002B3774">
        <w:rPr>
          <w:sz w:val="24"/>
          <w:szCs w:val="24"/>
        </w:rPr>
        <w:t>husband’s approval for a woman to obtain a passport,</w:t>
      </w:r>
      <w:r w:rsidR="002B3774">
        <w:rPr>
          <w:rStyle w:val="FootnoteReference"/>
          <w:sz w:val="24"/>
          <w:szCs w:val="24"/>
        </w:rPr>
        <w:footnoteReference w:id="20"/>
      </w:r>
      <w:r w:rsidR="002B3774">
        <w:rPr>
          <w:sz w:val="24"/>
          <w:szCs w:val="24"/>
        </w:rPr>
        <w:t xml:space="preserve"> and reporting of marital support in order to secure employment.</w:t>
      </w:r>
      <w:r w:rsidR="002B3774">
        <w:rPr>
          <w:rStyle w:val="FootnoteReference"/>
          <w:sz w:val="24"/>
          <w:szCs w:val="24"/>
        </w:rPr>
        <w:footnoteReference w:id="21"/>
      </w:r>
    </w:p>
    <w:p w14:paraId="5DCA3E85" w14:textId="77777777" w:rsidR="002B3774" w:rsidRDefault="00681F77" w:rsidP="00E75191">
      <w:pPr>
        <w:spacing w:line="240" w:lineRule="auto"/>
        <w:jc w:val="both"/>
        <w:rPr>
          <w:sz w:val="24"/>
          <w:szCs w:val="24"/>
        </w:rPr>
      </w:pPr>
      <w:r>
        <w:rPr>
          <w:noProof/>
          <w:lang w:val="en-IE" w:eastAsia="en-IE"/>
        </w:rPr>
        <w:lastRenderedPageBreak/>
        <mc:AlternateContent>
          <mc:Choice Requires="wps">
            <w:drawing>
              <wp:anchor distT="0" distB="0" distL="114300" distR="114300" simplePos="0" relativeHeight="251701248" behindDoc="0" locked="0" layoutInCell="1" allowOverlap="1" wp14:anchorId="2D9F4A0C" wp14:editId="52E87DDC">
                <wp:simplePos x="0" y="0"/>
                <wp:positionH relativeFrom="column">
                  <wp:posOffset>34290</wp:posOffset>
                </wp:positionH>
                <wp:positionV relativeFrom="paragraph">
                  <wp:posOffset>2206625</wp:posOffset>
                </wp:positionV>
                <wp:extent cx="2285365" cy="635"/>
                <wp:effectExtent l="0" t="0" r="0" b="0"/>
                <wp:wrapSquare wrapText="bothSides"/>
                <wp:docPr id="32" name="Text Box 32"/>
                <wp:cNvGraphicFramePr/>
                <a:graphic xmlns:a="http://schemas.openxmlformats.org/drawingml/2006/main">
                  <a:graphicData uri="http://schemas.microsoft.com/office/word/2010/wordprocessingShape">
                    <wps:wsp>
                      <wps:cNvSpPr txBox="1"/>
                      <wps:spPr>
                        <a:xfrm>
                          <a:off x="0" y="0"/>
                          <a:ext cx="2285365" cy="635"/>
                        </a:xfrm>
                        <a:prstGeom prst="rect">
                          <a:avLst/>
                        </a:prstGeom>
                        <a:solidFill>
                          <a:prstClr val="white"/>
                        </a:solidFill>
                        <a:ln>
                          <a:noFill/>
                        </a:ln>
                        <a:effectLst/>
                      </wps:spPr>
                      <wps:txbx>
                        <w:txbxContent>
                          <w:p w14:paraId="029C44D7" w14:textId="77777777" w:rsidR="006D6A0C" w:rsidRPr="002220EB" w:rsidRDefault="006D6A0C" w:rsidP="00681F77">
                            <w:pPr>
                              <w:pStyle w:val="Caption"/>
                              <w:rPr>
                                <w:rFonts w:cstheme="minorHAnsi"/>
                                <w:sz w:val="24"/>
                                <w:szCs w:val="24"/>
                              </w:rPr>
                            </w:pPr>
                            <w:r>
                              <w:t xml:space="preserve">Figure </w:t>
                            </w:r>
                            <w:fldSimple w:instr=" SEQ Figure \* ARABIC ">
                              <w:r>
                                <w:rPr>
                                  <w:noProof/>
                                </w:rPr>
                                <w:t>2</w:t>
                              </w:r>
                            </w:fldSimple>
                            <w:r>
                              <w:t xml:space="preserve"> National Gender Policy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D9F4A0C" id="Text Box 32" o:spid="_x0000_s1028" type="#_x0000_t202" style="position:absolute;left:0;text-align:left;margin-left:2.7pt;margin-top:173.75pt;width:179.95pt;height:.0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" stroked="f">
                <v:textbox style="mso-fit-shape-to-text:t" inset="0,0,0,0">
                  <w:txbxContent>
                    <w:p w:rsidR="006D6A0C" w:rsidRPr="002220EB" w:rsidRDefault="006D6A0C" w:rsidP="00681F77">
                      <w:pPr>
                        <w:pStyle w:val="Caption"/>
                        <w:rPr>
                          <w:rFonts w:cstheme="minorHAnsi"/>
                          <w:sz w:val="24"/>
                          <w:szCs w:val="24"/>
                        </w:rPr>
                      </w:pPr>
                      <w:r>
                        <w:t xml:space="preserve">Figure </w:t>
                      </w:r>
                      <w:r>
                        <w:fldChar w:fldCharType="begin"/>
                      </w:r>
                      <w:r>
                        <w:instrText xml:space="preserve"> SEQ Figure \* ARABIC </w:instrText>
                      </w:r>
                      <w:r>
                        <w:fldChar w:fldCharType="separate"/>
                      </w:r>
                      <w:r>
                        <w:rPr>
                          <w:noProof/>
                        </w:rPr>
                        <w:t>2</w:t>
                      </w:r>
                      <w:r>
                        <w:rPr>
                          <w:noProof/>
                        </w:rPr>
                        <w:fldChar w:fldCharType="end"/>
                      </w:r>
                      <w:r>
                        <w:t xml:space="preserve"> National Gender Policy</w:t>
                      </w:r>
                    </w:p>
                  </w:txbxContent>
                </v:textbox>
                <w10:wrap type="square"/>
              </v:shape>
            </w:pict>
          </mc:Fallback>
        </mc:AlternateContent>
      </w:r>
      <w:r w:rsidRPr="00681F77">
        <w:rPr>
          <w:rFonts w:cstheme="minorHAnsi"/>
          <w:noProof/>
          <w:sz w:val="24"/>
          <w:szCs w:val="24"/>
          <w:lang w:val="en-IE" w:eastAsia="en-IE"/>
        </w:rPr>
        <w:drawing>
          <wp:anchor distT="0" distB="0" distL="114300" distR="114300" simplePos="0" relativeHeight="251699200" behindDoc="0" locked="0" layoutInCell="1" allowOverlap="1" wp14:anchorId="3C31470D" wp14:editId="497F874D">
            <wp:simplePos x="0" y="0"/>
            <wp:positionH relativeFrom="column">
              <wp:posOffset>114300</wp:posOffset>
            </wp:positionH>
            <wp:positionV relativeFrom="paragraph">
              <wp:posOffset>256540</wp:posOffset>
            </wp:positionV>
            <wp:extent cx="2285365" cy="2216785"/>
            <wp:effectExtent l="0" t="0" r="635" b="0"/>
            <wp:wrapSquare wrapText="bothSides"/>
            <wp:docPr id="6" name="Picture 8" descr="National Gender Policy .:NWTF:."/>
            <wp:cNvGraphicFramePr/>
            <a:graphic xmlns:a="http://schemas.openxmlformats.org/drawingml/2006/main">
              <a:graphicData uri="http://schemas.openxmlformats.org/drawingml/2006/picture">
                <pic:pic xmlns:pic="http://schemas.openxmlformats.org/drawingml/2006/picture">
                  <pic:nvPicPr>
                    <pic:cNvPr id="9" name="Picture 8" descr="National Gender Policy .:NWTF:."/>
                    <pic:cNvPicPr/>
                  </pic:nvPicPr>
                  <pic:blipFill rotWithShape="1">
                    <a:blip r:embed="rId33" cstate="print">
                      <a:extLst>
                        <a:ext uri="{28A0092B-C50C-407E-A947-70E740481C1C}">
                          <a14:useLocalDpi xmlns:a14="http://schemas.microsoft.com/office/drawing/2010/main" val="0"/>
                        </a:ext>
                      </a:extLst>
                    </a:blip>
                    <a:srcRect/>
                    <a:stretch/>
                  </pic:blipFill>
                  <pic:spPr bwMode="auto">
                    <a:xfrm>
                      <a:off x="0" y="0"/>
                      <a:ext cx="2285365" cy="2216785"/>
                    </a:xfrm>
                    <a:prstGeom prst="rect">
                      <a:avLst/>
                    </a:prstGeom>
                    <a:noFill/>
                  </pic:spPr>
                </pic:pic>
              </a:graphicData>
            </a:graphic>
            <wp14:sizeRelH relativeFrom="page">
              <wp14:pctWidth>0</wp14:pctWidth>
            </wp14:sizeRelH>
            <wp14:sizeRelV relativeFrom="page">
              <wp14:pctHeight>0</wp14:pctHeight>
            </wp14:sizeRelV>
          </wp:anchor>
        </w:drawing>
      </w:r>
      <w:r w:rsidR="00302CDA">
        <w:rPr>
          <w:rFonts w:cstheme="minorHAnsi"/>
          <w:sz w:val="24"/>
          <w:szCs w:val="24"/>
          <w:lang w:val="en-US"/>
        </w:rPr>
        <w:t xml:space="preserve">Beyond law, the government has developed the National Gender Policy 2007; the National Gender Policy Strategic Framework (Implementation Plan) 2008-2013; the 2nd National Action Plan on Implementation of UN Security Council Resolution (UNSCR) 1325 and Related Resolutions on Women, Peace and Security (2017-2020). Several other policies exist which we have implications for women across sectors. Examples include the </w:t>
      </w:r>
      <w:r w:rsidR="00302CDA" w:rsidRPr="0031346E">
        <w:rPr>
          <w:rFonts w:cstheme="minorHAnsi"/>
          <w:sz w:val="24"/>
          <w:szCs w:val="24"/>
          <w:lang w:val="en-US"/>
        </w:rPr>
        <w:t>National Employment Policy 2017</w:t>
      </w:r>
      <w:r w:rsidR="00963016">
        <w:rPr>
          <w:rFonts w:cstheme="minorHAnsi"/>
          <w:sz w:val="24"/>
          <w:szCs w:val="24"/>
          <w:lang w:val="en-US"/>
        </w:rPr>
        <w:t xml:space="preserve">, </w:t>
      </w:r>
      <w:r w:rsidR="00302CDA">
        <w:rPr>
          <w:rFonts w:cstheme="minorHAnsi"/>
          <w:sz w:val="24"/>
          <w:szCs w:val="24"/>
          <w:lang w:val="en-US"/>
        </w:rPr>
        <w:t xml:space="preserve">which </w:t>
      </w:r>
      <w:r w:rsidR="00302CDA" w:rsidRPr="0031346E">
        <w:rPr>
          <w:rFonts w:cstheme="minorHAnsi"/>
          <w:sz w:val="24"/>
          <w:szCs w:val="24"/>
          <w:lang w:val="en-US"/>
        </w:rPr>
        <w:t>contains specific objectives on ensuring greater participation of women in the workforce</w:t>
      </w:r>
      <w:r w:rsidR="00963016">
        <w:rPr>
          <w:rFonts w:cstheme="minorHAnsi"/>
          <w:sz w:val="24"/>
          <w:szCs w:val="24"/>
          <w:lang w:val="en-US"/>
        </w:rPr>
        <w:t>,</w:t>
      </w:r>
      <w:r w:rsidR="00C44F52">
        <w:rPr>
          <w:rFonts w:cstheme="minorHAnsi"/>
          <w:sz w:val="24"/>
          <w:szCs w:val="24"/>
          <w:lang w:val="en-US"/>
        </w:rPr>
        <w:t xml:space="preserve"> </w:t>
      </w:r>
      <w:r w:rsidR="00DE01A2">
        <w:rPr>
          <w:rFonts w:cstheme="minorHAnsi"/>
          <w:sz w:val="24"/>
          <w:szCs w:val="24"/>
          <w:lang w:val="en-US"/>
        </w:rPr>
        <w:t xml:space="preserve">the </w:t>
      </w:r>
      <w:r w:rsidR="00963016">
        <w:rPr>
          <w:rFonts w:cstheme="minorHAnsi"/>
          <w:sz w:val="24"/>
          <w:szCs w:val="24"/>
          <w:lang w:val="en-US"/>
        </w:rPr>
        <w:t>Gender in Health Policy</w:t>
      </w:r>
      <w:r w:rsidR="00C44F52">
        <w:rPr>
          <w:rFonts w:cstheme="minorHAnsi"/>
          <w:sz w:val="24"/>
          <w:szCs w:val="24"/>
          <w:lang w:val="en-US"/>
        </w:rPr>
        <w:t xml:space="preserve"> </w:t>
      </w:r>
      <w:r w:rsidR="00963016">
        <w:rPr>
          <w:rFonts w:cstheme="minorHAnsi"/>
          <w:sz w:val="24"/>
          <w:szCs w:val="24"/>
          <w:lang w:val="en-US"/>
        </w:rPr>
        <w:t>2021</w:t>
      </w:r>
      <w:r w:rsidR="00C44F52">
        <w:rPr>
          <w:rFonts w:cstheme="minorHAnsi"/>
          <w:sz w:val="24"/>
          <w:szCs w:val="24"/>
          <w:lang w:val="en-US"/>
        </w:rPr>
        <w:t xml:space="preserve">, </w:t>
      </w:r>
      <w:r w:rsidR="00C44F52">
        <w:rPr>
          <w:sz w:val="24"/>
          <w:szCs w:val="24"/>
        </w:rPr>
        <w:t>The National Policy on the Elimination of Female Genital Mutilation in Nigeria (2021-2025) among others</w:t>
      </w:r>
      <w:r w:rsidR="00302CDA">
        <w:rPr>
          <w:rFonts w:cstheme="minorHAnsi"/>
          <w:sz w:val="24"/>
          <w:szCs w:val="24"/>
          <w:lang w:val="en-US"/>
        </w:rPr>
        <w:t xml:space="preserve">. These are discussed in more detail in the sector-specific sections. </w:t>
      </w:r>
    </w:p>
    <w:p w14:paraId="4009A547" w14:textId="77777777" w:rsidR="002B3774" w:rsidRPr="002B3774" w:rsidRDefault="0050020E" w:rsidP="00E75191">
      <w:pPr>
        <w:pStyle w:val="Heading2"/>
        <w:spacing w:line="240" w:lineRule="auto"/>
      </w:pPr>
      <w:bookmarkStart w:id="12" w:name="_Toc81229089"/>
      <w:r>
        <w:t xml:space="preserve">2.1 </w:t>
      </w:r>
      <w:r w:rsidR="002B3774" w:rsidRPr="002B3774">
        <w:t>Gaps in Legal</w:t>
      </w:r>
      <w:r w:rsidR="00302CDA">
        <w:t xml:space="preserve"> and Policy</w:t>
      </w:r>
      <w:r w:rsidR="002B3774" w:rsidRPr="002B3774">
        <w:t xml:space="preserve"> Framework</w:t>
      </w:r>
      <w:bookmarkEnd w:id="12"/>
    </w:p>
    <w:p w14:paraId="4D165EF9" w14:textId="77777777" w:rsidR="00E75191" w:rsidRPr="00E75191" w:rsidRDefault="00DE01A2" w:rsidP="00E75191">
      <w:pPr>
        <w:spacing w:line="240" w:lineRule="auto"/>
        <w:jc w:val="both"/>
        <w:rPr>
          <w:sz w:val="24"/>
          <w:szCs w:val="24"/>
        </w:rPr>
      </w:pPr>
      <w:r>
        <w:rPr>
          <w:sz w:val="24"/>
          <w:szCs w:val="24"/>
        </w:rPr>
        <w:t xml:space="preserve">Despite </w:t>
      </w:r>
      <w:r w:rsidR="00C029EF">
        <w:rPr>
          <w:sz w:val="24"/>
          <w:szCs w:val="24"/>
        </w:rPr>
        <w:t>progress</w:t>
      </w:r>
      <w:r w:rsidR="00C44F52">
        <w:rPr>
          <w:sz w:val="24"/>
          <w:szCs w:val="24"/>
        </w:rPr>
        <w:t>,</w:t>
      </w:r>
      <w:r w:rsidR="00E75191" w:rsidRPr="00E75191">
        <w:rPr>
          <w:sz w:val="24"/>
          <w:szCs w:val="24"/>
        </w:rPr>
        <w:t xml:space="preserve"> there remain gaps in the legal framework. For instance, labour laws make discriminatory provisions that are unfavourable to women (these are discussed in the section on Enterprise and Employment). The initial failure for enacting the Gender and Equal Opportunities Bill 2016, also detracts from international commitments to gender equality made by Nigeria. The Gender and Equal Opportunities Bill, which was reintroduced in 2019, is a Bill aimed at incorporating certain provisions from Nigeria’s international obligations under the CEDAW and the Maputo protocol. It aims to eliminate discrimination against women in a variety of areas including guaranteeing equal opportunities in employment, equal right</w:t>
      </w:r>
      <w:r w:rsidR="00AC16DB">
        <w:rPr>
          <w:sz w:val="24"/>
          <w:szCs w:val="24"/>
        </w:rPr>
        <w:t>s</w:t>
      </w:r>
      <w:r w:rsidR="00E75191" w:rsidRPr="00E75191">
        <w:rPr>
          <w:sz w:val="24"/>
          <w:szCs w:val="24"/>
        </w:rPr>
        <w:t xml:space="preserve"> to inheritance for male and female children, equal rights in marriage and divorce, access to education, property and land ownership and prohibit violence against women.</w:t>
      </w:r>
    </w:p>
    <w:p w14:paraId="6E46608E" w14:textId="77777777" w:rsidR="00E75191" w:rsidRDefault="00AC16DB" w:rsidP="00E75191">
      <w:pPr>
        <w:spacing w:line="240" w:lineRule="auto"/>
        <w:jc w:val="both"/>
        <w:rPr>
          <w:rFonts w:cstheme="minorHAnsi"/>
          <w:sz w:val="24"/>
          <w:szCs w:val="24"/>
          <w:lang w:val="en-US"/>
        </w:rPr>
      </w:pPr>
      <w:r>
        <w:rPr>
          <w:sz w:val="24"/>
          <w:szCs w:val="24"/>
        </w:rPr>
        <w:t xml:space="preserve">Although the </w:t>
      </w:r>
      <w:r w:rsidR="00E75191" w:rsidRPr="00E75191">
        <w:rPr>
          <w:sz w:val="24"/>
          <w:szCs w:val="24"/>
        </w:rPr>
        <w:t>Constitution</w:t>
      </w:r>
      <w:r>
        <w:rPr>
          <w:sz w:val="24"/>
          <w:szCs w:val="24"/>
        </w:rPr>
        <w:t xml:space="preserve"> </w:t>
      </w:r>
      <w:r w:rsidR="00E75191" w:rsidRPr="00E75191">
        <w:rPr>
          <w:sz w:val="24"/>
          <w:szCs w:val="24"/>
        </w:rPr>
        <w:t xml:space="preserve">prohibits discrimination on the grounds of sex, </w:t>
      </w:r>
      <w:r>
        <w:rPr>
          <w:sz w:val="24"/>
          <w:szCs w:val="24"/>
        </w:rPr>
        <w:t>it</w:t>
      </w:r>
      <w:r w:rsidR="00E75191" w:rsidRPr="00E75191">
        <w:rPr>
          <w:sz w:val="24"/>
          <w:szCs w:val="24"/>
        </w:rPr>
        <w:t xml:space="preserve"> fails to employ inclusive language.</w:t>
      </w:r>
      <w:r w:rsidR="00E75191">
        <w:rPr>
          <w:b/>
          <w:sz w:val="24"/>
          <w:szCs w:val="24"/>
        </w:rPr>
        <w:t xml:space="preserve"> </w:t>
      </w:r>
      <w:r w:rsidR="00E75191">
        <w:rPr>
          <w:sz w:val="24"/>
          <w:szCs w:val="24"/>
        </w:rPr>
        <w:t xml:space="preserve">For instance, Section 26 (2) is discriminatory because it allows a man to confer citizenship by registration on a foreign-born wife but does not allow a wife to do likewise for a foreign-born husband. </w:t>
      </w:r>
      <w:r w:rsidR="00E75191" w:rsidRPr="00B703E3">
        <w:rPr>
          <w:sz w:val="24"/>
          <w:szCs w:val="24"/>
        </w:rPr>
        <w:t xml:space="preserve">Section 29(4)(b) </w:t>
      </w:r>
      <w:r w:rsidR="006D05F3" w:rsidRPr="00B703E3">
        <w:rPr>
          <w:sz w:val="24"/>
          <w:szCs w:val="24"/>
        </w:rPr>
        <w:t xml:space="preserve">which deems any woman who is married to be of full age for the purposes of renunciation of citizenship </w:t>
      </w:r>
      <w:r w:rsidR="00E75191" w:rsidRPr="00B703E3">
        <w:rPr>
          <w:sz w:val="24"/>
          <w:szCs w:val="24"/>
        </w:rPr>
        <w:t>infantilises women and has the potential to promote child marriage.</w:t>
      </w:r>
    </w:p>
    <w:p w14:paraId="1CF30938" w14:textId="77777777" w:rsidR="00917D85" w:rsidRDefault="003304DC" w:rsidP="00E75191">
      <w:pPr>
        <w:spacing w:line="240" w:lineRule="auto"/>
        <w:jc w:val="both"/>
        <w:rPr>
          <w:sz w:val="24"/>
          <w:szCs w:val="24"/>
          <w:lang w:val="en-US"/>
        </w:rPr>
      </w:pPr>
      <w:r>
        <w:rPr>
          <w:rFonts w:cstheme="minorHAnsi"/>
          <w:sz w:val="24"/>
          <w:szCs w:val="24"/>
          <w:lang w:val="en-US"/>
        </w:rPr>
        <w:t>Furthermore</w:t>
      </w:r>
      <w:r w:rsidR="00917D85">
        <w:rPr>
          <w:rFonts w:cstheme="minorHAnsi"/>
          <w:sz w:val="24"/>
          <w:szCs w:val="24"/>
          <w:lang w:val="en-US"/>
        </w:rPr>
        <w:t>, there</w:t>
      </w:r>
      <w:r w:rsidR="00947179">
        <w:rPr>
          <w:rFonts w:cstheme="minorHAnsi"/>
          <w:sz w:val="24"/>
          <w:szCs w:val="24"/>
          <w:lang w:val="en-US"/>
        </w:rPr>
        <w:t xml:space="preserve"> is still a significant difference between legislation and the</w:t>
      </w:r>
      <w:r w:rsidR="00917D85">
        <w:rPr>
          <w:rFonts w:cstheme="minorHAnsi"/>
          <w:sz w:val="24"/>
          <w:szCs w:val="24"/>
          <w:lang w:val="en-US"/>
        </w:rPr>
        <w:t xml:space="preserve"> lived</w:t>
      </w:r>
      <w:r w:rsidR="00947179">
        <w:rPr>
          <w:rFonts w:cstheme="minorHAnsi"/>
          <w:sz w:val="24"/>
          <w:szCs w:val="24"/>
          <w:lang w:val="en-US"/>
        </w:rPr>
        <w:t xml:space="preserve"> experience of people</w:t>
      </w:r>
      <w:r w:rsidR="00917D85">
        <w:rPr>
          <w:rFonts w:cstheme="minorHAnsi"/>
          <w:sz w:val="24"/>
          <w:szCs w:val="24"/>
          <w:lang w:val="en-US"/>
        </w:rPr>
        <w:t xml:space="preserve"> in Nigeria, especially women</w:t>
      </w:r>
      <w:r w:rsidR="00947179">
        <w:rPr>
          <w:rFonts w:cstheme="minorHAnsi"/>
          <w:sz w:val="24"/>
          <w:szCs w:val="24"/>
          <w:lang w:val="en-US"/>
        </w:rPr>
        <w:t xml:space="preserve">. </w:t>
      </w:r>
      <w:r w:rsidR="00947179">
        <w:rPr>
          <w:sz w:val="24"/>
          <w:szCs w:val="24"/>
        </w:rPr>
        <w:t>The combination of federation and a tripartite system of civil, c</w:t>
      </w:r>
      <w:r w:rsidR="002B3774">
        <w:rPr>
          <w:sz w:val="24"/>
          <w:szCs w:val="24"/>
        </w:rPr>
        <w:t>ustomary and religious law make</w:t>
      </w:r>
      <w:r w:rsidR="00917D85">
        <w:rPr>
          <w:sz w:val="24"/>
          <w:szCs w:val="24"/>
        </w:rPr>
        <w:t xml:space="preserve"> it</w:t>
      </w:r>
      <w:r w:rsidR="00947179">
        <w:rPr>
          <w:sz w:val="24"/>
          <w:szCs w:val="24"/>
        </w:rPr>
        <w:t xml:space="preserve"> difficult to harmonise legislation and remove discriminatory measures.</w:t>
      </w:r>
      <w:r w:rsidR="00917D85">
        <w:rPr>
          <w:sz w:val="24"/>
          <w:szCs w:val="24"/>
        </w:rPr>
        <w:t xml:space="preserve"> A</w:t>
      </w:r>
      <w:r w:rsidR="00947179">
        <w:rPr>
          <w:sz w:val="24"/>
          <w:szCs w:val="24"/>
        </w:rPr>
        <w:t xml:space="preserve">dherence to </w:t>
      </w:r>
      <w:r w:rsidR="00917D85">
        <w:rPr>
          <w:sz w:val="24"/>
          <w:szCs w:val="24"/>
        </w:rPr>
        <w:t>religious</w:t>
      </w:r>
      <w:r w:rsidR="00947179">
        <w:rPr>
          <w:sz w:val="24"/>
          <w:szCs w:val="24"/>
        </w:rPr>
        <w:t xml:space="preserve"> and customary law reinforces practices that are unfavourable to women, including those relating to freedom of movement, marriage, and inheritance. For instance, the </w:t>
      </w:r>
      <w:r w:rsidR="00947179">
        <w:rPr>
          <w:sz w:val="24"/>
          <w:szCs w:val="24"/>
          <w:lang w:val="en-US"/>
        </w:rPr>
        <w:t xml:space="preserve">Penal Code Act (PCA) applicable only to the Northern parts of Nigeria defines activities that constitute crime and provide for appropriate penalties. However, the provisions do not </w:t>
      </w:r>
      <w:r w:rsidR="00AC16DB">
        <w:rPr>
          <w:sz w:val="24"/>
          <w:szCs w:val="24"/>
          <w:lang w:val="en-US"/>
        </w:rPr>
        <w:t xml:space="preserve">comply with provisions for </w:t>
      </w:r>
      <w:r w:rsidR="00947179">
        <w:rPr>
          <w:sz w:val="24"/>
          <w:szCs w:val="24"/>
          <w:lang w:val="en-US"/>
        </w:rPr>
        <w:t>equality</w:t>
      </w:r>
      <w:r w:rsidR="00917D85">
        <w:rPr>
          <w:sz w:val="24"/>
          <w:szCs w:val="24"/>
          <w:lang w:val="en-US"/>
        </w:rPr>
        <w:t xml:space="preserve"> set in the Constitution. </w:t>
      </w:r>
      <w:r w:rsidR="00917D85">
        <w:rPr>
          <w:sz w:val="24"/>
          <w:szCs w:val="24"/>
        </w:rPr>
        <w:t xml:space="preserve">For instance, the Penal Code’s </w:t>
      </w:r>
      <w:r w:rsidR="00AC16DB">
        <w:rPr>
          <w:sz w:val="24"/>
          <w:szCs w:val="24"/>
        </w:rPr>
        <w:t xml:space="preserve">gives men </w:t>
      </w:r>
      <w:r w:rsidR="00917D85">
        <w:rPr>
          <w:sz w:val="24"/>
          <w:szCs w:val="24"/>
        </w:rPr>
        <w:t>the right man to chastise his wife</w:t>
      </w:r>
      <w:r w:rsidR="006D05F3">
        <w:rPr>
          <w:sz w:val="24"/>
          <w:szCs w:val="24"/>
        </w:rPr>
        <w:t>,</w:t>
      </w:r>
      <w:r w:rsidR="00917D85">
        <w:rPr>
          <w:sz w:val="24"/>
          <w:szCs w:val="24"/>
        </w:rPr>
        <w:t xml:space="preserve"> including physically</w:t>
      </w:r>
      <w:r w:rsidR="006D05F3">
        <w:rPr>
          <w:sz w:val="24"/>
          <w:szCs w:val="24"/>
        </w:rPr>
        <w:t>,</w:t>
      </w:r>
      <w:r w:rsidR="00917D85">
        <w:rPr>
          <w:sz w:val="24"/>
          <w:szCs w:val="24"/>
        </w:rPr>
        <w:t xml:space="preserve"> remains extant law.</w:t>
      </w:r>
      <w:r w:rsidR="00917D85">
        <w:rPr>
          <w:rStyle w:val="FootnoteReference"/>
          <w:sz w:val="24"/>
          <w:szCs w:val="24"/>
        </w:rPr>
        <w:footnoteReference w:id="22"/>
      </w:r>
      <w:r w:rsidR="00917D85">
        <w:rPr>
          <w:sz w:val="24"/>
          <w:szCs w:val="24"/>
        </w:rPr>
        <w:t xml:space="preserve"> </w:t>
      </w:r>
      <w:r w:rsidR="00947179">
        <w:rPr>
          <w:sz w:val="24"/>
          <w:szCs w:val="24"/>
          <w:lang w:val="en-US"/>
        </w:rPr>
        <w:t>The PCA provides that a married man cannot be held liable for inflicting injury on his wife where the act is done for the purpose of chastising the wife. The PCA however adds the condition that</w:t>
      </w:r>
      <w:r w:rsidR="00917D85">
        <w:rPr>
          <w:sz w:val="24"/>
          <w:szCs w:val="24"/>
          <w:lang w:val="en-US"/>
        </w:rPr>
        <w:t xml:space="preserve"> the couple must be subject to c</w:t>
      </w:r>
      <w:r w:rsidR="00947179">
        <w:rPr>
          <w:sz w:val="24"/>
          <w:szCs w:val="24"/>
          <w:lang w:val="en-US"/>
        </w:rPr>
        <w:t xml:space="preserve">ustomary </w:t>
      </w:r>
      <w:r w:rsidR="00917D85">
        <w:rPr>
          <w:sz w:val="24"/>
          <w:szCs w:val="24"/>
          <w:lang w:val="en-US"/>
        </w:rPr>
        <w:t xml:space="preserve">law </w:t>
      </w:r>
      <w:r w:rsidR="00947179">
        <w:rPr>
          <w:sz w:val="24"/>
          <w:szCs w:val="24"/>
          <w:lang w:val="en-US"/>
        </w:rPr>
        <w:t xml:space="preserve">that </w:t>
      </w:r>
      <w:r w:rsidR="00947179">
        <w:rPr>
          <w:sz w:val="24"/>
          <w:szCs w:val="24"/>
          <w:lang w:val="en-US"/>
        </w:rPr>
        <w:lastRenderedPageBreak/>
        <w:t>recognises the husband’s actions as lawful.</w:t>
      </w:r>
      <w:r w:rsidR="00947179">
        <w:rPr>
          <w:sz w:val="24"/>
          <w:szCs w:val="24"/>
          <w:vertAlign w:val="superscript"/>
          <w:lang w:val="en-US"/>
        </w:rPr>
        <w:footnoteReference w:id="23"/>
      </w:r>
      <w:r w:rsidR="00947179">
        <w:rPr>
          <w:sz w:val="24"/>
          <w:szCs w:val="24"/>
          <w:lang w:val="en-US"/>
        </w:rPr>
        <w:t xml:space="preserve"> This provision expressly promotes the cultural practices the PCA and the Constitution were established to abolish in the first instance. Further, it is obviously discriminatory </w:t>
      </w:r>
      <w:r w:rsidR="00917D85">
        <w:rPr>
          <w:sz w:val="24"/>
          <w:szCs w:val="24"/>
          <w:lang w:val="en-US"/>
        </w:rPr>
        <w:t>towards the female gender in</w:t>
      </w:r>
      <w:r w:rsidR="00947179">
        <w:rPr>
          <w:sz w:val="24"/>
          <w:szCs w:val="24"/>
          <w:lang w:val="en-US"/>
        </w:rPr>
        <w:t xml:space="preserve"> marriage and encourages violence against women.</w:t>
      </w:r>
      <w:r w:rsidR="000E47BB">
        <w:rPr>
          <w:sz w:val="24"/>
          <w:szCs w:val="24"/>
          <w:lang w:val="en-US"/>
        </w:rPr>
        <w:t xml:space="preserve"> </w:t>
      </w:r>
    </w:p>
    <w:p w14:paraId="4E2769B5" w14:textId="77777777" w:rsidR="00947179" w:rsidRPr="00917D85" w:rsidRDefault="000E47BB" w:rsidP="00E75191">
      <w:pPr>
        <w:spacing w:line="240" w:lineRule="auto"/>
        <w:jc w:val="both"/>
        <w:rPr>
          <w:sz w:val="24"/>
          <w:szCs w:val="24"/>
          <w:lang w:val="en-US"/>
        </w:rPr>
      </w:pPr>
      <w:r>
        <w:rPr>
          <w:sz w:val="24"/>
          <w:szCs w:val="24"/>
          <w:lang w:val="en-US"/>
        </w:rPr>
        <w:t>Another case in point is the Child Rights Act, while c</w:t>
      </w:r>
      <w:r w:rsidRPr="000E47BB">
        <w:rPr>
          <w:sz w:val="24"/>
          <w:szCs w:val="24"/>
          <w:lang w:val="en-US"/>
        </w:rPr>
        <w:t xml:space="preserve">hild marriage is </w:t>
      </w:r>
      <w:r>
        <w:rPr>
          <w:sz w:val="24"/>
          <w:szCs w:val="24"/>
          <w:lang w:val="en-US"/>
        </w:rPr>
        <w:t xml:space="preserve">prohibited by the Child Rights Act, which defines a child as a person below the age of 18, at least ten States, all in the North of the country, have not adopted the Act. Nigeria currently ranks the </w:t>
      </w:r>
      <w:r w:rsidRPr="000E47BB">
        <w:rPr>
          <w:sz w:val="24"/>
          <w:szCs w:val="24"/>
          <w:lang w:val="en-US"/>
        </w:rPr>
        <w:t>11th highest in the</w:t>
      </w:r>
      <w:r>
        <w:rPr>
          <w:sz w:val="24"/>
          <w:szCs w:val="24"/>
          <w:lang w:val="en-US"/>
        </w:rPr>
        <w:t xml:space="preserve"> </w:t>
      </w:r>
      <w:r w:rsidRPr="000E47BB">
        <w:rPr>
          <w:sz w:val="24"/>
          <w:szCs w:val="24"/>
          <w:lang w:val="en-US"/>
        </w:rPr>
        <w:t>world</w:t>
      </w:r>
      <w:r>
        <w:rPr>
          <w:sz w:val="24"/>
          <w:szCs w:val="24"/>
          <w:lang w:val="en-US"/>
        </w:rPr>
        <w:t xml:space="preserve"> in terms of child marriages</w:t>
      </w:r>
      <w:r w:rsidRPr="000E47BB">
        <w:rPr>
          <w:sz w:val="24"/>
          <w:szCs w:val="24"/>
          <w:lang w:val="en-US"/>
        </w:rPr>
        <w:t>. 15.7% of girls in Nigeria are married before the age of 15 years and 43.4% are</w:t>
      </w:r>
      <w:r>
        <w:rPr>
          <w:sz w:val="24"/>
          <w:szCs w:val="24"/>
          <w:lang w:val="en-US"/>
        </w:rPr>
        <w:t xml:space="preserve"> </w:t>
      </w:r>
      <w:r w:rsidRPr="000E47BB">
        <w:rPr>
          <w:sz w:val="24"/>
          <w:szCs w:val="24"/>
          <w:lang w:val="en-US"/>
        </w:rPr>
        <w:t>married before the age of 18 years compared to 3.2% of boys</w:t>
      </w:r>
      <w:r>
        <w:rPr>
          <w:sz w:val="24"/>
          <w:szCs w:val="24"/>
          <w:lang w:val="en-US"/>
        </w:rPr>
        <w:t>.</w:t>
      </w:r>
      <w:r>
        <w:rPr>
          <w:rStyle w:val="FootnoteReference"/>
          <w:sz w:val="24"/>
          <w:szCs w:val="24"/>
          <w:lang w:val="en-US"/>
        </w:rPr>
        <w:footnoteReference w:id="24"/>
      </w:r>
      <w:r w:rsidRPr="000E47BB">
        <w:rPr>
          <w:sz w:val="24"/>
          <w:szCs w:val="24"/>
          <w:lang w:val="en-US"/>
        </w:rPr>
        <w:t xml:space="preserve"> </w:t>
      </w:r>
      <w:r>
        <w:rPr>
          <w:sz w:val="24"/>
          <w:szCs w:val="24"/>
          <w:lang w:val="en-US"/>
        </w:rPr>
        <w:t xml:space="preserve"> </w:t>
      </w:r>
      <w:r w:rsidR="002B3774">
        <w:rPr>
          <w:sz w:val="24"/>
          <w:szCs w:val="24"/>
          <w:lang w:val="en-US"/>
        </w:rPr>
        <w:t>As previously stated, f</w:t>
      </w:r>
      <w:r>
        <w:rPr>
          <w:sz w:val="24"/>
          <w:szCs w:val="24"/>
          <w:lang w:val="en-US"/>
        </w:rPr>
        <w:t>or the purposes of citizenship, the Constitution</w:t>
      </w:r>
      <w:r w:rsidRPr="000E47BB">
        <w:rPr>
          <w:sz w:val="24"/>
          <w:szCs w:val="24"/>
          <w:lang w:val="en-US"/>
        </w:rPr>
        <w:t xml:space="preserve"> deems any</w:t>
      </w:r>
      <w:r>
        <w:rPr>
          <w:sz w:val="24"/>
          <w:szCs w:val="24"/>
          <w:lang w:val="en-US"/>
        </w:rPr>
        <w:t xml:space="preserve"> </w:t>
      </w:r>
      <w:r w:rsidRPr="000E47BB">
        <w:rPr>
          <w:sz w:val="24"/>
          <w:szCs w:val="24"/>
          <w:lang w:val="en-US"/>
        </w:rPr>
        <w:t>woman of any age who is married to be of full age</w:t>
      </w:r>
      <w:r>
        <w:rPr>
          <w:sz w:val="24"/>
          <w:szCs w:val="24"/>
          <w:lang w:val="en-US"/>
        </w:rPr>
        <w:t>,</w:t>
      </w:r>
      <w:r>
        <w:rPr>
          <w:rStyle w:val="FootnoteReference"/>
          <w:sz w:val="24"/>
          <w:szCs w:val="24"/>
          <w:lang w:val="en-US"/>
        </w:rPr>
        <w:footnoteReference w:id="25"/>
      </w:r>
      <w:r>
        <w:rPr>
          <w:sz w:val="24"/>
          <w:szCs w:val="24"/>
          <w:lang w:val="en-US"/>
        </w:rPr>
        <w:t xml:space="preserve"> thus sending conflicting signals on the issue of marriageable age and child marriage. </w:t>
      </w:r>
      <w:r w:rsidR="002B3774">
        <w:rPr>
          <w:sz w:val="24"/>
          <w:szCs w:val="24"/>
          <w:lang w:val="en-US"/>
        </w:rPr>
        <w:t xml:space="preserve"> </w:t>
      </w:r>
      <w:r w:rsidR="00917D85">
        <w:rPr>
          <w:sz w:val="24"/>
          <w:szCs w:val="24"/>
          <w:lang w:val="en-US"/>
        </w:rPr>
        <w:t xml:space="preserve"> </w:t>
      </w:r>
    </w:p>
    <w:p w14:paraId="417278C0" w14:textId="77777777" w:rsidR="00947179" w:rsidRDefault="00947179" w:rsidP="00E75191">
      <w:pPr>
        <w:spacing w:line="240" w:lineRule="auto"/>
        <w:jc w:val="both"/>
        <w:rPr>
          <w:sz w:val="24"/>
          <w:szCs w:val="24"/>
        </w:rPr>
      </w:pPr>
      <w:r>
        <w:rPr>
          <w:rFonts w:cstheme="minorHAnsi"/>
          <w:sz w:val="24"/>
          <w:szCs w:val="24"/>
          <w:lang w:val="en-US"/>
        </w:rPr>
        <w:t xml:space="preserve">Thus, it is clear that while </w:t>
      </w:r>
      <w:r>
        <w:rPr>
          <w:sz w:val="24"/>
          <w:szCs w:val="24"/>
        </w:rPr>
        <w:t>Nigeria may be signatory to global treaties, has a constitutional mandate against discrimination on the basis of sex, the implementation of extant laws and policies remains limited with much room for improvement.  Implementation is adversely impacted by social factors as well as institutional factors such as</w:t>
      </w:r>
      <w:r w:rsidR="00081EC4">
        <w:rPr>
          <w:sz w:val="24"/>
          <w:szCs w:val="24"/>
        </w:rPr>
        <w:t xml:space="preserve"> gender norms,</w:t>
      </w:r>
      <w:r>
        <w:rPr>
          <w:sz w:val="24"/>
          <w:szCs w:val="24"/>
        </w:rPr>
        <w:t xml:space="preserve"> gender budgeting and bureaucracy</w:t>
      </w:r>
      <w:r w:rsidR="00081EC4">
        <w:rPr>
          <w:sz w:val="24"/>
          <w:szCs w:val="24"/>
        </w:rPr>
        <w:t>, and awareness</w:t>
      </w:r>
      <w:r>
        <w:rPr>
          <w:sz w:val="24"/>
          <w:szCs w:val="24"/>
        </w:rPr>
        <w:t xml:space="preserve">.  </w:t>
      </w:r>
    </w:p>
    <w:p w14:paraId="5F8F3EB5" w14:textId="77777777" w:rsidR="00681F77" w:rsidRDefault="007A7410" w:rsidP="00E75191">
      <w:pPr>
        <w:spacing w:line="240" w:lineRule="auto"/>
        <w:jc w:val="both"/>
        <w:rPr>
          <w:b/>
          <w:sz w:val="24"/>
          <w:szCs w:val="24"/>
        </w:rPr>
      </w:pPr>
      <w:r w:rsidRPr="007A7410">
        <w:rPr>
          <w:rFonts w:cstheme="minorHAnsi"/>
          <w:sz w:val="24"/>
          <w:szCs w:val="24"/>
          <w:lang w:val="en-US"/>
        </w:rPr>
        <w:t>Finally, there are gaps in awareness of laws and policies</w:t>
      </w:r>
      <w:r w:rsidR="00FE327B">
        <w:rPr>
          <w:rFonts w:cstheme="minorHAnsi"/>
          <w:sz w:val="24"/>
          <w:szCs w:val="24"/>
          <w:lang w:val="en-US"/>
        </w:rPr>
        <w:t xml:space="preserve">. </w:t>
      </w:r>
      <w:r w:rsidRPr="007A7410">
        <w:rPr>
          <w:rFonts w:cstheme="minorHAnsi"/>
          <w:sz w:val="24"/>
          <w:szCs w:val="24"/>
          <w:lang w:val="en-US"/>
        </w:rPr>
        <w:t>Amongst key informants, there was a high level of awareness of policies in their fields but not often more generally.  The quantitative survey also indicate</w:t>
      </w:r>
      <w:r w:rsidR="00FE327B">
        <w:rPr>
          <w:rFonts w:cstheme="minorHAnsi"/>
          <w:sz w:val="24"/>
          <w:szCs w:val="24"/>
          <w:lang w:val="en-US"/>
        </w:rPr>
        <w:t>s</w:t>
      </w:r>
      <w:r w:rsidRPr="007A7410">
        <w:rPr>
          <w:rFonts w:cstheme="minorHAnsi"/>
          <w:sz w:val="24"/>
          <w:szCs w:val="24"/>
          <w:lang w:val="en-US"/>
        </w:rPr>
        <w:t xml:space="preserve"> significant lack of awareness of extant laws and policies on gender equality in the country. </w:t>
      </w:r>
    </w:p>
    <w:p w14:paraId="1565813F" w14:textId="77777777" w:rsidR="00681F77" w:rsidRPr="00C029EF" w:rsidRDefault="00E75191" w:rsidP="006D6A0C">
      <w:pPr>
        <w:pStyle w:val="Subtitle"/>
        <w:rPr>
          <w:rStyle w:val="IntenseEmphasis"/>
        </w:rPr>
      </w:pPr>
      <w:r w:rsidRPr="00C029EF">
        <w:rPr>
          <w:rStyle w:val="IntenseEmphasis"/>
        </w:rPr>
        <w:t>Illustrative Finding</w:t>
      </w:r>
      <w:r w:rsidR="00681F77" w:rsidRPr="00C029EF">
        <w:rPr>
          <w:rStyle w:val="IntenseEmphasis"/>
        </w:rPr>
        <w:t xml:space="preserve">: </w:t>
      </w:r>
      <w:r w:rsidRPr="00C029EF">
        <w:rPr>
          <w:rStyle w:val="IntenseEmphasis"/>
        </w:rPr>
        <w:t>U</w:t>
      </w:r>
      <w:r w:rsidR="00681F77" w:rsidRPr="00C029EF">
        <w:rPr>
          <w:rStyle w:val="IntenseEmphasis"/>
        </w:rPr>
        <w:t>nderstanding the link between policy, knowledge of interventions and efforts to promote gender equality</w:t>
      </w:r>
    </w:p>
    <w:p w14:paraId="721BF90B" w14:textId="77777777" w:rsidR="008637AF" w:rsidRPr="008637AF" w:rsidRDefault="008637AF" w:rsidP="006E3C5B">
      <w:pPr>
        <w:spacing w:line="240" w:lineRule="auto"/>
        <w:jc w:val="both"/>
        <w:rPr>
          <w:rFonts w:cstheme="minorHAnsi"/>
          <w:b/>
          <w:sz w:val="24"/>
          <w:szCs w:val="24"/>
        </w:rPr>
      </w:pPr>
      <w:r w:rsidRPr="008637AF">
        <w:rPr>
          <w:rFonts w:cstheme="minorHAnsi"/>
          <w:b/>
          <w:sz w:val="24"/>
          <w:szCs w:val="24"/>
        </w:rPr>
        <w:t>Knowledge of Available Gender Policies</w:t>
      </w:r>
    </w:p>
    <w:p w14:paraId="362E0CD0" w14:textId="77777777" w:rsidR="008637AF" w:rsidRPr="008637AF" w:rsidRDefault="008637AF" w:rsidP="006E3C5B">
      <w:pPr>
        <w:spacing w:line="240" w:lineRule="auto"/>
        <w:jc w:val="both"/>
        <w:rPr>
          <w:rFonts w:cstheme="minorHAnsi"/>
          <w:sz w:val="24"/>
          <w:szCs w:val="24"/>
        </w:rPr>
      </w:pPr>
      <w:r w:rsidRPr="008637AF">
        <w:rPr>
          <w:rFonts w:cstheme="minorHAnsi"/>
          <w:sz w:val="24"/>
          <w:szCs w:val="24"/>
        </w:rPr>
        <w:t xml:space="preserve">It is </w:t>
      </w:r>
      <w:r w:rsidR="006714A0">
        <w:rPr>
          <w:rFonts w:cstheme="minorHAnsi"/>
          <w:sz w:val="24"/>
          <w:szCs w:val="24"/>
        </w:rPr>
        <w:t>significant</w:t>
      </w:r>
      <w:r w:rsidRPr="008637AF">
        <w:rPr>
          <w:rFonts w:cstheme="minorHAnsi"/>
          <w:sz w:val="24"/>
          <w:szCs w:val="24"/>
        </w:rPr>
        <w:t xml:space="preserve"> that only 6.0% of all respondents said they were aware of any national or state policies or law on gender equality that is implemented in their communities. Also, only 6.5% of all females and 6.4% of all males mentioned that they were aware of any national or state policies or law on gender equality that is implemented in their community Only Anambra and Kwara recorded up to 10% of those that were aware. Adamawa and Kano recorded 0.9% and 2% respectively. This suggests a need to increase public awareness campaign on various gender policies and also increase advocacies for their implementations.</w:t>
      </w:r>
    </w:p>
    <w:tbl>
      <w:tblPr>
        <w:tblW w:w="5000" w:type="pct"/>
        <w:tblLook w:val="0000" w:firstRow="0" w:lastRow="0" w:firstColumn="0" w:lastColumn="0" w:noHBand="0" w:noVBand="0"/>
      </w:tblPr>
      <w:tblGrid>
        <w:gridCol w:w="1047"/>
        <w:gridCol w:w="1190"/>
        <w:gridCol w:w="1113"/>
        <w:gridCol w:w="946"/>
        <w:gridCol w:w="946"/>
        <w:gridCol w:w="946"/>
        <w:gridCol w:w="946"/>
        <w:gridCol w:w="946"/>
        <w:gridCol w:w="946"/>
      </w:tblGrid>
      <w:tr w:rsidR="008637AF" w:rsidRPr="008637AF" w14:paraId="2D168714" w14:textId="77777777" w:rsidTr="008637AF">
        <w:tc>
          <w:tcPr>
            <w:tcW w:w="588" w:type="pct"/>
            <w:shd w:val="clear" w:color="auto" w:fill="auto"/>
          </w:tcPr>
          <w:p w14:paraId="1FAE5E1B" w14:textId="77777777" w:rsidR="008637AF" w:rsidRPr="008637AF" w:rsidRDefault="008637AF" w:rsidP="006E3C5B">
            <w:pPr>
              <w:spacing w:line="240" w:lineRule="auto"/>
              <w:jc w:val="both"/>
              <w:rPr>
                <w:rFonts w:cstheme="minorHAnsi"/>
                <w:sz w:val="24"/>
                <w:szCs w:val="24"/>
              </w:rPr>
            </w:pPr>
          </w:p>
        </w:tc>
        <w:tc>
          <w:tcPr>
            <w:tcW w:w="630" w:type="pct"/>
            <w:shd w:val="clear" w:color="auto" w:fill="auto"/>
          </w:tcPr>
          <w:p w14:paraId="7F5D03C7" w14:textId="77777777" w:rsidR="008637AF" w:rsidRPr="008637AF" w:rsidRDefault="008637AF" w:rsidP="006E3C5B">
            <w:pPr>
              <w:spacing w:line="240" w:lineRule="auto"/>
              <w:jc w:val="both"/>
              <w:rPr>
                <w:rFonts w:cstheme="minorHAnsi"/>
                <w:sz w:val="24"/>
                <w:szCs w:val="24"/>
              </w:rPr>
            </w:pPr>
            <w:r w:rsidRPr="008637AF">
              <w:rPr>
                <w:rFonts w:cstheme="minorHAnsi"/>
                <w:sz w:val="24"/>
                <w:szCs w:val="24"/>
              </w:rPr>
              <w:t>Adamawa</w:t>
            </w:r>
          </w:p>
        </w:tc>
        <w:tc>
          <w:tcPr>
            <w:tcW w:w="591" w:type="pct"/>
            <w:shd w:val="clear" w:color="auto" w:fill="auto"/>
          </w:tcPr>
          <w:p w14:paraId="2E66DE8F" w14:textId="77777777" w:rsidR="008637AF" w:rsidRPr="008637AF" w:rsidRDefault="008637AF" w:rsidP="006E3C5B">
            <w:pPr>
              <w:spacing w:line="240" w:lineRule="auto"/>
              <w:jc w:val="both"/>
              <w:rPr>
                <w:rFonts w:cstheme="minorHAnsi"/>
                <w:sz w:val="24"/>
                <w:szCs w:val="24"/>
              </w:rPr>
            </w:pPr>
            <w:r w:rsidRPr="008637AF">
              <w:rPr>
                <w:rFonts w:cstheme="minorHAnsi"/>
                <w:sz w:val="24"/>
                <w:szCs w:val="24"/>
              </w:rPr>
              <w:t>Anambra</w:t>
            </w:r>
          </w:p>
        </w:tc>
        <w:tc>
          <w:tcPr>
            <w:tcW w:w="532" w:type="pct"/>
            <w:shd w:val="clear" w:color="auto" w:fill="auto"/>
          </w:tcPr>
          <w:p w14:paraId="3B74D1C4" w14:textId="77777777" w:rsidR="008637AF" w:rsidRPr="008637AF" w:rsidRDefault="008637AF" w:rsidP="006E3C5B">
            <w:pPr>
              <w:spacing w:line="240" w:lineRule="auto"/>
              <w:jc w:val="both"/>
              <w:rPr>
                <w:rFonts w:cstheme="minorHAnsi"/>
                <w:sz w:val="24"/>
                <w:szCs w:val="24"/>
              </w:rPr>
            </w:pPr>
            <w:r w:rsidRPr="008637AF">
              <w:rPr>
                <w:rFonts w:cstheme="minorHAnsi"/>
                <w:sz w:val="24"/>
                <w:szCs w:val="24"/>
              </w:rPr>
              <w:t>Edo</w:t>
            </w:r>
          </w:p>
        </w:tc>
        <w:tc>
          <w:tcPr>
            <w:tcW w:w="532" w:type="pct"/>
            <w:shd w:val="clear" w:color="auto" w:fill="auto"/>
          </w:tcPr>
          <w:p w14:paraId="0BA0206D" w14:textId="77777777" w:rsidR="008637AF" w:rsidRPr="008637AF" w:rsidRDefault="008637AF" w:rsidP="006E3C5B">
            <w:pPr>
              <w:spacing w:line="240" w:lineRule="auto"/>
              <w:jc w:val="both"/>
              <w:rPr>
                <w:rFonts w:cstheme="minorHAnsi"/>
                <w:sz w:val="24"/>
                <w:szCs w:val="24"/>
              </w:rPr>
            </w:pPr>
            <w:r w:rsidRPr="008637AF">
              <w:rPr>
                <w:rFonts w:cstheme="minorHAnsi"/>
                <w:sz w:val="24"/>
                <w:szCs w:val="24"/>
              </w:rPr>
              <w:t>FCT</w:t>
            </w:r>
          </w:p>
        </w:tc>
        <w:tc>
          <w:tcPr>
            <w:tcW w:w="532" w:type="pct"/>
            <w:shd w:val="clear" w:color="auto" w:fill="auto"/>
          </w:tcPr>
          <w:p w14:paraId="1908AF5F" w14:textId="77777777" w:rsidR="008637AF" w:rsidRPr="008637AF" w:rsidRDefault="008637AF" w:rsidP="006E3C5B">
            <w:pPr>
              <w:spacing w:line="240" w:lineRule="auto"/>
              <w:jc w:val="both"/>
              <w:rPr>
                <w:rFonts w:cstheme="minorHAnsi"/>
                <w:sz w:val="24"/>
                <w:szCs w:val="24"/>
              </w:rPr>
            </w:pPr>
            <w:r w:rsidRPr="008637AF">
              <w:rPr>
                <w:rFonts w:cstheme="minorHAnsi"/>
                <w:sz w:val="24"/>
                <w:szCs w:val="24"/>
              </w:rPr>
              <w:t>Kano</w:t>
            </w:r>
          </w:p>
        </w:tc>
        <w:tc>
          <w:tcPr>
            <w:tcW w:w="532" w:type="pct"/>
            <w:shd w:val="clear" w:color="auto" w:fill="auto"/>
          </w:tcPr>
          <w:p w14:paraId="7D3C84B5" w14:textId="77777777" w:rsidR="008637AF" w:rsidRPr="008637AF" w:rsidRDefault="008637AF" w:rsidP="006E3C5B">
            <w:pPr>
              <w:spacing w:line="240" w:lineRule="auto"/>
              <w:jc w:val="both"/>
              <w:rPr>
                <w:rFonts w:cstheme="minorHAnsi"/>
                <w:sz w:val="24"/>
                <w:szCs w:val="24"/>
              </w:rPr>
            </w:pPr>
            <w:r w:rsidRPr="008637AF">
              <w:rPr>
                <w:rFonts w:cstheme="minorHAnsi"/>
                <w:sz w:val="24"/>
                <w:szCs w:val="24"/>
              </w:rPr>
              <w:t>Kwara</w:t>
            </w:r>
          </w:p>
        </w:tc>
        <w:tc>
          <w:tcPr>
            <w:tcW w:w="532" w:type="pct"/>
            <w:shd w:val="clear" w:color="auto" w:fill="auto"/>
          </w:tcPr>
          <w:p w14:paraId="15BC129C" w14:textId="77777777" w:rsidR="008637AF" w:rsidRPr="008637AF" w:rsidRDefault="008637AF" w:rsidP="006E3C5B">
            <w:pPr>
              <w:spacing w:line="240" w:lineRule="auto"/>
              <w:jc w:val="both"/>
              <w:rPr>
                <w:rFonts w:cstheme="minorHAnsi"/>
                <w:sz w:val="24"/>
                <w:szCs w:val="24"/>
              </w:rPr>
            </w:pPr>
            <w:r w:rsidRPr="008637AF">
              <w:rPr>
                <w:rFonts w:cstheme="minorHAnsi"/>
                <w:sz w:val="24"/>
                <w:szCs w:val="24"/>
              </w:rPr>
              <w:t>Lagos</w:t>
            </w:r>
          </w:p>
        </w:tc>
        <w:tc>
          <w:tcPr>
            <w:tcW w:w="531" w:type="pct"/>
            <w:shd w:val="clear" w:color="auto" w:fill="auto"/>
          </w:tcPr>
          <w:p w14:paraId="6B22B214" w14:textId="77777777" w:rsidR="008637AF" w:rsidRPr="008637AF" w:rsidRDefault="008637AF" w:rsidP="006E3C5B">
            <w:pPr>
              <w:spacing w:line="240" w:lineRule="auto"/>
              <w:jc w:val="both"/>
              <w:rPr>
                <w:rFonts w:cstheme="minorHAnsi"/>
                <w:sz w:val="24"/>
                <w:szCs w:val="24"/>
              </w:rPr>
            </w:pPr>
            <w:r w:rsidRPr="008637AF">
              <w:rPr>
                <w:rFonts w:cstheme="minorHAnsi"/>
                <w:sz w:val="24"/>
                <w:szCs w:val="24"/>
              </w:rPr>
              <w:t>Total</w:t>
            </w:r>
          </w:p>
        </w:tc>
      </w:tr>
      <w:tr w:rsidR="008637AF" w:rsidRPr="008637AF" w14:paraId="6A418920" w14:textId="77777777" w:rsidTr="008637AF">
        <w:tc>
          <w:tcPr>
            <w:tcW w:w="588" w:type="pct"/>
            <w:shd w:val="clear" w:color="auto" w:fill="auto"/>
          </w:tcPr>
          <w:p w14:paraId="5448CDA0" w14:textId="77777777" w:rsidR="008637AF" w:rsidRPr="008637AF" w:rsidRDefault="008637AF" w:rsidP="006E3C5B">
            <w:pPr>
              <w:spacing w:line="240" w:lineRule="auto"/>
              <w:jc w:val="both"/>
              <w:rPr>
                <w:rFonts w:cstheme="minorHAnsi"/>
                <w:sz w:val="24"/>
                <w:szCs w:val="24"/>
              </w:rPr>
            </w:pPr>
            <w:r w:rsidRPr="008637AF">
              <w:rPr>
                <w:rFonts w:cstheme="minorHAnsi"/>
                <w:sz w:val="24"/>
                <w:szCs w:val="24"/>
              </w:rPr>
              <w:t>Yes</w:t>
            </w:r>
          </w:p>
        </w:tc>
        <w:tc>
          <w:tcPr>
            <w:tcW w:w="630" w:type="pct"/>
            <w:shd w:val="clear" w:color="auto" w:fill="auto"/>
          </w:tcPr>
          <w:p w14:paraId="08055848" w14:textId="77777777" w:rsidR="008637AF" w:rsidRPr="008637AF" w:rsidRDefault="008637AF" w:rsidP="006E3C5B">
            <w:pPr>
              <w:spacing w:line="240" w:lineRule="auto"/>
              <w:jc w:val="both"/>
              <w:rPr>
                <w:rFonts w:cstheme="minorHAnsi"/>
                <w:sz w:val="24"/>
                <w:szCs w:val="24"/>
              </w:rPr>
            </w:pPr>
            <w:r w:rsidRPr="008637AF">
              <w:rPr>
                <w:rFonts w:cstheme="minorHAnsi"/>
                <w:sz w:val="24"/>
                <w:szCs w:val="24"/>
              </w:rPr>
              <w:t>0.9%</w:t>
            </w:r>
          </w:p>
        </w:tc>
        <w:tc>
          <w:tcPr>
            <w:tcW w:w="591" w:type="pct"/>
            <w:shd w:val="clear" w:color="auto" w:fill="auto"/>
          </w:tcPr>
          <w:p w14:paraId="50187DE0" w14:textId="77777777" w:rsidR="008637AF" w:rsidRPr="008637AF" w:rsidRDefault="008637AF" w:rsidP="006E3C5B">
            <w:pPr>
              <w:spacing w:line="240" w:lineRule="auto"/>
              <w:jc w:val="both"/>
              <w:rPr>
                <w:rFonts w:cstheme="minorHAnsi"/>
                <w:sz w:val="24"/>
                <w:szCs w:val="24"/>
              </w:rPr>
            </w:pPr>
            <w:r w:rsidRPr="008637AF">
              <w:rPr>
                <w:rFonts w:cstheme="minorHAnsi"/>
                <w:sz w:val="24"/>
                <w:szCs w:val="24"/>
              </w:rPr>
              <w:t>10.7%</w:t>
            </w:r>
          </w:p>
        </w:tc>
        <w:tc>
          <w:tcPr>
            <w:tcW w:w="532" w:type="pct"/>
            <w:shd w:val="clear" w:color="auto" w:fill="auto"/>
          </w:tcPr>
          <w:p w14:paraId="56A1CB4C" w14:textId="77777777" w:rsidR="008637AF" w:rsidRPr="008637AF" w:rsidRDefault="008637AF" w:rsidP="006E3C5B">
            <w:pPr>
              <w:spacing w:line="240" w:lineRule="auto"/>
              <w:jc w:val="both"/>
              <w:rPr>
                <w:rFonts w:cstheme="minorHAnsi"/>
                <w:sz w:val="24"/>
                <w:szCs w:val="24"/>
              </w:rPr>
            </w:pPr>
            <w:r w:rsidRPr="008637AF">
              <w:rPr>
                <w:rFonts w:cstheme="minorHAnsi"/>
                <w:sz w:val="24"/>
                <w:szCs w:val="24"/>
              </w:rPr>
              <w:t>9.3%</w:t>
            </w:r>
          </w:p>
        </w:tc>
        <w:tc>
          <w:tcPr>
            <w:tcW w:w="532" w:type="pct"/>
            <w:shd w:val="clear" w:color="auto" w:fill="auto"/>
          </w:tcPr>
          <w:p w14:paraId="1801030B" w14:textId="77777777" w:rsidR="008637AF" w:rsidRPr="008637AF" w:rsidRDefault="008637AF" w:rsidP="006E3C5B">
            <w:pPr>
              <w:spacing w:line="240" w:lineRule="auto"/>
              <w:jc w:val="both"/>
              <w:rPr>
                <w:rFonts w:cstheme="minorHAnsi"/>
                <w:sz w:val="24"/>
                <w:szCs w:val="24"/>
              </w:rPr>
            </w:pPr>
            <w:r w:rsidRPr="008637AF">
              <w:rPr>
                <w:rFonts w:cstheme="minorHAnsi"/>
                <w:sz w:val="24"/>
                <w:szCs w:val="24"/>
              </w:rPr>
              <w:t>4.2%</w:t>
            </w:r>
          </w:p>
        </w:tc>
        <w:tc>
          <w:tcPr>
            <w:tcW w:w="532" w:type="pct"/>
            <w:shd w:val="clear" w:color="auto" w:fill="auto"/>
          </w:tcPr>
          <w:p w14:paraId="79DE8E11" w14:textId="77777777" w:rsidR="008637AF" w:rsidRPr="008637AF" w:rsidRDefault="008637AF" w:rsidP="006E3C5B">
            <w:pPr>
              <w:spacing w:line="240" w:lineRule="auto"/>
              <w:jc w:val="both"/>
              <w:rPr>
                <w:rFonts w:cstheme="minorHAnsi"/>
                <w:sz w:val="24"/>
                <w:szCs w:val="24"/>
              </w:rPr>
            </w:pPr>
            <w:r w:rsidRPr="008637AF">
              <w:rPr>
                <w:rFonts w:cstheme="minorHAnsi"/>
                <w:sz w:val="24"/>
                <w:szCs w:val="24"/>
              </w:rPr>
              <w:t>2.0%</w:t>
            </w:r>
          </w:p>
        </w:tc>
        <w:tc>
          <w:tcPr>
            <w:tcW w:w="532" w:type="pct"/>
            <w:shd w:val="clear" w:color="auto" w:fill="auto"/>
          </w:tcPr>
          <w:p w14:paraId="69FD108B" w14:textId="77777777" w:rsidR="008637AF" w:rsidRPr="008637AF" w:rsidRDefault="008637AF" w:rsidP="006E3C5B">
            <w:pPr>
              <w:spacing w:line="240" w:lineRule="auto"/>
              <w:jc w:val="both"/>
              <w:rPr>
                <w:rFonts w:cstheme="minorHAnsi"/>
                <w:sz w:val="24"/>
                <w:szCs w:val="24"/>
              </w:rPr>
            </w:pPr>
            <w:r w:rsidRPr="008637AF">
              <w:rPr>
                <w:rFonts w:cstheme="minorHAnsi"/>
                <w:sz w:val="24"/>
                <w:szCs w:val="24"/>
              </w:rPr>
              <w:t>12.7%</w:t>
            </w:r>
          </w:p>
        </w:tc>
        <w:tc>
          <w:tcPr>
            <w:tcW w:w="532" w:type="pct"/>
            <w:shd w:val="clear" w:color="auto" w:fill="auto"/>
          </w:tcPr>
          <w:p w14:paraId="2C7093C4" w14:textId="77777777" w:rsidR="008637AF" w:rsidRPr="008637AF" w:rsidRDefault="008637AF" w:rsidP="006E3C5B">
            <w:pPr>
              <w:spacing w:line="240" w:lineRule="auto"/>
              <w:jc w:val="both"/>
              <w:rPr>
                <w:rFonts w:cstheme="minorHAnsi"/>
                <w:sz w:val="24"/>
                <w:szCs w:val="24"/>
              </w:rPr>
            </w:pPr>
            <w:r w:rsidRPr="008637AF">
              <w:rPr>
                <w:rFonts w:cstheme="minorHAnsi"/>
                <w:sz w:val="24"/>
                <w:szCs w:val="24"/>
              </w:rPr>
              <w:t>7.1%</w:t>
            </w:r>
          </w:p>
        </w:tc>
        <w:tc>
          <w:tcPr>
            <w:tcW w:w="531" w:type="pct"/>
            <w:shd w:val="clear" w:color="auto" w:fill="auto"/>
          </w:tcPr>
          <w:p w14:paraId="75E195ED" w14:textId="77777777" w:rsidR="008637AF" w:rsidRPr="008637AF" w:rsidRDefault="008637AF" w:rsidP="006E3C5B">
            <w:pPr>
              <w:spacing w:line="240" w:lineRule="auto"/>
              <w:jc w:val="both"/>
              <w:rPr>
                <w:rFonts w:cstheme="minorHAnsi"/>
                <w:sz w:val="24"/>
                <w:szCs w:val="24"/>
              </w:rPr>
            </w:pPr>
            <w:r w:rsidRPr="008637AF">
              <w:rPr>
                <w:rFonts w:cstheme="minorHAnsi"/>
                <w:sz w:val="24"/>
                <w:szCs w:val="24"/>
              </w:rPr>
              <w:t>6.0%</w:t>
            </w:r>
          </w:p>
        </w:tc>
      </w:tr>
      <w:tr w:rsidR="008637AF" w:rsidRPr="008637AF" w14:paraId="18C09A70" w14:textId="77777777" w:rsidTr="008637AF">
        <w:tc>
          <w:tcPr>
            <w:tcW w:w="588" w:type="pct"/>
            <w:shd w:val="clear" w:color="auto" w:fill="auto"/>
          </w:tcPr>
          <w:p w14:paraId="6F367D58" w14:textId="77777777" w:rsidR="008637AF" w:rsidRPr="008637AF" w:rsidRDefault="008637AF" w:rsidP="006E3C5B">
            <w:pPr>
              <w:spacing w:line="240" w:lineRule="auto"/>
              <w:jc w:val="both"/>
              <w:rPr>
                <w:rFonts w:cstheme="minorHAnsi"/>
                <w:sz w:val="24"/>
                <w:szCs w:val="24"/>
              </w:rPr>
            </w:pPr>
            <w:r w:rsidRPr="008637AF">
              <w:rPr>
                <w:rFonts w:cstheme="minorHAnsi"/>
                <w:sz w:val="24"/>
                <w:szCs w:val="24"/>
              </w:rPr>
              <w:t>No</w:t>
            </w:r>
          </w:p>
        </w:tc>
        <w:tc>
          <w:tcPr>
            <w:tcW w:w="630" w:type="pct"/>
            <w:shd w:val="clear" w:color="auto" w:fill="auto"/>
          </w:tcPr>
          <w:p w14:paraId="18738851" w14:textId="77777777" w:rsidR="008637AF" w:rsidRPr="008637AF" w:rsidRDefault="008637AF" w:rsidP="006E3C5B">
            <w:pPr>
              <w:spacing w:line="240" w:lineRule="auto"/>
              <w:jc w:val="both"/>
              <w:rPr>
                <w:rFonts w:cstheme="minorHAnsi"/>
                <w:sz w:val="24"/>
                <w:szCs w:val="24"/>
              </w:rPr>
            </w:pPr>
            <w:r w:rsidRPr="008637AF">
              <w:rPr>
                <w:rFonts w:cstheme="minorHAnsi"/>
                <w:sz w:val="24"/>
                <w:szCs w:val="24"/>
              </w:rPr>
              <w:t>44.7%</w:t>
            </w:r>
          </w:p>
        </w:tc>
        <w:tc>
          <w:tcPr>
            <w:tcW w:w="591" w:type="pct"/>
            <w:shd w:val="clear" w:color="auto" w:fill="auto"/>
          </w:tcPr>
          <w:p w14:paraId="23413BE8" w14:textId="77777777" w:rsidR="008637AF" w:rsidRPr="008637AF" w:rsidRDefault="008637AF" w:rsidP="006E3C5B">
            <w:pPr>
              <w:spacing w:line="240" w:lineRule="auto"/>
              <w:jc w:val="both"/>
              <w:rPr>
                <w:rFonts w:cstheme="minorHAnsi"/>
                <w:sz w:val="24"/>
                <w:szCs w:val="24"/>
              </w:rPr>
            </w:pPr>
            <w:r w:rsidRPr="008637AF">
              <w:rPr>
                <w:rFonts w:cstheme="minorHAnsi"/>
                <w:sz w:val="24"/>
                <w:szCs w:val="24"/>
              </w:rPr>
              <w:t>60.1%</w:t>
            </w:r>
          </w:p>
        </w:tc>
        <w:tc>
          <w:tcPr>
            <w:tcW w:w="532" w:type="pct"/>
            <w:shd w:val="clear" w:color="auto" w:fill="auto"/>
          </w:tcPr>
          <w:p w14:paraId="18A3FAC4" w14:textId="77777777" w:rsidR="008637AF" w:rsidRPr="008637AF" w:rsidRDefault="008637AF" w:rsidP="006E3C5B">
            <w:pPr>
              <w:spacing w:line="240" w:lineRule="auto"/>
              <w:jc w:val="both"/>
              <w:rPr>
                <w:rFonts w:cstheme="minorHAnsi"/>
                <w:sz w:val="24"/>
                <w:szCs w:val="24"/>
              </w:rPr>
            </w:pPr>
            <w:r w:rsidRPr="008637AF">
              <w:rPr>
                <w:rFonts w:cstheme="minorHAnsi"/>
                <w:sz w:val="24"/>
                <w:szCs w:val="24"/>
              </w:rPr>
              <w:t>73.8%</w:t>
            </w:r>
          </w:p>
        </w:tc>
        <w:tc>
          <w:tcPr>
            <w:tcW w:w="532" w:type="pct"/>
            <w:shd w:val="clear" w:color="auto" w:fill="auto"/>
          </w:tcPr>
          <w:p w14:paraId="65D7EF9E" w14:textId="77777777" w:rsidR="008637AF" w:rsidRPr="008637AF" w:rsidRDefault="008637AF" w:rsidP="006E3C5B">
            <w:pPr>
              <w:spacing w:line="240" w:lineRule="auto"/>
              <w:jc w:val="both"/>
              <w:rPr>
                <w:rFonts w:cstheme="minorHAnsi"/>
                <w:sz w:val="24"/>
                <w:szCs w:val="24"/>
              </w:rPr>
            </w:pPr>
            <w:r w:rsidRPr="008637AF">
              <w:rPr>
                <w:rFonts w:cstheme="minorHAnsi"/>
                <w:sz w:val="24"/>
                <w:szCs w:val="24"/>
              </w:rPr>
              <w:t>68.6%</w:t>
            </w:r>
          </w:p>
        </w:tc>
        <w:tc>
          <w:tcPr>
            <w:tcW w:w="532" w:type="pct"/>
            <w:shd w:val="clear" w:color="auto" w:fill="auto"/>
          </w:tcPr>
          <w:p w14:paraId="28106601" w14:textId="77777777" w:rsidR="008637AF" w:rsidRPr="008637AF" w:rsidRDefault="008637AF" w:rsidP="006E3C5B">
            <w:pPr>
              <w:spacing w:line="240" w:lineRule="auto"/>
              <w:jc w:val="both"/>
              <w:rPr>
                <w:rFonts w:cstheme="minorHAnsi"/>
                <w:sz w:val="24"/>
                <w:szCs w:val="24"/>
              </w:rPr>
            </w:pPr>
            <w:r w:rsidRPr="008637AF">
              <w:rPr>
                <w:rFonts w:cstheme="minorHAnsi"/>
                <w:sz w:val="24"/>
                <w:szCs w:val="24"/>
              </w:rPr>
              <w:t>66.9%</w:t>
            </w:r>
          </w:p>
        </w:tc>
        <w:tc>
          <w:tcPr>
            <w:tcW w:w="532" w:type="pct"/>
            <w:shd w:val="clear" w:color="auto" w:fill="auto"/>
          </w:tcPr>
          <w:p w14:paraId="1825F388" w14:textId="77777777" w:rsidR="008637AF" w:rsidRPr="008637AF" w:rsidRDefault="008637AF" w:rsidP="006E3C5B">
            <w:pPr>
              <w:spacing w:line="240" w:lineRule="auto"/>
              <w:jc w:val="both"/>
              <w:rPr>
                <w:rFonts w:cstheme="minorHAnsi"/>
                <w:sz w:val="24"/>
                <w:szCs w:val="24"/>
              </w:rPr>
            </w:pPr>
            <w:r w:rsidRPr="008637AF">
              <w:rPr>
                <w:rFonts w:cstheme="minorHAnsi"/>
                <w:sz w:val="24"/>
                <w:szCs w:val="24"/>
              </w:rPr>
              <w:t>61.4%</w:t>
            </w:r>
          </w:p>
        </w:tc>
        <w:tc>
          <w:tcPr>
            <w:tcW w:w="532" w:type="pct"/>
            <w:shd w:val="clear" w:color="auto" w:fill="auto"/>
          </w:tcPr>
          <w:p w14:paraId="02FC609B" w14:textId="77777777" w:rsidR="008637AF" w:rsidRPr="008637AF" w:rsidRDefault="008637AF" w:rsidP="006E3C5B">
            <w:pPr>
              <w:spacing w:line="240" w:lineRule="auto"/>
              <w:jc w:val="both"/>
              <w:rPr>
                <w:rFonts w:cstheme="minorHAnsi"/>
                <w:sz w:val="24"/>
                <w:szCs w:val="24"/>
              </w:rPr>
            </w:pPr>
            <w:r w:rsidRPr="008637AF">
              <w:rPr>
                <w:rFonts w:cstheme="minorHAnsi"/>
                <w:sz w:val="24"/>
                <w:szCs w:val="24"/>
              </w:rPr>
              <w:t>69.6%</w:t>
            </w:r>
          </w:p>
        </w:tc>
        <w:tc>
          <w:tcPr>
            <w:tcW w:w="531" w:type="pct"/>
            <w:shd w:val="clear" w:color="auto" w:fill="auto"/>
          </w:tcPr>
          <w:p w14:paraId="2712D6A1" w14:textId="77777777" w:rsidR="008637AF" w:rsidRPr="008637AF" w:rsidRDefault="008637AF" w:rsidP="006E3C5B">
            <w:pPr>
              <w:spacing w:line="240" w:lineRule="auto"/>
              <w:jc w:val="both"/>
              <w:rPr>
                <w:rFonts w:cstheme="minorHAnsi"/>
                <w:sz w:val="24"/>
                <w:szCs w:val="24"/>
              </w:rPr>
            </w:pPr>
            <w:r w:rsidRPr="008637AF">
              <w:rPr>
                <w:rFonts w:cstheme="minorHAnsi"/>
                <w:sz w:val="24"/>
                <w:szCs w:val="24"/>
              </w:rPr>
              <w:t>63.1%</w:t>
            </w:r>
          </w:p>
        </w:tc>
      </w:tr>
      <w:tr w:rsidR="008637AF" w:rsidRPr="008637AF" w14:paraId="58151DCA" w14:textId="77777777" w:rsidTr="008637AF">
        <w:tc>
          <w:tcPr>
            <w:tcW w:w="588" w:type="pct"/>
            <w:shd w:val="clear" w:color="auto" w:fill="auto"/>
          </w:tcPr>
          <w:p w14:paraId="2FF16ACB" w14:textId="77777777" w:rsidR="008637AF" w:rsidRPr="008637AF" w:rsidRDefault="008637AF" w:rsidP="006E3C5B">
            <w:pPr>
              <w:spacing w:line="240" w:lineRule="auto"/>
              <w:jc w:val="both"/>
              <w:rPr>
                <w:rFonts w:cstheme="minorHAnsi"/>
                <w:sz w:val="24"/>
                <w:szCs w:val="24"/>
              </w:rPr>
            </w:pPr>
            <w:r w:rsidRPr="008637AF">
              <w:rPr>
                <w:rFonts w:cstheme="minorHAnsi"/>
                <w:sz w:val="24"/>
                <w:szCs w:val="24"/>
              </w:rPr>
              <w:t>I do not know</w:t>
            </w:r>
          </w:p>
        </w:tc>
        <w:tc>
          <w:tcPr>
            <w:tcW w:w="630" w:type="pct"/>
            <w:shd w:val="clear" w:color="auto" w:fill="auto"/>
          </w:tcPr>
          <w:p w14:paraId="5B9AB8BF" w14:textId="77777777" w:rsidR="008637AF" w:rsidRPr="008637AF" w:rsidRDefault="008637AF" w:rsidP="006E3C5B">
            <w:pPr>
              <w:spacing w:line="240" w:lineRule="auto"/>
              <w:jc w:val="both"/>
              <w:rPr>
                <w:rFonts w:cstheme="minorHAnsi"/>
                <w:sz w:val="24"/>
                <w:szCs w:val="24"/>
              </w:rPr>
            </w:pPr>
            <w:r w:rsidRPr="008637AF">
              <w:rPr>
                <w:rFonts w:cstheme="minorHAnsi"/>
                <w:sz w:val="24"/>
                <w:szCs w:val="24"/>
              </w:rPr>
              <w:t>54.3%</w:t>
            </w:r>
          </w:p>
        </w:tc>
        <w:tc>
          <w:tcPr>
            <w:tcW w:w="591" w:type="pct"/>
            <w:shd w:val="clear" w:color="auto" w:fill="auto"/>
          </w:tcPr>
          <w:p w14:paraId="59AE70C5" w14:textId="77777777" w:rsidR="008637AF" w:rsidRPr="008637AF" w:rsidRDefault="008637AF" w:rsidP="006E3C5B">
            <w:pPr>
              <w:spacing w:line="240" w:lineRule="auto"/>
              <w:jc w:val="both"/>
              <w:rPr>
                <w:rFonts w:cstheme="minorHAnsi"/>
                <w:sz w:val="24"/>
                <w:szCs w:val="24"/>
              </w:rPr>
            </w:pPr>
            <w:r w:rsidRPr="008637AF">
              <w:rPr>
                <w:rFonts w:cstheme="minorHAnsi"/>
                <w:sz w:val="24"/>
                <w:szCs w:val="24"/>
              </w:rPr>
              <w:t>29.2%</w:t>
            </w:r>
          </w:p>
        </w:tc>
        <w:tc>
          <w:tcPr>
            <w:tcW w:w="532" w:type="pct"/>
            <w:shd w:val="clear" w:color="auto" w:fill="auto"/>
          </w:tcPr>
          <w:p w14:paraId="1429194D" w14:textId="77777777" w:rsidR="008637AF" w:rsidRPr="008637AF" w:rsidRDefault="008637AF" w:rsidP="006E3C5B">
            <w:pPr>
              <w:spacing w:line="240" w:lineRule="auto"/>
              <w:jc w:val="both"/>
              <w:rPr>
                <w:rFonts w:cstheme="minorHAnsi"/>
                <w:sz w:val="24"/>
                <w:szCs w:val="24"/>
              </w:rPr>
            </w:pPr>
            <w:r w:rsidRPr="008637AF">
              <w:rPr>
                <w:rFonts w:cstheme="minorHAnsi"/>
                <w:sz w:val="24"/>
                <w:szCs w:val="24"/>
              </w:rPr>
              <w:t>16.9%</w:t>
            </w:r>
          </w:p>
        </w:tc>
        <w:tc>
          <w:tcPr>
            <w:tcW w:w="532" w:type="pct"/>
            <w:shd w:val="clear" w:color="auto" w:fill="auto"/>
          </w:tcPr>
          <w:p w14:paraId="07BC4963" w14:textId="77777777" w:rsidR="008637AF" w:rsidRPr="008637AF" w:rsidRDefault="008637AF" w:rsidP="006E3C5B">
            <w:pPr>
              <w:spacing w:line="240" w:lineRule="auto"/>
              <w:jc w:val="both"/>
              <w:rPr>
                <w:rFonts w:cstheme="minorHAnsi"/>
                <w:sz w:val="24"/>
                <w:szCs w:val="24"/>
              </w:rPr>
            </w:pPr>
            <w:r w:rsidRPr="008637AF">
              <w:rPr>
                <w:rFonts w:cstheme="minorHAnsi"/>
                <w:sz w:val="24"/>
                <w:szCs w:val="24"/>
              </w:rPr>
              <w:t>27.2%</w:t>
            </w:r>
          </w:p>
        </w:tc>
        <w:tc>
          <w:tcPr>
            <w:tcW w:w="532" w:type="pct"/>
            <w:shd w:val="clear" w:color="auto" w:fill="auto"/>
          </w:tcPr>
          <w:p w14:paraId="5D580719" w14:textId="77777777" w:rsidR="008637AF" w:rsidRPr="008637AF" w:rsidRDefault="008637AF" w:rsidP="006E3C5B">
            <w:pPr>
              <w:spacing w:line="240" w:lineRule="auto"/>
              <w:jc w:val="both"/>
              <w:rPr>
                <w:rFonts w:cstheme="minorHAnsi"/>
                <w:sz w:val="24"/>
                <w:szCs w:val="24"/>
              </w:rPr>
            </w:pPr>
            <w:r w:rsidRPr="008637AF">
              <w:rPr>
                <w:rFonts w:cstheme="minorHAnsi"/>
                <w:sz w:val="24"/>
                <w:szCs w:val="24"/>
              </w:rPr>
              <w:t>31.2%</w:t>
            </w:r>
          </w:p>
        </w:tc>
        <w:tc>
          <w:tcPr>
            <w:tcW w:w="532" w:type="pct"/>
            <w:shd w:val="clear" w:color="auto" w:fill="auto"/>
          </w:tcPr>
          <w:p w14:paraId="15152366" w14:textId="77777777" w:rsidR="008637AF" w:rsidRPr="008637AF" w:rsidRDefault="008637AF" w:rsidP="006E3C5B">
            <w:pPr>
              <w:spacing w:line="240" w:lineRule="auto"/>
              <w:jc w:val="both"/>
              <w:rPr>
                <w:rFonts w:cstheme="minorHAnsi"/>
                <w:sz w:val="24"/>
                <w:szCs w:val="24"/>
              </w:rPr>
            </w:pPr>
            <w:r w:rsidRPr="008637AF">
              <w:rPr>
                <w:rFonts w:cstheme="minorHAnsi"/>
                <w:sz w:val="24"/>
                <w:szCs w:val="24"/>
              </w:rPr>
              <w:t>25.9%</w:t>
            </w:r>
          </w:p>
        </w:tc>
        <w:tc>
          <w:tcPr>
            <w:tcW w:w="532" w:type="pct"/>
            <w:shd w:val="clear" w:color="auto" w:fill="auto"/>
          </w:tcPr>
          <w:p w14:paraId="66FBC74F" w14:textId="77777777" w:rsidR="008637AF" w:rsidRPr="008637AF" w:rsidRDefault="008637AF" w:rsidP="006E3C5B">
            <w:pPr>
              <w:spacing w:line="240" w:lineRule="auto"/>
              <w:jc w:val="both"/>
              <w:rPr>
                <w:rFonts w:cstheme="minorHAnsi"/>
                <w:sz w:val="24"/>
                <w:szCs w:val="24"/>
              </w:rPr>
            </w:pPr>
            <w:r w:rsidRPr="008637AF">
              <w:rPr>
                <w:rFonts w:cstheme="minorHAnsi"/>
                <w:sz w:val="24"/>
                <w:szCs w:val="24"/>
              </w:rPr>
              <w:t>23.2%</w:t>
            </w:r>
          </w:p>
        </w:tc>
        <w:tc>
          <w:tcPr>
            <w:tcW w:w="531" w:type="pct"/>
            <w:shd w:val="clear" w:color="auto" w:fill="auto"/>
          </w:tcPr>
          <w:p w14:paraId="641A17EF" w14:textId="77777777" w:rsidR="008637AF" w:rsidRPr="008637AF" w:rsidRDefault="008637AF" w:rsidP="006E3C5B">
            <w:pPr>
              <w:spacing w:line="240" w:lineRule="auto"/>
              <w:jc w:val="both"/>
              <w:rPr>
                <w:rFonts w:cstheme="minorHAnsi"/>
                <w:sz w:val="24"/>
                <w:szCs w:val="24"/>
              </w:rPr>
            </w:pPr>
            <w:r w:rsidRPr="008637AF">
              <w:rPr>
                <w:rFonts w:cstheme="minorHAnsi"/>
                <w:sz w:val="24"/>
                <w:szCs w:val="24"/>
              </w:rPr>
              <w:t>30.9%</w:t>
            </w:r>
          </w:p>
        </w:tc>
      </w:tr>
    </w:tbl>
    <w:p w14:paraId="3D24B2CA" w14:textId="77777777" w:rsidR="008637AF" w:rsidRPr="008637AF" w:rsidRDefault="008637AF" w:rsidP="006E3C5B">
      <w:pPr>
        <w:spacing w:line="240" w:lineRule="auto"/>
        <w:jc w:val="both"/>
        <w:rPr>
          <w:rFonts w:cstheme="minorHAnsi"/>
          <w:i/>
          <w:iCs/>
          <w:sz w:val="24"/>
          <w:szCs w:val="24"/>
          <w:lang w:val="en-US"/>
        </w:rPr>
      </w:pPr>
      <w:r w:rsidRPr="008637AF">
        <w:rPr>
          <w:rFonts w:cstheme="minorHAnsi"/>
          <w:i/>
          <w:iCs/>
          <w:sz w:val="24"/>
          <w:szCs w:val="24"/>
        </w:rPr>
        <w:t xml:space="preserve">Table </w:t>
      </w:r>
      <w:r w:rsidRPr="008637AF">
        <w:rPr>
          <w:rFonts w:cstheme="minorHAnsi"/>
          <w:i/>
          <w:iCs/>
          <w:sz w:val="24"/>
          <w:szCs w:val="24"/>
        </w:rPr>
        <w:fldChar w:fldCharType="begin"/>
      </w:r>
      <w:r w:rsidRPr="008637AF">
        <w:rPr>
          <w:rFonts w:cstheme="minorHAnsi"/>
          <w:i/>
          <w:iCs/>
          <w:sz w:val="24"/>
          <w:szCs w:val="24"/>
        </w:rPr>
        <w:instrText xml:space="preserve"> SEQ Table \* ARABIC </w:instrText>
      </w:r>
      <w:r w:rsidRPr="008637AF">
        <w:rPr>
          <w:rFonts w:cstheme="minorHAnsi"/>
          <w:i/>
          <w:iCs/>
          <w:sz w:val="24"/>
          <w:szCs w:val="24"/>
        </w:rPr>
        <w:fldChar w:fldCharType="separate"/>
      </w:r>
      <w:r w:rsidRPr="008637AF">
        <w:rPr>
          <w:rFonts w:cstheme="minorHAnsi"/>
          <w:i/>
          <w:iCs/>
          <w:sz w:val="24"/>
          <w:szCs w:val="24"/>
        </w:rPr>
        <w:t>2</w:t>
      </w:r>
      <w:r w:rsidRPr="008637AF">
        <w:rPr>
          <w:rFonts w:cstheme="minorHAnsi"/>
          <w:sz w:val="24"/>
          <w:szCs w:val="24"/>
        </w:rPr>
        <w:fldChar w:fldCharType="end"/>
      </w:r>
      <w:r w:rsidRPr="008637AF">
        <w:rPr>
          <w:rFonts w:cstheme="minorHAnsi"/>
          <w:i/>
          <w:iCs/>
          <w:sz w:val="24"/>
          <w:szCs w:val="24"/>
        </w:rPr>
        <w:t xml:space="preserve"> Knowledge of Available Gender Equity Policies</w:t>
      </w:r>
    </w:p>
    <w:p w14:paraId="43EBB225" w14:textId="77777777" w:rsidR="008637AF" w:rsidRPr="008637AF" w:rsidRDefault="008637AF" w:rsidP="006E3C5B">
      <w:pPr>
        <w:spacing w:line="240" w:lineRule="auto"/>
        <w:jc w:val="both"/>
        <w:rPr>
          <w:rFonts w:cstheme="minorHAnsi"/>
          <w:b/>
          <w:sz w:val="24"/>
          <w:szCs w:val="24"/>
        </w:rPr>
      </w:pPr>
      <w:r w:rsidRPr="008637AF">
        <w:rPr>
          <w:rFonts w:cstheme="minorHAnsi"/>
          <w:b/>
          <w:sz w:val="24"/>
          <w:szCs w:val="24"/>
        </w:rPr>
        <w:lastRenderedPageBreak/>
        <w:t>Knowledge of Gender Equality Promotion Interventions</w:t>
      </w:r>
    </w:p>
    <w:p w14:paraId="441E0936" w14:textId="77777777" w:rsidR="008637AF" w:rsidRPr="008637AF" w:rsidRDefault="008637AF" w:rsidP="006E3C5B">
      <w:pPr>
        <w:spacing w:line="240" w:lineRule="auto"/>
        <w:jc w:val="both"/>
        <w:rPr>
          <w:rFonts w:cstheme="minorHAnsi"/>
          <w:sz w:val="24"/>
          <w:szCs w:val="24"/>
        </w:rPr>
      </w:pPr>
      <w:r w:rsidRPr="008637AF">
        <w:rPr>
          <w:rFonts w:cstheme="minorHAnsi"/>
          <w:sz w:val="24"/>
          <w:szCs w:val="24"/>
        </w:rPr>
        <w:t>The table below summarises participants’ response to available interventions and activities to promote gender equality. Only 34.6% of the respondents reported knowledge of interventions and activities aimed at promoting promote gender equality while 31.5% of the respondents noted that there are no interventions in the state that targets gender inequality. A total of 31% of all females, 38.9% of all males and 26.9% of those who stated their gender as other mentioned that there were interventions and activities to promote gender equality in their community. Adamawa state has a significant high percentage of respondents (62.4%) that agrees on the presence of interventions and activities that promotes gender equality in her state when compared to other states. The relatively high knowledge of gender interventions in Adamawa may be linked to increased number of international and national development interventions which might be promoting gender inequality caused by insurgency and violent conflicts by development partners within the last two years.</w:t>
      </w:r>
    </w:p>
    <w:p w14:paraId="4F54394E" w14:textId="77777777" w:rsidR="008637AF" w:rsidRPr="008637AF" w:rsidRDefault="008637AF" w:rsidP="006E3C5B">
      <w:pPr>
        <w:spacing w:line="240" w:lineRule="auto"/>
        <w:jc w:val="both"/>
        <w:rPr>
          <w:rFonts w:cstheme="minorHAnsi"/>
          <w:b/>
          <w:sz w:val="24"/>
          <w:szCs w:val="24"/>
        </w:rPr>
      </w:pPr>
      <w:r w:rsidRPr="008637AF">
        <w:rPr>
          <w:rFonts w:cstheme="minorHAnsi"/>
          <w:b/>
          <w:sz w:val="24"/>
          <w:szCs w:val="24"/>
        </w:rPr>
        <w:t xml:space="preserve"> </w:t>
      </w:r>
    </w:p>
    <w:tbl>
      <w:tblPr>
        <w:tblW w:w="5000" w:type="pct"/>
        <w:tblLook w:val="0000" w:firstRow="0" w:lastRow="0" w:firstColumn="0" w:lastColumn="0" w:noHBand="0" w:noVBand="0"/>
      </w:tblPr>
      <w:tblGrid>
        <w:gridCol w:w="1797"/>
        <w:gridCol w:w="1190"/>
        <w:gridCol w:w="1114"/>
        <w:gridCol w:w="820"/>
        <w:gridCol w:w="821"/>
        <w:gridCol w:w="821"/>
        <w:gridCol w:w="827"/>
        <w:gridCol w:w="816"/>
        <w:gridCol w:w="820"/>
      </w:tblGrid>
      <w:tr w:rsidR="008637AF" w:rsidRPr="008637AF" w14:paraId="6B0B52B8" w14:textId="77777777" w:rsidTr="00583E7C">
        <w:tc>
          <w:tcPr>
            <w:tcW w:w="995" w:type="pct"/>
          </w:tcPr>
          <w:p w14:paraId="6D273342" w14:textId="77777777" w:rsidR="008637AF" w:rsidRPr="008637AF" w:rsidRDefault="008637AF" w:rsidP="006E3C5B">
            <w:pPr>
              <w:spacing w:line="240" w:lineRule="auto"/>
              <w:jc w:val="both"/>
              <w:rPr>
                <w:rFonts w:cstheme="minorHAnsi"/>
                <w:sz w:val="24"/>
                <w:szCs w:val="24"/>
              </w:rPr>
            </w:pPr>
          </w:p>
        </w:tc>
        <w:tc>
          <w:tcPr>
            <w:tcW w:w="659" w:type="pct"/>
          </w:tcPr>
          <w:p w14:paraId="13E66796" w14:textId="77777777" w:rsidR="008637AF" w:rsidRPr="008637AF" w:rsidRDefault="008637AF" w:rsidP="006E3C5B">
            <w:pPr>
              <w:spacing w:line="240" w:lineRule="auto"/>
              <w:jc w:val="both"/>
              <w:rPr>
                <w:rFonts w:cstheme="minorHAnsi"/>
                <w:sz w:val="24"/>
                <w:szCs w:val="24"/>
              </w:rPr>
            </w:pPr>
            <w:r w:rsidRPr="008637AF">
              <w:rPr>
                <w:rFonts w:cstheme="minorHAnsi"/>
                <w:sz w:val="24"/>
                <w:szCs w:val="24"/>
              </w:rPr>
              <w:t>Adamawa</w:t>
            </w:r>
          </w:p>
        </w:tc>
        <w:tc>
          <w:tcPr>
            <w:tcW w:w="617" w:type="pct"/>
          </w:tcPr>
          <w:p w14:paraId="09209BAB" w14:textId="77777777" w:rsidR="008637AF" w:rsidRPr="008637AF" w:rsidRDefault="008637AF" w:rsidP="006E3C5B">
            <w:pPr>
              <w:spacing w:line="240" w:lineRule="auto"/>
              <w:jc w:val="both"/>
              <w:rPr>
                <w:rFonts w:cstheme="minorHAnsi"/>
                <w:sz w:val="24"/>
                <w:szCs w:val="24"/>
              </w:rPr>
            </w:pPr>
            <w:r w:rsidRPr="008637AF">
              <w:rPr>
                <w:rFonts w:cstheme="minorHAnsi"/>
                <w:sz w:val="24"/>
                <w:szCs w:val="24"/>
              </w:rPr>
              <w:t>Anambra</w:t>
            </w:r>
          </w:p>
        </w:tc>
        <w:tc>
          <w:tcPr>
            <w:tcW w:w="454" w:type="pct"/>
          </w:tcPr>
          <w:p w14:paraId="4300AF1C" w14:textId="77777777" w:rsidR="008637AF" w:rsidRPr="008637AF" w:rsidRDefault="008637AF" w:rsidP="006E3C5B">
            <w:pPr>
              <w:spacing w:line="240" w:lineRule="auto"/>
              <w:jc w:val="both"/>
              <w:rPr>
                <w:rFonts w:cstheme="minorHAnsi"/>
                <w:sz w:val="24"/>
                <w:szCs w:val="24"/>
              </w:rPr>
            </w:pPr>
            <w:r w:rsidRPr="008637AF">
              <w:rPr>
                <w:rFonts w:cstheme="minorHAnsi"/>
                <w:sz w:val="24"/>
                <w:szCs w:val="24"/>
              </w:rPr>
              <w:t>Edo</w:t>
            </w:r>
          </w:p>
        </w:tc>
        <w:tc>
          <w:tcPr>
            <w:tcW w:w="455" w:type="pct"/>
          </w:tcPr>
          <w:p w14:paraId="0C4AA3A9" w14:textId="77777777" w:rsidR="008637AF" w:rsidRPr="008637AF" w:rsidRDefault="008637AF" w:rsidP="006E3C5B">
            <w:pPr>
              <w:spacing w:line="240" w:lineRule="auto"/>
              <w:jc w:val="both"/>
              <w:rPr>
                <w:rFonts w:cstheme="minorHAnsi"/>
                <w:sz w:val="24"/>
                <w:szCs w:val="24"/>
              </w:rPr>
            </w:pPr>
            <w:r w:rsidRPr="008637AF">
              <w:rPr>
                <w:rFonts w:cstheme="minorHAnsi"/>
                <w:sz w:val="24"/>
                <w:szCs w:val="24"/>
              </w:rPr>
              <w:t>FCT</w:t>
            </w:r>
          </w:p>
        </w:tc>
        <w:tc>
          <w:tcPr>
            <w:tcW w:w="455" w:type="pct"/>
          </w:tcPr>
          <w:p w14:paraId="26753FBF" w14:textId="77777777" w:rsidR="008637AF" w:rsidRPr="008637AF" w:rsidRDefault="008637AF" w:rsidP="006E3C5B">
            <w:pPr>
              <w:spacing w:line="240" w:lineRule="auto"/>
              <w:jc w:val="both"/>
              <w:rPr>
                <w:rFonts w:cstheme="minorHAnsi"/>
                <w:sz w:val="24"/>
                <w:szCs w:val="24"/>
              </w:rPr>
            </w:pPr>
            <w:r w:rsidRPr="008637AF">
              <w:rPr>
                <w:rFonts w:cstheme="minorHAnsi"/>
                <w:sz w:val="24"/>
                <w:szCs w:val="24"/>
              </w:rPr>
              <w:t>Kano</w:t>
            </w:r>
          </w:p>
        </w:tc>
        <w:tc>
          <w:tcPr>
            <w:tcW w:w="458" w:type="pct"/>
          </w:tcPr>
          <w:p w14:paraId="7B1B4272" w14:textId="77777777" w:rsidR="008637AF" w:rsidRPr="008637AF" w:rsidRDefault="008637AF" w:rsidP="006E3C5B">
            <w:pPr>
              <w:spacing w:line="240" w:lineRule="auto"/>
              <w:jc w:val="both"/>
              <w:rPr>
                <w:rFonts w:cstheme="minorHAnsi"/>
                <w:sz w:val="24"/>
                <w:szCs w:val="24"/>
              </w:rPr>
            </w:pPr>
            <w:r w:rsidRPr="008637AF">
              <w:rPr>
                <w:rFonts w:cstheme="minorHAnsi"/>
                <w:sz w:val="24"/>
                <w:szCs w:val="24"/>
              </w:rPr>
              <w:t>Kwara</w:t>
            </w:r>
          </w:p>
        </w:tc>
        <w:tc>
          <w:tcPr>
            <w:tcW w:w="452" w:type="pct"/>
          </w:tcPr>
          <w:p w14:paraId="5FD11B3B" w14:textId="77777777" w:rsidR="008637AF" w:rsidRPr="008637AF" w:rsidRDefault="008637AF" w:rsidP="006E3C5B">
            <w:pPr>
              <w:spacing w:line="240" w:lineRule="auto"/>
              <w:jc w:val="both"/>
              <w:rPr>
                <w:rFonts w:cstheme="minorHAnsi"/>
                <w:sz w:val="24"/>
                <w:szCs w:val="24"/>
              </w:rPr>
            </w:pPr>
            <w:r w:rsidRPr="008637AF">
              <w:rPr>
                <w:rFonts w:cstheme="minorHAnsi"/>
                <w:sz w:val="24"/>
                <w:szCs w:val="24"/>
              </w:rPr>
              <w:t>Lagos</w:t>
            </w:r>
          </w:p>
        </w:tc>
        <w:tc>
          <w:tcPr>
            <w:tcW w:w="454" w:type="pct"/>
          </w:tcPr>
          <w:p w14:paraId="740E7E2C" w14:textId="77777777" w:rsidR="008637AF" w:rsidRPr="008637AF" w:rsidRDefault="008637AF" w:rsidP="006E3C5B">
            <w:pPr>
              <w:spacing w:line="240" w:lineRule="auto"/>
              <w:jc w:val="both"/>
              <w:rPr>
                <w:rFonts w:cstheme="minorHAnsi"/>
                <w:sz w:val="24"/>
                <w:szCs w:val="24"/>
              </w:rPr>
            </w:pPr>
            <w:r w:rsidRPr="008637AF">
              <w:rPr>
                <w:rFonts w:cstheme="minorHAnsi"/>
                <w:sz w:val="24"/>
                <w:szCs w:val="24"/>
              </w:rPr>
              <w:t>Total</w:t>
            </w:r>
          </w:p>
        </w:tc>
      </w:tr>
      <w:tr w:rsidR="00583E7C" w:rsidRPr="008637AF" w14:paraId="3D98C955" w14:textId="77777777" w:rsidTr="00583E7C">
        <w:tc>
          <w:tcPr>
            <w:tcW w:w="995" w:type="pct"/>
          </w:tcPr>
          <w:p w14:paraId="2C715D0C" w14:textId="77777777" w:rsidR="00583E7C" w:rsidRPr="008637AF" w:rsidRDefault="00583E7C" w:rsidP="006E3C5B">
            <w:pPr>
              <w:spacing w:line="240" w:lineRule="auto"/>
              <w:jc w:val="both"/>
              <w:rPr>
                <w:rFonts w:cstheme="minorHAnsi"/>
                <w:sz w:val="24"/>
                <w:szCs w:val="24"/>
              </w:rPr>
            </w:pPr>
            <w:r w:rsidRPr="008637AF">
              <w:rPr>
                <w:rFonts w:cstheme="minorHAnsi"/>
                <w:sz w:val="24"/>
                <w:szCs w:val="24"/>
              </w:rPr>
              <w:t>Yes</w:t>
            </w:r>
          </w:p>
        </w:tc>
        <w:tc>
          <w:tcPr>
            <w:tcW w:w="659" w:type="pct"/>
          </w:tcPr>
          <w:p w14:paraId="140B671C" w14:textId="77777777" w:rsidR="00583E7C" w:rsidRPr="008637AF" w:rsidRDefault="00583E7C" w:rsidP="006E3C5B">
            <w:pPr>
              <w:spacing w:line="240" w:lineRule="auto"/>
              <w:jc w:val="both"/>
              <w:rPr>
                <w:rFonts w:cstheme="minorHAnsi"/>
                <w:sz w:val="24"/>
                <w:szCs w:val="24"/>
              </w:rPr>
            </w:pPr>
            <w:r w:rsidRPr="008637AF">
              <w:rPr>
                <w:rFonts w:cstheme="minorHAnsi"/>
                <w:sz w:val="24"/>
                <w:szCs w:val="24"/>
              </w:rPr>
              <w:t>62.4%</w:t>
            </w:r>
          </w:p>
        </w:tc>
        <w:tc>
          <w:tcPr>
            <w:tcW w:w="617" w:type="pct"/>
          </w:tcPr>
          <w:p w14:paraId="147F572B" w14:textId="77777777" w:rsidR="00583E7C" w:rsidRPr="008637AF" w:rsidRDefault="00583E7C" w:rsidP="006E3C5B">
            <w:pPr>
              <w:spacing w:line="240" w:lineRule="auto"/>
              <w:jc w:val="both"/>
              <w:rPr>
                <w:rFonts w:cstheme="minorHAnsi"/>
                <w:sz w:val="24"/>
                <w:szCs w:val="24"/>
              </w:rPr>
            </w:pPr>
            <w:r w:rsidRPr="008637AF">
              <w:rPr>
                <w:rFonts w:cstheme="minorHAnsi"/>
                <w:sz w:val="24"/>
                <w:szCs w:val="24"/>
              </w:rPr>
              <w:t>39.3%</w:t>
            </w:r>
          </w:p>
        </w:tc>
        <w:tc>
          <w:tcPr>
            <w:tcW w:w="454" w:type="pct"/>
          </w:tcPr>
          <w:p w14:paraId="743FD6B9" w14:textId="77777777" w:rsidR="00583E7C" w:rsidRPr="008637AF" w:rsidRDefault="00583E7C" w:rsidP="006E3C5B">
            <w:pPr>
              <w:spacing w:line="240" w:lineRule="auto"/>
              <w:jc w:val="both"/>
              <w:rPr>
                <w:rFonts w:cstheme="minorHAnsi"/>
                <w:sz w:val="24"/>
                <w:szCs w:val="24"/>
              </w:rPr>
            </w:pPr>
            <w:r w:rsidRPr="008637AF">
              <w:rPr>
                <w:rFonts w:cstheme="minorHAnsi"/>
                <w:sz w:val="24"/>
                <w:szCs w:val="24"/>
              </w:rPr>
              <w:t>18.2%</w:t>
            </w:r>
          </w:p>
        </w:tc>
        <w:tc>
          <w:tcPr>
            <w:tcW w:w="455" w:type="pct"/>
          </w:tcPr>
          <w:p w14:paraId="501D69B2" w14:textId="77777777" w:rsidR="00583E7C" w:rsidRPr="008637AF" w:rsidRDefault="00583E7C" w:rsidP="006E3C5B">
            <w:pPr>
              <w:spacing w:line="240" w:lineRule="auto"/>
              <w:jc w:val="both"/>
              <w:rPr>
                <w:rFonts w:cstheme="minorHAnsi"/>
                <w:sz w:val="24"/>
                <w:szCs w:val="24"/>
              </w:rPr>
            </w:pPr>
            <w:r w:rsidRPr="008637AF">
              <w:rPr>
                <w:rFonts w:cstheme="minorHAnsi"/>
                <w:sz w:val="24"/>
                <w:szCs w:val="24"/>
              </w:rPr>
              <w:t>21.7%</w:t>
            </w:r>
          </w:p>
        </w:tc>
        <w:tc>
          <w:tcPr>
            <w:tcW w:w="455" w:type="pct"/>
          </w:tcPr>
          <w:p w14:paraId="136CC07C" w14:textId="77777777" w:rsidR="00583E7C" w:rsidRPr="008637AF" w:rsidRDefault="00583E7C" w:rsidP="006E3C5B">
            <w:pPr>
              <w:spacing w:line="240" w:lineRule="auto"/>
              <w:jc w:val="both"/>
              <w:rPr>
                <w:rFonts w:cstheme="minorHAnsi"/>
                <w:sz w:val="24"/>
                <w:szCs w:val="24"/>
              </w:rPr>
            </w:pPr>
            <w:r w:rsidRPr="008637AF">
              <w:rPr>
                <w:rFonts w:cstheme="minorHAnsi"/>
                <w:sz w:val="24"/>
                <w:szCs w:val="24"/>
              </w:rPr>
              <w:t>37.6%</w:t>
            </w:r>
          </w:p>
        </w:tc>
        <w:tc>
          <w:tcPr>
            <w:tcW w:w="458" w:type="pct"/>
          </w:tcPr>
          <w:p w14:paraId="4E212153" w14:textId="77777777" w:rsidR="00583E7C" w:rsidRPr="008637AF" w:rsidRDefault="00583E7C" w:rsidP="006E3C5B">
            <w:pPr>
              <w:spacing w:line="240" w:lineRule="auto"/>
              <w:jc w:val="both"/>
              <w:rPr>
                <w:rFonts w:cstheme="minorHAnsi"/>
                <w:sz w:val="24"/>
                <w:szCs w:val="24"/>
              </w:rPr>
            </w:pPr>
            <w:r w:rsidRPr="008637AF">
              <w:rPr>
                <w:rFonts w:cstheme="minorHAnsi"/>
                <w:sz w:val="24"/>
                <w:szCs w:val="24"/>
              </w:rPr>
              <w:t>32.3%</w:t>
            </w:r>
          </w:p>
        </w:tc>
        <w:tc>
          <w:tcPr>
            <w:tcW w:w="452" w:type="pct"/>
          </w:tcPr>
          <w:p w14:paraId="6808438B" w14:textId="77777777" w:rsidR="00583E7C" w:rsidRPr="008637AF" w:rsidRDefault="00583E7C" w:rsidP="006E3C5B">
            <w:pPr>
              <w:spacing w:line="240" w:lineRule="auto"/>
              <w:jc w:val="both"/>
              <w:rPr>
                <w:rFonts w:cstheme="minorHAnsi"/>
                <w:sz w:val="24"/>
                <w:szCs w:val="24"/>
              </w:rPr>
            </w:pPr>
            <w:r w:rsidRPr="008637AF">
              <w:rPr>
                <w:rFonts w:cstheme="minorHAnsi"/>
                <w:sz w:val="24"/>
                <w:szCs w:val="24"/>
              </w:rPr>
              <w:t>17.0%</w:t>
            </w:r>
          </w:p>
        </w:tc>
        <w:tc>
          <w:tcPr>
            <w:tcW w:w="454" w:type="pct"/>
          </w:tcPr>
          <w:p w14:paraId="201415E6" w14:textId="77777777" w:rsidR="00583E7C" w:rsidRPr="008637AF" w:rsidRDefault="00583E7C" w:rsidP="006E3C5B">
            <w:pPr>
              <w:spacing w:line="240" w:lineRule="auto"/>
              <w:jc w:val="both"/>
              <w:rPr>
                <w:rFonts w:cstheme="minorHAnsi"/>
                <w:sz w:val="24"/>
                <w:szCs w:val="24"/>
              </w:rPr>
            </w:pPr>
            <w:r w:rsidRPr="008637AF">
              <w:rPr>
                <w:rFonts w:cstheme="minorHAnsi"/>
                <w:sz w:val="24"/>
                <w:szCs w:val="24"/>
              </w:rPr>
              <w:t>34.6%</w:t>
            </w:r>
          </w:p>
        </w:tc>
      </w:tr>
      <w:tr w:rsidR="00583E7C" w:rsidRPr="008637AF" w14:paraId="4BE850CD" w14:textId="77777777" w:rsidTr="009024DA">
        <w:tc>
          <w:tcPr>
            <w:tcW w:w="995" w:type="pct"/>
          </w:tcPr>
          <w:p w14:paraId="2970A53C" w14:textId="77777777" w:rsidR="00583E7C" w:rsidRPr="008637AF" w:rsidRDefault="00583E7C" w:rsidP="006E3C5B">
            <w:pPr>
              <w:spacing w:line="240" w:lineRule="auto"/>
              <w:jc w:val="both"/>
              <w:rPr>
                <w:rFonts w:cstheme="minorHAnsi"/>
                <w:sz w:val="24"/>
                <w:szCs w:val="24"/>
              </w:rPr>
            </w:pPr>
            <w:r w:rsidRPr="008637AF">
              <w:rPr>
                <w:rFonts w:cstheme="minorHAnsi"/>
                <w:sz w:val="24"/>
                <w:szCs w:val="24"/>
              </w:rPr>
              <w:t>No</w:t>
            </w:r>
          </w:p>
        </w:tc>
        <w:tc>
          <w:tcPr>
            <w:tcW w:w="659" w:type="pct"/>
          </w:tcPr>
          <w:p w14:paraId="617FC317" w14:textId="77777777" w:rsidR="00583E7C" w:rsidRPr="008637AF" w:rsidRDefault="00583E7C" w:rsidP="006E3C5B">
            <w:pPr>
              <w:spacing w:line="240" w:lineRule="auto"/>
              <w:jc w:val="both"/>
              <w:rPr>
                <w:rFonts w:cstheme="minorHAnsi"/>
                <w:sz w:val="24"/>
                <w:szCs w:val="24"/>
              </w:rPr>
            </w:pPr>
            <w:r w:rsidRPr="008637AF">
              <w:rPr>
                <w:rFonts w:cstheme="minorHAnsi"/>
                <w:sz w:val="24"/>
                <w:szCs w:val="24"/>
              </w:rPr>
              <w:t>9.9%</w:t>
            </w:r>
          </w:p>
        </w:tc>
        <w:tc>
          <w:tcPr>
            <w:tcW w:w="617" w:type="pct"/>
          </w:tcPr>
          <w:p w14:paraId="7D6C3074" w14:textId="77777777" w:rsidR="00583E7C" w:rsidRPr="008637AF" w:rsidRDefault="00583E7C" w:rsidP="006E3C5B">
            <w:pPr>
              <w:spacing w:line="240" w:lineRule="auto"/>
              <w:jc w:val="both"/>
              <w:rPr>
                <w:rFonts w:cstheme="minorHAnsi"/>
                <w:sz w:val="24"/>
                <w:szCs w:val="24"/>
              </w:rPr>
            </w:pPr>
            <w:r w:rsidRPr="008637AF">
              <w:rPr>
                <w:rFonts w:cstheme="minorHAnsi"/>
                <w:sz w:val="24"/>
                <w:szCs w:val="24"/>
              </w:rPr>
              <w:t>35.7%</w:t>
            </w:r>
          </w:p>
        </w:tc>
        <w:tc>
          <w:tcPr>
            <w:tcW w:w="454" w:type="pct"/>
          </w:tcPr>
          <w:p w14:paraId="3A8BCFF2" w14:textId="77777777" w:rsidR="00583E7C" w:rsidRPr="008637AF" w:rsidRDefault="00583E7C" w:rsidP="006E3C5B">
            <w:pPr>
              <w:spacing w:line="240" w:lineRule="auto"/>
              <w:jc w:val="both"/>
              <w:rPr>
                <w:rFonts w:cstheme="minorHAnsi"/>
                <w:sz w:val="24"/>
                <w:szCs w:val="24"/>
              </w:rPr>
            </w:pPr>
            <w:r w:rsidRPr="008637AF">
              <w:rPr>
                <w:rFonts w:cstheme="minorHAnsi"/>
                <w:sz w:val="24"/>
                <w:szCs w:val="24"/>
              </w:rPr>
              <w:t>46.6%</w:t>
            </w:r>
          </w:p>
        </w:tc>
        <w:tc>
          <w:tcPr>
            <w:tcW w:w="455" w:type="pct"/>
          </w:tcPr>
          <w:p w14:paraId="20B54FDB" w14:textId="77777777" w:rsidR="00583E7C" w:rsidRPr="008637AF" w:rsidRDefault="00583E7C" w:rsidP="006E3C5B">
            <w:pPr>
              <w:spacing w:line="240" w:lineRule="auto"/>
              <w:jc w:val="both"/>
              <w:rPr>
                <w:rFonts w:cstheme="minorHAnsi"/>
                <w:sz w:val="24"/>
                <w:szCs w:val="24"/>
              </w:rPr>
            </w:pPr>
            <w:r w:rsidRPr="008637AF">
              <w:rPr>
                <w:rFonts w:cstheme="minorHAnsi"/>
                <w:sz w:val="24"/>
                <w:szCs w:val="24"/>
              </w:rPr>
              <w:t>34.0%</w:t>
            </w:r>
          </w:p>
        </w:tc>
        <w:tc>
          <w:tcPr>
            <w:tcW w:w="455" w:type="pct"/>
          </w:tcPr>
          <w:p w14:paraId="66C54F56" w14:textId="77777777" w:rsidR="00583E7C" w:rsidRPr="008637AF" w:rsidRDefault="00583E7C" w:rsidP="006E3C5B">
            <w:pPr>
              <w:spacing w:line="240" w:lineRule="auto"/>
              <w:jc w:val="both"/>
              <w:rPr>
                <w:rFonts w:cstheme="minorHAnsi"/>
                <w:sz w:val="24"/>
                <w:szCs w:val="24"/>
              </w:rPr>
            </w:pPr>
            <w:r w:rsidRPr="008637AF">
              <w:rPr>
                <w:rFonts w:cstheme="minorHAnsi"/>
                <w:sz w:val="24"/>
                <w:szCs w:val="24"/>
              </w:rPr>
              <w:t>30.6%</w:t>
            </w:r>
          </w:p>
        </w:tc>
        <w:tc>
          <w:tcPr>
            <w:tcW w:w="458" w:type="pct"/>
          </w:tcPr>
          <w:p w14:paraId="3A817AB9" w14:textId="77777777" w:rsidR="00583E7C" w:rsidRPr="008637AF" w:rsidRDefault="00583E7C" w:rsidP="006E3C5B">
            <w:pPr>
              <w:spacing w:line="240" w:lineRule="auto"/>
              <w:jc w:val="both"/>
              <w:rPr>
                <w:rFonts w:cstheme="minorHAnsi"/>
                <w:sz w:val="24"/>
                <w:szCs w:val="24"/>
              </w:rPr>
            </w:pPr>
            <w:r w:rsidRPr="008637AF">
              <w:rPr>
                <w:rFonts w:cstheme="minorHAnsi"/>
                <w:sz w:val="24"/>
                <w:szCs w:val="24"/>
              </w:rPr>
              <w:t>29.7%</w:t>
            </w:r>
          </w:p>
        </w:tc>
        <w:tc>
          <w:tcPr>
            <w:tcW w:w="452" w:type="pct"/>
          </w:tcPr>
          <w:p w14:paraId="144DD4F1" w14:textId="77777777" w:rsidR="00583E7C" w:rsidRPr="008637AF" w:rsidRDefault="00583E7C" w:rsidP="006E3C5B">
            <w:pPr>
              <w:spacing w:line="240" w:lineRule="auto"/>
              <w:jc w:val="both"/>
              <w:rPr>
                <w:rFonts w:cstheme="minorHAnsi"/>
                <w:sz w:val="24"/>
                <w:szCs w:val="24"/>
              </w:rPr>
            </w:pPr>
            <w:r w:rsidRPr="008637AF">
              <w:rPr>
                <w:rFonts w:cstheme="minorHAnsi"/>
                <w:sz w:val="24"/>
                <w:szCs w:val="24"/>
              </w:rPr>
              <w:t>38.4%</w:t>
            </w:r>
          </w:p>
        </w:tc>
        <w:tc>
          <w:tcPr>
            <w:tcW w:w="454" w:type="pct"/>
          </w:tcPr>
          <w:p w14:paraId="08EECAD7" w14:textId="77777777" w:rsidR="00583E7C" w:rsidRPr="008637AF" w:rsidRDefault="00583E7C" w:rsidP="006E3C5B">
            <w:pPr>
              <w:spacing w:line="240" w:lineRule="auto"/>
              <w:jc w:val="both"/>
              <w:rPr>
                <w:rFonts w:cstheme="minorHAnsi"/>
                <w:sz w:val="24"/>
                <w:szCs w:val="24"/>
              </w:rPr>
            </w:pPr>
            <w:r w:rsidRPr="008637AF">
              <w:rPr>
                <w:rFonts w:cstheme="minorHAnsi"/>
                <w:sz w:val="24"/>
                <w:szCs w:val="24"/>
              </w:rPr>
              <w:t>31.5%</w:t>
            </w:r>
          </w:p>
        </w:tc>
      </w:tr>
      <w:tr w:rsidR="00583E7C" w:rsidRPr="008637AF" w14:paraId="29A77F37" w14:textId="77777777" w:rsidTr="009024DA">
        <w:tc>
          <w:tcPr>
            <w:tcW w:w="995" w:type="pct"/>
          </w:tcPr>
          <w:p w14:paraId="2A70B93E" w14:textId="77777777" w:rsidR="00583E7C" w:rsidRPr="008637AF" w:rsidRDefault="00583E7C" w:rsidP="006E3C5B">
            <w:pPr>
              <w:spacing w:line="240" w:lineRule="auto"/>
              <w:jc w:val="both"/>
              <w:rPr>
                <w:rFonts w:cstheme="minorHAnsi"/>
                <w:sz w:val="24"/>
                <w:szCs w:val="24"/>
              </w:rPr>
            </w:pPr>
            <w:r w:rsidRPr="008637AF">
              <w:rPr>
                <w:rFonts w:cstheme="minorHAnsi"/>
                <w:sz w:val="24"/>
                <w:szCs w:val="24"/>
              </w:rPr>
              <w:t>I do not know</w:t>
            </w:r>
          </w:p>
        </w:tc>
        <w:tc>
          <w:tcPr>
            <w:tcW w:w="659" w:type="pct"/>
          </w:tcPr>
          <w:p w14:paraId="417F4129" w14:textId="77777777" w:rsidR="00583E7C" w:rsidRPr="008637AF" w:rsidRDefault="00583E7C" w:rsidP="006E3C5B">
            <w:pPr>
              <w:spacing w:line="240" w:lineRule="auto"/>
              <w:jc w:val="both"/>
              <w:rPr>
                <w:rFonts w:cstheme="minorHAnsi"/>
                <w:sz w:val="24"/>
                <w:szCs w:val="24"/>
              </w:rPr>
            </w:pPr>
            <w:r w:rsidRPr="008637AF">
              <w:rPr>
                <w:rFonts w:cstheme="minorHAnsi"/>
                <w:sz w:val="24"/>
                <w:szCs w:val="24"/>
              </w:rPr>
              <w:t>21.1%</w:t>
            </w:r>
          </w:p>
        </w:tc>
        <w:tc>
          <w:tcPr>
            <w:tcW w:w="617" w:type="pct"/>
          </w:tcPr>
          <w:p w14:paraId="49F3A03B" w14:textId="77777777" w:rsidR="00583E7C" w:rsidRPr="008637AF" w:rsidRDefault="00583E7C" w:rsidP="006E3C5B">
            <w:pPr>
              <w:spacing w:line="240" w:lineRule="auto"/>
              <w:jc w:val="both"/>
              <w:rPr>
                <w:rFonts w:cstheme="minorHAnsi"/>
                <w:sz w:val="24"/>
                <w:szCs w:val="24"/>
              </w:rPr>
            </w:pPr>
            <w:r w:rsidRPr="008637AF">
              <w:rPr>
                <w:rFonts w:cstheme="minorHAnsi"/>
                <w:sz w:val="24"/>
                <w:szCs w:val="24"/>
              </w:rPr>
              <w:t>24.4%</w:t>
            </w:r>
          </w:p>
        </w:tc>
        <w:tc>
          <w:tcPr>
            <w:tcW w:w="454" w:type="pct"/>
          </w:tcPr>
          <w:p w14:paraId="2256C536" w14:textId="77777777" w:rsidR="00583E7C" w:rsidRPr="008637AF" w:rsidRDefault="00583E7C" w:rsidP="006E3C5B">
            <w:pPr>
              <w:spacing w:line="240" w:lineRule="auto"/>
              <w:jc w:val="both"/>
              <w:rPr>
                <w:rFonts w:cstheme="minorHAnsi"/>
                <w:sz w:val="24"/>
                <w:szCs w:val="24"/>
              </w:rPr>
            </w:pPr>
            <w:r w:rsidRPr="008637AF">
              <w:rPr>
                <w:rFonts w:cstheme="minorHAnsi"/>
                <w:sz w:val="24"/>
                <w:szCs w:val="24"/>
              </w:rPr>
              <w:t>30.7%</w:t>
            </w:r>
          </w:p>
        </w:tc>
        <w:tc>
          <w:tcPr>
            <w:tcW w:w="455" w:type="pct"/>
          </w:tcPr>
          <w:p w14:paraId="75D870EC" w14:textId="77777777" w:rsidR="00583E7C" w:rsidRPr="008637AF" w:rsidRDefault="00583E7C" w:rsidP="006E3C5B">
            <w:pPr>
              <w:spacing w:line="240" w:lineRule="auto"/>
              <w:jc w:val="both"/>
              <w:rPr>
                <w:rFonts w:cstheme="minorHAnsi"/>
                <w:sz w:val="24"/>
                <w:szCs w:val="24"/>
              </w:rPr>
            </w:pPr>
            <w:r w:rsidRPr="008637AF">
              <w:rPr>
                <w:rFonts w:cstheme="minorHAnsi"/>
                <w:sz w:val="24"/>
                <w:szCs w:val="24"/>
              </w:rPr>
              <w:t>37.9%</w:t>
            </w:r>
          </w:p>
        </w:tc>
        <w:tc>
          <w:tcPr>
            <w:tcW w:w="455" w:type="pct"/>
          </w:tcPr>
          <w:p w14:paraId="0B70F271" w14:textId="77777777" w:rsidR="00583E7C" w:rsidRPr="008637AF" w:rsidRDefault="00583E7C" w:rsidP="006E3C5B">
            <w:pPr>
              <w:spacing w:line="240" w:lineRule="auto"/>
              <w:jc w:val="both"/>
              <w:rPr>
                <w:rFonts w:cstheme="minorHAnsi"/>
                <w:sz w:val="24"/>
                <w:szCs w:val="24"/>
              </w:rPr>
            </w:pPr>
            <w:r w:rsidRPr="008637AF">
              <w:rPr>
                <w:rFonts w:cstheme="minorHAnsi"/>
                <w:sz w:val="24"/>
                <w:szCs w:val="24"/>
              </w:rPr>
              <w:t>12.4%</w:t>
            </w:r>
          </w:p>
        </w:tc>
        <w:tc>
          <w:tcPr>
            <w:tcW w:w="458" w:type="pct"/>
          </w:tcPr>
          <w:p w14:paraId="07119153" w14:textId="77777777" w:rsidR="00583E7C" w:rsidRPr="008637AF" w:rsidRDefault="00583E7C" w:rsidP="006E3C5B">
            <w:pPr>
              <w:spacing w:line="240" w:lineRule="auto"/>
              <w:jc w:val="both"/>
              <w:rPr>
                <w:rFonts w:cstheme="minorHAnsi"/>
                <w:sz w:val="24"/>
                <w:szCs w:val="24"/>
              </w:rPr>
            </w:pPr>
            <w:r w:rsidRPr="008637AF">
              <w:rPr>
                <w:rFonts w:cstheme="minorHAnsi"/>
                <w:sz w:val="24"/>
                <w:szCs w:val="24"/>
              </w:rPr>
              <w:t>28.5%</w:t>
            </w:r>
          </w:p>
        </w:tc>
        <w:tc>
          <w:tcPr>
            <w:tcW w:w="452" w:type="pct"/>
          </w:tcPr>
          <w:p w14:paraId="4800E070" w14:textId="77777777" w:rsidR="00583E7C" w:rsidRPr="008637AF" w:rsidRDefault="00583E7C" w:rsidP="006E3C5B">
            <w:pPr>
              <w:spacing w:line="240" w:lineRule="auto"/>
              <w:jc w:val="both"/>
              <w:rPr>
                <w:rFonts w:cstheme="minorHAnsi"/>
                <w:sz w:val="24"/>
                <w:szCs w:val="24"/>
              </w:rPr>
            </w:pPr>
            <w:r w:rsidRPr="008637AF">
              <w:rPr>
                <w:rFonts w:cstheme="minorHAnsi"/>
                <w:sz w:val="24"/>
                <w:szCs w:val="24"/>
              </w:rPr>
              <w:t>41.1%</w:t>
            </w:r>
          </w:p>
        </w:tc>
        <w:tc>
          <w:tcPr>
            <w:tcW w:w="454" w:type="pct"/>
          </w:tcPr>
          <w:p w14:paraId="64AF06DF" w14:textId="77777777" w:rsidR="00583E7C" w:rsidRPr="008637AF" w:rsidRDefault="00583E7C" w:rsidP="006E3C5B">
            <w:pPr>
              <w:spacing w:line="240" w:lineRule="auto"/>
              <w:jc w:val="both"/>
              <w:rPr>
                <w:rFonts w:cstheme="minorHAnsi"/>
                <w:sz w:val="24"/>
                <w:szCs w:val="24"/>
              </w:rPr>
            </w:pPr>
            <w:r w:rsidRPr="008637AF">
              <w:rPr>
                <w:rFonts w:cstheme="minorHAnsi"/>
                <w:sz w:val="24"/>
                <w:szCs w:val="24"/>
              </w:rPr>
              <w:t>26.1%</w:t>
            </w:r>
          </w:p>
        </w:tc>
      </w:tr>
      <w:tr w:rsidR="008637AF" w:rsidRPr="008637AF" w14:paraId="3D3E5222" w14:textId="77777777" w:rsidTr="00583E7C">
        <w:tc>
          <w:tcPr>
            <w:tcW w:w="995" w:type="pct"/>
          </w:tcPr>
          <w:p w14:paraId="19C83188" w14:textId="77777777" w:rsidR="008637AF" w:rsidRPr="008637AF" w:rsidRDefault="008637AF" w:rsidP="006E3C5B">
            <w:pPr>
              <w:spacing w:line="240" w:lineRule="auto"/>
              <w:jc w:val="both"/>
              <w:rPr>
                <w:rFonts w:cstheme="minorHAnsi"/>
                <w:sz w:val="24"/>
                <w:szCs w:val="24"/>
              </w:rPr>
            </w:pPr>
            <w:r w:rsidRPr="008637AF">
              <w:rPr>
                <w:rFonts w:cstheme="minorHAnsi"/>
                <w:sz w:val="24"/>
                <w:szCs w:val="24"/>
              </w:rPr>
              <w:t xml:space="preserve">No response </w:t>
            </w:r>
          </w:p>
        </w:tc>
        <w:tc>
          <w:tcPr>
            <w:tcW w:w="659" w:type="pct"/>
          </w:tcPr>
          <w:p w14:paraId="3020EC00" w14:textId="77777777" w:rsidR="008637AF" w:rsidRPr="008637AF" w:rsidRDefault="008637AF" w:rsidP="006E3C5B">
            <w:pPr>
              <w:spacing w:line="240" w:lineRule="auto"/>
              <w:jc w:val="both"/>
              <w:rPr>
                <w:rFonts w:cstheme="minorHAnsi"/>
                <w:sz w:val="24"/>
                <w:szCs w:val="24"/>
              </w:rPr>
            </w:pPr>
            <w:r w:rsidRPr="008637AF">
              <w:rPr>
                <w:rFonts w:cstheme="minorHAnsi"/>
                <w:sz w:val="24"/>
                <w:szCs w:val="24"/>
              </w:rPr>
              <w:t>6.5%</w:t>
            </w:r>
          </w:p>
        </w:tc>
        <w:tc>
          <w:tcPr>
            <w:tcW w:w="617" w:type="pct"/>
          </w:tcPr>
          <w:p w14:paraId="7A0A7B50" w14:textId="77777777" w:rsidR="008637AF" w:rsidRPr="008637AF" w:rsidRDefault="008637AF" w:rsidP="006E3C5B">
            <w:pPr>
              <w:spacing w:line="240" w:lineRule="auto"/>
              <w:jc w:val="both"/>
              <w:rPr>
                <w:rFonts w:cstheme="minorHAnsi"/>
                <w:sz w:val="24"/>
                <w:szCs w:val="24"/>
              </w:rPr>
            </w:pPr>
            <w:r w:rsidRPr="008637AF">
              <w:rPr>
                <w:rFonts w:cstheme="minorHAnsi"/>
                <w:sz w:val="24"/>
                <w:szCs w:val="24"/>
              </w:rPr>
              <w:t>0.6%</w:t>
            </w:r>
          </w:p>
        </w:tc>
        <w:tc>
          <w:tcPr>
            <w:tcW w:w="454" w:type="pct"/>
          </w:tcPr>
          <w:p w14:paraId="7F29988E" w14:textId="77777777" w:rsidR="008637AF" w:rsidRPr="008637AF" w:rsidRDefault="008637AF" w:rsidP="006E3C5B">
            <w:pPr>
              <w:spacing w:line="240" w:lineRule="auto"/>
              <w:jc w:val="both"/>
              <w:rPr>
                <w:rFonts w:cstheme="minorHAnsi"/>
                <w:sz w:val="24"/>
                <w:szCs w:val="24"/>
              </w:rPr>
            </w:pPr>
            <w:r w:rsidRPr="008637AF">
              <w:rPr>
                <w:rFonts w:cstheme="minorHAnsi"/>
                <w:sz w:val="24"/>
                <w:szCs w:val="24"/>
              </w:rPr>
              <w:t>4.5%</w:t>
            </w:r>
          </w:p>
        </w:tc>
        <w:tc>
          <w:tcPr>
            <w:tcW w:w="455" w:type="pct"/>
          </w:tcPr>
          <w:p w14:paraId="79CE8062" w14:textId="77777777" w:rsidR="008637AF" w:rsidRPr="008637AF" w:rsidRDefault="008637AF" w:rsidP="006E3C5B">
            <w:pPr>
              <w:spacing w:line="240" w:lineRule="auto"/>
              <w:jc w:val="both"/>
              <w:rPr>
                <w:rFonts w:cstheme="minorHAnsi"/>
                <w:sz w:val="24"/>
                <w:szCs w:val="24"/>
              </w:rPr>
            </w:pPr>
            <w:r w:rsidRPr="008637AF">
              <w:rPr>
                <w:rFonts w:cstheme="minorHAnsi"/>
                <w:sz w:val="24"/>
                <w:szCs w:val="24"/>
              </w:rPr>
              <w:t>6.5%</w:t>
            </w:r>
          </w:p>
        </w:tc>
        <w:tc>
          <w:tcPr>
            <w:tcW w:w="455" w:type="pct"/>
          </w:tcPr>
          <w:p w14:paraId="02203919" w14:textId="77777777" w:rsidR="008637AF" w:rsidRPr="008637AF" w:rsidRDefault="008637AF" w:rsidP="006E3C5B">
            <w:pPr>
              <w:spacing w:line="240" w:lineRule="auto"/>
              <w:jc w:val="both"/>
              <w:rPr>
                <w:rFonts w:cstheme="minorHAnsi"/>
                <w:sz w:val="24"/>
                <w:szCs w:val="24"/>
              </w:rPr>
            </w:pPr>
            <w:r w:rsidRPr="008637AF">
              <w:rPr>
                <w:rFonts w:cstheme="minorHAnsi"/>
                <w:sz w:val="24"/>
                <w:szCs w:val="24"/>
              </w:rPr>
              <w:t>19.4%</w:t>
            </w:r>
          </w:p>
        </w:tc>
        <w:tc>
          <w:tcPr>
            <w:tcW w:w="458" w:type="pct"/>
          </w:tcPr>
          <w:p w14:paraId="293B338C" w14:textId="77777777" w:rsidR="008637AF" w:rsidRPr="008637AF" w:rsidRDefault="008637AF" w:rsidP="006E3C5B">
            <w:pPr>
              <w:spacing w:line="240" w:lineRule="auto"/>
              <w:jc w:val="both"/>
              <w:rPr>
                <w:rFonts w:cstheme="minorHAnsi"/>
                <w:sz w:val="24"/>
                <w:szCs w:val="24"/>
              </w:rPr>
            </w:pPr>
            <w:r w:rsidRPr="008637AF">
              <w:rPr>
                <w:rFonts w:cstheme="minorHAnsi"/>
                <w:sz w:val="24"/>
                <w:szCs w:val="24"/>
              </w:rPr>
              <w:t>9.5%</w:t>
            </w:r>
          </w:p>
        </w:tc>
        <w:tc>
          <w:tcPr>
            <w:tcW w:w="452" w:type="pct"/>
          </w:tcPr>
          <w:p w14:paraId="5F3555EE" w14:textId="77777777" w:rsidR="008637AF" w:rsidRPr="008637AF" w:rsidRDefault="008637AF" w:rsidP="006E3C5B">
            <w:pPr>
              <w:spacing w:line="240" w:lineRule="auto"/>
              <w:jc w:val="both"/>
              <w:rPr>
                <w:rFonts w:cstheme="minorHAnsi"/>
                <w:sz w:val="24"/>
                <w:szCs w:val="24"/>
              </w:rPr>
            </w:pPr>
            <w:r w:rsidRPr="008637AF">
              <w:rPr>
                <w:rFonts w:cstheme="minorHAnsi"/>
                <w:sz w:val="24"/>
                <w:szCs w:val="24"/>
              </w:rPr>
              <w:t>3.6%</w:t>
            </w:r>
          </w:p>
        </w:tc>
        <w:tc>
          <w:tcPr>
            <w:tcW w:w="454" w:type="pct"/>
          </w:tcPr>
          <w:p w14:paraId="1C2E74AA" w14:textId="77777777" w:rsidR="008637AF" w:rsidRPr="008637AF" w:rsidRDefault="008637AF" w:rsidP="006E3C5B">
            <w:pPr>
              <w:spacing w:line="240" w:lineRule="auto"/>
              <w:jc w:val="both"/>
              <w:rPr>
                <w:rFonts w:cstheme="minorHAnsi"/>
                <w:sz w:val="24"/>
                <w:szCs w:val="24"/>
              </w:rPr>
            </w:pPr>
            <w:r w:rsidRPr="008637AF">
              <w:rPr>
                <w:rFonts w:cstheme="minorHAnsi"/>
                <w:sz w:val="24"/>
                <w:szCs w:val="24"/>
              </w:rPr>
              <w:t>7.8%</w:t>
            </w:r>
          </w:p>
        </w:tc>
      </w:tr>
    </w:tbl>
    <w:p w14:paraId="1AE1BAEB" w14:textId="77777777" w:rsidR="008637AF" w:rsidRPr="008637AF" w:rsidRDefault="008637AF" w:rsidP="006E3C5B">
      <w:pPr>
        <w:spacing w:line="240" w:lineRule="auto"/>
        <w:jc w:val="both"/>
        <w:rPr>
          <w:rFonts w:cstheme="minorHAnsi"/>
          <w:i/>
          <w:iCs/>
          <w:sz w:val="24"/>
          <w:szCs w:val="24"/>
        </w:rPr>
      </w:pPr>
      <w:r w:rsidRPr="008637AF">
        <w:rPr>
          <w:rFonts w:cstheme="minorHAnsi"/>
          <w:i/>
          <w:iCs/>
          <w:sz w:val="24"/>
          <w:szCs w:val="24"/>
        </w:rPr>
        <w:t xml:space="preserve">Table </w:t>
      </w:r>
      <w:r w:rsidRPr="008637AF">
        <w:rPr>
          <w:rFonts w:cstheme="minorHAnsi"/>
          <w:i/>
          <w:iCs/>
          <w:sz w:val="24"/>
          <w:szCs w:val="24"/>
        </w:rPr>
        <w:fldChar w:fldCharType="begin"/>
      </w:r>
      <w:r w:rsidRPr="008637AF">
        <w:rPr>
          <w:rFonts w:cstheme="minorHAnsi"/>
          <w:i/>
          <w:iCs/>
          <w:sz w:val="24"/>
          <w:szCs w:val="24"/>
        </w:rPr>
        <w:instrText xml:space="preserve"> SEQ Table \* ARABIC </w:instrText>
      </w:r>
      <w:r w:rsidRPr="008637AF">
        <w:rPr>
          <w:rFonts w:cstheme="minorHAnsi"/>
          <w:i/>
          <w:iCs/>
          <w:sz w:val="24"/>
          <w:szCs w:val="24"/>
        </w:rPr>
        <w:fldChar w:fldCharType="separate"/>
      </w:r>
      <w:r w:rsidRPr="008637AF">
        <w:rPr>
          <w:rFonts w:cstheme="minorHAnsi"/>
          <w:i/>
          <w:iCs/>
          <w:sz w:val="24"/>
          <w:szCs w:val="24"/>
        </w:rPr>
        <w:t>3</w:t>
      </w:r>
      <w:r w:rsidRPr="008637AF">
        <w:rPr>
          <w:rFonts w:cstheme="minorHAnsi"/>
          <w:sz w:val="24"/>
          <w:szCs w:val="24"/>
        </w:rPr>
        <w:fldChar w:fldCharType="end"/>
      </w:r>
      <w:r w:rsidRPr="008637AF">
        <w:rPr>
          <w:rFonts w:cstheme="minorHAnsi"/>
          <w:i/>
          <w:iCs/>
          <w:sz w:val="24"/>
          <w:szCs w:val="24"/>
        </w:rPr>
        <w:t xml:space="preserve"> Knowledge of interventions and activities to promote gender equality in your community by states</w:t>
      </w:r>
    </w:p>
    <w:p w14:paraId="60CC97AB" w14:textId="77777777" w:rsidR="008637AF" w:rsidRPr="008637AF" w:rsidRDefault="008637AF" w:rsidP="006E3C5B">
      <w:pPr>
        <w:spacing w:line="240" w:lineRule="auto"/>
        <w:jc w:val="both"/>
        <w:rPr>
          <w:rFonts w:cstheme="minorHAnsi"/>
          <w:sz w:val="24"/>
          <w:szCs w:val="24"/>
        </w:rPr>
      </w:pPr>
      <w:r w:rsidRPr="008637AF">
        <w:rPr>
          <w:rFonts w:cstheme="minorHAnsi"/>
          <w:sz w:val="24"/>
          <w:szCs w:val="24"/>
        </w:rPr>
        <w:t>The poor knowledge of policies among citizens and in some instances policy makers may explain why outcomes deviate from what is expected in policy statements. Investment into citizen engagement in policy formulation and implementation will prove useful, especially in ensuring the success of gender and gender-related policies.</w:t>
      </w:r>
    </w:p>
    <w:p w14:paraId="23E37435" w14:textId="77777777" w:rsidR="008637AF" w:rsidRPr="008637AF" w:rsidRDefault="008637AF" w:rsidP="006E3C5B">
      <w:pPr>
        <w:spacing w:line="240" w:lineRule="auto"/>
        <w:jc w:val="both"/>
        <w:rPr>
          <w:rFonts w:cstheme="minorHAnsi"/>
          <w:sz w:val="24"/>
          <w:szCs w:val="24"/>
        </w:rPr>
      </w:pPr>
    </w:p>
    <w:p w14:paraId="67EDDD1C" w14:textId="77777777" w:rsidR="00991A1C" w:rsidRDefault="00681F77" w:rsidP="006E3C5B">
      <w:pPr>
        <w:spacing w:line="240" w:lineRule="auto"/>
        <w:jc w:val="both"/>
        <w:rPr>
          <w:sz w:val="24"/>
          <w:szCs w:val="24"/>
        </w:rPr>
      </w:pPr>
      <w:r>
        <w:rPr>
          <w:sz w:val="24"/>
          <w:szCs w:val="24"/>
        </w:rPr>
        <w:br w:type="page"/>
      </w:r>
    </w:p>
    <w:p w14:paraId="2B485C6E" w14:textId="77777777" w:rsidR="00A441FB" w:rsidRDefault="009A4FD6" w:rsidP="00E75191">
      <w:pPr>
        <w:spacing w:line="240" w:lineRule="auto"/>
        <w:jc w:val="both"/>
        <w:rPr>
          <w:sz w:val="24"/>
          <w:szCs w:val="24"/>
        </w:rPr>
      </w:pPr>
      <w:r w:rsidRPr="009A4FD6">
        <w:rPr>
          <w:noProof/>
          <w:lang w:val="en-IE" w:eastAsia="en-IE"/>
        </w:rPr>
        <w:lastRenderedPageBreak/>
        <mc:AlternateContent>
          <mc:Choice Requires="wps">
            <w:drawing>
              <wp:anchor distT="0" distB="0" distL="114300" distR="114300" simplePos="0" relativeHeight="251677696" behindDoc="0" locked="0" layoutInCell="1" allowOverlap="1" wp14:anchorId="3C767D0C" wp14:editId="28A81AAA">
                <wp:simplePos x="0" y="0"/>
                <wp:positionH relativeFrom="column">
                  <wp:posOffset>-193675</wp:posOffset>
                </wp:positionH>
                <wp:positionV relativeFrom="paragraph">
                  <wp:posOffset>260985</wp:posOffset>
                </wp:positionV>
                <wp:extent cx="5800725" cy="1403985"/>
                <wp:effectExtent l="0" t="0" r="28575" b="1270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403985"/>
                        </a:xfrm>
                        <a:prstGeom prst="rect">
                          <a:avLst/>
                        </a:prstGeom>
                        <a:solidFill>
                          <a:schemeClr val="accent1">
                            <a:lumMod val="60000"/>
                            <a:lumOff val="40000"/>
                          </a:schemeClr>
                        </a:solidFill>
                        <a:ln w="9525">
                          <a:solidFill>
                            <a:schemeClr val="accent1">
                              <a:lumMod val="60000"/>
                              <a:lumOff val="40000"/>
                            </a:schemeClr>
                          </a:solidFill>
                          <a:miter lim="800000"/>
                          <a:headEnd/>
                          <a:tailEnd/>
                        </a:ln>
                      </wps:spPr>
                      <wps:txbx>
                        <w:txbxContent>
                          <w:p w14:paraId="2CFD40BC" w14:textId="77777777" w:rsidR="006D6A0C" w:rsidRPr="00125047" w:rsidRDefault="006D6A0C" w:rsidP="00125047">
                            <w:pPr>
                              <w:pStyle w:val="Heading1"/>
                              <w:rPr>
                                <w:color w:val="auto"/>
                                <w:sz w:val="56"/>
                                <w:szCs w:val="56"/>
                              </w:rPr>
                            </w:pPr>
                            <w:bookmarkStart w:id="13" w:name="_Toc81228156"/>
                            <w:bookmarkStart w:id="14" w:name="_Toc81228278"/>
                            <w:bookmarkStart w:id="15" w:name="_Toc81229090"/>
                            <w:r w:rsidRPr="00125047">
                              <w:rPr>
                                <w:color w:val="auto"/>
                                <w:sz w:val="56"/>
                                <w:szCs w:val="56"/>
                              </w:rPr>
                              <w:t>3. Thematic Analysis</w:t>
                            </w:r>
                            <w:bookmarkEnd w:id="13"/>
                            <w:bookmarkEnd w:id="14"/>
                            <w:bookmarkEnd w:id="15"/>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C767D0C" id="_x0000_s1029" type="#_x0000_t202" style="position:absolute;left:0;text-align:left;margin-left:-15.25pt;margin-top:20.55pt;width:456.75pt;height:110.55pt;z-index:2516776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" fillcolor="#9cc2e5 [1940]" strokecolor="#9cc2e5 [1940]">
                <v:textbox style="mso-fit-shape-to-text:t">
                  <w:txbxContent>
                    <w:p w:rsidR="006D6A0C" w:rsidRPr="00125047" w:rsidRDefault="006D6A0C" w:rsidP="00125047">
                      <w:pPr>
                        <w:pStyle w:val="Heading1"/>
                        <w:rPr>
                          <w:color w:val="auto"/>
                          <w:sz w:val="56"/>
                          <w:szCs w:val="56"/>
                        </w:rPr>
                      </w:pPr>
                      <w:bookmarkStart w:id="20" w:name="_Toc81228156"/>
                      <w:bookmarkStart w:id="21" w:name="_Toc81228278"/>
                      <w:bookmarkStart w:id="22" w:name="_Toc81229090"/>
                      <w:r w:rsidRPr="00125047">
                        <w:rPr>
                          <w:color w:val="auto"/>
                          <w:sz w:val="56"/>
                          <w:szCs w:val="56"/>
                        </w:rPr>
                        <w:t>3. Thematic Analysis</w:t>
                      </w:r>
                      <w:bookmarkEnd w:id="20"/>
                      <w:bookmarkEnd w:id="21"/>
                      <w:bookmarkEnd w:id="22"/>
                    </w:p>
                  </w:txbxContent>
                </v:textbox>
              </v:shape>
            </w:pict>
          </mc:Fallback>
        </mc:AlternateContent>
      </w:r>
    </w:p>
    <w:p w14:paraId="0AA934AE" w14:textId="77777777" w:rsidR="00A441FB" w:rsidRDefault="00A441FB" w:rsidP="00E75191">
      <w:pPr>
        <w:spacing w:line="240" w:lineRule="auto"/>
        <w:jc w:val="both"/>
        <w:rPr>
          <w:sz w:val="24"/>
          <w:szCs w:val="24"/>
        </w:rPr>
      </w:pPr>
    </w:p>
    <w:p w14:paraId="1856BC86" w14:textId="77777777" w:rsidR="009A4FD6" w:rsidRDefault="009A4FD6" w:rsidP="009A4FD6">
      <w:pPr>
        <w:rPr>
          <w:lang w:val="en-US"/>
        </w:rPr>
      </w:pPr>
    </w:p>
    <w:p w14:paraId="528B14D4" w14:textId="77777777" w:rsidR="00125047" w:rsidRDefault="00125047" w:rsidP="009A4FD6">
      <w:pPr>
        <w:rPr>
          <w:lang w:val="en-US"/>
        </w:rPr>
      </w:pPr>
    </w:p>
    <w:p w14:paraId="3CAAF30A" w14:textId="77777777" w:rsidR="00E75191" w:rsidRPr="009A4FD6" w:rsidRDefault="004A164E" w:rsidP="009A4FD6">
      <w:pPr>
        <w:rPr>
          <w:lang w:val="en-US"/>
        </w:rPr>
      </w:pPr>
      <w:r w:rsidRPr="009A4FD6">
        <w:rPr>
          <w:lang w:val="en-US"/>
        </w:rPr>
        <w:t xml:space="preserve">Gender equality is a cross cutting issue, reflected in all spheres of life. In the sections below, the Report addresses gender equality across a variety </w:t>
      </w:r>
      <w:r w:rsidR="00547CC9" w:rsidRPr="009A4FD6">
        <w:rPr>
          <w:lang w:val="en-US"/>
        </w:rPr>
        <w:t xml:space="preserve">of domains, spheres and sectors.  The themes captured in this Report are: poverty and inequality, enterprise and work, </w:t>
      </w:r>
      <w:r w:rsidR="00EA3348" w:rsidRPr="009A4FD6">
        <w:rPr>
          <w:lang w:val="en-US"/>
        </w:rPr>
        <w:t xml:space="preserve">peace and security, </w:t>
      </w:r>
      <w:r w:rsidR="00547CC9" w:rsidRPr="009A4FD6">
        <w:rPr>
          <w:lang w:val="en-US"/>
        </w:rPr>
        <w:t xml:space="preserve">health, education, climate change, </w:t>
      </w:r>
      <w:r w:rsidR="00EA3348" w:rsidRPr="009A4FD6">
        <w:rPr>
          <w:lang w:val="en-US"/>
        </w:rPr>
        <w:t xml:space="preserve">and digitalization. We also consider gender norms which is a major cross-cutting issue. </w:t>
      </w:r>
      <w:r w:rsidR="00547CC9" w:rsidRPr="009A4FD6">
        <w:rPr>
          <w:lang w:val="en-US"/>
        </w:rPr>
        <w:t xml:space="preserve">Although the themes are not </w:t>
      </w:r>
      <w:r w:rsidR="00EA3348" w:rsidRPr="009A4FD6">
        <w:rPr>
          <w:lang w:val="en-US"/>
        </w:rPr>
        <w:t xml:space="preserve">necessarily </w:t>
      </w:r>
      <w:r w:rsidR="00547CC9" w:rsidRPr="009A4FD6">
        <w:rPr>
          <w:lang w:val="en-US"/>
        </w:rPr>
        <w:t xml:space="preserve">exhaustive, </w:t>
      </w:r>
      <w:r w:rsidR="00EA3348" w:rsidRPr="009A4FD6">
        <w:rPr>
          <w:lang w:val="en-US"/>
        </w:rPr>
        <w:t xml:space="preserve">in our view they provide a broad </w:t>
      </w:r>
      <w:r w:rsidR="00547CC9" w:rsidRPr="009A4FD6">
        <w:rPr>
          <w:lang w:val="en-US"/>
        </w:rPr>
        <w:t xml:space="preserve">account of gender equality (and inequality) across important spheres and sectors of activity in the Nigerian context. The analysis draws extensively from previous research in addition to the primary research conducted by the </w:t>
      </w:r>
      <w:r w:rsidR="00681F77" w:rsidRPr="009A4FD6">
        <w:rPr>
          <w:lang w:val="en-US"/>
        </w:rPr>
        <w:t>c</w:t>
      </w:r>
      <w:r w:rsidR="00547CC9" w:rsidRPr="009A4FD6">
        <w:rPr>
          <w:lang w:val="en-US"/>
        </w:rPr>
        <w:t xml:space="preserve">onsultants. </w:t>
      </w:r>
      <w:r w:rsidRPr="009A4FD6">
        <w:rPr>
          <w:lang w:val="en-US"/>
        </w:rPr>
        <w:t xml:space="preserve"> </w:t>
      </w:r>
    </w:p>
    <w:p w14:paraId="053AA14D" w14:textId="77777777" w:rsidR="00E75191" w:rsidRDefault="00E75191">
      <w:pPr>
        <w:rPr>
          <w:sz w:val="24"/>
          <w:szCs w:val="24"/>
          <w:lang w:val="en-US"/>
        </w:rPr>
      </w:pPr>
      <w:r>
        <w:rPr>
          <w:sz w:val="24"/>
          <w:szCs w:val="24"/>
          <w:lang w:val="en-US"/>
        </w:rPr>
        <w:br w:type="page"/>
      </w:r>
    </w:p>
    <w:p w14:paraId="354AB235" w14:textId="77777777" w:rsidR="00947179" w:rsidRDefault="00947179" w:rsidP="00E75191">
      <w:pPr>
        <w:spacing w:line="240" w:lineRule="auto"/>
        <w:jc w:val="both"/>
      </w:pPr>
    </w:p>
    <w:p w14:paraId="0DA36DAE" w14:textId="77777777" w:rsidR="00681F77" w:rsidRDefault="00681F77" w:rsidP="00E75191">
      <w:pPr>
        <w:spacing w:line="240" w:lineRule="auto"/>
      </w:pPr>
      <w:r>
        <w:rPr>
          <w:noProof/>
          <w:lang w:val="en-IE" w:eastAsia="en-IE"/>
        </w:rPr>
        <mc:AlternateContent>
          <mc:Choice Requires="wps">
            <w:drawing>
              <wp:anchor distT="0" distB="0" distL="114300" distR="114300" simplePos="0" relativeHeight="251713536" behindDoc="0" locked="0" layoutInCell="1" allowOverlap="1" wp14:anchorId="5413B569" wp14:editId="13236C31">
                <wp:simplePos x="0" y="0"/>
                <wp:positionH relativeFrom="column">
                  <wp:posOffset>0</wp:posOffset>
                </wp:positionH>
                <wp:positionV relativeFrom="paragraph">
                  <wp:posOffset>-635</wp:posOffset>
                </wp:positionV>
                <wp:extent cx="5800725" cy="1403985"/>
                <wp:effectExtent l="0" t="0" r="28575" b="12700"/>
                <wp:wrapNone/>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403985"/>
                        </a:xfrm>
                        <a:prstGeom prst="rect">
                          <a:avLst/>
                        </a:prstGeom>
                        <a:solidFill>
                          <a:schemeClr val="accent1">
                            <a:lumMod val="60000"/>
                            <a:lumOff val="40000"/>
                          </a:schemeClr>
                        </a:solidFill>
                        <a:ln w="9525">
                          <a:solidFill>
                            <a:schemeClr val="accent1">
                              <a:lumMod val="60000"/>
                              <a:lumOff val="40000"/>
                            </a:schemeClr>
                          </a:solidFill>
                          <a:miter lim="800000"/>
                          <a:headEnd/>
                          <a:tailEnd/>
                        </a:ln>
                      </wps:spPr>
                      <wps:txbx>
                        <w:txbxContent>
                          <w:p w14:paraId="2A1E40FF" w14:textId="77777777" w:rsidR="006D6A0C" w:rsidRPr="00125047" w:rsidRDefault="006D6A0C" w:rsidP="00125047">
                            <w:pPr>
                              <w:pStyle w:val="Heading1"/>
                              <w:rPr>
                                <w:color w:val="auto"/>
                                <w:sz w:val="56"/>
                                <w:szCs w:val="56"/>
                              </w:rPr>
                            </w:pPr>
                            <w:bookmarkStart w:id="16" w:name="_Toc81228158"/>
                            <w:bookmarkStart w:id="17" w:name="_Toc81228280"/>
                            <w:bookmarkStart w:id="18" w:name="_Toc81229091"/>
                            <w:r w:rsidRPr="00125047">
                              <w:rPr>
                                <w:color w:val="auto"/>
                                <w:sz w:val="56"/>
                                <w:szCs w:val="56"/>
                              </w:rPr>
                              <w:t>3.1 Gender Norms</w:t>
                            </w:r>
                            <w:bookmarkEnd w:id="16"/>
                            <w:bookmarkEnd w:id="17"/>
                            <w:bookmarkEnd w:id="18"/>
                            <w:r w:rsidRPr="00125047">
                              <w:rPr>
                                <w:color w:val="auto"/>
                                <w:sz w:val="56"/>
                                <w:szCs w:val="56"/>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413B569" id="_x0000_s1030" type="#_x0000_t202" style="position:absolute;margin-left:0;margin-top:-.05pt;width:456.75pt;height:110.55pt;z-index:2517135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" fillcolor="#9cc2e5 [1940]" strokecolor="#9cc2e5 [1940]">
                <v:textbox style="mso-fit-shape-to-text:t">
                  <w:txbxContent>
                    <w:p w:rsidR="006D6A0C" w:rsidRPr="00125047" w:rsidRDefault="006D6A0C" w:rsidP="00125047">
                      <w:pPr>
                        <w:pStyle w:val="Heading1"/>
                        <w:rPr>
                          <w:color w:val="auto"/>
                          <w:sz w:val="56"/>
                          <w:szCs w:val="56"/>
                        </w:rPr>
                      </w:pPr>
                      <w:bookmarkStart w:id="26" w:name="_Toc81228158"/>
                      <w:bookmarkStart w:id="27" w:name="_Toc81228280"/>
                      <w:bookmarkStart w:id="28" w:name="_Toc81229091"/>
                      <w:r w:rsidRPr="00125047">
                        <w:rPr>
                          <w:color w:val="auto"/>
                          <w:sz w:val="56"/>
                          <w:szCs w:val="56"/>
                        </w:rPr>
                        <w:t>3.1 Gender Norms</w:t>
                      </w:r>
                      <w:bookmarkEnd w:id="26"/>
                      <w:bookmarkEnd w:id="27"/>
                      <w:bookmarkEnd w:id="28"/>
                      <w:r w:rsidRPr="00125047">
                        <w:rPr>
                          <w:color w:val="auto"/>
                          <w:sz w:val="56"/>
                          <w:szCs w:val="56"/>
                        </w:rPr>
                        <w:t xml:space="preserve"> </w:t>
                      </w:r>
                    </w:p>
                  </w:txbxContent>
                </v:textbox>
              </v:shape>
            </w:pict>
          </mc:Fallback>
        </mc:AlternateContent>
      </w:r>
    </w:p>
    <w:p w14:paraId="65B045C2" w14:textId="77777777" w:rsidR="00681F77" w:rsidRPr="00947179" w:rsidRDefault="00681F77" w:rsidP="00E75191">
      <w:pPr>
        <w:spacing w:line="240" w:lineRule="auto"/>
      </w:pPr>
    </w:p>
    <w:p w14:paraId="36711C7D" w14:textId="77777777" w:rsidR="005E5C69" w:rsidRDefault="004A164E" w:rsidP="00E75191">
      <w:pPr>
        <w:spacing w:line="240" w:lineRule="auto"/>
        <w:jc w:val="both"/>
        <w:rPr>
          <w:sz w:val="24"/>
          <w:szCs w:val="24"/>
        </w:rPr>
      </w:pPr>
      <w:r w:rsidRPr="00F974D2">
        <w:rPr>
          <w:sz w:val="24"/>
          <w:szCs w:val="24"/>
          <w:lang w:val="en-US"/>
        </w:rPr>
        <w:t>One of the key</w:t>
      </w:r>
      <w:r w:rsidR="00AC0BF4" w:rsidRPr="00F974D2">
        <w:rPr>
          <w:sz w:val="24"/>
          <w:szCs w:val="24"/>
          <w:lang w:val="en-US"/>
        </w:rPr>
        <w:t xml:space="preserve"> cross-cutting issues that came</w:t>
      </w:r>
      <w:r w:rsidRPr="00F974D2">
        <w:rPr>
          <w:sz w:val="24"/>
          <w:szCs w:val="24"/>
          <w:lang w:val="en-US"/>
        </w:rPr>
        <w:t xml:space="preserve"> out of the qualitative study was how gender norms affect the way gender equality is reflected across a number of issues. </w:t>
      </w:r>
      <w:r w:rsidR="00EA3348">
        <w:rPr>
          <w:sz w:val="24"/>
          <w:szCs w:val="24"/>
          <w:lang w:val="en-US"/>
        </w:rPr>
        <w:t>It is therefore necessary to address this first as it underlies the gender dynamics across the rest of the themes.</w:t>
      </w:r>
      <w:r w:rsidRPr="00F974D2">
        <w:rPr>
          <w:sz w:val="24"/>
          <w:szCs w:val="24"/>
          <w:lang w:val="en-US"/>
        </w:rPr>
        <w:t xml:space="preserve"> </w:t>
      </w:r>
      <w:r w:rsidR="00947179" w:rsidRPr="00F974D2">
        <w:rPr>
          <w:sz w:val="24"/>
          <w:szCs w:val="24"/>
        </w:rPr>
        <w:t>Gender</w:t>
      </w:r>
      <w:r w:rsidR="005E5C69">
        <w:rPr>
          <w:sz w:val="24"/>
          <w:szCs w:val="24"/>
        </w:rPr>
        <w:t xml:space="preserve"> norms describe “</w:t>
      </w:r>
      <w:r w:rsidR="005E5C69" w:rsidRPr="005E5C69">
        <w:rPr>
          <w:sz w:val="24"/>
          <w:szCs w:val="24"/>
        </w:rPr>
        <w:t xml:space="preserve">a subset of social norms that relate specifically </w:t>
      </w:r>
      <w:r w:rsidR="005E5C69">
        <w:rPr>
          <w:sz w:val="24"/>
          <w:szCs w:val="24"/>
        </w:rPr>
        <w:t>to gender differences. T</w:t>
      </w:r>
      <w:r w:rsidR="005E5C69" w:rsidRPr="005E5C69">
        <w:rPr>
          <w:sz w:val="24"/>
          <w:szCs w:val="24"/>
        </w:rPr>
        <w:t>hey are informal, deeply entrenched and widely held beliefs about gender roles, power relations, standards or expectations that govern human behaviours and practices in a particular social context and at a particular time. They are ideas or ‘rules’ about how girls and boys and women</w:t>
      </w:r>
      <w:r w:rsidR="005E5C69">
        <w:rPr>
          <w:sz w:val="24"/>
          <w:szCs w:val="24"/>
        </w:rPr>
        <w:t xml:space="preserve"> </w:t>
      </w:r>
      <w:r w:rsidR="005E5C69" w:rsidRPr="005E5C69">
        <w:rPr>
          <w:sz w:val="24"/>
          <w:szCs w:val="24"/>
        </w:rPr>
        <w:t>and men are expected to be and to act. People internalize and learn these ‘rules’ early in life</w:t>
      </w:r>
      <w:r w:rsidR="005E5C69">
        <w:rPr>
          <w:sz w:val="24"/>
          <w:szCs w:val="24"/>
        </w:rPr>
        <w:t>.”</w:t>
      </w:r>
      <w:r w:rsidR="005E5C69">
        <w:rPr>
          <w:rStyle w:val="FootnoteReference"/>
          <w:sz w:val="24"/>
          <w:szCs w:val="24"/>
        </w:rPr>
        <w:footnoteReference w:id="26"/>
      </w:r>
      <w:r w:rsidR="0000109E" w:rsidRPr="00F974D2">
        <w:rPr>
          <w:sz w:val="24"/>
          <w:szCs w:val="24"/>
        </w:rPr>
        <w:t xml:space="preserve"> </w:t>
      </w:r>
      <w:r w:rsidR="00A01CD3">
        <w:rPr>
          <w:sz w:val="24"/>
          <w:szCs w:val="24"/>
        </w:rPr>
        <w:t>Gender</w:t>
      </w:r>
      <w:r w:rsidR="00A01CD3" w:rsidRPr="00A01CD3">
        <w:rPr>
          <w:sz w:val="24"/>
          <w:szCs w:val="24"/>
        </w:rPr>
        <w:t xml:space="preserve"> </w:t>
      </w:r>
      <w:r w:rsidR="00A01CD3">
        <w:rPr>
          <w:sz w:val="24"/>
          <w:szCs w:val="24"/>
        </w:rPr>
        <w:t>norms</w:t>
      </w:r>
      <w:r w:rsidR="00A01CD3" w:rsidRPr="00A01CD3">
        <w:rPr>
          <w:sz w:val="24"/>
          <w:szCs w:val="24"/>
        </w:rPr>
        <w:t xml:space="preserve"> </w:t>
      </w:r>
      <w:r w:rsidR="00A01CD3">
        <w:rPr>
          <w:sz w:val="24"/>
          <w:szCs w:val="24"/>
        </w:rPr>
        <w:t>function</w:t>
      </w:r>
      <w:r w:rsidR="00A01CD3" w:rsidRPr="00A01CD3">
        <w:rPr>
          <w:sz w:val="24"/>
          <w:szCs w:val="24"/>
        </w:rPr>
        <w:t xml:space="preserve"> at </w:t>
      </w:r>
      <w:r w:rsidR="00A01CD3">
        <w:rPr>
          <w:sz w:val="24"/>
          <w:szCs w:val="24"/>
        </w:rPr>
        <w:t>different</w:t>
      </w:r>
      <w:r w:rsidR="00A01CD3" w:rsidRPr="00A01CD3">
        <w:rPr>
          <w:sz w:val="24"/>
          <w:szCs w:val="24"/>
        </w:rPr>
        <w:t xml:space="preserve"> levels of the socio</w:t>
      </w:r>
      <w:r w:rsidR="00A01CD3">
        <w:rPr>
          <w:sz w:val="24"/>
          <w:szCs w:val="24"/>
        </w:rPr>
        <w:t>-</w:t>
      </w:r>
      <w:r w:rsidR="00A01CD3" w:rsidRPr="00A01CD3">
        <w:rPr>
          <w:sz w:val="24"/>
          <w:szCs w:val="24"/>
        </w:rPr>
        <w:t>ecological structure – individual, househ</w:t>
      </w:r>
      <w:r w:rsidR="00A01CD3">
        <w:rPr>
          <w:sz w:val="24"/>
          <w:szCs w:val="24"/>
        </w:rPr>
        <w:t>old, neighborhood, and community. The multiplicity of operation entrenches these norms, thus leading to social conformity.</w:t>
      </w:r>
      <w:r w:rsidR="00A01CD3">
        <w:rPr>
          <w:rStyle w:val="FootnoteReference"/>
          <w:sz w:val="24"/>
          <w:szCs w:val="24"/>
        </w:rPr>
        <w:footnoteReference w:id="27"/>
      </w:r>
      <w:r w:rsidR="00A01CD3">
        <w:rPr>
          <w:sz w:val="24"/>
          <w:szCs w:val="24"/>
        </w:rPr>
        <w:t xml:space="preserve"> </w:t>
      </w:r>
      <w:r w:rsidR="0000109E" w:rsidRPr="00F974D2">
        <w:rPr>
          <w:sz w:val="24"/>
          <w:szCs w:val="24"/>
        </w:rPr>
        <w:t xml:space="preserve">Religion and culture influence gender norms </w:t>
      </w:r>
      <w:r w:rsidR="0031037B" w:rsidRPr="00F974D2">
        <w:rPr>
          <w:sz w:val="24"/>
          <w:szCs w:val="24"/>
        </w:rPr>
        <w:t xml:space="preserve">to a significant degree.  </w:t>
      </w:r>
    </w:p>
    <w:p w14:paraId="1E0ECA89" w14:textId="77777777" w:rsidR="00234BF5" w:rsidRDefault="005E5C69" w:rsidP="00E75191">
      <w:pPr>
        <w:spacing w:line="240" w:lineRule="auto"/>
        <w:jc w:val="both"/>
        <w:rPr>
          <w:sz w:val="24"/>
          <w:szCs w:val="24"/>
        </w:rPr>
      </w:pPr>
      <w:r>
        <w:rPr>
          <w:sz w:val="24"/>
          <w:szCs w:val="24"/>
        </w:rPr>
        <w:t xml:space="preserve">In Nigeria, </w:t>
      </w:r>
      <w:r w:rsidR="003B6FCD">
        <w:rPr>
          <w:sz w:val="24"/>
          <w:szCs w:val="24"/>
        </w:rPr>
        <w:t xml:space="preserve">harmful </w:t>
      </w:r>
      <w:r>
        <w:rPr>
          <w:sz w:val="24"/>
          <w:szCs w:val="24"/>
        </w:rPr>
        <w:t>gender norms</w:t>
      </w:r>
      <w:r w:rsidR="0031037B" w:rsidRPr="00F974D2">
        <w:rPr>
          <w:sz w:val="24"/>
          <w:szCs w:val="24"/>
        </w:rPr>
        <w:t xml:space="preserve"> have bee</w:t>
      </w:r>
      <w:r w:rsidR="00AC0BF4" w:rsidRPr="00F974D2">
        <w:rPr>
          <w:sz w:val="24"/>
          <w:szCs w:val="24"/>
        </w:rPr>
        <w:t>n identified as influencing gender inequality across a variety of domains.  Across cultures in Nigeria, men are recognised as leadership authorities in communities, heads of families and religious organisations.  It is largely accepted that women are/should be subordinate to men.   Women are expected to manage domestic responsibilities, take care of children, be submissive in marriage and subject other areas of life including careers to their domestic roles.  Men are generally expected to provide for their families and take charge of their families as leaders.  This requires them to show strength and resilience and minimise softer emotion. These norms have many impacts including in political leadership, with men recognised as natural leaders, in economics, limiting women’s abilities to work outside the home or earn as much money as men</w:t>
      </w:r>
      <w:r w:rsidR="00942158" w:rsidRPr="00F974D2">
        <w:rPr>
          <w:sz w:val="24"/>
          <w:szCs w:val="24"/>
        </w:rPr>
        <w:t xml:space="preserve"> and spending significant amounts of time in caregiving and unpaid work</w:t>
      </w:r>
      <w:r w:rsidR="00AC0BF4" w:rsidRPr="00F974D2">
        <w:rPr>
          <w:sz w:val="24"/>
          <w:szCs w:val="24"/>
        </w:rPr>
        <w:t xml:space="preserve">.  </w:t>
      </w:r>
    </w:p>
    <w:p w14:paraId="387CAE54" w14:textId="77777777" w:rsidR="00AC0BF4" w:rsidRPr="00F974D2" w:rsidRDefault="00AC0BF4" w:rsidP="00E75191">
      <w:pPr>
        <w:spacing w:line="240" w:lineRule="auto"/>
        <w:jc w:val="both"/>
        <w:rPr>
          <w:sz w:val="24"/>
          <w:szCs w:val="24"/>
        </w:rPr>
      </w:pPr>
      <w:r w:rsidRPr="00F974D2">
        <w:rPr>
          <w:sz w:val="24"/>
          <w:szCs w:val="24"/>
        </w:rPr>
        <w:t xml:space="preserve">The impacts of patriarchal norms are </w:t>
      </w:r>
      <w:r w:rsidR="00234BF5">
        <w:rPr>
          <w:sz w:val="24"/>
          <w:szCs w:val="24"/>
        </w:rPr>
        <w:t xml:space="preserve">also </w:t>
      </w:r>
      <w:r w:rsidRPr="00F974D2">
        <w:rPr>
          <w:sz w:val="24"/>
          <w:szCs w:val="24"/>
        </w:rPr>
        <w:t>see</w:t>
      </w:r>
      <w:r w:rsidR="00942158" w:rsidRPr="00F974D2">
        <w:rPr>
          <w:sz w:val="24"/>
          <w:szCs w:val="24"/>
        </w:rPr>
        <w:t>n in chastity norms with adverse practices such as found in female genital mutilation, victim-shaming in cases of sexual assault and rape</w:t>
      </w:r>
      <w:r w:rsidR="00234BF5">
        <w:rPr>
          <w:sz w:val="24"/>
          <w:szCs w:val="24"/>
        </w:rPr>
        <w:t>, and policing of female sexuality</w:t>
      </w:r>
      <w:r w:rsidR="00942158" w:rsidRPr="00F974D2">
        <w:rPr>
          <w:sz w:val="24"/>
          <w:szCs w:val="24"/>
        </w:rPr>
        <w:t xml:space="preserve"> etc. Patriarchal norms also encourage and support denial of women’s inheritance rights, </w:t>
      </w:r>
      <w:r w:rsidR="00234BF5">
        <w:rPr>
          <w:sz w:val="24"/>
          <w:szCs w:val="24"/>
        </w:rPr>
        <w:t xml:space="preserve">harmful traditional practices such as widowhood practices, </w:t>
      </w:r>
      <w:r w:rsidR="00942158" w:rsidRPr="00F974D2">
        <w:rPr>
          <w:sz w:val="24"/>
          <w:szCs w:val="24"/>
        </w:rPr>
        <w:t>access to land, son preference, and early marriages.</w:t>
      </w:r>
      <w:r w:rsidR="001B1E2D">
        <w:rPr>
          <w:sz w:val="24"/>
          <w:szCs w:val="24"/>
        </w:rPr>
        <w:t xml:space="preserve"> They</w:t>
      </w:r>
      <w:r w:rsidR="00E20005">
        <w:rPr>
          <w:sz w:val="24"/>
          <w:szCs w:val="24"/>
        </w:rPr>
        <w:t xml:space="preserve"> support the idea of masculine autonomy and denigrate female autonomy, with the effect that women are expected to request permission for even basic decisions including health care decisions, promote non-interference in household affairs even when domestic violence is present, etc. </w:t>
      </w:r>
      <w:r w:rsidR="00942158" w:rsidRPr="00F974D2">
        <w:rPr>
          <w:sz w:val="24"/>
          <w:szCs w:val="24"/>
        </w:rPr>
        <w:t>These, in turn, have impacts on women’s economic opportunities</w:t>
      </w:r>
      <w:r w:rsidR="00E20005">
        <w:rPr>
          <w:sz w:val="24"/>
          <w:szCs w:val="24"/>
        </w:rPr>
        <w:t>, political participation, and health care decision-making</w:t>
      </w:r>
      <w:r w:rsidR="00942158" w:rsidRPr="00F974D2">
        <w:rPr>
          <w:sz w:val="24"/>
          <w:szCs w:val="24"/>
        </w:rPr>
        <w:t>.  Deviation from gender norms can have severe repercussion</w:t>
      </w:r>
      <w:r w:rsidR="00E20005">
        <w:rPr>
          <w:sz w:val="24"/>
          <w:szCs w:val="24"/>
        </w:rPr>
        <w:t>s</w:t>
      </w:r>
      <w:r w:rsidR="00942158" w:rsidRPr="00F974D2">
        <w:rPr>
          <w:sz w:val="24"/>
          <w:szCs w:val="24"/>
        </w:rPr>
        <w:t>.</w:t>
      </w:r>
      <w:r w:rsidRPr="00F974D2">
        <w:rPr>
          <w:sz w:val="24"/>
          <w:szCs w:val="24"/>
        </w:rPr>
        <w:t xml:space="preserve"> </w:t>
      </w:r>
      <w:r w:rsidR="00942158" w:rsidRPr="00F974D2">
        <w:rPr>
          <w:sz w:val="24"/>
          <w:szCs w:val="24"/>
        </w:rPr>
        <w:t xml:space="preserve"> Religion and culture often further entrench these norms.</w:t>
      </w:r>
      <w:r w:rsidR="00F974D2" w:rsidRPr="00F974D2">
        <w:rPr>
          <w:sz w:val="24"/>
          <w:szCs w:val="24"/>
        </w:rPr>
        <w:t xml:space="preserve">  Men and women, boys and girls are raised with </w:t>
      </w:r>
      <w:r w:rsidR="00F974D2" w:rsidRPr="00F974D2">
        <w:rPr>
          <w:sz w:val="24"/>
          <w:szCs w:val="24"/>
        </w:rPr>
        <w:lastRenderedPageBreak/>
        <w:t>the extant religion and culture and socialised into full acceptance of the existing norms</w:t>
      </w:r>
      <w:r w:rsidR="00CA5D47">
        <w:rPr>
          <w:sz w:val="24"/>
          <w:szCs w:val="24"/>
        </w:rPr>
        <w:t>, including harmful gender norms</w:t>
      </w:r>
      <w:r w:rsidR="005F352D">
        <w:rPr>
          <w:sz w:val="24"/>
          <w:szCs w:val="24"/>
        </w:rPr>
        <w:t xml:space="preserve"> and the subordination of women and girls</w:t>
      </w:r>
      <w:r w:rsidR="00F974D2" w:rsidRPr="00F974D2">
        <w:rPr>
          <w:sz w:val="24"/>
          <w:szCs w:val="24"/>
        </w:rPr>
        <w:t xml:space="preserve">. </w:t>
      </w:r>
    </w:p>
    <w:p w14:paraId="2238AE13" w14:textId="77777777" w:rsidR="00E20005" w:rsidRDefault="00942158" w:rsidP="00E75191">
      <w:pPr>
        <w:spacing w:line="240" w:lineRule="auto"/>
        <w:jc w:val="both"/>
        <w:rPr>
          <w:sz w:val="24"/>
          <w:szCs w:val="24"/>
        </w:rPr>
      </w:pPr>
      <w:r w:rsidRPr="00F974D2">
        <w:rPr>
          <w:sz w:val="24"/>
          <w:szCs w:val="24"/>
        </w:rPr>
        <w:t>Gender norms are a particularly important consideration because of their effect on all spheres of life</w:t>
      </w:r>
      <w:r w:rsidR="00A34998">
        <w:rPr>
          <w:sz w:val="24"/>
          <w:szCs w:val="24"/>
        </w:rPr>
        <w:t>, including micro-</w:t>
      </w:r>
      <w:r w:rsidRPr="00F974D2">
        <w:rPr>
          <w:sz w:val="24"/>
          <w:szCs w:val="24"/>
        </w:rPr>
        <w:t xml:space="preserve"> including political participation, economic participation, access to health and education, and the</w:t>
      </w:r>
      <w:r w:rsidR="00991A1C">
        <w:rPr>
          <w:sz w:val="24"/>
          <w:szCs w:val="24"/>
        </w:rPr>
        <w:t>ir influence on law and policy.</w:t>
      </w:r>
      <w:r w:rsidR="002C46BA">
        <w:rPr>
          <w:sz w:val="24"/>
          <w:szCs w:val="24"/>
        </w:rPr>
        <w:t xml:space="preserve"> At the micro-level, within families, men are considered the undisputed leaders, while women are saddled with the responsibility of caregiving irrespective of work outside the home. </w:t>
      </w:r>
      <w:r w:rsidR="005E5C69">
        <w:rPr>
          <w:sz w:val="24"/>
          <w:szCs w:val="24"/>
        </w:rPr>
        <w:t xml:space="preserve"> Boys may be favoured in families for education and even division of responsibilities. </w:t>
      </w:r>
      <w:r w:rsidR="002C46BA">
        <w:rPr>
          <w:sz w:val="24"/>
          <w:szCs w:val="24"/>
        </w:rPr>
        <w:t xml:space="preserve"> At the meso-level,</w:t>
      </w:r>
      <w:r w:rsidR="002B3774">
        <w:rPr>
          <w:sz w:val="24"/>
          <w:szCs w:val="24"/>
        </w:rPr>
        <w:t xml:space="preserve"> within institutions, work places, schools, gender norms persist and entrench inequality.  At the macro-level, gender norms often affect steps taken to enact progressive laws and repeal retrogressive, anti-equality laws.  An example is the difficulty that has attended the enactment of the Gender and Equal Opportunities Bill.  Gender norms, religion and culture have been stumbling blocks to the passage of this Bill</w:t>
      </w:r>
      <w:r w:rsidR="00F658CA">
        <w:rPr>
          <w:rStyle w:val="FootnoteReference"/>
          <w:sz w:val="24"/>
          <w:szCs w:val="24"/>
        </w:rPr>
        <w:footnoteReference w:id="28"/>
      </w:r>
      <w:r w:rsidR="002B3774">
        <w:rPr>
          <w:sz w:val="24"/>
          <w:szCs w:val="24"/>
        </w:rPr>
        <w:t xml:space="preserve"> and other progressive laws such as the VAPP Act and the Child Rights Act.</w:t>
      </w:r>
      <w:r w:rsidR="002B3774">
        <w:rPr>
          <w:rStyle w:val="FootnoteReference"/>
          <w:sz w:val="24"/>
          <w:szCs w:val="24"/>
        </w:rPr>
        <w:footnoteReference w:id="29"/>
      </w:r>
      <w:r w:rsidR="002B3774">
        <w:rPr>
          <w:sz w:val="24"/>
          <w:szCs w:val="24"/>
        </w:rPr>
        <w:t xml:space="preserve"> </w:t>
      </w:r>
      <w:r w:rsidR="00602222">
        <w:rPr>
          <w:sz w:val="24"/>
          <w:szCs w:val="24"/>
        </w:rPr>
        <w:t xml:space="preserve"> This is also recognised within recent national policy.  The National Policy on the Elimination of Female Genital Mutilation in Nigeria (2021-2025) </w:t>
      </w:r>
      <w:r w:rsidR="00F658CA">
        <w:rPr>
          <w:sz w:val="24"/>
          <w:szCs w:val="24"/>
        </w:rPr>
        <w:t xml:space="preserve">notes that </w:t>
      </w:r>
      <w:r w:rsidR="00602222">
        <w:rPr>
          <w:sz w:val="24"/>
          <w:szCs w:val="24"/>
        </w:rPr>
        <w:t>a key rationale</w:t>
      </w:r>
      <w:r w:rsidR="00F658CA">
        <w:rPr>
          <w:sz w:val="24"/>
          <w:szCs w:val="24"/>
        </w:rPr>
        <w:t xml:space="preserve"> for the Policy is</w:t>
      </w:r>
      <w:r w:rsidR="00602222">
        <w:rPr>
          <w:sz w:val="24"/>
          <w:szCs w:val="24"/>
        </w:rPr>
        <w:t xml:space="preserve"> social norms transformation.</w:t>
      </w:r>
    </w:p>
    <w:p w14:paraId="77F4D842" w14:textId="77777777" w:rsidR="0081741F" w:rsidRDefault="002B3774" w:rsidP="00E75191">
      <w:pPr>
        <w:spacing w:line="240" w:lineRule="auto"/>
        <w:jc w:val="both"/>
        <w:rPr>
          <w:sz w:val="24"/>
          <w:szCs w:val="24"/>
        </w:rPr>
      </w:pPr>
      <w:r w:rsidRPr="00B02467">
        <w:rPr>
          <w:sz w:val="24"/>
          <w:szCs w:val="24"/>
        </w:rPr>
        <w:t>This is</w:t>
      </w:r>
      <w:r w:rsidR="00602222" w:rsidRPr="00B02467">
        <w:rPr>
          <w:sz w:val="24"/>
          <w:szCs w:val="24"/>
        </w:rPr>
        <w:t xml:space="preserve"> also</w:t>
      </w:r>
      <w:r w:rsidRPr="00B02467">
        <w:rPr>
          <w:sz w:val="24"/>
          <w:szCs w:val="24"/>
        </w:rPr>
        <w:t xml:space="preserve"> borne out by opinions expressed by key informants during the course of preparing </w:t>
      </w:r>
      <w:r w:rsidR="005E5C69" w:rsidRPr="00B02467">
        <w:rPr>
          <w:sz w:val="24"/>
          <w:szCs w:val="24"/>
        </w:rPr>
        <w:t xml:space="preserve">this profile. </w:t>
      </w:r>
      <w:r w:rsidR="009E07E0" w:rsidRPr="00B02467">
        <w:rPr>
          <w:sz w:val="24"/>
          <w:szCs w:val="24"/>
        </w:rPr>
        <w:t>Key que</w:t>
      </w:r>
      <w:r w:rsidR="004A293F" w:rsidRPr="00B02467">
        <w:rPr>
          <w:sz w:val="24"/>
          <w:szCs w:val="24"/>
        </w:rPr>
        <w:t xml:space="preserve">stions on gender norms included: </w:t>
      </w:r>
      <w:r w:rsidR="005E5C69" w:rsidRPr="00B02467">
        <w:rPr>
          <w:sz w:val="24"/>
          <w:szCs w:val="24"/>
        </w:rPr>
        <w:t xml:space="preserve"> A majority of key</w:t>
      </w:r>
      <w:r w:rsidRPr="00B02467">
        <w:rPr>
          <w:sz w:val="24"/>
          <w:szCs w:val="24"/>
        </w:rPr>
        <w:t xml:space="preserve"> informants (at federal level, Lagos, Anambra and Kano) expressed the view that gender norms are at the heart of gender inequality.</w:t>
      </w:r>
      <w:r w:rsidR="00C44F52">
        <w:rPr>
          <w:sz w:val="24"/>
          <w:szCs w:val="24"/>
        </w:rPr>
        <w:t xml:space="preserve"> </w:t>
      </w:r>
      <w:r w:rsidR="0081741F">
        <w:rPr>
          <w:sz w:val="24"/>
          <w:szCs w:val="24"/>
        </w:rPr>
        <w:t>A few respondents in the FGDs expressed views in favour of prevailing patriarchal norms.  For instance:</w:t>
      </w:r>
    </w:p>
    <w:p w14:paraId="07196300" w14:textId="77777777" w:rsidR="0081741F" w:rsidRDefault="00681F77" w:rsidP="00E75191">
      <w:pPr>
        <w:spacing w:line="240" w:lineRule="auto"/>
        <w:jc w:val="center"/>
        <w:rPr>
          <w:bCs/>
          <w:i/>
          <w:iCs/>
          <w:sz w:val="24"/>
          <w:szCs w:val="24"/>
          <w:lang w:val="en-US"/>
        </w:rPr>
      </w:pPr>
      <w:r>
        <w:rPr>
          <w:bCs/>
          <w:i/>
          <w:iCs/>
          <w:noProof/>
          <w:sz w:val="24"/>
          <w:szCs w:val="24"/>
          <w:lang w:val="en-IE" w:eastAsia="en-IE"/>
        </w:rPr>
        <mc:AlternateContent>
          <mc:Choice Requires="wps">
            <w:drawing>
              <wp:anchor distT="0" distB="0" distL="114300" distR="114300" simplePos="0" relativeHeight="251703296" behindDoc="0" locked="0" layoutInCell="1" allowOverlap="1" wp14:anchorId="50FA4E9E" wp14:editId="2DA6F3CB">
                <wp:simplePos x="0" y="0"/>
                <wp:positionH relativeFrom="margin">
                  <wp:align>right</wp:align>
                </wp:positionH>
                <wp:positionV relativeFrom="paragraph">
                  <wp:posOffset>-6350</wp:posOffset>
                </wp:positionV>
                <wp:extent cx="2838450" cy="1981200"/>
                <wp:effectExtent l="0" t="0" r="19050" b="19050"/>
                <wp:wrapNone/>
                <wp:docPr id="39" name="Rectangle 39"/>
                <wp:cNvGraphicFramePr/>
                <a:graphic xmlns:a="http://schemas.openxmlformats.org/drawingml/2006/main">
                  <a:graphicData uri="http://schemas.microsoft.com/office/word/2010/wordprocessingShape">
                    <wps:wsp>
                      <wps:cNvSpPr/>
                      <wps:spPr>
                        <a:xfrm>
                          <a:off x="0" y="0"/>
                          <a:ext cx="2838450" cy="1981200"/>
                        </a:xfrm>
                        <a:prstGeom prst="rec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txbx>
                        <w:txbxContent>
                          <w:p w14:paraId="74474EE1" w14:textId="77777777" w:rsidR="006D6A0C" w:rsidRPr="00E75191" w:rsidRDefault="006D6A0C" w:rsidP="00681F77">
                            <w:pPr>
                              <w:jc w:val="center"/>
                            </w:pPr>
                            <w:r w:rsidRPr="00E75191">
                              <w:rPr>
                                <w:i/>
                              </w:rPr>
                              <w:t>When woman delivers a female child, it is regarded as half current, whereas, if is male child, it is taken as full current. So we grew up to meet this mentality. Even some of the women, also see themselves as Weaker vessels. When they deliver a female child and may not have male child, they develop mixed-feelings and don't feel confident.</w:t>
                            </w:r>
                          </w:p>
                          <w:p w14:paraId="6EAA00FA" w14:textId="77777777" w:rsidR="006D6A0C" w:rsidRPr="0081741F" w:rsidRDefault="006D6A0C" w:rsidP="00681F77">
                            <w:pPr>
                              <w:jc w:val="center"/>
                              <w:rPr>
                                <w:sz w:val="24"/>
                                <w:szCs w:val="24"/>
                                <w:lang w:val="en-US"/>
                              </w:rPr>
                            </w:pPr>
                            <w:r>
                              <w:rPr>
                                <w:sz w:val="24"/>
                                <w:szCs w:val="24"/>
                                <w:lang w:val="en-US"/>
                              </w:rPr>
                              <w:t>Female FGD Participant, Edo</w:t>
                            </w:r>
                          </w:p>
                          <w:p w14:paraId="0AF46A23" w14:textId="77777777" w:rsidR="006D6A0C" w:rsidRDefault="006D6A0C" w:rsidP="00681F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0FA4E9E" id="Rectangle 39" o:spid="_x0000_s1031" style="position:absolute;left:0;text-align:left;margin-left:172.3pt;margin-top:-.5pt;width:223.5pt;height:156pt;z-index:25170329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" fillcolor="#002060" strokecolor="#1f4d78 [1604]" strokeweight="1pt">
                <v:textbox>
                  <w:txbxContent>
                    <w:p w:rsidR="006D6A0C" w:rsidRPr="00E75191" w:rsidRDefault="006D6A0C" w:rsidP="00681F77">
                      <w:pPr>
                        <w:jc w:val="center"/>
                      </w:pPr>
                      <w:r w:rsidRPr="00E75191">
                        <w:rPr>
                          <w:i/>
                        </w:rPr>
                        <w:t>When woman delivers a female child, it is regarded as half current, whereas, if is male child, it is taken as full current. So we grew up to meet this mentality. Even some of the women, also see themselves as Weaker vessels. When they deliver a female child and may not have male child, they develop mixed-feelings and don't feel confident.</w:t>
                      </w:r>
                    </w:p>
                    <w:p w:rsidR="006D6A0C" w:rsidRPr="0081741F" w:rsidRDefault="006D6A0C" w:rsidP="00681F77">
                      <w:pPr>
                        <w:jc w:val="center"/>
                        <w:rPr>
                          <w:sz w:val="24"/>
                          <w:szCs w:val="24"/>
                          <w:lang w:val="en-US"/>
                        </w:rPr>
                      </w:pPr>
                      <w:r>
                        <w:rPr>
                          <w:sz w:val="24"/>
                          <w:szCs w:val="24"/>
                          <w:lang w:val="en-US"/>
                        </w:rPr>
                        <w:t>Female FGD Participant, Edo</w:t>
                      </w:r>
                    </w:p>
                    <w:p w:rsidR="006D6A0C" w:rsidRDefault="006D6A0C" w:rsidP="00681F77">
                      <w:pPr>
                        <w:jc w:val="center"/>
                      </w:pPr>
                    </w:p>
                  </w:txbxContent>
                </v:textbox>
                <w10:wrap anchorx="margin"/>
              </v:rect>
            </w:pict>
          </mc:Fallback>
        </mc:AlternateContent>
      </w:r>
      <w:r>
        <w:rPr>
          <w:bCs/>
          <w:i/>
          <w:iCs/>
          <w:noProof/>
          <w:sz w:val="24"/>
          <w:szCs w:val="24"/>
          <w:lang w:val="en-IE" w:eastAsia="en-IE"/>
        </w:rPr>
        <mc:AlternateContent>
          <mc:Choice Requires="wps">
            <w:drawing>
              <wp:anchor distT="0" distB="0" distL="114300" distR="114300" simplePos="0" relativeHeight="251702272" behindDoc="0" locked="0" layoutInCell="1" allowOverlap="1" wp14:anchorId="78E377E7" wp14:editId="497BCBDC">
                <wp:simplePos x="0" y="0"/>
                <wp:positionH relativeFrom="column">
                  <wp:posOffset>196850</wp:posOffset>
                </wp:positionH>
                <wp:positionV relativeFrom="paragraph">
                  <wp:posOffset>0</wp:posOffset>
                </wp:positionV>
                <wp:extent cx="2260600" cy="1981200"/>
                <wp:effectExtent l="0" t="0" r="25400" b="19050"/>
                <wp:wrapNone/>
                <wp:docPr id="37" name="Rectangle 37"/>
                <wp:cNvGraphicFramePr/>
                <a:graphic xmlns:a="http://schemas.openxmlformats.org/drawingml/2006/main">
                  <a:graphicData uri="http://schemas.microsoft.com/office/word/2010/wordprocessingShape">
                    <wps:wsp>
                      <wps:cNvSpPr/>
                      <wps:spPr>
                        <a:xfrm>
                          <a:off x="0" y="0"/>
                          <a:ext cx="2260600" cy="1981200"/>
                        </a:xfrm>
                        <a:prstGeom prst="rec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txbx>
                        <w:txbxContent>
                          <w:p w14:paraId="22E2C5BC" w14:textId="77777777" w:rsidR="006D6A0C" w:rsidRPr="00E75191" w:rsidRDefault="006D6A0C" w:rsidP="00681F77">
                            <w:pPr>
                              <w:jc w:val="center"/>
                              <w:rPr>
                                <w:i/>
                              </w:rPr>
                            </w:pPr>
                            <w:r w:rsidRPr="00E75191">
                              <w:rPr>
                                <w:i/>
                              </w:rPr>
                              <w:t>A man is the head and should not be under a woman.  Even the Bible said it. But in our society today, women are the breadwinner of the family and is [sic] not good. The women supposed [sic] to cook, clean, and take care of the children.</w:t>
                            </w:r>
                          </w:p>
                          <w:p w14:paraId="70C88154" w14:textId="77777777" w:rsidR="006D6A0C" w:rsidRDefault="006D6A0C" w:rsidP="00681F77">
                            <w:pPr>
                              <w:jc w:val="center"/>
                            </w:pPr>
                            <w:r>
                              <w:t>Male FGD Participant, FCT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E377E7" id="Rectangle 37" o:spid="_x0000_s1032" style="position:absolute;left:0;text-align:left;margin-left:15.5pt;margin-top:0;width:178pt;height:15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" fillcolor="#002060" strokecolor="#1f4d78 [1604]" strokeweight="1pt">
                <v:textbox>
                  <w:txbxContent>
                    <w:p w:rsidR="006D6A0C" w:rsidRPr="00E75191" w:rsidRDefault="006D6A0C" w:rsidP="00681F77">
                      <w:pPr>
                        <w:jc w:val="center"/>
                        <w:rPr>
                          <w:i/>
                        </w:rPr>
                      </w:pPr>
                      <w:r w:rsidRPr="00E75191">
                        <w:rPr>
                          <w:i/>
                        </w:rPr>
                        <w:t>A man is the head and should not be under a woman.  Even the Bible said it. But in our society today, women are the breadwinner of the family and is [sic] not good. The women supposed [sic] to cook, clean, and take care of the children.</w:t>
                      </w:r>
                    </w:p>
                    <w:p w:rsidR="006D6A0C" w:rsidRDefault="006D6A0C" w:rsidP="00681F77">
                      <w:pPr>
                        <w:jc w:val="center"/>
                      </w:pPr>
                      <w:r>
                        <w:t>Male FGD Participant, FCT</w:t>
                      </w:r>
                    </w:p>
                  </w:txbxContent>
                </v:textbox>
              </v:rect>
            </w:pict>
          </mc:Fallback>
        </mc:AlternateContent>
      </w:r>
    </w:p>
    <w:p w14:paraId="57167105" w14:textId="77777777" w:rsidR="00681F77" w:rsidRDefault="00681F77" w:rsidP="00E75191">
      <w:pPr>
        <w:spacing w:line="240" w:lineRule="auto"/>
        <w:jc w:val="both"/>
        <w:rPr>
          <w:sz w:val="24"/>
          <w:szCs w:val="24"/>
        </w:rPr>
      </w:pPr>
    </w:p>
    <w:p w14:paraId="12FAB040" w14:textId="77777777" w:rsidR="00681F77" w:rsidRDefault="00681F77" w:rsidP="00E75191">
      <w:pPr>
        <w:spacing w:line="240" w:lineRule="auto"/>
        <w:jc w:val="both"/>
        <w:rPr>
          <w:sz w:val="24"/>
          <w:szCs w:val="24"/>
        </w:rPr>
      </w:pPr>
    </w:p>
    <w:p w14:paraId="36483C26" w14:textId="77777777" w:rsidR="00681F77" w:rsidRDefault="00681F77" w:rsidP="00E75191">
      <w:pPr>
        <w:spacing w:line="240" w:lineRule="auto"/>
        <w:jc w:val="both"/>
        <w:rPr>
          <w:sz w:val="24"/>
          <w:szCs w:val="24"/>
        </w:rPr>
      </w:pPr>
    </w:p>
    <w:p w14:paraId="0C3860CA" w14:textId="77777777" w:rsidR="00681F77" w:rsidRDefault="00681F77" w:rsidP="00E75191">
      <w:pPr>
        <w:spacing w:line="240" w:lineRule="auto"/>
        <w:jc w:val="both"/>
        <w:rPr>
          <w:sz w:val="24"/>
          <w:szCs w:val="24"/>
        </w:rPr>
      </w:pPr>
    </w:p>
    <w:p w14:paraId="69E5D6D5" w14:textId="77777777" w:rsidR="00681F77" w:rsidRDefault="00681F77" w:rsidP="00E75191">
      <w:pPr>
        <w:spacing w:line="240" w:lineRule="auto"/>
        <w:jc w:val="both"/>
        <w:rPr>
          <w:sz w:val="24"/>
          <w:szCs w:val="24"/>
        </w:rPr>
      </w:pPr>
    </w:p>
    <w:p w14:paraId="316FA516" w14:textId="77777777" w:rsidR="00681F77" w:rsidRDefault="00681F77" w:rsidP="00E75191">
      <w:pPr>
        <w:spacing w:line="240" w:lineRule="auto"/>
        <w:jc w:val="both"/>
        <w:rPr>
          <w:sz w:val="24"/>
          <w:szCs w:val="24"/>
        </w:rPr>
      </w:pPr>
    </w:p>
    <w:p w14:paraId="231D1290" w14:textId="77777777" w:rsidR="00C938AA" w:rsidRDefault="00C938AA" w:rsidP="00E75191">
      <w:pPr>
        <w:spacing w:line="240" w:lineRule="auto"/>
        <w:jc w:val="both"/>
        <w:rPr>
          <w:sz w:val="24"/>
          <w:szCs w:val="24"/>
        </w:rPr>
      </w:pPr>
      <w:r>
        <w:rPr>
          <w:sz w:val="24"/>
          <w:szCs w:val="24"/>
        </w:rPr>
        <w:t xml:space="preserve">Similar views were reflected in the quantitative survey in relation to issues around gender norms. </w:t>
      </w:r>
    </w:p>
    <w:p w14:paraId="2D5DE26C" w14:textId="77777777" w:rsidR="00F47F02" w:rsidRDefault="00C938AA" w:rsidP="00E75191">
      <w:pPr>
        <w:spacing w:line="240" w:lineRule="auto"/>
        <w:jc w:val="both"/>
        <w:rPr>
          <w:sz w:val="24"/>
          <w:szCs w:val="24"/>
        </w:rPr>
      </w:pPr>
      <w:r>
        <w:rPr>
          <w:sz w:val="24"/>
          <w:szCs w:val="24"/>
        </w:rPr>
        <w:t>However, s</w:t>
      </w:r>
      <w:r w:rsidR="00A4251C" w:rsidRPr="00B02467">
        <w:rPr>
          <w:sz w:val="24"/>
          <w:szCs w:val="24"/>
        </w:rPr>
        <w:t xml:space="preserve">ome respondents noted that gender norms not only affect women and girls, but also adversely impact men and boys, particularly in the area of </w:t>
      </w:r>
      <w:r w:rsidR="00393FB7" w:rsidRPr="00B02467">
        <w:rPr>
          <w:sz w:val="24"/>
          <w:szCs w:val="24"/>
        </w:rPr>
        <w:t xml:space="preserve">understanding the need to take proper precautions for health. </w:t>
      </w:r>
      <w:r w:rsidR="004A293F" w:rsidRPr="00B02467">
        <w:rPr>
          <w:sz w:val="24"/>
          <w:szCs w:val="24"/>
        </w:rPr>
        <w:t xml:space="preserve"> Also, the role of cultural norms, religion and patriarchy in GBV was highlighted. </w:t>
      </w:r>
    </w:p>
    <w:p w14:paraId="05C42759" w14:textId="77777777" w:rsidR="00681F77" w:rsidRDefault="00E75191" w:rsidP="00E75191">
      <w:pPr>
        <w:spacing w:line="240" w:lineRule="auto"/>
        <w:jc w:val="both"/>
        <w:rPr>
          <w:sz w:val="24"/>
          <w:szCs w:val="24"/>
        </w:rPr>
      </w:pPr>
      <w:r>
        <w:rPr>
          <w:noProof/>
          <w:sz w:val="24"/>
          <w:szCs w:val="24"/>
          <w:lang w:val="en-IE" w:eastAsia="en-IE"/>
        </w:rPr>
        <w:lastRenderedPageBreak/>
        <mc:AlternateContent>
          <mc:Choice Requires="wps">
            <w:drawing>
              <wp:inline distT="0" distB="0" distL="0" distR="0" wp14:anchorId="2D4882FA" wp14:editId="51D5724F">
                <wp:extent cx="5721350" cy="1266825"/>
                <wp:effectExtent l="0" t="0" r="12700" b="28575"/>
                <wp:docPr id="41" name="Rectangle 41"/>
                <wp:cNvGraphicFramePr/>
                <a:graphic xmlns:a="http://schemas.openxmlformats.org/drawingml/2006/main">
                  <a:graphicData uri="http://schemas.microsoft.com/office/word/2010/wordprocessingShape">
                    <wps:wsp>
                      <wps:cNvSpPr/>
                      <wps:spPr>
                        <a:xfrm>
                          <a:off x="0" y="0"/>
                          <a:ext cx="5721350" cy="12668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70F9E88" w14:textId="77777777" w:rsidR="006D6A0C" w:rsidRPr="00ED3BCB" w:rsidRDefault="006D6A0C" w:rsidP="00681F77">
                            <w:pPr>
                              <w:jc w:val="center"/>
                            </w:pPr>
                            <w:r>
                              <w:t>…</w:t>
                            </w:r>
                            <w:r w:rsidRPr="00B02467">
                              <w:rPr>
                                <w:i/>
                              </w:rPr>
                              <w:t>there are laws that should protect women’s rights like sexual reproductive health that are not in Nigeria because our bias: religious, cultural, societal, prevent them from being enacted. For instance the Gender and Equal Opportunities Bill; It kind of sought to ratify the Maputo Protocol, sexual reproductive health of women, abortion in cases of incest and sexual violence, and it didn't pass! So, the point of this is that there are societal barriers that prevents women from accessing justice are manifold and existent in the Laws and in the Practices</w:t>
                            </w:r>
                            <w:r>
                              <w:t>. – Female Key Informant Lagos</w:t>
                            </w:r>
                          </w:p>
                          <w:p w14:paraId="6D418A3D" w14:textId="77777777" w:rsidR="006D6A0C" w:rsidRDefault="006D6A0C" w:rsidP="00681F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D4882FA" id="Rectangle 41" o:spid="_x0000_s1033" style="width:450.5pt;height:99.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" fillcolor="#5b9bd5 [3204]" strokecolor="#1f4d78 [1604]" strokeweight="1pt">
                <v:textbox>
                  <w:txbxContent>
                    <w:p w:rsidR="006D6A0C" w:rsidRPr="00ED3BCB" w:rsidRDefault="006D6A0C" w:rsidP="00681F77">
                      <w:pPr>
                        <w:jc w:val="center"/>
                      </w:pPr>
                      <w:r>
                        <w:t>…</w:t>
                      </w:r>
                      <w:r w:rsidRPr="00B02467">
                        <w:rPr>
                          <w:i/>
                        </w:rPr>
                        <w:t>there are laws that should protect women’s rights like sexual reproductive health that are not in Nigeria because our bias: religious, cultural, societal, prevent them from being enacted. For instance the Gender and Equal Opportunities Bill; It kind of sought to ratify the Maputo Protocol, sexual reproductive health of women, abortion in cases of incest and sexual violence, and it didn't pass! So, the point of this is that there are societal barriers that prevents women from accessing justice are manifold and existent in the Laws and in the Practices</w:t>
                      </w:r>
                      <w:r>
                        <w:t>. – Female Key Informant Lagos</w:t>
                      </w:r>
                    </w:p>
                    <w:p w:rsidR="006D6A0C" w:rsidRDefault="006D6A0C" w:rsidP="00681F77">
                      <w:pPr>
                        <w:jc w:val="center"/>
                      </w:pPr>
                    </w:p>
                  </w:txbxContent>
                </v:textbox>
                <w10:anchorlock/>
              </v:rect>
            </w:pict>
          </mc:Fallback>
        </mc:AlternateContent>
      </w:r>
    </w:p>
    <w:p w14:paraId="06614744" w14:textId="77777777" w:rsidR="00F47F02" w:rsidRDefault="00F47F02" w:rsidP="00E75191">
      <w:pPr>
        <w:spacing w:line="240" w:lineRule="auto"/>
        <w:jc w:val="center"/>
      </w:pPr>
    </w:p>
    <w:p w14:paraId="5CF7ADFB" w14:textId="77777777" w:rsidR="00681F77" w:rsidRDefault="00165210" w:rsidP="00E75191">
      <w:pPr>
        <w:spacing w:line="240" w:lineRule="auto"/>
        <w:jc w:val="both"/>
      </w:pPr>
      <w:r>
        <w:rPr>
          <w:noProof/>
          <w:sz w:val="24"/>
          <w:szCs w:val="24"/>
          <w:lang w:val="en-IE" w:eastAsia="en-IE"/>
        </w:rPr>
        <mc:AlternateContent>
          <mc:Choice Requires="wps">
            <w:drawing>
              <wp:anchor distT="0" distB="0" distL="114300" distR="114300" simplePos="0" relativeHeight="251707392" behindDoc="0" locked="0" layoutInCell="1" allowOverlap="1" wp14:anchorId="048F111A" wp14:editId="7F8FC219">
                <wp:simplePos x="0" y="0"/>
                <wp:positionH relativeFrom="margin">
                  <wp:posOffset>10160</wp:posOffset>
                </wp:positionH>
                <wp:positionV relativeFrom="paragraph">
                  <wp:posOffset>6985</wp:posOffset>
                </wp:positionV>
                <wp:extent cx="5721350" cy="933450"/>
                <wp:effectExtent l="0" t="0" r="12700" b="19050"/>
                <wp:wrapNone/>
                <wp:docPr id="40" name="Rectangle 40"/>
                <wp:cNvGraphicFramePr/>
                <a:graphic xmlns:a="http://schemas.openxmlformats.org/drawingml/2006/main">
                  <a:graphicData uri="http://schemas.microsoft.com/office/word/2010/wordprocessingShape">
                    <wps:wsp>
                      <wps:cNvSpPr/>
                      <wps:spPr>
                        <a:xfrm>
                          <a:off x="0" y="0"/>
                          <a:ext cx="5721350" cy="933450"/>
                        </a:xfrm>
                        <a:prstGeom prst="rec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txbx>
                        <w:txbxContent>
                          <w:p w14:paraId="7E049440" w14:textId="77777777" w:rsidR="006D6A0C" w:rsidRDefault="006D6A0C" w:rsidP="00681F77">
                            <w:pPr>
                              <w:jc w:val="center"/>
                              <w:rPr>
                                <w:i/>
                              </w:rPr>
                            </w:pPr>
                            <w:r w:rsidRPr="00F47F02">
                              <w:rPr>
                                <w:i/>
                              </w:rPr>
                              <w:t>Generally, women attract sympathy when suppressed, so disability as a variable gives an edge to the cause of women advocacy. But a woman of high status is a threat to an uneducated man and her chances of being treated equally will be very slim.</w:t>
                            </w:r>
                          </w:p>
                          <w:p w14:paraId="10B85F5A" w14:textId="77777777" w:rsidR="006D6A0C" w:rsidRDefault="006D6A0C" w:rsidP="00681F77">
                            <w:pPr>
                              <w:jc w:val="center"/>
                            </w:pPr>
                            <w:r>
                              <w:t>Female FGD Participant, FCT</w:t>
                            </w:r>
                          </w:p>
                          <w:p w14:paraId="0C2EBC2A" w14:textId="77777777" w:rsidR="006D6A0C" w:rsidRDefault="006D6A0C" w:rsidP="00681F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8F111A" id="Rectangle 40" o:spid="_x0000_s1034" style="position:absolute;left:0;text-align:left;margin-left:.8pt;margin-top:.55pt;width:450.5pt;height:73.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" fillcolor="#002060" strokecolor="#1f4d78 [1604]" strokeweight="1pt">
                <v:textbox>
                  <w:txbxContent>
                    <w:p w:rsidR="006D6A0C" w:rsidRDefault="006D6A0C" w:rsidP="00681F77">
                      <w:pPr>
                        <w:jc w:val="center"/>
                        <w:rPr>
                          <w:i/>
                        </w:rPr>
                      </w:pPr>
                      <w:r w:rsidRPr="00F47F02">
                        <w:rPr>
                          <w:i/>
                        </w:rPr>
                        <w:t>Generally, women attract sympathy when suppressed, so disability as a variable gives an edge to the cause of women advocacy. But a woman of high status is a threat to an uneducated man and her chances of being treated equally will be very slim.</w:t>
                      </w:r>
                    </w:p>
                    <w:p w:rsidR="006D6A0C" w:rsidRDefault="006D6A0C" w:rsidP="00681F77">
                      <w:pPr>
                        <w:jc w:val="center"/>
                      </w:pPr>
                      <w:r>
                        <w:t>Female FGD Participant, FCT</w:t>
                      </w:r>
                    </w:p>
                    <w:p w:rsidR="006D6A0C" w:rsidRDefault="006D6A0C" w:rsidP="00681F77">
                      <w:pPr>
                        <w:jc w:val="center"/>
                      </w:pPr>
                    </w:p>
                  </w:txbxContent>
                </v:textbox>
                <w10:wrap anchorx="margin"/>
              </v:rect>
            </w:pict>
          </mc:Fallback>
        </mc:AlternateContent>
      </w:r>
    </w:p>
    <w:p w14:paraId="77F56122" w14:textId="77777777" w:rsidR="00681F77" w:rsidRDefault="00681F77" w:rsidP="00E75191">
      <w:pPr>
        <w:spacing w:line="240" w:lineRule="auto"/>
        <w:jc w:val="both"/>
      </w:pPr>
    </w:p>
    <w:p w14:paraId="1B9C594E" w14:textId="77777777" w:rsidR="00681F77" w:rsidRDefault="00681F77" w:rsidP="00E75191">
      <w:pPr>
        <w:spacing w:line="240" w:lineRule="auto"/>
        <w:jc w:val="both"/>
      </w:pPr>
    </w:p>
    <w:p w14:paraId="581AB3DE" w14:textId="77777777" w:rsidR="004A293F" w:rsidRDefault="004A293F" w:rsidP="00E75191">
      <w:pPr>
        <w:spacing w:line="240" w:lineRule="auto"/>
        <w:jc w:val="both"/>
        <w:rPr>
          <w:sz w:val="24"/>
          <w:szCs w:val="24"/>
        </w:rPr>
      </w:pPr>
    </w:p>
    <w:p w14:paraId="13731DC6" w14:textId="77777777" w:rsidR="00681F77" w:rsidRDefault="00681F77" w:rsidP="00E75191">
      <w:pPr>
        <w:spacing w:line="240" w:lineRule="auto"/>
        <w:jc w:val="both"/>
        <w:rPr>
          <w:sz w:val="24"/>
          <w:szCs w:val="24"/>
        </w:rPr>
      </w:pPr>
    </w:p>
    <w:p w14:paraId="4249EB67" w14:textId="77777777" w:rsidR="00681F77" w:rsidRPr="00EB6159" w:rsidRDefault="00E75191" w:rsidP="00EB6159">
      <w:pPr>
        <w:rPr>
          <w:rStyle w:val="IntenseEmphasis"/>
        </w:rPr>
      </w:pPr>
      <w:r w:rsidRPr="00EB6159">
        <w:rPr>
          <w:rStyle w:val="IntenseEmphasis"/>
        </w:rPr>
        <w:t>Illustrative Finding:</w:t>
      </w:r>
      <w:r w:rsidR="00681F77" w:rsidRPr="00EB6159">
        <w:rPr>
          <w:rStyle w:val="IntenseEmphasis"/>
        </w:rPr>
        <w:t xml:space="preserve"> Gender Roles</w:t>
      </w:r>
    </w:p>
    <w:p w14:paraId="28D8AA48" w14:textId="77777777" w:rsidR="008637AF" w:rsidRPr="004D0196" w:rsidRDefault="008637AF" w:rsidP="008637AF">
      <w:pPr>
        <w:autoSpaceDE w:val="0"/>
        <w:autoSpaceDN w:val="0"/>
        <w:adjustRightInd w:val="0"/>
        <w:spacing w:after="0" w:line="240" w:lineRule="auto"/>
        <w:jc w:val="both"/>
        <w:rPr>
          <w:rFonts w:cstheme="minorHAnsi"/>
          <w:sz w:val="24"/>
          <w:szCs w:val="24"/>
        </w:rPr>
      </w:pPr>
      <w:r w:rsidRPr="008637AF">
        <w:rPr>
          <w:rFonts w:cstheme="minorHAnsi"/>
          <w:sz w:val="24"/>
          <w:szCs w:val="24"/>
        </w:rPr>
        <w:t>61.5% of respondents were of the opinion that traditional gender roles</w:t>
      </w:r>
      <w:r w:rsidRPr="008637AF">
        <w:rPr>
          <w:rFonts w:cstheme="minorHAnsi"/>
        </w:rPr>
        <w:t xml:space="preserve"> (</w:t>
      </w:r>
      <w:r w:rsidRPr="008637AF">
        <w:rPr>
          <w:rFonts w:cstheme="minorHAnsi"/>
          <w:sz w:val="24"/>
          <w:szCs w:val="24"/>
        </w:rPr>
        <w:t xml:space="preserve">e.g girls should do the chores like wash the plates while boys should fix the car) should be taught to children (see table below). </w:t>
      </w:r>
      <w:r w:rsidRPr="006E3C5B">
        <w:rPr>
          <w:rFonts w:cstheme="minorHAnsi"/>
          <w:sz w:val="24"/>
          <w:szCs w:val="24"/>
        </w:rPr>
        <w:t>A total of 67.4% of the male respondents and 56.6% female respondents are of the opinion that traditional gender roles should be passed on to younger generation.</w:t>
      </w:r>
      <w:r w:rsidRPr="008637AF">
        <w:rPr>
          <w:rFonts w:cstheme="minorHAnsi"/>
          <w:sz w:val="24"/>
          <w:szCs w:val="24"/>
        </w:rPr>
        <w:t xml:space="preserve"> Over 50% (38.9% agreed and 18.1% strongly agreed) of all females, nearly 60% (46.3% agreed and 18.1% strongly agreed) of all males, more than 55% (41.7% agreed and 16.7% strongly agreed) of those who selected order as their gender and over 55% (46.2% agreed and 11.5% strongly agreed) of those who preferred not to say anything about their gender stated that parents should teach their children gender roles, such as girls should do the chores like wash the plates while boys should fix the car.</w:t>
      </w:r>
    </w:p>
    <w:p w14:paraId="1B095A29" w14:textId="77777777" w:rsidR="008637AF" w:rsidRPr="00E75191" w:rsidRDefault="008637AF" w:rsidP="008637AF">
      <w:pPr>
        <w:autoSpaceDE w:val="0"/>
        <w:autoSpaceDN w:val="0"/>
        <w:adjustRightInd w:val="0"/>
        <w:spacing w:after="0" w:line="240" w:lineRule="auto"/>
        <w:jc w:val="both"/>
        <w:rPr>
          <w:rFonts w:cstheme="minorHAnsi"/>
          <w:sz w:val="24"/>
          <w:szCs w:val="24"/>
        </w:rPr>
      </w:pPr>
    </w:p>
    <w:p w14:paraId="50D48DBE" w14:textId="77777777" w:rsidR="006C4F2E" w:rsidRPr="00681F77" w:rsidRDefault="008637AF" w:rsidP="008637AF">
      <w:pPr>
        <w:autoSpaceDE w:val="0"/>
        <w:autoSpaceDN w:val="0"/>
        <w:adjustRightInd w:val="0"/>
        <w:spacing w:after="0" w:line="240" w:lineRule="auto"/>
        <w:rPr>
          <w:rFonts w:ascii="Times New Roman" w:hAnsi="Times New Roman" w:cs="Times New Roman"/>
          <w:b/>
          <w:sz w:val="24"/>
          <w:szCs w:val="24"/>
        </w:rPr>
      </w:pPr>
      <w:r w:rsidRPr="00681F77">
        <w:rPr>
          <w:rFonts w:ascii="Arial" w:hAnsi="Arial" w:cs="Arial"/>
          <w:b/>
          <w:color w:val="264A60"/>
          <w:sz w:val="18"/>
          <w:szCs w:val="18"/>
        </w:rPr>
        <w:t xml:space="preserve"> </w:t>
      </w:r>
    </w:p>
    <w:tbl>
      <w:tblPr>
        <w:tblW w:w="5000" w:type="pct"/>
        <w:tblLook w:val="04A0" w:firstRow="1" w:lastRow="0" w:firstColumn="1" w:lastColumn="0" w:noHBand="0" w:noVBand="1"/>
      </w:tblPr>
      <w:tblGrid>
        <w:gridCol w:w="1740"/>
        <w:gridCol w:w="1137"/>
        <w:gridCol w:w="1067"/>
        <w:gridCol w:w="847"/>
        <w:gridCol w:w="847"/>
        <w:gridCol w:w="847"/>
        <w:gridCol w:w="847"/>
        <w:gridCol w:w="847"/>
        <w:gridCol w:w="847"/>
      </w:tblGrid>
      <w:tr w:rsidR="006C4F2E" w14:paraId="26DD47F8" w14:textId="77777777" w:rsidTr="006C4F2E">
        <w:tc>
          <w:tcPr>
            <w:tcW w:w="965" w:type="pct"/>
          </w:tcPr>
          <w:p w14:paraId="054E8A5E" w14:textId="77777777" w:rsidR="006C4F2E" w:rsidRDefault="006C4F2E" w:rsidP="006C4F2E">
            <w:pPr>
              <w:autoSpaceDE w:val="0"/>
              <w:autoSpaceDN w:val="0"/>
              <w:adjustRightInd w:val="0"/>
              <w:spacing w:line="240" w:lineRule="auto"/>
              <w:ind w:left="60" w:right="60"/>
              <w:jc w:val="center"/>
              <w:rPr>
                <w:rFonts w:ascii="Arial" w:hAnsi="Arial" w:cs="Arial"/>
                <w:color w:val="264A60"/>
                <w:sz w:val="18"/>
                <w:szCs w:val="18"/>
              </w:rPr>
            </w:pPr>
          </w:p>
        </w:tc>
        <w:tc>
          <w:tcPr>
            <w:tcW w:w="630" w:type="pct"/>
            <w:hideMark/>
          </w:tcPr>
          <w:p w14:paraId="311EF18B" w14:textId="77777777" w:rsidR="006C4F2E" w:rsidRDefault="006C4F2E" w:rsidP="006C4F2E">
            <w:pPr>
              <w:autoSpaceDE w:val="0"/>
              <w:autoSpaceDN w:val="0"/>
              <w:adjustRightInd w:val="0"/>
              <w:spacing w:line="240" w:lineRule="auto"/>
              <w:ind w:left="60" w:right="60"/>
              <w:jc w:val="center"/>
              <w:rPr>
                <w:rFonts w:ascii="Arial" w:hAnsi="Arial" w:cs="Arial"/>
                <w:color w:val="264A60"/>
                <w:sz w:val="18"/>
                <w:szCs w:val="18"/>
              </w:rPr>
            </w:pPr>
            <w:r>
              <w:rPr>
                <w:rFonts w:ascii="Arial" w:hAnsi="Arial" w:cs="Arial"/>
                <w:color w:val="264A60"/>
                <w:sz w:val="18"/>
                <w:szCs w:val="18"/>
              </w:rPr>
              <w:t>Adamawa</w:t>
            </w:r>
          </w:p>
        </w:tc>
        <w:tc>
          <w:tcPr>
            <w:tcW w:w="591" w:type="pct"/>
            <w:hideMark/>
          </w:tcPr>
          <w:p w14:paraId="0B254095" w14:textId="77777777" w:rsidR="006C4F2E" w:rsidRDefault="006C4F2E" w:rsidP="006C4F2E">
            <w:pPr>
              <w:autoSpaceDE w:val="0"/>
              <w:autoSpaceDN w:val="0"/>
              <w:adjustRightInd w:val="0"/>
              <w:spacing w:line="240" w:lineRule="auto"/>
              <w:ind w:left="60" w:right="60"/>
              <w:jc w:val="center"/>
              <w:rPr>
                <w:rFonts w:ascii="Arial" w:hAnsi="Arial" w:cs="Arial"/>
                <w:color w:val="264A60"/>
                <w:sz w:val="18"/>
                <w:szCs w:val="18"/>
              </w:rPr>
            </w:pPr>
            <w:r>
              <w:rPr>
                <w:rFonts w:ascii="Arial" w:hAnsi="Arial" w:cs="Arial"/>
                <w:color w:val="264A60"/>
                <w:sz w:val="18"/>
                <w:szCs w:val="18"/>
              </w:rPr>
              <w:t>Anambra</w:t>
            </w:r>
          </w:p>
        </w:tc>
        <w:tc>
          <w:tcPr>
            <w:tcW w:w="469" w:type="pct"/>
            <w:hideMark/>
          </w:tcPr>
          <w:p w14:paraId="2F2B5ADD" w14:textId="77777777" w:rsidR="006C4F2E" w:rsidRDefault="006C4F2E" w:rsidP="006C4F2E">
            <w:pPr>
              <w:autoSpaceDE w:val="0"/>
              <w:autoSpaceDN w:val="0"/>
              <w:adjustRightInd w:val="0"/>
              <w:spacing w:line="240" w:lineRule="auto"/>
              <w:ind w:left="60" w:right="60"/>
              <w:jc w:val="center"/>
              <w:rPr>
                <w:rFonts w:ascii="Arial" w:hAnsi="Arial" w:cs="Arial"/>
                <w:color w:val="264A60"/>
                <w:sz w:val="18"/>
                <w:szCs w:val="18"/>
              </w:rPr>
            </w:pPr>
            <w:r>
              <w:rPr>
                <w:rFonts w:ascii="Arial" w:hAnsi="Arial" w:cs="Arial"/>
                <w:color w:val="264A60"/>
                <w:sz w:val="18"/>
                <w:szCs w:val="18"/>
              </w:rPr>
              <w:t>Edo</w:t>
            </w:r>
          </w:p>
        </w:tc>
        <w:tc>
          <w:tcPr>
            <w:tcW w:w="469" w:type="pct"/>
            <w:hideMark/>
          </w:tcPr>
          <w:p w14:paraId="2D4995BF" w14:textId="77777777" w:rsidR="006C4F2E" w:rsidRDefault="006C4F2E" w:rsidP="006C4F2E">
            <w:pPr>
              <w:autoSpaceDE w:val="0"/>
              <w:autoSpaceDN w:val="0"/>
              <w:adjustRightInd w:val="0"/>
              <w:spacing w:line="240" w:lineRule="auto"/>
              <w:ind w:left="60" w:right="60"/>
              <w:jc w:val="center"/>
              <w:rPr>
                <w:rFonts w:ascii="Arial" w:hAnsi="Arial" w:cs="Arial"/>
                <w:color w:val="264A60"/>
                <w:sz w:val="18"/>
                <w:szCs w:val="18"/>
              </w:rPr>
            </w:pPr>
            <w:r>
              <w:rPr>
                <w:rFonts w:ascii="Arial" w:hAnsi="Arial" w:cs="Arial"/>
                <w:color w:val="264A60"/>
                <w:sz w:val="18"/>
                <w:szCs w:val="18"/>
              </w:rPr>
              <w:t>FCT</w:t>
            </w:r>
          </w:p>
        </w:tc>
        <w:tc>
          <w:tcPr>
            <w:tcW w:w="469" w:type="pct"/>
            <w:hideMark/>
          </w:tcPr>
          <w:p w14:paraId="7B028278" w14:textId="77777777" w:rsidR="006C4F2E" w:rsidRDefault="006C4F2E" w:rsidP="006C4F2E">
            <w:pPr>
              <w:autoSpaceDE w:val="0"/>
              <w:autoSpaceDN w:val="0"/>
              <w:adjustRightInd w:val="0"/>
              <w:spacing w:line="240" w:lineRule="auto"/>
              <w:ind w:left="60" w:right="60"/>
              <w:jc w:val="center"/>
              <w:rPr>
                <w:rFonts w:ascii="Arial" w:hAnsi="Arial" w:cs="Arial"/>
                <w:color w:val="264A60"/>
                <w:sz w:val="18"/>
                <w:szCs w:val="18"/>
              </w:rPr>
            </w:pPr>
            <w:r>
              <w:rPr>
                <w:rFonts w:ascii="Arial" w:hAnsi="Arial" w:cs="Arial"/>
                <w:color w:val="264A60"/>
                <w:sz w:val="18"/>
                <w:szCs w:val="18"/>
              </w:rPr>
              <w:t>Kano</w:t>
            </w:r>
          </w:p>
        </w:tc>
        <w:tc>
          <w:tcPr>
            <w:tcW w:w="469" w:type="pct"/>
            <w:hideMark/>
          </w:tcPr>
          <w:p w14:paraId="2A543DBD" w14:textId="77777777" w:rsidR="006C4F2E" w:rsidRDefault="006C4F2E" w:rsidP="006C4F2E">
            <w:pPr>
              <w:autoSpaceDE w:val="0"/>
              <w:autoSpaceDN w:val="0"/>
              <w:adjustRightInd w:val="0"/>
              <w:spacing w:line="240" w:lineRule="auto"/>
              <w:ind w:left="60" w:right="60"/>
              <w:jc w:val="center"/>
              <w:rPr>
                <w:rFonts w:ascii="Arial" w:hAnsi="Arial" w:cs="Arial"/>
                <w:color w:val="264A60"/>
                <w:sz w:val="18"/>
                <w:szCs w:val="18"/>
              </w:rPr>
            </w:pPr>
            <w:r>
              <w:rPr>
                <w:rFonts w:ascii="Arial" w:hAnsi="Arial" w:cs="Arial"/>
                <w:color w:val="264A60"/>
                <w:sz w:val="18"/>
                <w:szCs w:val="18"/>
              </w:rPr>
              <w:t>Kwara</w:t>
            </w:r>
          </w:p>
        </w:tc>
        <w:tc>
          <w:tcPr>
            <w:tcW w:w="469" w:type="pct"/>
            <w:hideMark/>
          </w:tcPr>
          <w:p w14:paraId="7CD15725" w14:textId="77777777" w:rsidR="006C4F2E" w:rsidRDefault="006C4F2E" w:rsidP="006C4F2E">
            <w:pPr>
              <w:autoSpaceDE w:val="0"/>
              <w:autoSpaceDN w:val="0"/>
              <w:adjustRightInd w:val="0"/>
              <w:spacing w:line="240" w:lineRule="auto"/>
              <w:ind w:left="60" w:right="60"/>
              <w:jc w:val="center"/>
              <w:rPr>
                <w:rFonts w:ascii="Arial" w:hAnsi="Arial" w:cs="Arial"/>
                <w:color w:val="264A60"/>
                <w:sz w:val="18"/>
                <w:szCs w:val="18"/>
              </w:rPr>
            </w:pPr>
            <w:r>
              <w:rPr>
                <w:rFonts w:ascii="Arial" w:hAnsi="Arial" w:cs="Arial"/>
                <w:color w:val="264A60"/>
                <w:sz w:val="18"/>
                <w:szCs w:val="18"/>
              </w:rPr>
              <w:t>Lagos</w:t>
            </w:r>
          </w:p>
        </w:tc>
        <w:tc>
          <w:tcPr>
            <w:tcW w:w="469" w:type="pct"/>
            <w:hideMark/>
          </w:tcPr>
          <w:p w14:paraId="06091E55" w14:textId="77777777" w:rsidR="006C4F2E" w:rsidRDefault="006C4F2E" w:rsidP="006C4F2E">
            <w:pPr>
              <w:autoSpaceDE w:val="0"/>
              <w:autoSpaceDN w:val="0"/>
              <w:adjustRightInd w:val="0"/>
              <w:spacing w:line="240" w:lineRule="auto"/>
              <w:rPr>
                <w:rFonts w:ascii="Arial" w:hAnsi="Arial" w:cs="Arial"/>
                <w:color w:val="264A60"/>
                <w:sz w:val="18"/>
                <w:szCs w:val="18"/>
              </w:rPr>
            </w:pPr>
            <w:r>
              <w:rPr>
                <w:rFonts w:ascii="Arial" w:hAnsi="Arial" w:cs="Arial"/>
                <w:color w:val="264A60"/>
                <w:sz w:val="18"/>
                <w:szCs w:val="18"/>
              </w:rPr>
              <w:t>Total</w:t>
            </w:r>
          </w:p>
        </w:tc>
      </w:tr>
      <w:tr w:rsidR="006C4F2E" w14:paraId="21F07042" w14:textId="77777777" w:rsidTr="006C4F2E">
        <w:tc>
          <w:tcPr>
            <w:tcW w:w="965" w:type="pct"/>
          </w:tcPr>
          <w:p w14:paraId="121ECB90"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p>
        </w:tc>
        <w:tc>
          <w:tcPr>
            <w:tcW w:w="630" w:type="pct"/>
          </w:tcPr>
          <w:p w14:paraId="42741E51"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p>
        </w:tc>
        <w:tc>
          <w:tcPr>
            <w:tcW w:w="591" w:type="pct"/>
          </w:tcPr>
          <w:p w14:paraId="7BBBDC71"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p>
        </w:tc>
        <w:tc>
          <w:tcPr>
            <w:tcW w:w="469" w:type="pct"/>
          </w:tcPr>
          <w:p w14:paraId="7104E524"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p>
        </w:tc>
        <w:tc>
          <w:tcPr>
            <w:tcW w:w="469" w:type="pct"/>
          </w:tcPr>
          <w:p w14:paraId="63D78D4A"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p>
        </w:tc>
        <w:tc>
          <w:tcPr>
            <w:tcW w:w="469" w:type="pct"/>
          </w:tcPr>
          <w:p w14:paraId="5F54296C"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p>
        </w:tc>
        <w:tc>
          <w:tcPr>
            <w:tcW w:w="469" w:type="pct"/>
          </w:tcPr>
          <w:p w14:paraId="3AC5F066"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p>
        </w:tc>
        <w:tc>
          <w:tcPr>
            <w:tcW w:w="469" w:type="pct"/>
          </w:tcPr>
          <w:p w14:paraId="56A43C90"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p>
        </w:tc>
        <w:tc>
          <w:tcPr>
            <w:tcW w:w="469" w:type="pct"/>
          </w:tcPr>
          <w:p w14:paraId="75B45366"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p>
        </w:tc>
      </w:tr>
      <w:tr w:rsidR="006C4F2E" w14:paraId="05C8EFF5" w14:textId="77777777" w:rsidTr="006C4F2E">
        <w:tc>
          <w:tcPr>
            <w:tcW w:w="965" w:type="pct"/>
            <w:hideMark/>
          </w:tcPr>
          <w:p w14:paraId="200F65BA"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264A60"/>
                <w:sz w:val="18"/>
                <w:szCs w:val="18"/>
              </w:rPr>
              <w:t>I strongly agree</w:t>
            </w:r>
          </w:p>
        </w:tc>
        <w:tc>
          <w:tcPr>
            <w:tcW w:w="630" w:type="pct"/>
            <w:hideMark/>
          </w:tcPr>
          <w:p w14:paraId="09BE4A92"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32.0%</w:t>
            </w:r>
          </w:p>
        </w:tc>
        <w:tc>
          <w:tcPr>
            <w:tcW w:w="591" w:type="pct"/>
            <w:hideMark/>
          </w:tcPr>
          <w:p w14:paraId="643F66C7"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17.2%</w:t>
            </w:r>
          </w:p>
        </w:tc>
        <w:tc>
          <w:tcPr>
            <w:tcW w:w="469" w:type="pct"/>
            <w:hideMark/>
          </w:tcPr>
          <w:p w14:paraId="6F56D2C8"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14.7%</w:t>
            </w:r>
          </w:p>
        </w:tc>
        <w:tc>
          <w:tcPr>
            <w:tcW w:w="469" w:type="pct"/>
            <w:hideMark/>
          </w:tcPr>
          <w:p w14:paraId="70E13179"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15.2%</w:t>
            </w:r>
          </w:p>
        </w:tc>
        <w:tc>
          <w:tcPr>
            <w:tcW w:w="469" w:type="pct"/>
            <w:hideMark/>
          </w:tcPr>
          <w:p w14:paraId="0A33E1AD"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14.3%</w:t>
            </w:r>
          </w:p>
        </w:tc>
        <w:tc>
          <w:tcPr>
            <w:tcW w:w="469" w:type="pct"/>
            <w:hideMark/>
          </w:tcPr>
          <w:p w14:paraId="036560ED"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21.5%</w:t>
            </w:r>
          </w:p>
        </w:tc>
        <w:tc>
          <w:tcPr>
            <w:tcW w:w="469" w:type="pct"/>
            <w:hideMark/>
          </w:tcPr>
          <w:p w14:paraId="6344049D"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9.8%</w:t>
            </w:r>
          </w:p>
        </w:tc>
        <w:tc>
          <w:tcPr>
            <w:tcW w:w="469" w:type="pct"/>
            <w:hideMark/>
          </w:tcPr>
          <w:p w14:paraId="4371F4CB"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18.4%</w:t>
            </w:r>
          </w:p>
        </w:tc>
      </w:tr>
      <w:tr w:rsidR="006C4F2E" w14:paraId="6781E040" w14:textId="77777777" w:rsidTr="006C4F2E">
        <w:tc>
          <w:tcPr>
            <w:tcW w:w="965" w:type="pct"/>
          </w:tcPr>
          <w:p w14:paraId="08AA462D" w14:textId="77777777" w:rsidR="006C4F2E" w:rsidRDefault="006C4F2E" w:rsidP="006C4F2E">
            <w:pPr>
              <w:autoSpaceDE w:val="0"/>
              <w:autoSpaceDN w:val="0"/>
              <w:adjustRightInd w:val="0"/>
              <w:spacing w:line="240" w:lineRule="auto"/>
              <w:ind w:left="60" w:right="60"/>
              <w:jc w:val="right"/>
              <w:rPr>
                <w:rFonts w:ascii="Arial" w:hAnsi="Arial" w:cs="Arial"/>
                <w:color w:val="264A60"/>
                <w:sz w:val="18"/>
                <w:szCs w:val="18"/>
              </w:rPr>
            </w:pPr>
            <w:r>
              <w:rPr>
                <w:rFonts w:ascii="Arial" w:hAnsi="Arial" w:cs="Arial"/>
                <w:color w:val="264A60"/>
                <w:sz w:val="18"/>
                <w:szCs w:val="18"/>
              </w:rPr>
              <w:t>I agree</w:t>
            </w:r>
          </w:p>
        </w:tc>
        <w:tc>
          <w:tcPr>
            <w:tcW w:w="630" w:type="pct"/>
          </w:tcPr>
          <w:p w14:paraId="0752DA5B"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61.2%</w:t>
            </w:r>
          </w:p>
        </w:tc>
        <w:tc>
          <w:tcPr>
            <w:tcW w:w="591" w:type="pct"/>
          </w:tcPr>
          <w:p w14:paraId="108F9CC5"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42.2%</w:t>
            </w:r>
          </w:p>
        </w:tc>
        <w:tc>
          <w:tcPr>
            <w:tcW w:w="469" w:type="pct"/>
          </w:tcPr>
          <w:p w14:paraId="707DDE85"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47.9%</w:t>
            </w:r>
          </w:p>
        </w:tc>
        <w:tc>
          <w:tcPr>
            <w:tcW w:w="469" w:type="pct"/>
          </w:tcPr>
          <w:p w14:paraId="27CE93EC"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38.8%</w:t>
            </w:r>
          </w:p>
        </w:tc>
        <w:tc>
          <w:tcPr>
            <w:tcW w:w="469" w:type="pct"/>
          </w:tcPr>
          <w:p w14:paraId="3B0D8519"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37.1%</w:t>
            </w:r>
          </w:p>
        </w:tc>
        <w:tc>
          <w:tcPr>
            <w:tcW w:w="469" w:type="pct"/>
          </w:tcPr>
          <w:p w14:paraId="10B7EB0C"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32.3%</w:t>
            </w:r>
          </w:p>
        </w:tc>
        <w:tc>
          <w:tcPr>
            <w:tcW w:w="469" w:type="pct"/>
          </w:tcPr>
          <w:p w14:paraId="7AC0F277"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14.3%</w:t>
            </w:r>
          </w:p>
        </w:tc>
        <w:tc>
          <w:tcPr>
            <w:tcW w:w="469" w:type="pct"/>
          </w:tcPr>
          <w:p w14:paraId="5722A788"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42.4%</w:t>
            </w:r>
          </w:p>
        </w:tc>
      </w:tr>
      <w:tr w:rsidR="006C4F2E" w14:paraId="67E4642E" w14:textId="77777777" w:rsidTr="006C4F2E">
        <w:tc>
          <w:tcPr>
            <w:tcW w:w="965" w:type="pct"/>
            <w:hideMark/>
          </w:tcPr>
          <w:p w14:paraId="7C84DAE7"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264A60"/>
                <w:sz w:val="18"/>
                <w:szCs w:val="18"/>
              </w:rPr>
              <w:t>I neither agree or disagree</w:t>
            </w:r>
          </w:p>
        </w:tc>
        <w:tc>
          <w:tcPr>
            <w:tcW w:w="630" w:type="pct"/>
            <w:hideMark/>
          </w:tcPr>
          <w:p w14:paraId="0FCEC017"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3.1%</w:t>
            </w:r>
          </w:p>
        </w:tc>
        <w:tc>
          <w:tcPr>
            <w:tcW w:w="591" w:type="pct"/>
            <w:hideMark/>
          </w:tcPr>
          <w:p w14:paraId="09ABE2B0"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5.2%</w:t>
            </w:r>
          </w:p>
        </w:tc>
        <w:tc>
          <w:tcPr>
            <w:tcW w:w="469" w:type="pct"/>
            <w:hideMark/>
          </w:tcPr>
          <w:p w14:paraId="2224337C"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15.7%</w:t>
            </w:r>
          </w:p>
        </w:tc>
        <w:tc>
          <w:tcPr>
            <w:tcW w:w="469" w:type="pct"/>
            <w:hideMark/>
          </w:tcPr>
          <w:p w14:paraId="61D7E2B4"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14.9%</w:t>
            </w:r>
          </w:p>
        </w:tc>
        <w:tc>
          <w:tcPr>
            <w:tcW w:w="469" w:type="pct"/>
            <w:hideMark/>
          </w:tcPr>
          <w:p w14:paraId="3220F83F"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5.9%</w:t>
            </w:r>
          </w:p>
        </w:tc>
        <w:tc>
          <w:tcPr>
            <w:tcW w:w="469" w:type="pct"/>
            <w:hideMark/>
          </w:tcPr>
          <w:p w14:paraId="35E04F18"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14.6%</w:t>
            </w:r>
          </w:p>
        </w:tc>
        <w:tc>
          <w:tcPr>
            <w:tcW w:w="469" w:type="pct"/>
            <w:hideMark/>
          </w:tcPr>
          <w:p w14:paraId="79472D1F"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9.8%</w:t>
            </w:r>
          </w:p>
        </w:tc>
        <w:tc>
          <w:tcPr>
            <w:tcW w:w="469" w:type="pct"/>
            <w:hideMark/>
          </w:tcPr>
          <w:p w14:paraId="3A9B038F"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9.4%</w:t>
            </w:r>
          </w:p>
        </w:tc>
      </w:tr>
      <w:tr w:rsidR="006C4F2E" w14:paraId="73A8F221" w14:textId="77777777" w:rsidTr="006C4F2E">
        <w:tc>
          <w:tcPr>
            <w:tcW w:w="965" w:type="pct"/>
            <w:hideMark/>
          </w:tcPr>
          <w:p w14:paraId="3FE433BE"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264A60"/>
                <w:sz w:val="18"/>
                <w:szCs w:val="18"/>
              </w:rPr>
              <w:t>I disagree</w:t>
            </w:r>
          </w:p>
        </w:tc>
        <w:tc>
          <w:tcPr>
            <w:tcW w:w="630" w:type="pct"/>
            <w:hideMark/>
          </w:tcPr>
          <w:p w14:paraId="30A1E39B"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1.9%</w:t>
            </w:r>
          </w:p>
        </w:tc>
        <w:tc>
          <w:tcPr>
            <w:tcW w:w="591" w:type="pct"/>
            <w:hideMark/>
          </w:tcPr>
          <w:p w14:paraId="4DA57425"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20.1%</w:t>
            </w:r>
          </w:p>
        </w:tc>
        <w:tc>
          <w:tcPr>
            <w:tcW w:w="469" w:type="pct"/>
            <w:hideMark/>
          </w:tcPr>
          <w:p w14:paraId="5F658A2E"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19.5%</w:t>
            </w:r>
          </w:p>
        </w:tc>
        <w:tc>
          <w:tcPr>
            <w:tcW w:w="469" w:type="pct"/>
            <w:hideMark/>
          </w:tcPr>
          <w:p w14:paraId="5572DF46"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17.2%</w:t>
            </w:r>
          </w:p>
        </w:tc>
        <w:tc>
          <w:tcPr>
            <w:tcW w:w="469" w:type="pct"/>
            <w:hideMark/>
          </w:tcPr>
          <w:p w14:paraId="32EC7518"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37.6%</w:t>
            </w:r>
          </w:p>
        </w:tc>
        <w:tc>
          <w:tcPr>
            <w:tcW w:w="469" w:type="pct"/>
            <w:hideMark/>
          </w:tcPr>
          <w:p w14:paraId="3454EC71"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18.4%</w:t>
            </w:r>
          </w:p>
        </w:tc>
        <w:tc>
          <w:tcPr>
            <w:tcW w:w="469" w:type="pct"/>
            <w:hideMark/>
          </w:tcPr>
          <w:p w14:paraId="38FF72E8"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33.9%</w:t>
            </w:r>
          </w:p>
        </w:tc>
        <w:tc>
          <w:tcPr>
            <w:tcW w:w="469" w:type="pct"/>
            <w:hideMark/>
          </w:tcPr>
          <w:p w14:paraId="3AE80F8A"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20.4%</w:t>
            </w:r>
          </w:p>
        </w:tc>
      </w:tr>
      <w:tr w:rsidR="006C4F2E" w14:paraId="27A5DF85" w14:textId="77777777" w:rsidTr="006C4F2E">
        <w:tc>
          <w:tcPr>
            <w:tcW w:w="965" w:type="pct"/>
            <w:hideMark/>
          </w:tcPr>
          <w:p w14:paraId="335DC364"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264A60"/>
                <w:sz w:val="18"/>
                <w:szCs w:val="18"/>
              </w:rPr>
              <w:t>I strongly disagree</w:t>
            </w:r>
          </w:p>
        </w:tc>
        <w:tc>
          <w:tcPr>
            <w:tcW w:w="630" w:type="pct"/>
            <w:hideMark/>
          </w:tcPr>
          <w:p w14:paraId="2F1DA048"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1.9%</w:t>
            </w:r>
          </w:p>
        </w:tc>
        <w:tc>
          <w:tcPr>
            <w:tcW w:w="591" w:type="pct"/>
            <w:hideMark/>
          </w:tcPr>
          <w:p w14:paraId="1E9AB28A"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15.3%</w:t>
            </w:r>
          </w:p>
        </w:tc>
        <w:tc>
          <w:tcPr>
            <w:tcW w:w="469" w:type="pct"/>
            <w:hideMark/>
          </w:tcPr>
          <w:p w14:paraId="2FC01D71"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2.2%</w:t>
            </w:r>
          </w:p>
        </w:tc>
        <w:tc>
          <w:tcPr>
            <w:tcW w:w="469" w:type="pct"/>
            <w:hideMark/>
          </w:tcPr>
          <w:p w14:paraId="78365290"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13.9%</w:t>
            </w:r>
          </w:p>
        </w:tc>
        <w:tc>
          <w:tcPr>
            <w:tcW w:w="469" w:type="pct"/>
            <w:hideMark/>
          </w:tcPr>
          <w:p w14:paraId="570A4856"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5.1%</w:t>
            </w:r>
          </w:p>
        </w:tc>
        <w:tc>
          <w:tcPr>
            <w:tcW w:w="469" w:type="pct"/>
            <w:hideMark/>
          </w:tcPr>
          <w:p w14:paraId="4085E5FB"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13.3%</w:t>
            </w:r>
          </w:p>
        </w:tc>
        <w:tc>
          <w:tcPr>
            <w:tcW w:w="469" w:type="pct"/>
            <w:hideMark/>
          </w:tcPr>
          <w:p w14:paraId="6BD4A6BF"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32.1%</w:t>
            </w:r>
          </w:p>
        </w:tc>
        <w:tc>
          <w:tcPr>
            <w:tcW w:w="469" w:type="pct"/>
            <w:hideMark/>
          </w:tcPr>
          <w:p w14:paraId="580DE20D" w14:textId="77777777" w:rsidR="006C4F2E" w:rsidRDefault="006C4F2E" w:rsidP="006C4F2E">
            <w:pPr>
              <w:keepNext/>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9.5%</w:t>
            </w:r>
          </w:p>
        </w:tc>
      </w:tr>
    </w:tbl>
    <w:p w14:paraId="217CC025" w14:textId="77777777" w:rsidR="008637AF" w:rsidRPr="00681F77" w:rsidRDefault="008637AF" w:rsidP="008637AF">
      <w:pPr>
        <w:autoSpaceDE w:val="0"/>
        <w:autoSpaceDN w:val="0"/>
        <w:adjustRightInd w:val="0"/>
        <w:spacing w:after="0" w:line="240" w:lineRule="auto"/>
        <w:rPr>
          <w:rFonts w:ascii="Times New Roman" w:hAnsi="Times New Roman" w:cs="Times New Roman"/>
          <w:b/>
          <w:sz w:val="24"/>
          <w:szCs w:val="24"/>
        </w:rPr>
      </w:pPr>
    </w:p>
    <w:p w14:paraId="49E40237" w14:textId="77777777" w:rsidR="008637AF" w:rsidRPr="00681F77" w:rsidRDefault="008637AF" w:rsidP="008637AF">
      <w:pPr>
        <w:pStyle w:val="Caption"/>
        <w:rPr>
          <w:rFonts w:ascii="Times New Roman" w:hAnsi="Times New Roman" w:cs="Times New Roman"/>
          <w:sz w:val="24"/>
          <w:szCs w:val="24"/>
        </w:rPr>
      </w:pPr>
      <w:r>
        <w:t xml:space="preserve">Table </w:t>
      </w:r>
      <w:fldSimple w:instr=" SEQ Table \* ARABIC ">
        <w:r>
          <w:rPr>
            <w:noProof/>
          </w:rPr>
          <w:t>4</w:t>
        </w:r>
      </w:fldSimple>
      <w:r>
        <w:t xml:space="preserve"> </w:t>
      </w:r>
      <w:r w:rsidRPr="00DB60DC">
        <w:t xml:space="preserve">: Parents should teach their children </w:t>
      </w:r>
      <w:r>
        <w:t xml:space="preserve">traditional </w:t>
      </w:r>
      <w:r w:rsidRPr="00DB60DC">
        <w:t>gender roles</w:t>
      </w:r>
    </w:p>
    <w:p w14:paraId="4B35C95A" w14:textId="77777777" w:rsidR="008637AF" w:rsidRPr="00E75191" w:rsidRDefault="008637AF" w:rsidP="008637AF">
      <w:pPr>
        <w:autoSpaceDE w:val="0"/>
        <w:autoSpaceDN w:val="0"/>
        <w:adjustRightInd w:val="0"/>
        <w:spacing w:after="0" w:line="240" w:lineRule="auto"/>
        <w:jc w:val="both"/>
        <w:rPr>
          <w:rFonts w:cstheme="minorHAnsi"/>
          <w:color w:val="000000" w:themeColor="text1"/>
          <w:sz w:val="24"/>
          <w:szCs w:val="24"/>
        </w:rPr>
      </w:pPr>
      <w:r w:rsidRPr="00E75191">
        <w:rPr>
          <w:rFonts w:cstheme="minorHAnsi"/>
          <w:color w:val="000000" w:themeColor="text1"/>
          <w:sz w:val="24"/>
          <w:szCs w:val="24"/>
        </w:rPr>
        <w:t>From the above, it is clear that many people and communities still operate traditional gender roles and see no harm in continuing to teach them to the next generation.</w:t>
      </w:r>
    </w:p>
    <w:p w14:paraId="697A6593" w14:textId="77777777" w:rsidR="008637AF" w:rsidRPr="00E75191" w:rsidRDefault="008637AF" w:rsidP="008637AF">
      <w:pPr>
        <w:autoSpaceDE w:val="0"/>
        <w:autoSpaceDN w:val="0"/>
        <w:adjustRightInd w:val="0"/>
        <w:spacing w:after="0" w:line="240" w:lineRule="auto"/>
        <w:rPr>
          <w:rFonts w:cstheme="minorHAnsi"/>
          <w:color w:val="264A60"/>
          <w:sz w:val="18"/>
          <w:szCs w:val="18"/>
        </w:rPr>
      </w:pPr>
    </w:p>
    <w:p w14:paraId="1797971D" w14:textId="77777777" w:rsidR="008637AF" w:rsidRPr="00E75191" w:rsidRDefault="008637AF" w:rsidP="008637AF">
      <w:pPr>
        <w:autoSpaceDE w:val="0"/>
        <w:autoSpaceDN w:val="0"/>
        <w:adjustRightInd w:val="0"/>
        <w:spacing w:after="0" w:line="240" w:lineRule="auto"/>
        <w:jc w:val="both"/>
        <w:rPr>
          <w:rFonts w:cstheme="minorHAnsi"/>
          <w:sz w:val="24"/>
          <w:szCs w:val="24"/>
        </w:rPr>
      </w:pPr>
      <w:r w:rsidRPr="00E75191">
        <w:rPr>
          <w:rFonts w:cstheme="minorHAnsi"/>
          <w:sz w:val="24"/>
          <w:szCs w:val="24"/>
        </w:rPr>
        <w:t>Interestingly,</w:t>
      </w:r>
      <w:r>
        <w:rPr>
          <w:rFonts w:cstheme="minorHAnsi"/>
          <w:sz w:val="24"/>
          <w:szCs w:val="24"/>
        </w:rPr>
        <w:t xml:space="preserve"> despite a tendency towards traditional gender roles,</w:t>
      </w:r>
      <w:r w:rsidRPr="00E75191">
        <w:rPr>
          <w:rFonts w:cstheme="minorHAnsi"/>
          <w:sz w:val="24"/>
          <w:szCs w:val="24"/>
        </w:rPr>
        <w:t xml:space="preserve"> </w:t>
      </w:r>
      <w:r>
        <w:rPr>
          <w:rFonts w:cstheme="minorHAnsi"/>
          <w:sz w:val="24"/>
          <w:szCs w:val="24"/>
        </w:rPr>
        <w:t>almost half (47.5%)</w:t>
      </w:r>
      <w:r w:rsidRPr="00E75191">
        <w:rPr>
          <w:rFonts w:cstheme="minorHAnsi"/>
          <w:sz w:val="24"/>
          <w:szCs w:val="24"/>
        </w:rPr>
        <w:t xml:space="preserve"> of the respondents consents that household duties should be shared equally, (with 34.5% agree and </w:t>
      </w:r>
      <w:r w:rsidRPr="00E75191">
        <w:rPr>
          <w:rFonts w:cstheme="minorHAnsi"/>
          <w:sz w:val="24"/>
          <w:szCs w:val="24"/>
        </w:rPr>
        <w:lastRenderedPageBreak/>
        <w:t xml:space="preserve">13.0% strongly agree). Alternatively, 42.3% of the respondents consents that household duties should not be shared equally (31.6% disagrees and 10.7% strongly disagrees). </w:t>
      </w:r>
      <w:r w:rsidRPr="003334CE">
        <w:rPr>
          <w:rFonts w:cstheme="minorHAnsi"/>
          <w:sz w:val="24"/>
          <w:szCs w:val="24"/>
        </w:rPr>
        <w:t xml:space="preserve">Up to 49% of all females (34.9% agreed and 14.6 strongly agreed) and over 46% of all males (34.9% agreed and 11.5% strongly agreed) agreed that men and women share household duties equally; 16.6% (8.3 respectively agreed and strongly agreed) among those of other while those who preferred not to say recorded 23.1 of those that agreed and 3.8% of those that strongly agreed. </w:t>
      </w:r>
      <w:r w:rsidRPr="00E75191">
        <w:rPr>
          <w:rFonts w:cstheme="minorHAnsi"/>
          <w:sz w:val="24"/>
          <w:szCs w:val="24"/>
        </w:rPr>
        <w:t xml:space="preserve">It is also worthy </w:t>
      </w:r>
      <w:r>
        <w:rPr>
          <w:rFonts w:cstheme="minorHAnsi"/>
          <w:sz w:val="24"/>
          <w:szCs w:val="24"/>
        </w:rPr>
        <w:t>to</w:t>
      </w:r>
      <w:r w:rsidRPr="00E75191">
        <w:rPr>
          <w:rFonts w:cstheme="minorHAnsi"/>
          <w:sz w:val="24"/>
          <w:szCs w:val="24"/>
        </w:rPr>
        <w:t xml:space="preserve"> note that respondents who agreed that household duties should be shared equally are </w:t>
      </w:r>
      <w:r>
        <w:rPr>
          <w:rFonts w:cstheme="minorHAnsi"/>
          <w:sz w:val="24"/>
          <w:szCs w:val="24"/>
        </w:rPr>
        <w:t xml:space="preserve">more </w:t>
      </w:r>
      <w:r w:rsidRPr="00E75191">
        <w:rPr>
          <w:rFonts w:cstheme="minorHAnsi"/>
          <w:sz w:val="24"/>
          <w:szCs w:val="24"/>
        </w:rPr>
        <w:t>in t</w:t>
      </w:r>
      <w:r w:rsidRPr="00681F77">
        <w:rPr>
          <w:rFonts w:cstheme="minorHAnsi"/>
          <w:sz w:val="24"/>
          <w:szCs w:val="24"/>
        </w:rPr>
        <w:t xml:space="preserve">he northern states </w:t>
      </w:r>
      <w:r>
        <w:rPr>
          <w:rFonts w:cstheme="minorHAnsi"/>
          <w:sz w:val="24"/>
          <w:szCs w:val="24"/>
        </w:rPr>
        <w:t>(s</w:t>
      </w:r>
      <w:r w:rsidRPr="00681F77">
        <w:rPr>
          <w:rFonts w:cstheme="minorHAnsi"/>
          <w:sz w:val="24"/>
          <w:szCs w:val="24"/>
        </w:rPr>
        <w:t xml:space="preserve">ee </w:t>
      </w:r>
      <w:r>
        <w:rPr>
          <w:rFonts w:cstheme="minorHAnsi"/>
          <w:sz w:val="24"/>
          <w:szCs w:val="24"/>
        </w:rPr>
        <w:t>t</w:t>
      </w:r>
      <w:r w:rsidRPr="00681F77">
        <w:rPr>
          <w:rFonts w:cstheme="minorHAnsi"/>
          <w:sz w:val="24"/>
          <w:szCs w:val="24"/>
        </w:rPr>
        <w:t>able below</w:t>
      </w:r>
      <w:r>
        <w:rPr>
          <w:rFonts w:cstheme="minorHAnsi"/>
          <w:sz w:val="24"/>
          <w:szCs w:val="24"/>
        </w:rPr>
        <w:t>).</w:t>
      </w:r>
    </w:p>
    <w:p w14:paraId="2D8CFDCA" w14:textId="77777777" w:rsidR="008637AF" w:rsidRPr="00681F77" w:rsidRDefault="008637AF" w:rsidP="008637AF">
      <w:pPr>
        <w:autoSpaceDE w:val="0"/>
        <w:autoSpaceDN w:val="0"/>
        <w:adjustRightInd w:val="0"/>
        <w:spacing w:after="0" w:line="240" w:lineRule="auto"/>
        <w:rPr>
          <w:rFonts w:ascii="Times New Roman" w:hAnsi="Times New Roman" w:cs="Times New Roman"/>
          <w:b/>
          <w:sz w:val="26"/>
          <w:szCs w:val="24"/>
        </w:rPr>
      </w:pPr>
    </w:p>
    <w:tbl>
      <w:tblPr>
        <w:tblStyle w:val="PlainTable4"/>
        <w:tblW w:w="4949" w:type="pct"/>
        <w:tblLook w:val="04A0" w:firstRow="1" w:lastRow="0" w:firstColumn="1" w:lastColumn="0" w:noHBand="0" w:noVBand="1"/>
      </w:tblPr>
      <w:tblGrid>
        <w:gridCol w:w="1620"/>
        <w:gridCol w:w="1177"/>
        <w:gridCol w:w="1117"/>
        <w:gridCol w:w="847"/>
        <w:gridCol w:w="847"/>
        <w:gridCol w:w="847"/>
        <w:gridCol w:w="877"/>
        <w:gridCol w:w="867"/>
        <w:gridCol w:w="735"/>
      </w:tblGrid>
      <w:tr w:rsidR="006C4F2E" w14:paraId="54BFD03C" w14:textId="77777777" w:rsidTr="006C4F2E">
        <w:trPr>
          <w:cnfStyle w:val="100000000000" w:firstRow="1" w:lastRow="0" w:firstColumn="0" w:lastColumn="0" w:oddVBand="0" w:evenVBand="0" w:oddHBand="0"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961" w:type="pct"/>
          </w:tcPr>
          <w:p w14:paraId="14F10873" w14:textId="77777777" w:rsidR="006C4F2E" w:rsidRDefault="006C4F2E" w:rsidP="006C4F2E">
            <w:pPr>
              <w:autoSpaceDE w:val="0"/>
              <w:autoSpaceDN w:val="0"/>
              <w:adjustRightInd w:val="0"/>
              <w:ind w:right="60"/>
              <w:rPr>
                <w:rFonts w:ascii="Arial" w:hAnsi="Arial" w:cs="Arial"/>
                <w:color w:val="264A60"/>
                <w:sz w:val="18"/>
                <w:szCs w:val="18"/>
              </w:rPr>
            </w:pPr>
          </w:p>
        </w:tc>
        <w:tc>
          <w:tcPr>
            <w:tcW w:w="635" w:type="pct"/>
          </w:tcPr>
          <w:p w14:paraId="7DDDE3FD" w14:textId="77777777" w:rsidR="006C4F2E" w:rsidRDefault="006C4F2E" w:rsidP="006C4F2E">
            <w:pPr>
              <w:autoSpaceDE w:val="0"/>
              <w:autoSpaceDN w:val="0"/>
              <w:adjustRightInd w:val="0"/>
              <w:ind w:left="60" w:right="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264A60"/>
                <w:sz w:val="18"/>
                <w:szCs w:val="18"/>
              </w:rPr>
            </w:pPr>
            <w:r>
              <w:rPr>
                <w:rFonts w:ascii="Arial" w:hAnsi="Arial" w:cs="Arial"/>
                <w:color w:val="264A60"/>
                <w:sz w:val="18"/>
                <w:szCs w:val="18"/>
              </w:rPr>
              <w:t>Adamawa</w:t>
            </w:r>
          </w:p>
        </w:tc>
        <w:tc>
          <w:tcPr>
            <w:tcW w:w="603" w:type="pct"/>
          </w:tcPr>
          <w:p w14:paraId="4480544D" w14:textId="77777777" w:rsidR="006C4F2E" w:rsidRDefault="006C4F2E" w:rsidP="006C4F2E">
            <w:pPr>
              <w:autoSpaceDE w:val="0"/>
              <w:autoSpaceDN w:val="0"/>
              <w:adjustRightInd w:val="0"/>
              <w:ind w:left="60" w:right="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264A60"/>
                <w:sz w:val="18"/>
                <w:szCs w:val="18"/>
              </w:rPr>
            </w:pPr>
            <w:r>
              <w:rPr>
                <w:rFonts w:ascii="Arial" w:hAnsi="Arial" w:cs="Arial"/>
                <w:color w:val="264A60"/>
                <w:sz w:val="18"/>
                <w:szCs w:val="18"/>
              </w:rPr>
              <w:t>Anambra</w:t>
            </w:r>
          </w:p>
        </w:tc>
        <w:tc>
          <w:tcPr>
            <w:tcW w:w="465" w:type="pct"/>
          </w:tcPr>
          <w:p w14:paraId="0A2EDD53" w14:textId="77777777" w:rsidR="006C4F2E" w:rsidRDefault="006C4F2E" w:rsidP="006C4F2E">
            <w:pPr>
              <w:autoSpaceDE w:val="0"/>
              <w:autoSpaceDN w:val="0"/>
              <w:adjustRightInd w:val="0"/>
              <w:ind w:left="60" w:right="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264A60"/>
                <w:sz w:val="18"/>
                <w:szCs w:val="18"/>
              </w:rPr>
            </w:pPr>
            <w:r>
              <w:rPr>
                <w:rFonts w:ascii="Arial" w:hAnsi="Arial" w:cs="Arial"/>
                <w:color w:val="264A60"/>
                <w:sz w:val="18"/>
                <w:szCs w:val="18"/>
              </w:rPr>
              <w:t>Edo</w:t>
            </w:r>
          </w:p>
        </w:tc>
        <w:tc>
          <w:tcPr>
            <w:tcW w:w="465" w:type="pct"/>
          </w:tcPr>
          <w:p w14:paraId="42ED7A57" w14:textId="77777777" w:rsidR="006C4F2E" w:rsidRDefault="006C4F2E" w:rsidP="006C4F2E">
            <w:pPr>
              <w:autoSpaceDE w:val="0"/>
              <w:autoSpaceDN w:val="0"/>
              <w:adjustRightInd w:val="0"/>
              <w:ind w:left="60" w:right="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264A60"/>
                <w:sz w:val="18"/>
                <w:szCs w:val="18"/>
              </w:rPr>
            </w:pPr>
            <w:r>
              <w:rPr>
                <w:rFonts w:ascii="Arial" w:hAnsi="Arial" w:cs="Arial"/>
                <w:color w:val="264A60"/>
                <w:sz w:val="18"/>
                <w:szCs w:val="18"/>
              </w:rPr>
              <w:t>FCT</w:t>
            </w:r>
          </w:p>
        </w:tc>
        <w:tc>
          <w:tcPr>
            <w:tcW w:w="465" w:type="pct"/>
          </w:tcPr>
          <w:p w14:paraId="2B7B367F" w14:textId="77777777" w:rsidR="006C4F2E" w:rsidRDefault="006C4F2E" w:rsidP="006C4F2E">
            <w:pPr>
              <w:autoSpaceDE w:val="0"/>
              <w:autoSpaceDN w:val="0"/>
              <w:adjustRightInd w:val="0"/>
              <w:ind w:left="60" w:right="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264A60"/>
                <w:sz w:val="18"/>
                <w:szCs w:val="18"/>
              </w:rPr>
            </w:pPr>
            <w:r>
              <w:rPr>
                <w:rFonts w:ascii="Arial" w:hAnsi="Arial" w:cs="Arial"/>
                <w:color w:val="264A60"/>
                <w:sz w:val="18"/>
                <w:szCs w:val="18"/>
              </w:rPr>
              <w:t>Kano</w:t>
            </w:r>
          </w:p>
        </w:tc>
        <w:tc>
          <w:tcPr>
            <w:tcW w:w="473" w:type="pct"/>
          </w:tcPr>
          <w:p w14:paraId="30E66647" w14:textId="77777777" w:rsidR="006C4F2E" w:rsidRDefault="006C4F2E" w:rsidP="006C4F2E">
            <w:pPr>
              <w:autoSpaceDE w:val="0"/>
              <w:autoSpaceDN w:val="0"/>
              <w:adjustRightInd w:val="0"/>
              <w:ind w:left="60" w:right="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264A60"/>
                <w:sz w:val="18"/>
                <w:szCs w:val="18"/>
              </w:rPr>
            </w:pPr>
            <w:r>
              <w:rPr>
                <w:rFonts w:ascii="Arial" w:hAnsi="Arial" w:cs="Arial"/>
                <w:color w:val="264A60"/>
                <w:sz w:val="18"/>
                <w:szCs w:val="18"/>
              </w:rPr>
              <w:t>Kwara</w:t>
            </w:r>
          </w:p>
        </w:tc>
        <w:tc>
          <w:tcPr>
            <w:tcW w:w="468" w:type="pct"/>
          </w:tcPr>
          <w:p w14:paraId="11EE77DB" w14:textId="77777777" w:rsidR="006C4F2E" w:rsidRDefault="006C4F2E" w:rsidP="006C4F2E">
            <w:pPr>
              <w:autoSpaceDE w:val="0"/>
              <w:autoSpaceDN w:val="0"/>
              <w:adjustRightInd w:val="0"/>
              <w:ind w:left="60" w:right="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264A60"/>
                <w:sz w:val="18"/>
                <w:szCs w:val="18"/>
              </w:rPr>
            </w:pPr>
            <w:r>
              <w:rPr>
                <w:rFonts w:ascii="Arial" w:hAnsi="Arial" w:cs="Arial"/>
                <w:color w:val="264A60"/>
                <w:sz w:val="18"/>
                <w:szCs w:val="18"/>
              </w:rPr>
              <w:t>Lagos</w:t>
            </w:r>
          </w:p>
        </w:tc>
        <w:tc>
          <w:tcPr>
            <w:tcW w:w="465" w:type="pct"/>
          </w:tcPr>
          <w:p w14:paraId="0478B9AB" w14:textId="77777777" w:rsidR="006C4F2E" w:rsidRDefault="006C4F2E" w:rsidP="006C4F2E">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264A60"/>
                <w:sz w:val="18"/>
                <w:szCs w:val="18"/>
              </w:rPr>
            </w:pPr>
            <w:r>
              <w:rPr>
                <w:rFonts w:ascii="Arial" w:hAnsi="Arial" w:cs="Arial"/>
                <w:color w:val="264A60"/>
                <w:sz w:val="18"/>
                <w:szCs w:val="18"/>
              </w:rPr>
              <w:t>Total</w:t>
            </w:r>
          </w:p>
          <w:p w14:paraId="267795F0" w14:textId="77777777" w:rsidR="006C4F2E" w:rsidRDefault="006C4F2E" w:rsidP="006C4F2E">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color w:val="264A60"/>
                <w:sz w:val="18"/>
                <w:szCs w:val="18"/>
              </w:rPr>
            </w:pPr>
          </w:p>
        </w:tc>
      </w:tr>
      <w:tr w:rsidR="006C4F2E" w14:paraId="77CC66EF" w14:textId="77777777" w:rsidTr="006C4F2E">
        <w:trPr>
          <w:cnfStyle w:val="000000100000" w:firstRow="0" w:lastRow="0" w:firstColumn="0" w:lastColumn="0" w:oddVBand="0" w:evenVBand="0" w:oddHBand="1"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961" w:type="pct"/>
          </w:tcPr>
          <w:p w14:paraId="5DA4628A" w14:textId="77777777" w:rsidR="006C4F2E" w:rsidRPr="009B6B0E" w:rsidRDefault="006C4F2E" w:rsidP="006C4F2E">
            <w:pPr>
              <w:autoSpaceDE w:val="0"/>
              <w:autoSpaceDN w:val="0"/>
              <w:adjustRightInd w:val="0"/>
              <w:ind w:right="60"/>
              <w:rPr>
                <w:rFonts w:ascii="Arial" w:hAnsi="Arial" w:cs="Arial"/>
                <w:color w:val="264A60"/>
                <w:sz w:val="18"/>
                <w:szCs w:val="18"/>
              </w:rPr>
            </w:pPr>
            <w:r>
              <w:rPr>
                <w:rFonts w:ascii="Arial" w:hAnsi="Arial" w:cs="Arial"/>
                <w:color w:val="264A60"/>
                <w:sz w:val="18"/>
                <w:szCs w:val="18"/>
              </w:rPr>
              <w:t>I strongly agree</w:t>
            </w:r>
          </w:p>
        </w:tc>
        <w:tc>
          <w:tcPr>
            <w:tcW w:w="635" w:type="pct"/>
          </w:tcPr>
          <w:p w14:paraId="066532AF" w14:textId="77777777" w:rsidR="006C4F2E" w:rsidRPr="009B6B0E" w:rsidRDefault="006C4F2E" w:rsidP="006C4F2E">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264A60"/>
                <w:sz w:val="18"/>
                <w:szCs w:val="18"/>
              </w:rPr>
            </w:pPr>
            <w:r w:rsidRPr="009B6B0E">
              <w:rPr>
                <w:rFonts w:ascii="Arial" w:hAnsi="Arial" w:cs="Arial"/>
                <w:color w:val="264A60"/>
                <w:sz w:val="18"/>
                <w:szCs w:val="18"/>
              </w:rPr>
              <w:t>23.9%</w:t>
            </w:r>
          </w:p>
        </w:tc>
        <w:tc>
          <w:tcPr>
            <w:tcW w:w="603" w:type="pct"/>
          </w:tcPr>
          <w:p w14:paraId="73562249" w14:textId="77777777" w:rsidR="006C4F2E" w:rsidRPr="009B6B0E" w:rsidRDefault="006C4F2E" w:rsidP="006C4F2E">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264A60"/>
                <w:sz w:val="18"/>
                <w:szCs w:val="18"/>
              </w:rPr>
            </w:pPr>
            <w:r w:rsidRPr="009B6B0E">
              <w:rPr>
                <w:rFonts w:ascii="Arial" w:hAnsi="Arial" w:cs="Arial"/>
                <w:color w:val="264A60"/>
                <w:sz w:val="18"/>
                <w:szCs w:val="18"/>
              </w:rPr>
              <w:t>16.6%</w:t>
            </w:r>
          </w:p>
        </w:tc>
        <w:tc>
          <w:tcPr>
            <w:tcW w:w="465" w:type="pct"/>
          </w:tcPr>
          <w:p w14:paraId="4A6E4BFF" w14:textId="77777777" w:rsidR="006C4F2E" w:rsidRPr="009B6B0E" w:rsidRDefault="006C4F2E" w:rsidP="006C4F2E">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264A60"/>
                <w:sz w:val="18"/>
                <w:szCs w:val="18"/>
              </w:rPr>
            </w:pPr>
            <w:r w:rsidRPr="009B6B0E">
              <w:rPr>
                <w:rFonts w:ascii="Arial" w:hAnsi="Arial" w:cs="Arial"/>
                <w:color w:val="264A60"/>
                <w:sz w:val="18"/>
                <w:szCs w:val="18"/>
              </w:rPr>
              <w:t>1.9%</w:t>
            </w:r>
          </w:p>
        </w:tc>
        <w:tc>
          <w:tcPr>
            <w:tcW w:w="465" w:type="pct"/>
          </w:tcPr>
          <w:p w14:paraId="04664AAF" w14:textId="77777777" w:rsidR="006C4F2E" w:rsidRPr="009B6B0E" w:rsidRDefault="006C4F2E" w:rsidP="006C4F2E">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264A60"/>
                <w:sz w:val="18"/>
                <w:szCs w:val="18"/>
              </w:rPr>
            </w:pPr>
            <w:r w:rsidRPr="009B6B0E">
              <w:rPr>
                <w:rFonts w:ascii="Arial" w:hAnsi="Arial" w:cs="Arial"/>
                <w:color w:val="264A60"/>
                <w:sz w:val="18"/>
                <w:szCs w:val="18"/>
              </w:rPr>
              <w:t>11.0%</w:t>
            </w:r>
          </w:p>
        </w:tc>
        <w:tc>
          <w:tcPr>
            <w:tcW w:w="465" w:type="pct"/>
          </w:tcPr>
          <w:p w14:paraId="634BD544" w14:textId="77777777" w:rsidR="006C4F2E" w:rsidRPr="009B6B0E" w:rsidRDefault="006C4F2E" w:rsidP="006C4F2E">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264A60"/>
                <w:sz w:val="18"/>
                <w:szCs w:val="18"/>
              </w:rPr>
            </w:pPr>
            <w:r w:rsidRPr="009B6B0E">
              <w:rPr>
                <w:rFonts w:ascii="Arial" w:hAnsi="Arial" w:cs="Arial"/>
                <w:color w:val="264A60"/>
                <w:sz w:val="18"/>
                <w:szCs w:val="18"/>
              </w:rPr>
              <w:t>11.5%</w:t>
            </w:r>
          </w:p>
        </w:tc>
        <w:tc>
          <w:tcPr>
            <w:tcW w:w="473" w:type="pct"/>
          </w:tcPr>
          <w:p w14:paraId="6F418CA8" w14:textId="77777777" w:rsidR="006C4F2E" w:rsidRPr="009B6B0E" w:rsidRDefault="006C4F2E" w:rsidP="006C4F2E">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264A60"/>
                <w:sz w:val="18"/>
                <w:szCs w:val="18"/>
              </w:rPr>
            </w:pPr>
            <w:r w:rsidRPr="009B6B0E">
              <w:rPr>
                <w:rFonts w:ascii="Arial" w:hAnsi="Arial" w:cs="Arial"/>
                <w:color w:val="264A60"/>
                <w:sz w:val="18"/>
                <w:szCs w:val="18"/>
              </w:rPr>
              <w:t>15.8%</w:t>
            </w:r>
          </w:p>
        </w:tc>
        <w:tc>
          <w:tcPr>
            <w:tcW w:w="468" w:type="pct"/>
          </w:tcPr>
          <w:p w14:paraId="40BE0C02" w14:textId="77777777" w:rsidR="006C4F2E" w:rsidRPr="009B6B0E" w:rsidRDefault="006C4F2E" w:rsidP="006C4F2E">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264A60"/>
                <w:sz w:val="18"/>
                <w:szCs w:val="18"/>
              </w:rPr>
            </w:pPr>
            <w:r w:rsidRPr="009B6B0E">
              <w:rPr>
                <w:rFonts w:ascii="Arial" w:hAnsi="Arial" w:cs="Arial"/>
                <w:color w:val="264A60"/>
                <w:sz w:val="18"/>
                <w:szCs w:val="18"/>
              </w:rPr>
              <w:t>8.9%</w:t>
            </w:r>
          </w:p>
        </w:tc>
        <w:tc>
          <w:tcPr>
            <w:tcW w:w="465" w:type="pct"/>
          </w:tcPr>
          <w:p w14:paraId="55DF6FAF" w14:textId="77777777" w:rsidR="006C4F2E" w:rsidRPr="009B6B0E" w:rsidRDefault="006C4F2E" w:rsidP="006C4F2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color w:val="264A60"/>
                <w:sz w:val="18"/>
                <w:szCs w:val="18"/>
              </w:rPr>
            </w:pPr>
            <w:r w:rsidRPr="009B6B0E">
              <w:rPr>
                <w:rFonts w:ascii="Arial" w:hAnsi="Arial" w:cs="Arial"/>
                <w:color w:val="264A60"/>
                <w:sz w:val="18"/>
                <w:szCs w:val="18"/>
              </w:rPr>
              <w:t>13.0%</w:t>
            </w:r>
          </w:p>
        </w:tc>
      </w:tr>
      <w:tr w:rsidR="006C4F2E" w14:paraId="0F73EC15" w14:textId="77777777" w:rsidTr="006C4F2E">
        <w:trPr>
          <w:trHeight w:val="190"/>
        </w:trPr>
        <w:tc>
          <w:tcPr>
            <w:cnfStyle w:val="001000000000" w:firstRow="0" w:lastRow="0" w:firstColumn="1" w:lastColumn="0" w:oddVBand="0" w:evenVBand="0" w:oddHBand="0" w:evenHBand="0" w:firstRowFirstColumn="0" w:firstRowLastColumn="0" w:lastRowFirstColumn="0" w:lastRowLastColumn="0"/>
            <w:tcW w:w="961" w:type="pct"/>
          </w:tcPr>
          <w:p w14:paraId="7795E145" w14:textId="77777777" w:rsidR="006C4F2E" w:rsidRDefault="006C4F2E" w:rsidP="006C4F2E">
            <w:pPr>
              <w:autoSpaceDE w:val="0"/>
              <w:autoSpaceDN w:val="0"/>
              <w:adjustRightInd w:val="0"/>
              <w:ind w:right="60"/>
              <w:rPr>
                <w:rFonts w:ascii="Arial" w:hAnsi="Arial" w:cs="Arial"/>
                <w:color w:val="264A60"/>
                <w:sz w:val="18"/>
                <w:szCs w:val="18"/>
              </w:rPr>
            </w:pPr>
          </w:p>
        </w:tc>
        <w:tc>
          <w:tcPr>
            <w:tcW w:w="635" w:type="pct"/>
          </w:tcPr>
          <w:p w14:paraId="4BF01D69" w14:textId="77777777" w:rsidR="006C4F2E" w:rsidRDefault="006C4F2E" w:rsidP="006C4F2E">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264A60"/>
                <w:sz w:val="18"/>
                <w:szCs w:val="18"/>
              </w:rPr>
            </w:pPr>
          </w:p>
        </w:tc>
        <w:tc>
          <w:tcPr>
            <w:tcW w:w="603" w:type="pct"/>
          </w:tcPr>
          <w:p w14:paraId="55A51D09" w14:textId="77777777" w:rsidR="006C4F2E" w:rsidRDefault="006C4F2E" w:rsidP="006C4F2E">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264A60"/>
                <w:sz w:val="18"/>
                <w:szCs w:val="18"/>
              </w:rPr>
            </w:pPr>
          </w:p>
        </w:tc>
        <w:tc>
          <w:tcPr>
            <w:tcW w:w="465" w:type="pct"/>
          </w:tcPr>
          <w:p w14:paraId="3A57BE95" w14:textId="77777777" w:rsidR="006C4F2E" w:rsidRDefault="006C4F2E" w:rsidP="006C4F2E">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264A60"/>
                <w:sz w:val="18"/>
                <w:szCs w:val="18"/>
              </w:rPr>
            </w:pPr>
          </w:p>
        </w:tc>
        <w:tc>
          <w:tcPr>
            <w:tcW w:w="465" w:type="pct"/>
          </w:tcPr>
          <w:p w14:paraId="53372B93" w14:textId="77777777" w:rsidR="006C4F2E" w:rsidRDefault="006C4F2E" w:rsidP="006C4F2E">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264A60"/>
                <w:sz w:val="18"/>
                <w:szCs w:val="18"/>
              </w:rPr>
            </w:pPr>
          </w:p>
        </w:tc>
        <w:tc>
          <w:tcPr>
            <w:tcW w:w="465" w:type="pct"/>
          </w:tcPr>
          <w:p w14:paraId="068F9141" w14:textId="77777777" w:rsidR="006C4F2E" w:rsidRDefault="006C4F2E" w:rsidP="006C4F2E">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264A60"/>
                <w:sz w:val="18"/>
                <w:szCs w:val="18"/>
              </w:rPr>
            </w:pPr>
          </w:p>
        </w:tc>
        <w:tc>
          <w:tcPr>
            <w:tcW w:w="473" w:type="pct"/>
          </w:tcPr>
          <w:p w14:paraId="4CC41ED6" w14:textId="77777777" w:rsidR="006C4F2E" w:rsidRDefault="006C4F2E" w:rsidP="006C4F2E">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264A60"/>
                <w:sz w:val="18"/>
                <w:szCs w:val="18"/>
              </w:rPr>
            </w:pPr>
          </w:p>
        </w:tc>
        <w:tc>
          <w:tcPr>
            <w:tcW w:w="468" w:type="pct"/>
          </w:tcPr>
          <w:p w14:paraId="1ADFE8BD" w14:textId="77777777" w:rsidR="006C4F2E" w:rsidRDefault="006C4F2E" w:rsidP="006C4F2E">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264A60"/>
                <w:sz w:val="18"/>
                <w:szCs w:val="18"/>
              </w:rPr>
            </w:pPr>
          </w:p>
        </w:tc>
        <w:tc>
          <w:tcPr>
            <w:tcW w:w="465" w:type="pct"/>
          </w:tcPr>
          <w:p w14:paraId="1AF04AD7" w14:textId="77777777" w:rsidR="006C4F2E" w:rsidRDefault="006C4F2E" w:rsidP="006C4F2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264A60"/>
                <w:sz w:val="18"/>
                <w:szCs w:val="18"/>
              </w:rPr>
            </w:pPr>
          </w:p>
        </w:tc>
      </w:tr>
      <w:tr w:rsidR="006C4F2E" w14:paraId="0DC8A138" w14:textId="77777777" w:rsidTr="006C4F2E">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961" w:type="pct"/>
          </w:tcPr>
          <w:p w14:paraId="6D348A2A" w14:textId="77777777" w:rsidR="006C4F2E" w:rsidRPr="009B6B0E" w:rsidRDefault="006C4F2E" w:rsidP="006C4F2E">
            <w:pPr>
              <w:autoSpaceDE w:val="0"/>
              <w:autoSpaceDN w:val="0"/>
              <w:adjustRightInd w:val="0"/>
              <w:ind w:right="60"/>
              <w:rPr>
                <w:rFonts w:ascii="Arial" w:hAnsi="Arial" w:cs="Arial"/>
                <w:color w:val="264A60"/>
                <w:sz w:val="18"/>
                <w:szCs w:val="18"/>
              </w:rPr>
            </w:pPr>
            <w:r>
              <w:rPr>
                <w:rFonts w:ascii="Arial" w:hAnsi="Arial" w:cs="Arial"/>
                <w:color w:val="264A60"/>
                <w:sz w:val="18"/>
                <w:szCs w:val="18"/>
              </w:rPr>
              <w:t>I agree</w:t>
            </w:r>
          </w:p>
        </w:tc>
        <w:tc>
          <w:tcPr>
            <w:tcW w:w="635" w:type="pct"/>
          </w:tcPr>
          <w:p w14:paraId="13A5515D" w14:textId="77777777" w:rsidR="006C4F2E" w:rsidRPr="009B6B0E" w:rsidRDefault="006C4F2E" w:rsidP="006C4F2E">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264A60"/>
                <w:sz w:val="18"/>
                <w:szCs w:val="18"/>
              </w:rPr>
            </w:pPr>
            <w:r w:rsidRPr="009B6B0E">
              <w:rPr>
                <w:rFonts w:ascii="Arial" w:hAnsi="Arial" w:cs="Arial"/>
                <w:color w:val="264A60"/>
                <w:sz w:val="18"/>
                <w:szCs w:val="18"/>
              </w:rPr>
              <w:t>64.3%</w:t>
            </w:r>
          </w:p>
        </w:tc>
        <w:tc>
          <w:tcPr>
            <w:tcW w:w="603" w:type="pct"/>
          </w:tcPr>
          <w:p w14:paraId="482F2A09" w14:textId="77777777" w:rsidR="006C4F2E" w:rsidRPr="009B6B0E" w:rsidRDefault="006C4F2E" w:rsidP="006C4F2E">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264A60"/>
                <w:sz w:val="18"/>
                <w:szCs w:val="18"/>
              </w:rPr>
            </w:pPr>
            <w:r w:rsidRPr="009B6B0E">
              <w:rPr>
                <w:rFonts w:ascii="Arial" w:hAnsi="Arial" w:cs="Arial"/>
                <w:color w:val="264A60"/>
                <w:sz w:val="18"/>
                <w:szCs w:val="18"/>
              </w:rPr>
              <w:t>24.4%</w:t>
            </w:r>
          </w:p>
        </w:tc>
        <w:tc>
          <w:tcPr>
            <w:tcW w:w="465" w:type="pct"/>
          </w:tcPr>
          <w:p w14:paraId="546C7F86" w14:textId="77777777" w:rsidR="006C4F2E" w:rsidRPr="009B6B0E" w:rsidRDefault="006C4F2E" w:rsidP="006C4F2E">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264A60"/>
                <w:sz w:val="18"/>
                <w:szCs w:val="18"/>
              </w:rPr>
            </w:pPr>
            <w:r w:rsidRPr="009B6B0E">
              <w:rPr>
                <w:rFonts w:ascii="Arial" w:hAnsi="Arial" w:cs="Arial"/>
                <w:color w:val="264A60"/>
                <w:sz w:val="18"/>
                <w:szCs w:val="18"/>
              </w:rPr>
              <w:t>19.2%</w:t>
            </w:r>
          </w:p>
        </w:tc>
        <w:tc>
          <w:tcPr>
            <w:tcW w:w="465" w:type="pct"/>
          </w:tcPr>
          <w:p w14:paraId="616512DE" w14:textId="77777777" w:rsidR="006C4F2E" w:rsidRPr="009B6B0E" w:rsidRDefault="006C4F2E" w:rsidP="006C4F2E">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264A60"/>
                <w:sz w:val="18"/>
                <w:szCs w:val="18"/>
              </w:rPr>
            </w:pPr>
            <w:r w:rsidRPr="009B6B0E">
              <w:rPr>
                <w:rFonts w:ascii="Arial" w:hAnsi="Arial" w:cs="Arial"/>
                <w:color w:val="264A60"/>
                <w:sz w:val="18"/>
                <w:szCs w:val="18"/>
              </w:rPr>
              <w:t>33.3%</w:t>
            </w:r>
          </w:p>
        </w:tc>
        <w:tc>
          <w:tcPr>
            <w:tcW w:w="465" w:type="pct"/>
          </w:tcPr>
          <w:p w14:paraId="7D91AAA8" w14:textId="77777777" w:rsidR="006C4F2E" w:rsidRPr="009B6B0E" w:rsidRDefault="006C4F2E" w:rsidP="006C4F2E">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264A60"/>
                <w:sz w:val="18"/>
                <w:szCs w:val="18"/>
              </w:rPr>
            </w:pPr>
            <w:r w:rsidRPr="009B6B0E">
              <w:rPr>
                <w:rFonts w:ascii="Arial" w:hAnsi="Arial" w:cs="Arial"/>
                <w:color w:val="264A60"/>
                <w:sz w:val="18"/>
                <w:szCs w:val="18"/>
              </w:rPr>
              <w:t>41.6%</w:t>
            </w:r>
          </w:p>
        </w:tc>
        <w:tc>
          <w:tcPr>
            <w:tcW w:w="473" w:type="pct"/>
          </w:tcPr>
          <w:p w14:paraId="584CF155" w14:textId="77777777" w:rsidR="006C4F2E" w:rsidRPr="009B6B0E" w:rsidRDefault="006C4F2E" w:rsidP="006C4F2E">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264A60"/>
                <w:sz w:val="18"/>
                <w:szCs w:val="18"/>
              </w:rPr>
            </w:pPr>
            <w:r w:rsidRPr="009B6B0E">
              <w:rPr>
                <w:rFonts w:ascii="Arial" w:hAnsi="Arial" w:cs="Arial"/>
                <w:color w:val="264A60"/>
                <w:sz w:val="18"/>
                <w:szCs w:val="18"/>
              </w:rPr>
              <w:t>20.3%</w:t>
            </w:r>
          </w:p>
        </w:tc>
        <w:tc>
          <w:tcPr>
            <w:tcW w:w="468" w:type="pct"/>
          </w:tcPr>
          <w:p w14:paraId="1AD31EED" w14:textId="77777777" w:rsidR="006C4F2E" w:rsidRPr="009B6B0E" w:rsidRDefault="006C4F2E" w:rsidP="006C4F2E">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264A60"/>
                <w:sz w:val="18"/>
                <w:szCs w:val="18"/>
              </w:rPr>
            </w:pPr>
            <w:r w:rsidRPr="009B6B0E">
              <w:rPr>
                <w:rFonts w:ascii="Arial" w:hAnsi="Arial" w:cs="Arial"/>
                <w:color w:val="264A60"/>
                <w:sz w:val="18"/>
                <w:szCs w:val="18"/>
              </w:rPr>
              <w:t>21.4%</w:t>
            </w:r>
          </w:p>
        </w:tc>
        <w:tc>
          <w:tcPr>
            <w:tcW w:w="465" w:type="pct"/>
          </w:tcPr>
          <w:p w14:paraId="305623CB" w14:textId="77777777" w:rsidR="006C4F2E" w:rsidRDefault="006C4F2E" w:rsidP="006C4F2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color w:val="264A60"/>
                <w:sz w:val="18"/>
                <w:szCs w:val="18"/>
              </w:rPr>
            </w:pPr>
            <w:r w:rsidRPr="009B6B0E">
              <w:rPr>
                <w:rFonts w:ascii="Arial" w:hAnsi="Arial" w:cs="Arial"/>
                <w:color w:val="264A60"/>
                <w:sz w:val="18"/>
                <w:szCs w:val="18"/>
              </w:rPr>
              <w:t>34.5%</w:t>
            </w:r>
          </w:p>
          <w:p w14:paraId="73A7F756" w14:textId="77777777" w:rsidR="006C4F2E" w:rsidRPr="009B6B0E" w:rsidRDefault="006C4F2E" w:rsidP="006C4F2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color w:val="264A60"/>
                <w:sz w:val="18"/>
                <w:szCs w:val="18"/>
              </w:rPr>
            </w:pPr>
          </w:p>
        </w:tc>
      </w:tr>
      <w:tr w:rsidR="006C4F2E" w14:paraId="5DEB60C4" w14:textId="77777777" w:rsidTr="006C4F2E">
        <w:trPr>
          <w:trHeight w:val="570"/>
        </w:trPr>
        <w:tc>
          <w:tcPr>
            <w:cnfStyle w:val="001000000000" w:firstRow="0" w:lastRow="0" w:firstColumn="1" w:lastColumn="0" w:oddVBand="0" w:evenVBand="0" w:oddHBand="0" w:evenHBand="0" w:firstRowFirstColumn="0" w:firstRowLastColumn="0" w:lastRowFirstColumn="0" w:lastRowLastColumn="0"/>
            <w:tcW w:w="961" w:type="pct"/>
          </w:tcPr>
          <w:p w14:paraId="64DDA84D" w14:textId="77777777" w:rsidR="006C4F2E" w:rsidRDefault="006C4F2E" w:rsidP="006C4F2E">
            <w:pPr>
              <w:autoSpaceDE w:val="0"/>
              <w:autoSpaceDN w:val="0"/>
              <w:adjustRightInd w:val="0"/>
              <w:ind w:right="60"/>
              <w:rPr>
                <w:rFonts w:ascii="Arial" w:hAnsi="Arial" w:cs="Arial"/>
                <w:b w:val="0"/>
                <w:bCs w:val="0"/>
                <w:color w:val="264A60"/>
                <w:sz w:val="18"/>
                <w:szCs w:val="18"/>
              </w:rPr>
            </w:pPr>
          </w:p>
          <w:p w14:paraId="268E6C57" w14:textId="77777777" w:rsidR="006C4F2E" w:rsidRPr="009B6B0E" w:rsidRDefault="006C4F2E" w:rsidP="006C4F2E">
            <w:pPr>
              <w:autoSpaceDE w:val="0"/>
              <w:autoSpaceDN w:val="0"/>
              <w:adjustRightInd w:val="0"/>
              <w:ind w:right="60"/>
              <w:rPr>
                <w:rFonts w:ascii="Arial" w:hAnsi="Arial" w:cs="Arial"/>
                <w:color w:val="264A60"/>
                <w:sz w:val="18"/>
                <w:szCs w:val="18"/>
              </w:rPr>
            </w:pPr>
            <w:r>
              <w:rPr>
                <w:rFonts w:ascii="Arial" w:hAnsi="Arial" w:cs="Arial"/>
                <w:color w:val="264A60"/>
                <w:sz w:val="18"/>
                <w:szCs w:val="18"/>
              </w:rPr>
              <w:t>I neither agree or disagree</w:t>
            </w:r>
          </w:p>
        </w:tc>
        <w:tc>
          <w:tcPr>
            <w:tcW w:w="635" w:type="pct"/>
          </w:tcPr>
          <w:p w14:paraId="40DEFB54" w14:textId="77777777" w:rsidR="006C4F2E" w:rsidRPr="009B6B0E" w:rsidRDefault="006C4F2E" w:rsidP="006C4F2E">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264A60"/>
                <w:sz w:val="18"/>
                <w:szCs w:val="18"/>
              </w:rPr>
            </w:pPr>
            <w:r w:rsidRPr="009B6B0E">
              <w:rPr>
                <w:rFonts w:ascii="Arial" w:hAnsi="Arial" w:cs="Arial"/>
                <w:color w:val="264A60"/>
                <w:sz w:val="18"/>
                <w:szCs w:val="18"/>
              </w:rPr>
              <w:t>5.0%</w:t>
            </w:r>
          </w:p>
        </w:tc>
        <w:tc>
          <w:tcPr>
            <w:tcW w:w="603" w:type="pct"/>
          </w:tcPr>
          <w:p w14:paraId="455CA86C" w14:textId="77777777" w:rsidR="006C4F2E" w:rsidRPr="009B6B0E" w:rsidRDefault="006C4F2E" w:rsidP="006C4F2E">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264A60"/>
                <w:sz w:val="18"/>
                <w:szCs w:val="18"/>
              </w:rPr>
            </w:pPr>
            <w:r w:rsidRPr="009B6B0E">
              <w:rPr>
                <w:rFonts w:ascii="Arial" w:hAnsi="Arial" w:cs="Arial"/>
                <w:color w:val="264A60"/>
                <w:sz w:val="18"/>
                <w:szCs w:val="18"/>
              </w:rPr>
              <w:t>3.2%</w:t>
            </w:r>
          </w:p>
        </w:tc>
        <w:tc>
          <w:tcPr>
            <w:tcW w:w="465" w:type="pct"/>
          </w:tcPr>
          <w:p w14:paraId="0EB60816" w14:textId="77777777" w:rsidR="006C4F2E" w:rsidRPr="009B6B0E" w:rsidRDefault="006C4F2E" w:rsidP="006C4F2E">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264A60"/>
                <w:sz w:val="18"/>
                <w:szCs w:val="18"/>
              </w:rPr>
            </w:pPr>
            <w:r w:rsidRPr="009B6B0E">
              <w:rPr>
                <w:rFonts w:ascii="Arial" w:hAnsi="Arial" w:cs="Arial"/>
                <w:color w:val="264A60"/>
                <w:sz w:val="18"/>
                <w:szCs w:val="18"/>
              </w:rPr>
              <w:t>16.9%</w:t>
            </w:r>
          </w:p>
        </w:tc>
        <w:tc>
          <w:tcPr>
            <w:tcW w:w="465" w:type="pct"/>
          </w:tcPr>
          <w:p w14:paraId="7860E717" w14:textId="77777777" w:rsidR="006C4F2E" w:rsidRPr="009B6B0E" w:rsidRDefault="006C4F2E" w:rsidP="006C4F2E">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264A60"/>
                <w:sz w:val="18"/>
                <w:szCs w:val="18"/>
              </w:rPr>
            </w:pPr>
            <w:r w:rsidRPr="009B6B0E">
              <w:rPr>
                <w:rFonts w:ascii="Arial" w:hAnsi="Arial" w:cs="Arial"/>
                <w:color w:val="264A60"/>
                <w:sz w:val="18"/>
                <w:szCs w:val="18"/>
              </w:rPr>
              <w:t>19.7%</w:t>
            </w:r>
          </w:p>
        </w:tc>
        <w:tc>
          <w:tcPr>
            <w:tcW w:w="465" w:type="pct"/>
          </w:tcPr>
          <w:p w14:paraId="388E58EA" w14:textId="77777777" w:rsidR="006C4F2E" w:rsidRPr="009B6B0E" w:rsidRDefault="006C4F2E" w:rsidP="006C4F2E">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264A60"/>
                <w:sz w:val="18"/>
                <w:szCs w:val="18"/>
              </w:rPr>
            </w:pPr>
            <w:r w:rsidRPr="009B6B0E">
              <w:rPr>
                <w:rFonts w:ascii="Arial" w:hAnsi="Arial" w:cs="Arial"/>
                <w:color w:val="264A60"/>
                <w:sz w:val="18"/>
                <w:szCs w:val="18"/>
              </w:rPr>
              <w:t>6.2%</w:t>
            </w:r>
          </w:p>
        </w:tc>
        <w:tc>
          <w:tcPr>
            <w:tcW w:w="473" w:type="pct"/>
          </w:tcPr>
          <w:p w14:paraId="47F5D0B7" w14:textId="77777777" w:rsidR="006C4F2E" w:rsidRPr="009B6B0E" w:rsidRDefault="006C4F2E" w:rsidP="006C4F2E">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264A60"/>
                <w:sz w:val="18"/>
                <w:szCs w:val="18"/>
              </w:rPr>
            </w:pPr>
            <w:r w:rsidRPr="009B6B0E">
              <w:rPr>
                <w:rFonts w:ascii="Arial" w:hAnsi="Arial" w:cs="Arial"/>
                <w:color w:val="264A60"/>
                <w:sz w:val="18"/>
                <w:szCs w:val="18"/>
              </w:rPr>
              <w:t>10.1%</w:t>
            </w:r>
          </w:p>
        </w:tc>
        <w:tc>
          <w:tcPr>
            <w:tcW w:w="468" w:type="pct"/>
          </w:tcPr>
          <w:p w14:paraId="3C54CFCD" w14:textId="77777777" w:rsidR="006C4F2E" w:rsidRPr="009B6B0E" w:rsidRDefault="006C4F2E" w:rsidP="006C4F2E">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264A60"/>
                <w:sz w:val="18"/>
                <w:szCs w:val="18"/>
              </w:rPr>
            </w:pPr>
            <w:r w:rsidRPr="009B6B0E">
              <w:rPr>
                <w:rFonts w:ascii="Arial" w:hAnsi="Arial" w:cs="Arial"/>
                <w:color w:val="264A60"/>
                <w:sz w:val="18"/>
                <w:szCs w:val="18"/>
              </w:rPr>
              <w:t>10.7%</w:t>
            </w:r>
          </w:p>
        </w:tc>
        <w:tc>
          <w:tcPr>
            <w:tcW w:w="465" w:type="pct"/>
          </w:tcPr>
          <w:p w14:paraId="1CB4C4B7" w14:textId="77777777" w:rsidR="006C4F2E" w:rsidRPr="009B6B0E" w:rsidRDefault="006C4F2E" w:rsidP="006C4F2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264A60"/>
                <w:sz w:val="18"/>
                <w:szCs w:val="18"/>
              </w:rPr>
            </w:pPr>
            <w:r w:rsidRPr="009B6B0E">
              <w:rPr>
                <w:rFonts w:ascii="Arial" w:hAnsi="Arial" w:cs="Arial"/>
                <w:color w:val="264A60"/>
                <w:sz w:val="18"/>
                <w:szCs w:val="18"/>
              </w:rPr>
              <w:t>10.1%</w:t>
            </w:r>
          </w:p>
        </w:tc>
      </w:tr>
      <w:tr w:rsidR="006C4F2E" w14:paraId="5AD3E603" w14:textId="77777777" w:rsidTr="006C4F2E">
        <w:trPr>
          <w:cnfStyle w:val="000000100000" w:firstRow="0" w:lastRow="0" w:firstColumn="0" w:lastColumn="0" w:oddVBand="0" w:evenVBand="0" w:oddHBand="1"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961" w:type="pct"/>
          </w:tcPr>
          <w:p w14:paraId="29EC3990" w14:textId="77777777" w:rsidR="006C4F2E" w:rsidRDefault="006C4F2E" w:rsidP="006C4F2E">
            <w:pPr>
              <w:autoSpaceDE w:val="0"/>
              <w:autoSpaceDN w:val="0"/>
              <w:adjustRightInd w:val="0"/>
              <w:ind w:right="60"/>
              <w:rPr>
                <w:rFonts w:ascii="Arial" w:hAnsi="Arial" w:cs="Arial"/>
                <w:b w:val="0"/>
                <w:bCs w:val="0"/>
                <w:color w:val="264A60"/>
                <w:sz w:val="18"/>
                <w:szCs w:val="18"/>
              </w:rPr>
            </w:pPr>
          </w:p>
          <w:p w14:paraId="6669148A" w14:textId="77777777" w:rsidR="006C4F2E" w:rsidRPr="009B6B0E" w:rsidRDefault="006C4F2E" w:rsidP="006C4F2E">
            <w:pPr>
              <w:autoSpaceDE w:val="0"/>
              <w:autoSpaceDN w:val="0"/>
              <w:adjustRightInd w:val="0"/>
              <w:ind w:right="60"/>
              <w:rPr>
                <w:rFonts w:ascii="Arial" w:hAnsi="Arial" w:cs="Arial"/>
                <w:color w:val="264A60"/>
                <w:sz w:val="18"/>
                <w:szCs w:val="18"/>
              </w:rPr>
            </w:pPr>
            <w:r>
              <w:rPr>
                <w:rFonts w:ascii="Arial" w:hAnsi="Arial" w:cs="Arial"/>
                <w:color w:val="264A60"/>
                <w:sz w:val="18"/>
                <w:szCs w:val="18"/>
              </w:rPr>
              <w:t>I disagree</w:t>
            </w:r>
          </w:p>
        </w:tc>
        <w:tc>
          <w:tcPr>
            <w:tcW w:w="635" w:type="pct"/>
          </w:tcPr>
          <w:p w14:paraId="6845DA0E" w14:textId="77777777" w:rsidR="006C4F2E" w:rsidRPr="009B6B0E" w:rsidRDefault="006C4F2E" w:rsidP="006C4F2E">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264A60"/>
                <w:sz w:val="18"/>
                <w:szCs w:val="18"/>
              </w:rPr>
            </w:pPr>
            <w:r w:rsidRPr="009B6B0E">
              <w:rPr>
                <w:rFonts w:ascii="Arial" w:hAnsi="Arial" w:cs="Arial"/>
                <w:color w:val="264A60"/>
                <w:sz w:val="18"/>
                <w:szCs w:val="18"/>
              </w:rPr>
              <w:t>4.7%</w:t>
            </w:r>
          </w:p>
        </w:tc>
        <w:tc>
          <w:tcPr>
            <w:tcW w:w="603" w:type="pct"/>
          </w:tcPr>
          <w:p w14:paraId="5ACB48D0" w14:textId="77777777" w:rsidR="006C4F2E" w:rsidRPr="009B6B0E" w:rsidRDefault="006C4F2E" w:rsidP="006C4F2E">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264A60"/>
                <w:sz w:val="18"/>
                <w:szCs w:val="18"/>
              </w:rPr>
            </w:pPr>
            <w:r w:rsidRPr="009B6B0E">
              <w:rPr>
                <w:rFonts w:ascii="Arial" w:hAnsi="Arial" w:cs="Arial"/>
                <w:color w:val="264A60"/>
                <w:sz w:val="18"/>
                <w:szCs w:val="18"/>
              </w:rPr>
              <w:t>38.3%</w:t>
            </w:r>
          </w:p>
        </w:tc>
        <w:tc>
          <w:tcPr>
            <w:tcW w:w="465" w:type="pct"/>
          </w:tcPr>
          <w:p w14:paraId="43B54BD3" w14:textId="77777777" w:rsidR="006C4F2E" w:rsidRPr="009B6B0E" w:rsidRDefault="006C4F2E" w:rsidP="006C4F2E">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264A60"/>
                <w:sz w:val="18"/>
                <w:szCs w:val="18"/>
              </w:rPr>
            </w:pPr>
            <w:r w:rsidRPr="009B6B0E">
              <w:rPr>
                <w:rFonts w:ascii="Arial" w:hAnsi="Arial" w:cs="Arial"/>
                <w:color w:val="264A60"/>
                <w:sz w:val="18"/>
                <w:szCs w:val="18"/>
              </w:rPr>
              <w:t>48.9%</w:t>
            </w:r>
          </w:p>
        </w:tc>
        <w:tc>
          <w:tcPr>
            <w:tcW w:w="465" w:type="pct"/>
          </w:tcPr>
          <w:p w14:paraId="1D2AA596" w14:textId="77777777" w:rsidR="006C4F2E" w:rsidRPr="009B6B0E" w:rsidRDefault="006C4F2E" w:rsidP="006C4F2E">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264A60"/>
                <w:sz w:val="18"/>
                <w:szCs w:val="18"/>
              </w:rPr>
            </w:pPr>
            <w:r w:rsidRPr="009B6B0E">
              <w:rPr>
                <w:rFonts w:ascii="Arial" w:hAnsi="Arial" w:cs="Arial"/>
                <w:color w:val="264A60"/>
                <w:sz w:val="18"/>
                <w:szCs w:val="18"/>
              </w:rPr>
              <w:t>25.9%</w:t>
            </w:r>
          </w:p>
        </w:tc>
        <w:tc>
          <w:tcPr>
            <w:tcW w:w="465" w:type="pct"/>
          </w:tcPr>
          <w:p w14:paraId="081F2D5C" w14:textId="77777777" w:rsidR="006C4F2E" w:rsidRPr="009B6B0E" w:rsidRDefault="006C4F2E" w:rsidP="006C4F2E">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264A60"/>
                <w:sz w:val="18"/>
                <w:szCs w:val="18"/>
              </w:rPr>
            </w:pPr>
            <w:r w:rsidRPr="009B6B0E">
              <w:rPr>
                <w:rFonts w:ascii="Arial" w:hAnsi="Arial" w:cs="Arial"/>
                <w:color w:val="264A60"/>
                <w:sz w:val="18"/>
                <w:szCs w:val="18"/>
              </w:rPr>
              <w:t>33.7%</w:t>
            </w:r>
          </w:p>
        </w:tc>
        <w:tc>
          <w:tcPr>
            <w:tcW w:w="473" w:type="pct"/>
          </w:tcPr>
          <w:p w14:paraId="2F1BC8F0" w14:textId="77777777" w:rsidR="006C4F2E" w:rsidRPr="009B6B0E" w:rsidRDefault="006C4F2E" w:rsidP="006C4F2E">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264A60"/>
                <w:sz w:val="18"/>
                <w:szCs w:val="18"/>
              </w:rPr>
            </w:pPr>
            <w:r w:rsidRPr="009B6B0E">
              <w:rPr>
                <w:rFonts w:ascii="Arial" w:hAnsi="Arial" w:cs="Arial"/>
                <w:color w:val="264A60"/>
                <w:sz w:val="18"/>
                <w:szCs w:val="18"/>
              </w:rPr>
              <w:t>42.4%</w:t>
            </w:r>
          </w:p>
        </w:tc>
        <w:tc>
          <w:tcPr>
            <w:tcW w:w="468" w:type="pct"/>
          </w:tcPr>
          <w:p w14:paraId="57F86099" w14:textId="77777777" w:rsidR="006C4F2E" w:rsidRPr="009B6B0E" w:rsidRDefault="006C4F2E" w:rsidP="006C4F2E">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264A60"/>
                <w:sz w:val="18"/>
                <w:szCs w:val="18"/>
              </w:rPr>
            </w:pPr>
            <w:r w:rsidRPr="009B6B0E">
              <w:rPr>
                <w:rFonts w:ascii="Arial" w:hAnsi="Arial" w:cs="Arial"/>
                <w:color w:val="264A60"/>
                <w:sz w:val="18"/>
                <w:szCs w:val="18"/>
              </w:rPr>
              <w:t>36.6%</w:t>
            </w:r>
          </w:p>
        </w:tc>
        <w:tc>
          <w:tcPr>
            <w:tcW w:w="465" w:type="pct"/>
          </w:tcPr>
          <w:p w14:paraId="6E9EBD5F" w14:textId="77777777" w:rsidR="006C4F2E" w:rsidRPr="009B6B0E" w:rsidRDefault="006C4F2E" w:rsidP="006C4F2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color w:val="264A60"/>
                <w:sz w:val="18"/>
                <w:szCs w:val="18"/>
              </w:rPr>
            </w:pPr>
            <w:r w:rsidRPr="009B6B0E">
              <w:rPr>
                <w:rFonts w:ascii="Arial" w:hAnsi="Arial" w:cs="Arial"/>
                <w:color w:val="264A60"/>
                <w:sz w:val="18"/>
                <w:szCs w:val="18"/>
              </w:rPr>
              <w:t>31.6%</w:t>
            </w:r>
          </w:p>
        </w:tc>
      </w:tr>
      <w:tr w:rsidR="006C4F2E" w14:paraId="20A51C15" w14:textId="77777777" w:rsidTr="006C4F2E">
        <w:trPr>
          <w:trHeight w:val="938"/>
        </w:trPr>
        <w:tc>
          <w:tcPr>
            <w:cnfStyle w:val="001000000000" w:firstRow="0" w:lastRow="0" w:firstColumn="1" w:lastColumn="0" w:oddVBand="0" w:evenVBand="0" w:oddHBand="0" w:evenHBand="0" w:firstRowFirstColumn="0" w:firstRowLastColumn="0" w:lastRowFirstColumn="0" w:lastRowLastColumn="0"/>
            <w:tcW w:w="961" w:type="pct"/>
          </w:tcPr>
          <w:p w14:paraId="0E2BEEB7" w14:textId="77777777" w:rsidR="006C4F2E" w:rsidRDefault="006C4F2E" w:rsidP="006C4F2E">
            <w:pPr>
              <w:autoSpaceDE w:val="0"/>
              <w:autoSpaceDN w:val="0"/>
              <w:adjustRightInd w:val="0"/>
              <w:ind w:right="60"/>
              <w:rPr>
                <w:rFonts w:ascii="Arial" w:hAnsi="Arial" w:cs="Arial"/>
                <w:b w:val="0"/>
                <w:bCs w:val="0"/>
                <w:color w:val="264A60"/>
                <w:sz w:val="18"/>
                <w:szCs w:val="18"/>
              </w:rPr>
            </w:pPr>
          </w:p>
          <w:p w14:paraId="46718BFE" w14:textId="77777777" w:rsidR="006C4F2E" w:rsidRDefault="006C4F2E" w:rsidP="006C4F2E">
            <w:pPr>
              <w:autoSpaceDE w:val="0"/>
              <w:autoSpaceDN w:val="0"/>
              <w:adjustRightInd w:val="0"/>
              <w:ind w:right="60"/>
              <w:rPr>
                <w:rFonts w:ascii="Arial" w:hAnsi="Arial" w:cs="Arial"/>
                <w:color w:val="264A60"/>
                <w:sz w:val="18"/>
                <w:szCs w:val="18"/>
              </w:rPr>
            </w:pPr>
            <w:r>
              <w:rPr>
                <w:rFonts w:ascii="Arial" w:hAnsi="Arial" w:cs="Arial"/>
                <w:color w:val="264A60"/>
                <w:sz w:val="18"/>
                <w:szCs w:val="18"/>
              </w:rPr>
              <w:t>I strongly disagree</w:t>
            </w:r>
          </w:p>
          <w:p w14:paraId="0D145AE1" w14:textId="77777777" w:rsidR="006C4F2E" w:rsidRDefault="006C4F2E" w:rsidP="006C4F2E">
            <w:pPr>
              <w:autoSpaceDE w:val="0"/>
              <w:autoSpaceDN w:val="0"/>
              <w:adjustRightInd w:val="0"/>
              <w:ind w:right="60"/>
              <w:rPr>
                <w:rFonts w:ascii="Arial" w:hAnsi="Arial" w:cs="Arial"/>
                <w:color w:val="264A60"/>
                <w:sz w:val="18"/>
                <w:szCs w:val="18"/>
              </w:rPr>
            </w:pPr>
          </w:p>
          <w:p w14:paraId="60EF27C7" w14:textId="77777777" w:rsidR="006C4F2E" w:rsidRPr="009B6B0E" w:rsidRDefault="006C4F2E" w:rsidP="006C4F2E">
            <w:pPr>
              <w:autoSpaceDE w:val="0"/>
              <w:autoSpaceDN w:val="0"/>
              <w:adjustRightInd w:val="0"/>
              <w:ind w:right="60"/>
              <w:rPr>
                <w:rFonts w:ascii="Arial" w:hAnsi="Arial" w:cs="Arial"/>
                <w:color w:val="264A60"/>
                <w:sz w:val="18"/>
                <w:szCs w:val="18"/>
              </w:rPr>
            </w:pPr>
          </w:p>
        </w:tc>
        <w:tc>
          <w:tcPr>
            <w:tcW w:w="635" w:type="pct"/>
          </w:tcPr>
          <w:p w14:paraId="51D5E66B" w14:textId="77777777" w:rsidR="006C4F2E" w:rsidRPr="009B6B0E" w:rsidRDefault="006C4F2E" w:rsidP="006C4F2E">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264A60"/>
                <w:sz w:val="18"/>
                <w:szCs w:val="18"/>
              </w:rPr>
            </w:pPr>
            <w:r w:rsidRPr="009B6B0E">
              <w:rPr>
                <w:rFonts w:ascii="Arial" w:hAnsi="Arial" w:cs="Arial"/>
                <w:color w:val="264A60"/>
                <w:sz w:val="18"/>
                <w:szCs w:val="18"/>
              </w:rPr>
              <w:t>2.2%</w:t>
            </w:r>
          </w:p>
        </w:tc>
        <w:tc>
          <w:tcPr>
            <w:tcW w:w="603" w:type="pct"/>
          </w:tcPr>
          <w:p w14:paraId="15F56AA5" w14:textId="77777777" w:rsidR="006C4F2E" w:rsidRPr="009B6B0E" w:rsidRDefault="006C4F2E" w:rsidP="006C4F2E">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264A60"/>
                <w:sz w:val="18"/>
                <w:szCs w:val="18"/>
              </w:rPr>
            </w:pPr>
            <w:r w:rsidRPr="009B6B0E">
              <w:rPr>
                <w:rFonts w:ascii="Arial" w:hAnsi="Arial" w:cs="Arial"/>
                <w:color w:val="264A60"/>
                <w:sz w:val="18"/>
                <w:szCs w:val="18"/>
              </w:rPr>
              <w:t>17.5%</w:t>
            </w:r>
          </w:p>
        </w:tc>
        <w:tc>
          <w:tcPr>
            <w:tcW w:w="465" w:type="pct"/>
          </w:tcPr>
          <w:p w14:paraId="0308F245" w14:textId="77777777" w:rsidR="006C4F2E" w:rsidRPr="009B6B0E" w:rsidRDefault="006C4F2E" w:rsidP="006C4F2E">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264A60"/>
                <w:sz w:val="18"/>
                <w:szCs w:val="18"/>
              </w:rPr>
            </w:pPr>
            <w:r w:rsidRPr="009B6B0E">
              <w:rPr>
                <w:rFonts w:ascii="Arial" w:hAnsi="Arial" w:cs="Arial"/>
                <w:color w:val="264A60"/>
                <w:sz w:val="18"/>
                <w:szCs w:val="18"/>
              </w:rPr>
              <w:t>13.1%</w:t>
            </w:r>
          </w:p>
        </w:tc>
        <w:tc>
          <w:tcPr>
            <w:tcW w:w="465" w:type="pct"/>
          </w:tcPr>
          <w:p w14:paraId="0942E8A2" w14:textId="77777777" w:rsidR="006C4F2E" w:rsidRPr="009B6B0E" w:rsidRDefault="006C4F2E" w:rsidP="006C4F2E">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264A60"/>
                <w:sz w:val="18"/>
                <w:szCs w:val="18"/>
              </w:rPr>
            </w:pPr>
            <w:r w:rsidRPr="009B6B0E">
              <w:rPr>
                <w:rFonts w:ascii="Arial" w:hAnsi="Arial" w:cs="Arial"/>
                <w:color w:val="264A60"/>
                <w:sz w:val="18"/>
                <w:szCs w:val="18"/>
              </w:rPr>
              <w:t>10.0%</w:t>
            </w:r>
          </w:p>
        </w:tc>
        <w:tc>
          <w:tcPr>
            <w:tcW w:w="465" w:type="pct"/>
          </w:tcPr>
          <w:p w14:paraId="66E33EBB" w14:textId="77777777" w:rsidR="006C4F2E" w:rsidRPr="009B6B0E" w:rsidRDefault="006C4F2E" w:rsidP="006C4F2E">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264A60"/>
                <w:sz w:val="18"/>
                <w:szCs w:val="18"/>
              </w:rPr>
            </w:pPr>
            <w:r w:rsidRPr="009B6B0E">
              <w:rPr>
                <w:rFonts w:ascii="Arial" w:hAnsi="Arial" w:cs="Arial"/>
                <w:color w:val="264A60"/>
                <w:sz w:val="18"/>
                <w:szCs w:val="18"/>
              </w:rPr>
              <w:t>7.0%</w:t>
            </w:r>
          </w:p>
        </w:tc>
        <w:tc>
          <w:tcPr>
            <w:tcW w:w="473" w:type="pct"/>
          </w:tcPr>
          <w:p w14:paraId="36EA7F64" w14:textId="77777777" w:rsidR="006C4F2E" w:rsidRPr="009B6B0E" w:rsidRDefault="006C4F2E" w:rsidP="006C4F2E">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264A60"/>
                <w:sz w:val="18"/>
                <w:szCs w:val="18"/>
              </w:rPr>
            </w:pPr>
            <w:r w:rsidRPr="009B6B0E">
              <w:rPr>
                <w:rFonts w:ascii="Arial" w:hAnsi="Arial" w:cs="Arial"/>
                <w:color w:val="264A60"/>
                <w:sz w:val="18"/>
                <w:szCs w:val="18"/>
              </w:rPr>
              <w:t>11.4%</w:t>
            </w:r>
          </w:p>
        </w:tc>
        <w:tc>
          <w:tcPr>
            <w:tcW w:w="468" w:type="pct"/>
          </w:tcPr>
          <w:p w14:paraId="5D25E65C" w14:textId="77777777" w:rsidR="006C4F2E" w:rsidRPr="009B6B0E" w:rsidRDefault="006C4F2E" w:rsidP="006C4F2E">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264A60"/>
                <w:sz w:val="18"/>
                <w:szCs w:val="18"/>
              </w:rPr>
            </w:pPr>
            <w:r w:rsidRPr="009B6B0E">
              <w:rPr>
                <w:rFonts w:ascii="Arial" w:hAnsi="Arial" w:cs="Arial"/>
                <w:color w:val="264A60"/>
                <w:sz w:val="18"/>
                <w:szCs w:val="18"/>
              </w:rPr>
              <w:t>22.3%</w:t>
            </w:r>
          </w:p>
        </w:tc>
        <w:tc>
          <w:tcPr>
            <w:tcW w:w="465" w:type="pct"/>
          </w:tcPr>
          <w:p w14:paraId="120338C2" w14:textId="77777777" w:rsidR="006C4F2E" w:rsidRPr="009B6B0E" w:rsidRDefault="006C4F2E" w:rsidP="006C4F2E">
            <w:pPr>
              <w:keepNext/>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264A60"/>
                <w:sz w:val="18"/>
                <w:szCs w:val="18"/>
              </w:rPr>
            </w:pPr>
            <w:r w:rsidRPr="009B6B0E">
              <w:rPr>
                <w:rFonts w:ascii="Arial" w:hAnsi="Arial" w:cs="Arial"/>
                <w:color w:val="264A60"/>
                <w:sz w:val="18"/>
                <w:szCs w:val="18"/>
              </w:rPr>
              <w:t>10.7%</w:t>
            </w:r>
          </w:p>
        </w:tc>
      </w:tr>
    </w:tbl>
    <w:p w14:paraId="79330E8B" w14:textId="77777777" w:rsidR="006C4F2E" w:rsidRDefault="006C4F2E" w:rsidP="006C4F2E">
      <w:pPr>
        <w:pStyle w:val="Caption"/>
      </w:pPr>
    </w:p>
    <w:p w14:paraId="36C1DE30" w14:textId="77777777" w:rsidR="006C4F2E" w:rsidRDefault="006C4F2E" w:rsidP="006C4F2E">
      <w:pPr>
        <w:pStyle w:val="Caption"/>
        <w:rPr>
          <w:sz w:val="24"/>
          <w:szCs w:val="24"/>
        </w:rPr>
      </w:pPr>
      <w:r>
        <w:t xml:space="preserve">Figure </w:t>
      </w:r>
      <w:fldSimple w:instr=" SEQ Figure \* ARABIC ">
        <w:r w:rsidR="00C15490">
          <w:rPr>
            <w:noProof/>
          </w:rPr>
          <w:t>3</w:t>
        </w:r>
      </w:fldSimple>
      <w:r>
        <w:t xml:space="preserve"> Household Duties Should be Shared Equally</w:t>
      </w:r>
    </w:p>
    <w:p w14:paraId="46759C4C" w14:textId="77777777" w:rsidR="004A293F" w:rsidRDefault="00681F77" w:rsidP="00E75191">
      <w:pPr>
        <w:spacing w:line="240" w:lineRule="auto"/>
        <w:jc w:val="both"/>
        <w:rPr>
          <w:sz w:val="24"/>
          <w:szCs w:val="24"/>
        </w:rPr>
      </w:pPr>
      <w:r>
        <w:rPr>
          <w:noProof/>
          <w:lang w:val="en-IE" w:eastAsia="en-IE"/>
        </w:rPr>
        <mc:AlternateContent>
          <mc:Choice Requires="wps">
            <w:drawing>
              <wp:anchor distT="0" distB="0" distL="114300" distR="114300" simplePos="0" relativeHeight="251718656" behindDoc="0" locked="0" layoutInCell="1" allowOverlap="1" wp14:anchorId="49162700" wp14:editId="71E316D2">
                <wp:simplePos x="0" y="0"/>
                <wp:positionH relativeFrom="column">
                  <wp:posOffset>83820</wp:posOffset>
                </wp:positionH>
                <wp:positionV relativeFrom="paragraph">
                  <wp:posOffset>5080</wp:posOffset>
                </wp:positionV>
                <wp:extent cx="2197100" cy="1657350"/>
                <wp:effectExtent l="0" t="0" r="12700" b="19050"/>
                <wp:wrapSquare wrapText="bothSides"/>
                <wp:docPr id="42" name="Rectangle 42"/>
                <wp:cNvGraphicFramePr/>
                <a:graphic xmlns:a="http://schemas.openxmlformats.org/drawingml/2006/main">
                  <a:graphicData uri="http://schemas.microsoft.com/office/word/2010/wordprocessingShape">
                    <wps:wsp>
                      <wps:cNvSpPr/>
                      <wps:spPr>
                        <a:xfrm>
                          <a:off x="0" y="0"/>
                          <a:ext cx="2197100" cy="1657350"/>
                        </a:xfrm>
                        <a:prstGeom prst="rec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txbx>
                        <w:txbxContent>
                          <w:p w14:paraId="7F067135" w14:textId="77777777" w:rsidR="006D6A0C" w:rsidRDefault="006D6A0C" w:rsidP="00681F77">
                            <w:pPr>
                              <w:jc w:val="center"/>
                            </w:pPr>
                            <w:r w:rsidRPr="00681F77">
                              <w:t xml:space="preserve">Rather than demonize religion, seek strategic way to carry them along. Portray the evils of patriarchy in both genders and use in GBV. Culture is not static and must bend to the law. </w:t>
                            </w:r>
                          </w:p>
                          <w:p w14:paraId="35320B58" w14:textId="77777777" w:rsidR="006D6A0C" w:rsidRDefault="006D6A0C" w:rsidP="006E3C5B">
                            <w:pPr>
                              <w:pStyle w:val="ListParagraph"/>
                              <w:numPr>
                                <w:ilvl w:val="0"/>
                                <w:numId w:val="20"/>
                              </w:numPr>
                            </w:pPr>
                            <w:r>
                              <w:rPr>
                                <w:lang w:val="en-US"/>
                              </w:rPr>
                              <w:t xml:space="preserve">Female Key Informant, </w:t>
                            </w:r>
                            <w:r w:rsidRPr="00681F77">
                              <w:t xml:space="preserve"> Lagos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9162700" id="Rectangle 42" o:spid="_x0000_s1035" style="position:absolute;left:0;text-align:left;margin-left:6.6pt;margin-top:.4pt;width:173pt;height:130.5pt;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" fillcolor="#002060" strokecolor="#1f4d78 [1604]" strokeweight="1pt">
                <v:textbox>
                  <w:txbxContent>
                    <w:p w:rsidR="006D6A0C" w:rsidRDefault="006D6A0C" w:rsidP="00681F77">
                      <w:pPr>
                        <w:jc w:val="center"/>
                      </w:pPr>
                      <w:r w:rsidRPr="00681F77">
                        <w:t xml:space="preserve">Rather than demonize religion, seek strategic way to carry them along. Portray the evils of patriarchy in both genders and use in GBV. Culture is not static and must bend to the law. </w:t>
                      </w:r>
                    </w:p>
                    <w:p w:rsidR="006D6A0C" w:rsidRDefault="006D6A0C" w:rsidP="006E3C5B">
                      <w:pPr>
                        <w:pStyle w:val="ListParagraph"/>
                        <w:numPr>
                          <w:ilvl w:val="0"/>
                          <w:numId w:val="20"/>
                        </w:numPr>
                      </w:pPr>
                      <w:r>
                        <w:rPr>
                          <w:lang w:val="en-US"/>
                        </w:rPr>
                        <w:t xml:space="preserve">Female Key Informant, </w:t>
                      </w:r>
                      <w:r w:rsidRPr="00681F77">
                        <w:t xml:space="preserve"> Lagos</w:t>
                      </w:r>
                    </w:p>
                  </w:txbxContent>
                </v:textbox>
                <w10:wrap type="square"/>
              </v:rect>
            </w:pict>
          </mc:Fallback>
        </mc:AlternateContent>
      </w:r>
      <w:r>
        <w:rPr>
          <w:sz w:val="24"/>
          <w:szCs w:val="24"/>
        </w:rPr>
        <w:t>Some respondents suggested that attempts to address gender inequality across the domains must therefore seek to take steps to ‘change hearts and minds’ in addition to other steps.  Some informants viewed this as a critical step that must be taken, starting from infancy and through school curriculums at the earliest age.   This reflects the understanding in other research which suggests that gender norms transformation is a complex endeavour that is usually a result of long term, multi-sectoral, multi-dimensional approaches.</w:t>
      </w:r>
      <w:r>
        <w:rPr>
          <w:rStyle w:val="FootnoteReference"/>
          <w:sz w:val="24"/>
          <w:szCs w:val="24"/>
        </w:rPr>
        <w:footnoteReference w:id="30"/>
      </w:r>
      <w:r>
        <w:rPr>
          <w:sz w:val="24"/>
          <w:szCs w:val="24"/>
        </w:rPr>
        <w:t xml:space="preserve">  </w:t>
      </w:r>
    </w:p>
    <w:p w14:paraId="3C8EBCCD" w14:textId="77777777" w:rsidR="005E5C69" w:rsidRDefault="005E5C69" w:rsidP="00E75191">
      <w:pPr>
        <w:spacing w:line="240" w:lineRule="auto"/>
        <w:jc w:val="both"/>
        <w:rPr>
          <w:sz w:val="24"/>
          <w:szCs w:val="24"/>
        </w:rPr>
      </w:pPr>
      <w:r>
        <w:rPr>
          <w:sz w:val="24"/>
          <w:szCs w:val="24"/>
        </w:rPr>
        <w:t>At the micro-level, it may require family support programmes including parental education.  At the meso-level, it may require encouraging of gender equality policies and approaches in schools, workplaces etc</w:t>
      </w:r>
      <w:r w:rsidR="00A607E5">
        <w:rPr>
          <w:sz w:val="24"/>
          <w:szCs w:val="24"/>
        </w:rPr>
        <w:t>, and programmes of CSOs and WROs that engage men and boys in interventions to promote gender equality</w:t>
      </w:r>
      <w:r>
        <w:rPr>
          <w:sz w:val="24"/>
          <w:szCs w:val="24"/>
        </w:rPr>
        <w:t>.  At the macro-level, it may require concerted efforts and advocac</w:t>
      </w:r>
      <w:r w:rsidR="00A607E5">
        <w:rPr>
          <w:sz w:val="24"/>
          <w:szCs w:val="24"/>
        </w:rPr>
        <w:t xml:space="preserve">y to change discriminatory laws and to implement laws that promote gender equality. </w:t>
      </w:r>
      <w:r>
        <w:rPr>
          <w:sz w:val="24"/>
          <w:szCs w:val="24"/>
        </w:rPr>
        <w:t xml:space="preserve"> </w:t>
      </w:r>
    </w:p>
    <w:p w14:paraId="4AEDE8A7" w14:textId="77777777" w:rsidR="00E75191" w:rsidRDefault="00E75191">
      <w:pPr>
        <w:rPr>
          <w:sz w:val="24"/>
          <w:szCs w:val="24"/>
        </w:rPr>
      </w:pPr>
      <w:r>
        <w:rPr>
          <w:sz w:val="24"/>
          <w:szCs w:val="24"/>
        </w:rPr>
        <w:br w:type="page"/>
      </w:r>
    </w:p>
    <w:p w14:paraId="240322E4" w14:textId="77777777" w:rsidR="00681F77" w:rsidRDefault="00681F77" w:rsidP="00E75191">
      <w:pPr>
        <w:spacing w:line="240" w:lineRule="auto"/>
        <w:jc w:val="both"/>
        <w:rPr>
          <w:sz w:val="24"/>
          <w:szCs w:val="24"/>
        </w:rPr>
      </w:pPr>
    </w:p>
    <w:p w14:paraId="275E3E9A" w14:textId="77777777" w:rsidR="001B74B8" w:rsidRDefault="00681F77" w:rsidP="00E75191">
      <w:pPr>
        <w:spacing w:line="240" w:lineRule="auto"/>
        <w:jc w:val="both"/>
        <w:rPr>
          <w:sz w:val="24"/>
          <w:szCs w:val="24"/>
        </w:rPr>
      </w:pPr>
      <w:r>
        <w:rPr>
          <w:noProof/>
          <w:lang w:val="en-IE" w:eastAsia="en-IE"/>
        </w:rPr>
        <mc:AlternateContent>
          <mc:Choice Requires="wps">
            <w:drawing>
              <wp:anchor distT="0" distB="0" distL="114300" distR="114300" simplePos="0" relativeHeight="251710464" behindDoc="0" locked="0" layoutInCell="1" allowOverlap="1" wp14:anchorId="2FEF5EBE" wp14:editId="0D125A98">
                <wp:simplePos x="0" y="0"/>
                <wp:positionH relativeFrom="column">
                  <wp:posOffset>0</wp:posOffset>
                </wp:positionH>
                <wp:positionV relativeFrom="paragraph">
                  <wp:posOffset>0</wp:posOffset>
                </wp:positionV>
                <wp:extent cx="5791200" cy="1403985"/>
                <wp:effectExtent l="0" t="0" r="19050" b="1270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1403985"/>
                        </a:xfrm>
                        <a:prstGeom prst="rect">
                          <a:avLst/>
                        </a:prstGeom>
                        <a:solidFill>
                          <a:schemeClr val="accent1">
                            <a:lumMod val="60000"/>
                            <a:lumOff val="40000"/>
                          </a:schemeClr>
                        </a:solidFill>
                        <a:ln w="9525">
                          <a:solidFill>
                            <a:schemeClr val="accent1">
                              <a:lumMod val="60000"/>
                              <a:lumOff val="40000"/>
                            </a:schemeClr>
                          </a:solidFill>
                          <a:miter lim="800000"/>
                          <a:headEnd/>
                          <a:tailEnd/>
                        </a:ln>
                      </wps:spPr>
                      <wps:txbx>
                        <w:txbxContent>
                          <w:p w14:paraId="5C559628" w14:textId="77777777" w:rsidR="006D6A0C" w:rsidRPr="00125047" w:rsidRDefault="005667FD" w:rsidP="00125047">
                            <w:pPr>
                              <w:pStyle w:val="Heading1"/>
                              <w:rPr>
                                <w:color w:val="auto"/>
                                <w:sz w:val="56"/>
                                <w:szCs w:val="56"/>
                              </w:rPr>
                            </w:pPr>
                            <w:bookmarkStart w:id="19" w:name="_Toc81228160"/>
                            <w:bookmarkStart w:id="20" w:name="_Toc81228281"/>
                            <w:bookmarkStart w:id="21" w:name="_Toc81229092"/>
                            <w:r>
                              <w:rPr>
                                <w:color w:val="auto"/>
                                <w:sz w:val="56"/>
                                <w:szCs w:val="56"/>
                              </w:rPr>
                              <w:t>3.2</w:t>
                            </w:r>
                            <w:r w:rsidR="006D6A0C" w:rsidRPr="00125047">
                              <w:rPr>
                                <w:color w:val="auto"/>
                                <w:sz w:val="56"/>
                                <w:szCs w:val="56"/>
                              </w:rPr>
                              <w:t xml:space="preserve"> Political Participation</w:t>
                            </w:r>
                            <w:bookmarkEnd w:id="19"/>
                            <w:bookmarkEnd w:id="20"/>
                            <w:bookmarkEnd w:id="21"/>
                            <w:r w:rsidR="006D6A0C" w:rsidRPr="00125047">
                              <w:rPr>
                                <w:color w:val="auto"/>
                                <w:sz w:val="56"/>
                                <w:szCs w:val="56"/>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EF5EBE" id="Text Box 44" o:spid="_x0000_s1036" type="#_x0000_t202" style="position:absolute;left:0;text-align:left;margin-left:0;margin-top:0;width:456pt;height:110.55pt;z-index:2517104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" fillcolor="#9cc2e5 [1940]" strokecolor="#9cc2e5 [1940]">
                <v:textbox style="mso-fit-shape-to-text:t">
                  <w:txbxContent>
                    <w:p w:rsidR="006D6A0C" w:rsidRPr="00125047" w:rsidRDefault="005667FD" w:rsidP="00125047">
                      <w:pPr>
                        <w:pStyle w:val="Heading1"/>
                        <w:rPr>
                          <w:color w:val="auto"/>
                          <w:sz w:val="56"/>
                          <w:szCs w:val="56"/>
                        </w:rPr>
                      </w:pPr>
                      <w:bookmarkStart w:id="32" w:name="_Toc81228160"/>
                      <w:bookmarkStart w:id="33" w:name="_Toc81228281"/>
                      <w:bookmarkStart w:id="34" w:name="_Toc81229092"/>
                      <w:r>
                        <w:rPr>
                          <w:color w:val="auto"/>
                          <w:sz w:val="56"/>
                          <w:szCs w:val="56"/>
                        </w:rPr>
                        <w:t>3.2</w:t>
                      </w:r>
                      <w:r w:rsidR="006D6A0C" w:rsidRPr="00125047">
                        <w:rPr>
                          <w:color w:val="auto"/>
                          <w:sz w:val="56"/>
                          <w:szCs w:val="56"/>
                        </w:rPr>
                        <w:t xml:space="preserve"> Political Participation</w:t>
                      </w:r>
                      <w:bookmarkEnd w:id="32"/>
                      <w:bookmarkEnd w:id="33"/>
                      <w:bookmarkEnd w:id="34"/>
                      <w:r w:rsidR="006D6A0C" w:rsidRPr="00125047">
                        <w:rPr>
                          <w:color w:val="auto"/>
                          <w:sz w:val="56"/>
                          <w:szCs w:val="56"/>
                        </w:rPr>
                        <w:t xml:space="preserve"> </w:t>
                      </w:r>
                    </w:p>
                  </w:txbxContent>
                </v:textbox>
              </v:shape>
            </w:pict>
          </mc:Fallback>
        </mc:AlternateContent>
      </w:r>
    </w:p>
    <w:p w14:paraId="5A6E535F" w14:textId="77777777" w:rsidR="00681F77" w:rsidRDefault="00681F77" w:rsidP="00E75191">
      <w:pPr>
        <w:spacing w:line="240" w:lineRule="auto"/>
        <w:jc w:val="both"/>
      </w:pPr>
    </w:p>
    <w:p w14:paraId="5581515B" w14:textId="77777777" w:rsidR="00681F77" w:rsidRDefault="00681F77" w:rsidP="00E75191">
      <w:pPr>
        <w:spacing w:line="240" w:lineRule="auto"/>
        <w:jc w:val="both"/>
      </w:pPr>
    </w:p>
    <w:p w14:paraId="5D1AF4D6" w14:textId="77777777" w:rsidR="00B02467" w:rsidRDefault="00B02467" w:rsidP="00E75191">
      <w:pPr>
        <w:spacing w:line="240" w:lineRule="auto"/>
        <w:jc w:val="both"/>
        <w:rPr>
          <w:rFonts w:cstheme="minorHAnsi"/>
          <w:sz w:val="24"/>
          <w:szCs w:val="24"/>
        </w:rPr>
      </w:pPr>
      <w:r w:rsidRPr="00B02467">
        <w:rPr>
          <w:rFonts w:cstheme="minorHAnsi"/>
          <w:sz w:val="24"/>
          <w:szCs w:val="24"/>
        </w:rPr>
        <w:t>Women’s participation in politics and representation is critical to ensu</w:t>
      </w:r>
      <w:r w:rsidR="00681F77">
        <w:rPr>
          <w:rFonts w:cstheme="minorHAnsi"/>
          <w:sz w:val="24"/>
          <w:szCs w:val="24"/>
        </w:rPr>
        <w:t>ring</w:t>
      </w:r>
      <w:r w:rsidRPr="00B02467">
        <w:rPr>
          <w:rFonts w:cstheme="minorHAnsi"/>
          <w:sz w:val="24"/>
          <w:szCs w:val="24"/>
        </w:rPr>
        <w:t xml:space="preserve"> that issues affecting half of the Nigerian population receive attention. Equal access to power, decision making and leadership at all levels </w:t>
      </w:r>
      <w:r w:rsidR="00A169A4">
        <w:rPr>
          <w:rFonts w:cstheme="minorHAnsi"/>
          <w:sz w:val="24"/>
          <w:szCs w:val="24"/>
        </w:rPr>
        <w:t>are</w:t>
      </w:r>
      <w:r w:rsidRPr="00B02467">
        <w:rPr>
          <w:rFonts w:cstheme="minorHAnsi"/>
          <w:sz w:val="24"/>
          <w:szCs w:val="24"/>
        </w:rPr>
        <w:t xml:space="preserve"> necessary for the proper functioning of a democracy such as Nigeria. Ensuring women’s freedom to participate in politics both as voters and as elected representatives has been central to international, regional and national efforts aimed at more inclusive and democratic governance.</w:t>
      </w:r>
    </w:p>
    <w:p w14:paraId="6E2F9B58" w14:textId="77777777" w:rsidR="00E75191" w:rsidRPr="00E75191" w:rsidRDefault="00E75191" w:rsidP="00E75191">
      <w:pPr>
        <w:spacing w:line="240" w:lineRule="auto"/>
        <w:jc w:val="both"/>
        <w:rPr>
          <w:rFonts w:cstheme="minorHAnsi"/>
          <w:sz w:val="24"/>
          <w:szCs w:val="24"/>
        </w:rPr>
      </w:pPr>
      <w:r w:rsidRPr="00E75191">
        <w:rPr>
          <w:rFonts w:cstheme="minorHAnsi"/>
          <w:sz w:val="24"/>
          <w:szCs w:val="24"/>
        </w:rPr>
        <w:t>Nigeria ranks very poorly on gender equality in political participation. Women are significantly under-represented in appointive offices and even more so in elective offices.  With 9 women (Senate) and 13 out of 360 (House of Representative), the Women in Politics report ranks Nigeria 184 out of 188 with respect to women representation in parliament, one of the lowest in the world.</w:t>
      </w:r>
      <w:r w:rsidRPr="00E75191">
        <w:rPr>
          <w:rStyle w:val="FootnoteReference"/>
          <w:rFonts w:cstheme="minorHAnsi"/>
          <w:sz w:val="24"/>
          <w:szCs w:val="24"/>
        </w:rPr>
        <w:footnoteReference w:id="31"/>
      </w:r>
      <w:r w:rsidRPr="00E75191">
        <w:rPr>
          <w:rFonts w:cstheme="minorHAnsi"/>
          <w:sz w:val="24"/>
          <w:szCs w:val="24"/>
        </w:rPr>
        <w:t xml:space="preserve">  The situation is similar at subnational level. With only 7 out of 43 ministerial appointees, the Report ranks Nigeria 148 out of 188 for ministerial positions for women,</w:t>
      </w:r>
      <w:r w:rsidRPr="00E75191">
        <w:rPr>
          <w:rStyle w:val="FootnoteReference"/>
          <w:rFonts w:cstheme="minorHAnsi"/>
          <w:sz w:val="24"/>
          <w:szCs w:val="24"/>
        </w:rPr>
        <w:footnoteReference w:id="32"/>
      </w:r>
      <w:r w:rsidRPr="00E75191">
        <w:rPr>
          <w:rFonts w:cstheme="minorHAnsi"/>
          <w:sz w:val="24"/>
          <w:szCs w:val="24"/>
        </w:rPr>
        <w:t xml:space="preserve"> an improvement over the status in the legislative space but also a significant marker of inequality in executive positions. Since 1999</w:t>
      </w:r>
      <w:r w:rsidR="00A169A4">
        <w:rPr>
          <w:rFonts w:cstheme="minorHAnsi"/>
          <w:sz w:val="24"/>
          <w:szCs w:val="24"/>
        </w:rPr>
        <w:t>,</w:t>
      </w:r>
      <w:r w:rsidRPr="00E75191">
        <w:rPr>
          <w:rFonts w:cstheme="minorHAnsi"/>
          <w:sz w:val="24"/>
          <w:szCs w:val="24"/>
        </w:rPr>
        <w:t xml:space="preserve"> when Nigeria returned to democracy, women’s representation has not exceeded the </w:t>
      </w:r>
      <w:r w:rsidR="00A169A4">
        <w:rPr>
          <w:rFonts w:cstheme="minorHAnsi"/>
          <w:sz w:val="24"/>
          <w:szCs w:val="24"/>
        </w:rPr>
        <w:t>10%</w:t>
      </w:r>
      <w:r w:rsidRPr="00E75191">
        <w:rPr>
          <w:rFonts w:cstheme="minorHAnsi"/>
          <w:sz w:val="24"/>
          <w:szCs w:val="24"/>
        </w:rPr>
        <w:t xml:space="preserve"> threshold across the legislature and the executive.  This is significantly less than the 35</w:t>
      </w:r>
      <w:r w:rsidR="00A169A4">
        <w:rPr>
          <w:rFonts w:cstheme="minorHAnsi"/>
          <w:sz w:val="24"/>
          <w:szCs w:val="24"/>
        </w:rPr>
        <w:t>%</w:t>
      </w:r>
      <w:r w:rsidRPr="00E75191">
        <w:rPr>
          <w:rFonts w:cstheme="minorHAnsi"/>
          <w:sz w:val="24"/>
          <w:szCs w:val="24"/>
        </w:rPr>
        <w:t xml:space="preserve"> projected by the National Gender Policy. </w:t>
      </w:r>
    </w:p>
    <w:p w14:paraId="7EE68136" w14:textId="77777777" w:rsidR="00E75191" w:rsidRPr="00E75191" w:rsidRDefault="00E75191" w:rsidP="00E75191">
      <w:pPr>
        <w:spacing w:line="240" w:lineRule="auto"/>
        <w:jc w:val="both"/>
        <w:rPr>
          <w:rFonts w:cstheme="minorHAnsi"/>
          <w:sz w:val="24"/>
          <w:szCs w:val="24"/>
        </w:rPr>
      </w:pPr>
      <w:r w:rsidRPr="00E75191">
        <w:rPr>
          <w:rFonts w:cstheme="minorHAnsi"/>
          <w:sz w:val="24"/>
          <w:szCs w:val="24"/>
        </w:rPr>
        <w:t>Although there had been an increase of women in previous years in the national parliament,  current data shows a decline in gender par</w:t>
      </w:r>
      <w:r w:rsidR="00A169A4">
        <w:rPr>
          <w:rFonts w:cstheme="minorHAnsi"/>
          <w:sz w:val="24"/>
          <w:szCs w:val="24"/>
        </w:rPr>
        <w:t>i</w:t>
      </w:r>
      <w:r w:rsidRPr="00E75191">
        <w:rPr>
          <w:rFonts w:cstheme="minorHAnsi"/>
          <w:sz w:val="24"/>
          <w:szCs w:val="24"/>
        </w:rPr>
        <w:t>ty in recent general elections (2015, 2019). In 2015, out of the 469 members of the National Assembly and the House of Assembly, the national legislative arms of government, 92.5</w:t>
      </w:r>
      <w:r w:rsidR="00A169A4">
        <w:rPr>
          <w:rFonts w:cstheme="minorHAnsi"/>
          <w:sz w:val="24"/>
          <w:szCs w:val="24"/>
        </w:rPr>
        <w:t>%</w:t>
      </w:r>
      <w:r w:rsidRPr="00E75191">
        <w:rPr>
          <w:rFonts w:cstheme="minorHAnsi"/>
          <w:sz w:val="24"/>
          <w:szCs w:val="24"/>
        </w:rPr>
        <w:t>were men while women were a mere 7.5</w:t>
      </w:r>
      <w:r w:rsidR="00A169A4">
        <w:rPr>
          <w:rFonts w:cstheme="minorHAnsi"/>
          <w:sz w:val="24"/>
          <w:szCs w:val="24"/>
        </w:rPr>
        <w:t>%</w:t>
      </w:r>
      <w:r w:rsidRPr="00E75191">
        <w:rPr>
          <w:rFonts w:cstheme="minorHAnsi"/>
          <w:sz w:val="24"/>
          <w:szCs w:val="24"/>
        </w:rPr>
        <w:t xml:space="preserve">. </w:t>
      </w:r>
      <w:r w:rsidR="00A169A4">
        <w:rPr>
          <w:rFonts w:cstheme="minorHAnsi"/>
          <w:sz w:val="24"/>
          <w:szCs w:val="24"/>
        </w:rPr>
        <w:t>Following the 2019 election</w:t>
      </w:r>
      <w:r w:rsidRPr="00E75191">
        <w:rPr>
          <w:rFonts w:cstheme="minorHAnsi"/>
          <w:sz w:val="24"/>
          <w:szCs w:val="24"/>
        </w:rPr>
        <w:t xml:space="preserve">, there are only 9 women in the Senate and 13 in the House of Representatives. </w:t>
      </w:r>
    </w:p>
    <w:p w14:paraId="6BF7F92A" w14:textId="77777777" w:rsidR="00E75191" w:rsidRPr="00E75191" w:rsidRDefault="00E75191" w:rsidP="00E75191">
      <w:pPr>
        <w:spacing w:line="240" w:lineRule="auto"/>
        <w:jc w:val="both"/>
        <w:rPr>
          <w:rFonts w:ascii="Calibri" w:hAnsi="Calibri"/>
        </w:rPr>
      </w:pPr>
    </w:p>
    <w:tbl>
      <w:tblPr>
        <w:tblStyle w:val="TableGrid"/>
        <w:tblW w:w="0" w:type="auto"/>
        <w:tblLook w:val="04A0" w:firstRow="1" w:lastRow="0" w:firstColumn="1" w:lastColumn="0" w:noHBand="0" w:noVBand="1"/>
      </w:tblPr>
      <w:tblGrid>
        <w:gridCol w:w="2232"/>
        <w:gridCol w:w="3325"/>
        <w:gridCol w:w="3459"/>
      </w:tblGrid>
      <w:tr w:rsidR="00E75191" w:rsidRPr="00E75191" w14:paraId="2E8731A4" w14:textId="77777777" w:rsidTr="00E75191">
        <w:tc>
          <w:tcPr>
            <w:tcW w:w="2335" w:type="dxa"/>
            <w:tcBorders>
              <w:top w:val="single" w:sz="4" w:space="0" w:color="auto"/>
              <w:left w:val="single" w:sz="4" w:space="0" w:color="auto"/>
              <w:bottom w:val="single" w:sz="4" w:space="0" w:color="auto"/>
              <w:right w:val="single" w:sz="4" w:space="0" w:color="auto"/>
            </w:tcBorders>
            <w:shd w:val="clear" w:color="auto" w:fill="70AD47" w:themeFill="accent6"/>
            <w:hideMark/>
          </w:tcPr>
          <w:p w14:paraId="231EA689" w14:textId="77777777" w:rsidR="00E75191" w:rsidRPr="00E75191" w:rsidRDefault="00E75191" w:rsidP="00E75191">
            <w:pPr>
              <w:jc w:val="both"/>
              <w:rPr>
                <w:rFonts w:ascii="Calibri" w:hAnsi="Calibri"/>
                <w:b/>
              </w:rPr>
            </w:pPr>
            <w:r w:rsidRPr="00E75191">
              <w:rPr>
                <w:rFonts w:ascii="Calibri" w:hAnsi="Calibri"/>
                <w:b/>
              </w:rPr>
              <w:t>YEAR</w:t>
            </w:r>
          </w:p>
        </w:tc>
        <w:tc>
          <w:tcPr>
            <w:tcW w:w="3420"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69E7AD5C" w14:textId="77777777" w:rsidR="00E75191" w:rsidRPr="00E75191" w:rsidRDefault="00E75191" w:rsidP="00E75191">
            <w:pPr>
              <w:jc w:val="both"/>
              <w:rPr>
                <w:rFonts w:ascii="Calibri" w:hAnsi="Calibri"/>
                <w:b/>
              </w:rPr>
            </w:pPr>
            <w:r w:rsidRPr="00E75191">
              <w:rPr>
                <w:b/>
              </w:rPr>
              <w:t>PERCENTAGE OF SEATS HELD BY WOMEN IN THE HOUSE OF REPRESENTATIVES</w:t>
            </w:r>
          </w:p>
        </w:tc>
        <w:tc>
          <w:tcPr>
            <w:tcW w:w="3595"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77F28938" w14:textId="77777777" w:rsidR="00E75191" w:rsidRPr="00E75191" w:rsidRDefault="00E75191" w:rsidP="00E75191">
            <w:pPr>
              <w:jc w:val="both"/>
              <w:rPr>
                <w:rFonts w:ascii="Calibri" w:hAnsi="Calibri"/>
                <w:b/>
              </w:rPr>
            </w:pPr>
            <w:r w:rsidRPr="00E75191">
              <w:rPr>
                <w:b/>
              </w:rPr>
              <w:t>PERCENTAGE OF SEATS HELD BY WOMEN IN THE HOUSE OF SENATE</w:t>
            </w:r>
          </w:p>
        </w:tc>
      </w:tr>
      <w:tr w:rsidR="00E75191" w:rsidRPr="00E75191" w14:paraId="650BBA0C" w14:textId="77777777" w:rsidTr="00E75191">
        <w:tc>
          <w:tcPr>
            <w:tcW w:w="2335" w:type="dxa"/>
            <w:tcBorders>
              <w:top w:val="single" w:sz="4" w:space="0" w:color="auto"/>
              <w:left w:val="single" w:sz="4" w:space="0" w:color="auto"/>
              <w:bottom w:val="single" w:sz="4" w:space="0" w:color="auto"/>
              <w:right w:val="single" w:sz="4" w:space="0" w:color="auto"/>
            </w:tcBorders>
            <w:shd w:val="clear" w:color="auto" w:fill="70AD47" w:themeFill="accent6"/>
            <w:hideMark/>
          </w:tcPr>
          <w:p w14:paraId="138823A4" w14:textId="77777777" w:rsidR="00E75191" w:rsidRPr="00E75191" w:rsidRDefault="00E75191" w:rsidP="00E75191">
            <w:pPr>
              <w:jc w:val="both"/>
              <w:rPr>
                <w:rFonts w:ascii="Calibri" w:hAnsi="Calibri"/>
              </w:rPr>
            </w:pPr>
            <w:r w:rsidRPr="00E75191">
              <w:rPr>
                <w:rFonts w:ascii="Calibri" w:hAnsi="Calibri"/>
              </w:rPr>
              <w:t>1999</w:t>
            </w:r>
          </w:p>
        </w:tc>
        <w:tc>
          <w:tcPr>
            <w:tcW w:w="3420"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68CC13DB" w14:textId="77777777" w:rsidR="00E75191" w:rsidRPr="00E75191" w:rsidRDefault="00E75191" w:rsidP="00E75191">
            <w:pPr>
              <w:jc w:val="both"/>
            </w:pPr>
            <w:r w:rsidRPr="00E75191">
              <w:t>3.4%</w:t>
            </w:r>
          </w:p>
        </w:tc>
        <w:tc>
          <w:tcPr>
            <w:tcW w:w="3595"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7822AB1F" w14:textId="77777777" w:rsidR="00E75191" w:rsidRPr="00E75191" w:rsidRDefault="00E75191" w:rsidP="00E75191">
            <w:pPr>
              <w:jc w:val="both"/>
            </w:pPr>
            <w:r w:rsidRPr="00E75191">
              <w:t>2.8%</w:t>
            </w:r>
          </w:p>
        </w:tc>
      </w:tr>
      <w:tr w:rsidR="00E75191" w:rsidRPr="00E75191" w14:paraId="3406A490" w14:textId="77777777" w:rsidTr="00E75191">
        <w:tc>
          <w:tcPr>
            <w:tcW w:w="2335" w:type="dxa"/>
            <w:tcBorders>
              <w:top w:val="single" w:sz="4" w:space="0" w:color="auto"/>
              <w:left w:val="single" w:sz="4" w:space="0" w:color="auto"/>
              <w:bottom w:val="single" w:sz="4" w:space="0" w:color="auto"/>
              <w:right w:val="single" w:sz="4" w:space="0" w:color="auto"/>
            </w:tcBorders>
            <w:shd w:val="clear" w:color="auto" w:fill="70AD47" w:themeFill="accent6"/>
            <w:hideMark/>
          </w:tcPr>
          <w:p w14:paraId="0DED4CE2" w14:textId="77777777" w:rsidR="00E75191" w:rsidRPr="00E75191" w:rsidRDefault="00E75191" w:rsidP="00E75191">
            <w:pPr>
              <w:jc w:val="both"/>
              <w:rPr>
                <w:rFonts w:ascii="Calibri" w:hAnsi="Calibri"/>
              </w:rPr>
            </w:pPr>
            <w:r w:rsidRPr="00E75191">
              <w:rPr>
                <w:rFonts w:ascii="Calibri" w:hAnsi="Calibri"/>
              </w:rPr>
              <w:t>2003</w:t>
            </w:r>
          </w:p>
        </w:tc>
        <w:tc>
          <w:tcPr>
            <w:tcW w:w="3420"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63AB2A81" w14:textId="77777777" w:rsidR="00E75191" w:rsidRPr="00E75191" w:rsidRDefault="00E75191" w:rsidP="00E75191">
            <w:pPr>
              <w:jc w:val="both"/>
            </w:pPr>
            <w:r w:rsidRPr="00E75191">
              <w:t>4.9%</w:t>
            </w:r>
          </w:p>
        </w:tc>
        <w:tc>
          <w:tcPr>
            <w:tcW w:w="3595"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388A7DBE" w14:textId="77777777" w:rsidR="00E75191" w:rsidRPr="00E75191" w:rsidRDefault="00E75191" w:rsidP="00E75191">
            <w:pPr>
              <w:jc w:val="both"/>
            </w:pPr>
            <w:r w:rsidRPr="00E75191">
              <w:t>2.8%</w:t>
            </w:r>
          </w:p>
        </w:tc>
      </w:tr>
      <w:tr w:rsidR="00E75191" w:rsidRPr="00E75191" w14:paraId="6429B51B" w14:textId="77777777" w:rsidTr="00E75191">
        <w:tc>
          <w:tcPr>
            <w:tcW w:w="2335" w:type="dxa"/>
            <w:tcBorders>
              <w:top w:val="single" w:sz="4" w:space="0" w:color="auto"/>
              <w:left w:val="single" w:sz="4" w:space="0" w:color="auto"/>
              <w:bottom w:val="single" w:sz="4" w:space="0" w:color="auto"/>
              <w:right w:val="single" w:sz="4" w:space="0" w:color="auto"/>
            </w:tcBorders>
            <w:shd w:val="clear" w:color="auto" w:fill="70AD47" w:themeFill="accent6"/>
            <w:hideMark/>
          </w:tcPr>
          <w:p w14:paraId="7DE3E72D" w14:textId="77777777" w:rsidR="00E75191" w:rsidRPr="00E75191" w:rsidRDefault="00E75191" w:rsidP="00E75191">
            <w:pPr>
              <w:jc w:val="both"/>
              <w:rPr>
                <w:rFonts w:ascii="Calibri" w:hAnsi="Calibri"/>
              </w:rPr>
            </w:pPr>
            <w:r w:rsidRPr="00E75191">
              <w:rPr>
                <w:rFonts w:ascii="Calibri" w:hAnsi="Calibri"/>
              </w:rPr>
              <w:t>2007</w:t>
            </w:r>
          </w:p>
        </w:tc>
        <w:tc>
          <w:tcPr>
            <w:tcW w:w="3420"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2B289266" w14:textId="77777777" w:rsidR="00E75191" w:rsidRPr="00E75191" w:rsidRDefault="00E75191" w:rsidP="00E75191">
            <w:pPr>
              <w:jc w:val="both"/>
            </w:pPr>
            <w:r w:rsidRPr="00E75191">
              <w:t>7.0%</w:t>
            </w:r>
          </w:p>
        </w:tc>
        <w:tc>
          <w:tcPr>
            <w:tcW w:w="3595"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4E852001" w14:textId="77777777" w:rsidR="00E75191" w:rsidRPr="00E75191" w:rsidRDefault="00E75191" w:rsidP="00E75191">
            <w:pPr>
              <w:jc w:val="both"/>
            </w:pPr>
            <w:r w:rsidRPr="00E75191">
              <w:t>8.3%</w:t>
            </w:r>
          </w:p>
        </w:tc>
      </w:tr>
      <w:tr w:rsidR="00E75191" w:rsidRPr="00E75191" w14:paraId="5F8FBD2D" w14:textId="77777777" w:rsidTr="00E75191">
        <w:tc>
          <w:tcPr>
            <w:tcW w:w="2335" w:type="dxa"/>
            <w:tcBorders>
              <w:top w:val="single" w:sz="4" w:space="0" w:color="auto"/>
              <w:left w:val="single" w:sz="4" w:space="0" w:color="auto"/>
              <w:bottom w:val="single" w:sz="4" w:space="0" w:color="auto"/>
              <w:right w:val="single" w:sz="4" w:space="0" w:color="auto"/>
            </w:tcBorders>
            <w:shd w:val="clear" w:color="auto" w:fill="70AD47" w:themeFill="accent6"/>
            <w:hideMark/>
          </w:tcPr>
          <w:p w14:paraId="2F15B87B" w14:textId="77777777" w:rsidR="00E75191" w:rsidRPr="00E75191" w:rsidRDefault="00E75191" w:rsidP="00E75191">
            <w:pPr>
              <w:jc w:val="both"/>
              <w:rPr>
                <w:rFonts w:ascii="Calibri" w:hAnsi="Calibri"/>
              </w:rPr>
            </w:pPr>
            <w:r w:rsidRPr="00E75191">
              <w:rPr>
                <w:rFonts w:ascii="Calibri" w:hAnsi="Calibri"/>
              </w:rPr>
              <w:t>2011</w:t>
            </w:r>
          </w:p>
        </w:tc>
        <w:tc>
          <w:tcPr>
            <w:tcW w:w="3420"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6F532132" w14:textId="77777777" w:rsidR="00E75191" w:rsidRPr="00E75191" w:rsidRDefault="00E75191" w:rsidP="00E75191">
            <w:pPr>
              <w:jc w:val="both"/>
            </w:pPr>
            <w:r w:rsidRPr="00E75191">
              <w:t>6.8%</w:t>
            </w:r>
          </w:p>
        </w:tc>
        <w:tc>
          <w:tcPr>
            <w:tcW w:w="3595"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632D6530" w14:textId="77777777" w:rsidR="00E75191" w:rsidRPr="00E75191" w:rsidRDefault="00E75191" w:rsidP="00E75191">
            <w:pPr>
              <w:jc w:val="both"/>
            </w:pPr>
            <w:r w:rsidRPr="00E75191">
              <w:t>6.4%</w:t>
            </w:r>
          </w:p>
        </w:tc>
      </w:tr>
      <w:tr w:rsidR="00E75191" w:rsidRPr="00E75191" w14:paraId="1D57AE18" w14:textId="77777777" w:rsidTr="00E75191">
        <w:tc>
          <w:tcPr>
            <w:tcW w:w="2335" w:type="dxa"/>
            <w:tcBorders>
              <w:top w:val="single" w:sz="4" w:space="0" w:color="auto"/>
              <w:left w:val="single" w:sz="4" w:space="0" w:color="auto"/>
              <w:bottom w:val="single" w:sz="4" w:space="0" w:color="auto"/>
              <w:right w:val="single" w:sz="4" w:space="0" w:color="auto"/>
            </w:tcBorders>
            <w:shd w:val="clear" w:color="auto" w:fill="70AD47" w:themeFill="accent6"/>
            <w:hideMark/>
          </w:tcPr>
          <w:p w14:paraId="28593FEA" w14:textId="77777777" w:rsidR="00E75191" w:rsidRPr="00E75191" w:rsidRDefault="00E75191" w:rsidP="00E75191">
            <w:pPr>
              <w:jc w:val="both"/>
              <w:rPr>
                <w:rFonts w:ascii="Calibri" w:hAnsi="Calibri"/>
              </w:rPr>
            </w:pPr>
            <w:r w:rsidRPr="00E75191">
              <w:rPr>
                <w:rFonts w:ascii="Calibri" w:hAnsi="Calibri"/>
              </w:rPr>
              <w:t>2015</w:t>
            </w:r>
          </w:p>
        </w:tc>
        <w:tc>
          <w:tcPr>
            <w:tcW w:w="3420"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02F5C250" w14:textId="77777777" w:rsidR="00E75191" w:rsidRPr="00E75191" w:rsidRDefault="00E75191" w:rsidP="00E75191">
            <w:pPr>
              <w:jc w:val="both"/>
            </w:pPr>
            <w:r w:rsidRPr="00E75191">
              <w:t>5.6%</w:t>
            </w:r>
          </w:p>
        </w:tc>
        <w:tc>
          <w:tcPr>
            <w:tcW w:w="3595"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292C236C" w14:textId="77777777" w:rsidR="00E75191" w:rsidRPr="00E75191" w:rsidRDefault="00E75191" w:rsidP="00E75191">
            <w:pPr>
              <w:jc w:val="both"/>
            </w:pPr>
            <w:r w:rsidRPr="00E75191">
              <w:t>6.5%</w:t>
            </w:r>
          </w:p>
        </w:tc>
      </w:tr>
      <w:tr w:rsidR="00E75191" w:rsidRPr="00E75191" w14:paraId="74DA08F9" w14:textId="77777777" w:rsidTr="00E75191">
        <w:tc>
          <w:tcPr>
            <w:tcW w:w="2335" w:type="dxa"/>
            <w:tcBorders>
              <w:top w:val="single" w:sz="4" w:space="0" w:color="auto"/>
              <w:left w:val="single" w:sz="4" w:space="0" w:color="auto"/>
              <w:bottom w:val="single" w:sz="4" w:space="0" w:color="auto"/>
              <w:right w:val="single" w:sz="4" w:space="0" w:color="auto"/>
            </w:tcBorders>
            <w:shd w:val="clear" w:color="auto" w:fill="70AD47" w:themeFill="accent6"/>
            <w:hideMark/>
          </w:tcPr>
          <w:p w14:paraId="47BEA09D" w14:textId="77777777" w:rsidR="00E75191" w:rsidRPr="00E75191" w:rsidRDefault="00E75191" w:rsidP="00E75191">
            <w:pPr>
              <w:jc w:val="both"/>
              <w:rPr>
                <w:rFonts w:ascii="Calibri" w:hAnsi="Calibri"/>
              </w:rPr>
            </w:pPr>
            <w:r w:rsidRPr="00E75191">
              <w:rPr>
                <w:rFonts w:ascii="Calibri" w:hAnsi="Calibri"/>
              </w:rPr>
              <w:t>2019</w:t>
            </w:r>
          </w:p>
        </w:tc>
        <w:tc>
          <w:tcPr>
            <w:tcW w:w="3420"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77249554" w14:textId="77777777" w:rsidR="00E75191" w:rsidRPr="00E75191" w:rsidRDefault="00E75191" w:rsidP="00E75191">
            <w:pPr>
              <w:jc w:val="both"/>
            </w:pPr>
            <w:r w:rsidRPr="00E75191">
              <w:t>3.1%</w:t>
            </w:r>
          </w:p>
        </w:tc>
        <w:tc>
          <w:tcPr>
            <w:tcW w:w="3595"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51819FBD" w14:textId="77777777" w:rsidR="00E75191" w:rsidRPr="00E75191" w:rsidRDefault="00E75191" w:rsidP="00E75191">
            <w:pPr>
              <w:jc w:val="both"/>
            </w:pPr>
            <w:r w:rsidRPr="00E75191">
              <w:t>6.5%</w:t>
            </w:r>
          </w:p>
        </w:tc>
      </w:tr>
    </w:tbl>
    <w:p w14:paraId="6B972733" w14:textId="77777777" w:rsidR="00E75191" w:rsidRDefault="00E75191" w:rsidP="00E75191">
      <w:pPr>
        <w:spacing w:line="240" w:lineRule="auto"/>
        <w:jc w:val="both"/>
        <w:rPr>
          <w:rFonts w:ascii="Calibri" w:hAnsi="Calibri"/>
          <w:b/>
        </w:rPr>
      </w:pPr>
      <w:r w:rsidRPr="00E75191">
        <w:rPr>
          <w:rFonts w:ascii="Calibri" w:hAnsi="Calibri"/>
        </w:rPr>
        <w:t>Source: UN Women</w:t>
      </w:r>
      <w:r>
        <w:rPr>
          <w:rStyle w:val="FootnoteReference"/>
          <w:rFonts w:ascii="Calibri" w:hAnsi="Calibri"/>
          <w:b/>
        </w:rPr>
        <w:footnoteReference w:id="33"/>
      </w:r>
    </w:p>
    <w:p w14:paraId="296B2DDC" w14:textId="77777777" w:rsidR="00681F77" w:rsidRPr="00B02467" w:rsidRDefault="000A4BB0" w:rsidP="00E75191">
      <w:pPr>
        <w:spacing w:line="240" w:lineRule="auto"/>
        <w:jc w:val="both"/>
        <w:rPr>
          <w:rFonts w:cstheme="minorHAnsi"/>
          <w:sz w:val="24"/>
          <w:szCs w:val="24"/>
        </w:rPr>
      </w:pPr>
      <w:r>
        <w:rPr>
          <w:rFonts w:cstheme="minorHAnsi"/>
          <w:noProof/>
          <w:sz w:val="24"/>
          <w:szCs w:val="24"/>
          <w:lang w:val="en-IE" w:eastAsia="en-IE"/>
        </w:rPr>
        <w:lastRenderedPageBreak/>
        <mc:AlternateContent>
          <mc:Choice Requires="wps">
            <w:drawing>
              <wp:anchor distT="0" distB="0" distL="114300" distR="114300" simplePos="0" relativeHeight="251711488" behindDoc="0" locked="0" layoutInCell="1" allowOverlap="1" wp14:anchorId="142A3C35" wp14:editId="33547F91">
                <wp:simplePos x="0" y="0"/>
                <wp:positionH relativeFrom="column">
                  <wp:posOffset>-187325</wp:posOffset>
                </wp:positionH>
                <wp:positionV relativeFrom="paragraph">
                  <wp:posOffset>269875</wp:posOffset>
                </wp:positionV>
                <wp:extent cx="2311400" cy="2077720"/>
                <wp:effectExtent l="0" t="0" r="12700" b="17780"/>
                <wp:wrapSquare wrapText="bothSides"/>
                <wp:docPr id="45" name="Rectangle 45"/>
                <wp:cNvGraphicFramePr/>
                <a:graphic xmlns:a="http://schemas.openxmlformats.org/drawingml/2006/main">
                  <a:graphicData uri="http://schemas.microsoft.com/office/word/2010/wordprocessingShape">
                    <wps:wsp>
                      <wps:cNvSpPr/>
                      <wps:spPr>
                        <a:xfrm>
                          <a:off x="0" y="0"/>
                          <a:ext cx="2311400" cy="20777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D509F34" w14:textId="77777777" w:rsidR="006D6A0C" w:rsidRDefault="006D6A0C" w:rsidP="00681F77">
                            <w:pPr>
                              <w:jc w:val="center"/>
                            </w:pPr>
                            <w:r w:rsidRPr="00681F77">
                              <w:t xml:space="preserve">Especially in the North, people (usually husbands) want to have a say on a woman’s dressing. So, you can imagine if what I wear and what I say is being controlled...how then do you expect them to have that platform to come out and say this is what should happen at a national level. </w:t>
                            </w:r>
                          </w:p>
                          <w:p w14:paraId="38F859F2" w14:textId="77777777" w:rsidR="006D6A0C" w:rsidRDefault="006D6A0C" w:rsidP="00681F77">
                            <w:pPr>
                              <w:jc w:val="center"/>
                            </w:pPr>
                            <w:r w:rsidRPr="00681F77">
                              <w:t>–</w:t>
                            </w:r>
                            <w:r>
                              <w:t>Female Participant, Kano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2A3C35" id="Rectangle 45" o:spid="_x0000_s1037" style="position:absolute;left:0;text-align:left;margin-left:-14.75pt;margin-top:21.25pt;width:182pt;height:163.6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" fillcolor="#5b9bd5 [3204]" strokecolor="#1f4d78 [1604]" strokeweight="1pt">
                <v:textbox>
                  <w:txbxContent>
                    <w:p w:rsidR="006D6A0C" w:rsidRDefault="006D6A0C" w:rsidP="00681F77">
                      <w:pPr>
                        <w:jc w:val="center"/>
                      </w:pPr>
                      <w:r w:rsidRPr="00681F77">
                        <w:t xml:space="preserve">Especially in the North, people (usually husbands) want to have a say on a woman’s dressing. So, you can imagine if what I wear and what I say is being controlled...how then do you expect them to have that platform to come out and say this is what should happen at a national level. </w:t>
                      </w:r>
                    </w:p>
                    <w:p w:rsidR="006D6A0C" w:rsidRDefault="006D6A0C" w:rsidP="00681F77">
                      <w:pPr>
                        <w:jc w:val="center"/>
                      </w:pPr>
                      <w:r w:rsidRPr="00681F77">
                        <w:t>–</w:t>
                      </w:r>
                      <w:r>
                        <w:t>Female Participant, Kano</w:t>
                      </w:r>
                    </w:p>
                  </w:txbxContent>
                </v:textbox>
                <w10:wrap type="square"/>
              </v:rect>
            </w:pict>
          </mc:Fallback>
        </mc:AlternateContent>
      </w:r>
      <w:r w:rsidR="00917D85" w:rsidRPr="00B02467">
        <w:rPr>
          <w:rFonts w:cstheme="minorHAnsi"/>
          <w:sz w:val="24"/>
          <w:szCs w:val="24"/>
        </w:rPr>
        <w:t xml:space="preserve">Multiple factors are to blame for women’s limited participation in politics. </w:t>
      </w:r>
      <w:r w:rsidR="006B3C57">
        <w:rPr>
          <w:rFonts w:cstheme="minorHAnsi"/>
          <w:sz w:val="24"/>
          <w:szCs w:val="24"/>
        </w:rPr>
        <w:t xml:space="preserve">First of all, participation is costly and </w:t>
      </w:r>
      <w:r w:rsidR="00917D85" w:rsidRPr="00B02467">
        <w:rPr>
          <w:rFonts w:cstheme="minorHAnsi"/>
          <w:sz w:val="24"/>
          <w:szCs w:val="24"/>
        </w:rPr>
        <w:t>party tickets often go to the highest bidder</w:t>
      </w:r>
      <w:r w:rsidR="006B3C57">
        <w:rPr>
          <w:rFonts w:cstheme="minorHAnsi"/>
          <w:sz w:val="24"/>
          <w:szCs w:val="24"/>
        </w:rPr>
        <w:t>. E</w:t>
      </w:r>
      <w:r w:rsidR="00917D85" w:rsidRPr="00B02467">
        <w:rPr>
          <w:rFonts w:cstheme="minorHAnsi"/>
          <w:sz w:val="24"/>
          <w:szCs w:val="24"/>
        </w:rPr>
        <w:t xml:space="preserve">ven the cost of </w:t>
      </w:r>
      <w:r w:rsidR="002A761F">
        <w:rPr>
          <w:rFonts w:cstheme="minorHAnsi"/>
          <w:sz w:val="24"/>
          <w:szCs w:val="24"/>
        </w:rPr>
        <w:t xml:space="preserve">registration </w:t>
      </w:r>
      <w:r w:rsidR="00917D85" w:rsidRPr="00B02467">
        <w:rPr>
          <w:rFonts w:cstheme="minorHAnsi"/>
          <w:sz w:val="24"/>
          <w:szCs w:val="24"/>
        </w:rPr>
        <w:t xml:space="preserve">forms </w:t>
      </w:r>
      <w:r w:rsidR="006714A0">
        <w:rPr>
          <w:rFonts w:cstheme="minorHAnsi"/>
          <w:sz w:val="24"/>
          <w:szCs w:val="24"/>
        </w:rPr>
        <w:t xml:space="preserve">required for running for office as required </w:t>
      </w:r>
      <w:r w:rsidR="002A761F">
        <w:rPr>
          <w:rFonts w:cstheme="minorHAnsi"/>
          <w:sz w:val="24"/>
          <w:szCs w:val="24"/>
        </w:rPr>
        <w:t xml:space="preserve">in political parties </w:t>
      </w:r>
      <w:r w:rsidR="00917D85" w:rsidRPr="00B02467">
        <w:rPr>
          <w:rFonts w:cstheme="minorHAnsi"/>
          <w:sz w:val="24"/>
          <w:szCs w:val="24"/>
        </w:rPr>
        <w:t>may be out of reach for many women.</w:t>
      </w:r>
      <w:r w:rsidR="00075BF3">
        <w:rPr>
          <w:rStyle w:val="FootnoteReference"/>
          <w:rFonts w:cstheme="minorHAnsi"/>
          <w:sz w:val="24"/>
          <w:szCs w:val="24"/>
        </w:rPr>
        <w:footnoteReference w:id="34"/>
      </w:r>
      <w:r w:rsidR="00917D85" w:rsidRPr="00B02467">
        <w:rPr>
          <w:rFonts w:cstheme="minorHAnsi"/>
          <w:sz w:val="24"/>
          <w:szCs w:val="24"/>
        </w:rPr>
        <w:t xml:space="preserve"> </w:t>
      </w:r>
      <w:r w:rsidR="00075BF3">
        <w:rPr>
          <w:rStyle w:val="FootnoteReference"/>
          <w:rFonts w:cstheme="minorHAnsi"/>
          <w:sz w:val="24"/>
          <w:szCs w:val="24"/>
        </w:rPr>
        <w:footnoteReference w:id="35"/>
      </w:r>
      <w:r w:rsidR="00550B9F" w:rsidRPr="00B02467">
        <w:rPr>
          <w:rFonts w:cstheme="minorHAnsi"/>
          <w:sz w:val="24"/>
          <w:szCs w:val="24"/>
        </w:rPr>
        <w:t>Indigeneship is also a key factor preventing women from participating in politics</w:t>
      </w:r>
      <w:r w:rsidR="006B3C57">
        <w:rPr>
          <w:rFonts w:cstheme="minorHAnsi"/>
          <w:sz w:val="24"/>
          <w:szCs w:val="24"/>
        </w:rPr>
        <w:t xml:space="preserve">. </w:t>
      </w:r>
      <w:r w:rsidR="00A15AE4">
        <w:rPr>
          <w:rFonts w:cstheme="minorHAnsi"/>
          <w:sz w:val="24"/>
          <w:szCs w:val="24"/>
        </w:rPr>
        <w:t>This means that candidates living in s</w:t>
      </w:r>
      <w:r w:rsidR="00550B9F" w:rsidRPr="00B02467">
        <w:rPr>
          <w:rFonts w:cstheme="minorHAnsi"/>
          <w:sz w:val="24"/>
          <w:szCs w:val="24"/>
        </w:rPr>
        <w:t>tates of residence and marriage</w:t>
      </w:r>
      <w:r w:rsidR="00A15AE4">
        <w:rPr>
          <w:rFonts w:cstheme="minorHAnsi"/>
          <w:sz w:val="24"/>
          <w:szCs w:val="24"/>
        </w:rPr>
        <w:t xml:space="preserve"> are not accepted if these states are </w:t>
      </w:r>
      <w:r w:rsidR="00550B9F" w:rsidRPr="00B02467">
        <w:rPr>
          <w:rFonts w:cstheme="minorHAnsi"/>
          <w:sz w:val="24"/>
          <w:szCs w:val="24"/>
        </w:rPr>
        <w:t xml:space="preserve">different from </w:t>
      </w:r>
      <w:r w:rsidR="00A15AE4">
        <w:rPr>
          <w:rFonts w:cstheme="minorHAnsi"/>
          <w:sz w:val="24"/>
          <w:szCs w:val="24"/>
        </w:rPr>
        <w:t>their s</w:t>
      </w:r>
      <w:r w:rsidR="00550B9F" w:rsidRPr="00B02467">
        <w:rPr>
          <w:rFonts w:cstheme="minorHAnsi"/>
          <w:sz w:val="24"/>
          <w:szCs w:val="24"/>
        </w:rPr>
        <w:t xml:space="preserve">tates of origin. The lack of </w:t>
      </w:r>
      <w:r w:rsidR="00A15AE4">
        <w:rPr>
          <w:rFonts w:cstheme="minorHAnsi"/>
          <w:sz w:val="24"/>
          <w:szCs w:val="24"/>
        </w:rPr>
        <w:t xml:space="preserve">an </w:t>
      </w:r>
      <w:r w:rsidR="00550B9F" w:rsidRPr="00B02467">
        <w:rPr>
          <w:rFonts w:cstheme="minorHAnsi"/>
          <w:sz w:val="24"/>
          <w:szCs w:val="24"/>
        </w:rPr>
        <w:t xml:space="preserve">appropriate legal and policy framework </w:t>
      </w:r>
      <w:r w:rsidR="00A15AE4">
        <w:rPr>
          <w:rFonts w:cstheme="minorHAnsi"/>
          <w:sz w:val="24"/>
          <w:szCs w:val="24"/>
        </w:rPr>
        <w:t>to</w:t>
      </w:r>
      <w:r w:rsidR="00A15AE4" w:rsidRPr="00B02467">
        <w:rPr>
          <w:rFonts w:cstheme="minorHAnsi"/>
          <w:sz w:val="24"/>
          <w:szCs w:val="24"/>
        </w:rPr>
        <w:t xml:space="preserve"> </w:t>
      </w:r>
      <w:r w:rsidR="00550B9F" w:rsidRPr="00B02467">
        <w:rPr>
          <w:rFonts w:cstheme="minorHAnsi"/>
          <w:sz w:val="24"/>
          <w:szCs w:val="24"/>
        </w:rPr>
        <w:t xml:space="preserve">support affirmative actions </w:t>
      </w:r>
      <w:r w:rsidR="00A15AE4">
        <w:rPr>
          <w:rFonts w:cstheme="minorHAnsi"/>
          <w:sz w:val="24"/>
          <w:szCs w:val="24"/>
        </w:rPr>
        <w:t>and</w:t>
      </w:r>
      <w:r w:rsidR="00550B9F" w:rsidRPr="00B02467">
        <w:rPr>
          <w:rFonts w:cstheme="minorHAnsi"/>
          <w:sz w:val="24"/>
          <w:szCs w:val="24"/>
        </w:rPr>
        <w:t xml:space="preserve"> restore historically unequal opportunities for political participation has also been identified as a factor. There is resistance</w:t>
      </w:r>
      <w:r w:rsidR="00075BF3">
        <w:rPr>
          <w:rFonts w:cstheme="minorHAnsi"/>
          <w:sz w:val="24"/>
          <w:szCs w:val="24"/>
        </w:rPr>
        <w:t xml:space="preserve"> by politicians</w:t>
      </w:r>
      <w:r w:rsidR="00550B9F" w:rsidRPr="00B02467">
        <w:rPr>
          <w:rFonts w:cstheme="minorHAnsi"/>
          <w:sz w:val="24"/>
          <w:szCs w:val="24"/>
        </w:rPr>
        <w:t xml:space="preserve"> to awarding quotas to women to level the playing field in politics. Moreover, even when women run for office, poor coverage from the media of female candidates limit</w:t>
      </w:r>
      <w:r w:rsidR="00A15AE4">
        <w:rPr>
          <w:rFonts w:cstheme="minorHAnsi"/>
          <w:sz w:val="24"/>
          <w:szCs w:val="24"/>
        </w:rPr>
        <w:t>s</w:t>
      </w:r>
      <w:r w:rsidR="00550B9F" w:rsidRPr="00B02467">
        <w:rPr>
          <w:rFonts w:cstheme="minorHAnsi"/>
          <w:sz w:val="24"/>
          <w:szCs w:val="24"/>
        </w:rPr>
        <w:t xml:space="preserve"> </w:t>
      </w:r>
      <w:r w:rsidR="00A15AE4">
        <w:rPr>
          <w:rFonts w:cstheme="minorHAnsi"/>
          <w:sz w:val="24"/>
          <w:szCs w:val="24"/>
        </w:rPr>
        <w:t>their</w:t>
      </w:r>
      <w:r w:rsidR="00A15AE4" w:rsidRPr="00B02467">
        <w:rPr>
          <w:rFonts w:cstheme="minorHAnsi"/>
          <w:sz w:val="24"/>
          <w:szCs w:val="24"/>
        </w:rPr>
        <w:t xml:space="preserve"> </w:t>
      </w:r>
      <w:r w:rsidR="00550B9F" w:rsidRPr="00B02467">
        <w:rPr>
          <w:rFonts w:cstheme="minorHAnsi"/>
          <w:sz w:val="24"/>
          <w:szCs w:val="24"/>
        </w:rPr>
        <w:t xml:space="preserve">success in politics. Other factors include patriarchy and the social norms, underpinned by religion and culture, which support the view that men are more suited for leadership. It is noted that issues such as sexual assault, unpaid domestic labour, caregiving, also </w:t>
      </w:r>
      <w:r w:rsidR="00A15AE4">
        <w:rPr>
          <w:rFonts w:cstheme="minorHAnsi"/>
          <w:sz w:val="24"/>
          <w:szCs w:val="24"/>
        </w:rPr>
        <w:t>deprive</w:t>
      </w:r>
      <w:r w:rsidR="00550B9F" w:rsidRPr="00B02467">
        <w:rPr>
          <w:rFonts w:cstheme="minorHAnsi"/>
          <w:sz w:val="24"/>
          <w:szCs w:val="24"/>
        </w:rPr>
        <w:t xml:space="preserve"> women of opportunities to engage in politics.</w:t>
      </w:r>
      <w:r w:rsidR="00550B9F" w:rsidRPr="00B02467">
        <w:rPr>
          <w:rStyle w:val="FootnoteReference"/>
          <w:rFonts w:cstheme="minorHAnsi"/>
          <w:sz w:val="24"/>
          <w:szCs w:val="24"/>
        </w:rPr>
        <w:footnoteReference w:id="36"/>
      </w:r>
      <w:r w:rsidR="00550B9F" w:rsidRPr="00B02467">
        <w:rPr>
          <w:rFonts w:cstheme="minorHAnsi"/>
          <w:sz w:val="24"/>
          <w:szCs w:val="24"/>
        </w:rPr>
        <w:t xml:space="preserve">  </w:t>
      </w:r>
      <w:r w:rsidR="004A293F" w:rsidRPr="00B02467">
        <w:rPr>
          <w:rFonts w:cstheme="minorHAnsi"/>
          <w:sz w:val="24"/>
          <w:szCs w:val="24"/>
        </w:rPr>
        <w:t xml:space="preserve"> Interestingly, gender norms influenced by religion and culture were also seen as barriers within the qualitative study.</w:t>
      </w:r>
    </w:p>
    <w:p w14:paraId="2E226F79" w14:textId="77777777" w:rsidR="00550B9F" w:rsidRPr="00B02467" w:rsidRDefault="00550B9F" w:rsidP="00E75191">
      <w:pPr>
        <w:spacing w:line="240" w:lineRule="auto"/>
        <w:jc w:val="both"/>
        <w:rPr>
          <w:rFonts w:cstheme="minorHAnsi"/>
          <w:sz w:val="24"/>
          <w:szCs w:val="24"/>
        </w:rPr>
      </w:pPr>
      <w:r w:rsidRPr="00B02467">
        <w:rPr>
          <w:rFonts w:cstheme="minorHAnsi"/>
          <w:sz w:val="24"/>
          <w:szCs w:val="24"/>
        </w:rPr>
        <w:t>Recommendations for increasing women’s participation in politics include address</w:t>
      </w:r>
      <w:r w:rsidR="00FC65D7">
        <w:rPr>
          <w:rFonts w:cstheme="minorHAnsi"/>
          <w:sz w:val="24"/>
          <w:szCs w:val="24"/>
        </w:rPr>
        <w:t>ing</w:t>
      </w:r>
      <w:r w:rsidRPr="00B02467">
        <w:rPr>
          <w:rFonts w:cstheme="minorHAnsi"/>
          <w:sz w:val="24"/>
          <w:szCs w:val="24"/>
        </w:rPr>
        <w:t xml:space="preserve"> the challenges noted above. Specifically, the</w:t>
      </w:r>
      <w:r w:rsidR="00FC65D7">
        <w:rPr>
          <w:rFonts w:cstheme="minorHAnsi"/>
          <w:sz w:val="24"/>
          <w:szCs w:val="24"/>
        </w:rPr>
        <w:t xml:space="preserve">re is need for capacity building of women’s </w:t>
      </w:r>
      <w:r w:rsidRPr="00B02467">
        <w:rPr>
          <w:rFonts w:cstheme="minorHAnsi"/>
          <w:sz w:val="24"/>
          <w:szCs w:val="24"/>
        </w:rPr>
        <w:t xml:space="preserve">understanding </w:t>
      </w:r>
      <w:r w:rsidR="00FC65D7">
        <w:rPr>
          <w:rFonts w:cstheme="minorHAnsi"/>
          <w:sz w:val="24"/>
          <w:szCs w:val="24"/>
        </w:rPr>
        <w:t xml:space="preserve">of </w:t>
      </w:r>
      <w:r w:rsidRPr="00B02467">
        <w:rPr>
          <w:rFonts w:cstheme="minorHAnsi"/>
          <w:sz w:val="24"/>
          <w:szCs w:val="24"/>
        </w:rPr>
        <w:t>the political terrain and how to thrive in it.</w:t>
      </w:r>
      <w:r w:rsidR="001138EF" w:rsidRPr="00B02467">
        <w:rPr>
          <w:rFonts w:cstheme="minorHAnsi"/>
          <w:sz w:val="24"/>
          <w:szCs w:val="24"/>
        </w:rPr>
        <w:t xml:space="preserve"> </w:t>
      </w:r>
      <w:r w:rsidR="00FC65D7">
        <w:rPr>
          <w:rFonts w:cstheme="minorHAnsi"/>
          <w:sz w:val="24"/>
          <w:szCs w:val="24"/>
        </w:rPr>
        <w:t>It is also important to c</w:t>
      </w:r>
      <w:r w:rsidR="001138EF" w:rsidRPr="00B02467">
        <w:rPr>
          <w:rFonts w:cstheme="minorHAnsi"/>
          <w:sz w:val="24"/>
          <w:szCs w:val="24"/>
        </w:rPr>
        <w:t>hang</w:t>
      </w:r>
      <w:r w:rsidR="00FC65D7">
        <w:rPr>
          <w:rFonts w:cstheme="minorHAnsi"/>
          <w:sz w:val="24"/>
          <w:szCs w:val="24"/>
        </w:rPr>
        <w:t>e</w:t>
      </w:r>
      <w:r w:rsidR="001138EF" w:rsidRPr="00B02467">
        <w:rPr>
          <w:rFonts w:cstheme="minorHAnsi"/>
          <w:sz w:val="24"/>
          <w:szCs w:val="24"/>
        </w:rPr>
        <w:t xml:space="preserve"> women’s </w:t>
      </w:r>
      <w:r w:rsidR="00FC65D7" w:rsidRPr="00B02467">
        <w:rPr>
          <w:rFonts w:cstheme="minorHAnsi"/>
          <w:sz w:val="24"/>
          <w:szCs w:val="24"/>
        </w:rPr>
        <w:t>mind</w:t>
      </w:r>
      <w:r w:rsidR="00FC65D7">
        <w:rPr>
          <w:rFonts w:cstheme="minorHAnsi"/>
          <w:sz w:val="24"/>
          <w:szCs w:val="24"/>
        </w:rPr>
        <w:t>sets</w:t>
      </w:r>
      <w:r w:rsidR="001138EF" w:rsidRPr="00B02467">
        <w:rPr>
          <w:rFonts w:cstheme="minorHAnsi"/>
          <w:sz w:val="24"/>
          <w:szCs w:val="24"/>
        </w:rPr>
        <w:t xml:space="preserve"> to engage in politics, to see it as important</w:t>
      </w:r>
      <w:r w:rsidR="00FA2243" w:rsidRPr="00B02467">
        <w:rPr>
          <w:rFonts w:cstheme="minorHAnsi"/>
          <w:sz w:val="24"/>
          <w:szCs w:val="24"/>
        </w:rPr>
        <w:t xml:space="preserve">, and to </w:t>
      </w:r>
      <w:r w:rsidR="00FC65D7">
        <w:rPr>
          <w:rFonts w:cstheme="minorHAnsi"/>
          <w:sz w:val="24"/>
          <w:szCs w:val="24"/>
        </w:rPr>
        <w:t>consider</w:t>
      </w:r>
      <w:r w:rsidR="00FC65D7" w:rsidRPr="00B02467">
        <w:rPr>
          <w:rFonts w:cstheme="minorHAnsi"/>
          <w:sz w:val="24"/>
          <w:szCs w:val="24"/>
        </w:rPr>
        <w:t xml:space="preserve"> </w:t>
      </w:r>
      <w:r w:rsidR="00FA2243" w:rsidRPr="00B02467">
        <w:rPr>
          <w:rFonts w:cstheme="minorHAnsi"/>
          <w:sz w:val="24"/>
          <w:szCs w:val="24"/>
        </w:rPr>
        <w:t xml:space="preserve">politics </w:t>
      </w:r>
      <w:r w:rsidR="00FC65D7">
        <w:rPr>
          <w:rFonts w:cstheme="minorHAnsi"/>
          <w:sz w:val="24"/>
          <w:szCs w:val="24"/>
        </w:rPr>
        <w:t>as ways of meaningful engagement</w:t>
      </w:r>
      <w:r w:rsidR="00FA2243" w:rsidRPr="00B02467">
        <w:rPr>
          <w:rFonts w:cstheme="minorHAnsi"/>
          <w:sz w:val="24"/>
          <w:szCs w:val="24"/>
        </w:rPr>
        <w:t>.</w:t>
      </w:r>
      <w:r w:rsidRPr="00B02467">
        <w:rPr>
          <w:rFonts w:cstheme="minorHAnsi"/>
          <w:sz w:val="24"/>
          <w:szCs w:val="24"/>
        </w:rPr>
        <w:t xml:space="preserve"> Women need financial support to compete more favourably with their male counterparts. </w:t>
      </w:r>
      <w:r w:rsidR="00FC65D7">
        <w:rPr>
          <w:rFonts w:cstheme="minorHAnsi"/>
          <w:sz w:val="24"/>
          <w:szCs w:val="24"/>
        </w:rPr>
        <w:t xml:space="preserve">It is also critical </w:t>
      </w:r>
      <w:r w:rsidR="00FA2243" w:rsidRPr="00B02467">
        <w:rPr>
          <w:rFonts w:cstheme="minorHAnsi"/>
          <w:sz w:val="24"/>
          <w:szCs w:val="24"/>
        </w:rPr>
        <w:t xml:space="preserve">for legal reforms to support affirmative quotas, </w:t>
      </w:r>
      <w:r w:rsidR="00FC65D7">
        <w:rPr>
          <w:rFonts w:cstheme="minorHAnsi"/>
          <w:sz w:val="24"/>
          <w:szCs w:val="24"/>
        </w:rPr>
        <w:t xml:space="preserve">and for </w:t>
      </w:r>
      <w:r w:rsidR="00FA2243" w:rsidRPr="00B02467">
        <w:rPr>
          <w:rFonts w:cstheme="minorHAnsi"/>
          <w:sz w:val="24"/>
          <w:szCs w:val="24"/>
        </w:rPr>
        <w:t>electoral institutions including INEC, political parties and other entities to place women as candidates</w:t>
      </w:r>
      <w:r w:rsidR="00075BF3">
        <w:rPr>
          <w:rFonts w:cstheme="minorHAnsi"/>
          <w:sz w:val="24"/>
          <w:szCs w:val="24"/>
        </w:rPr>
        <w:t xml:space="preserve"> in electoral lists and ensure women occupy appointive positions in line with policy commitments on gender parity</w:t>
      </w:r>
      <w:r w:rsidR="00FA2243" w:rsidRPr="00B02467">
        <w:rPr>
          <w:rFonts w:cstheme="minorHAnsi"/>
          <w:sz w:val="24"/>
          <w:szCs w:val="24"/>
        </w:rPr>
        <w:t xml:space="preserve">.  </w:t>
      </w:r>
      <w:r w:rsidR="00AD746B">
        <w:rPr>
          <w:rFonts w:cstheme="minorHAnsi"/>
          <w:sz w:val="24"/>
          <w:szCs w:val="24"/>
        </w:rPr>
        <w:t>M</w:t>
      </w:r>
      <w:r w:rsidR="00FA2243" w:rsidRPr="00B02467">
        <w:rPr>
          <w:rFonts w:cstheme="minorHAnsi"/>
          <w:sz w:val="24"/>
          <w:szCs w:val="24"/>
        </w:rPr>
        <w:t xml:space="preserve">edia organisations </w:t>
      </w:r>
      <w:r w:rsidR="00AD746B">
        <w:rPr>
          <w:rFonts w:cstheme="minorHAnsi"/>
          <w:sz w:val="24"/>
          <w:szCs w:val="24"/>
        </w:rPr>
        <w:t xml:space="preserve">also need </w:t>
      </w:r>
      <w:r w:rsidR="00FA2243" w:rsidRPr="00B02467">
        <w:rPr>
          <w:rFonts w:cstheme="minorHAnsi"/>
          <w:sz w:val="24"/>
          <w:szCs w:val="24"/>
        </w:rPr>
        <w:t xml:space="preserve">to provide more and effective coverage for female candidates.  </w:t>
      </w:r>
    </w:p>
    <w:p w14:paraId="7A1B3A56" w14:textId="77777777" w:rsidR="00E75191" w:rsidRDefault="00E75191">
      <w:pPr>
        <w:rPr>
          <w:rFonts w:ascii="Times New Roman" w:hAnsi="Times New Roman" w:cs="Times New Roman"/>
          <w:sz w:val="24"/>
          <w:szCs w:val="24"/>
        </w:rPr>
      </w:pPr>
      <w:r>
        <w:rPr>
          <w:rFonts w:ascii="Times New Roman" w:hAnsi="Times New Roman" w:cs="Times New Roman"/>
          <w:sz w:val="24"/>
          <w:szCs w:val="24"/>
        </w:rPr>
        <w:br w:type="page"/>
      </w:r>
    </w:p>
    <w:p w14:paraId="0199FD17" w14:textId="77777777" w:rsidR="00B41C1A" w:rsidRDefault="00B41C1A" w:rsidP="00E75191">
      <w:pPr>
        <w:spacing w:line="240" w:lineRule="auto"/>
        <w:jc w:val="both"/>
        <w:rPr>
          <w:rFonts w:ascii="Times New Roman" w:hAnsi="Times New Roman" w:cs="Times New Roman"/>
          <w:sz w:val="24"/>
          <w:szCs w:val="24"/>
        </w:rPr>
      </w:pPr>
    </w:p>
    <w:p w14:paraId="0B8F1AF9" w14:textId="77777777" w:rsidR="006E0454" w:rsidRPr="00C6536D" w:rsidRDefault="006E0454" w:rsidP="00E75191">
      <w:pPr>
        <w:spacing w:line="240" w:lineRule="auto"/>
      </w:pPr>
      <w:r>
        <w:rPr>
          <w:noProof/>
          <w:lang w:val="en-IE" w:eastAsia="en-IE"/>
        </w:rPr>
        <mc:AlternateContent>
          <mc:Choice Requires="wps">
            <w:drawing>
              <wp:anchor distT="0" distB="0" distL="114300" distR="114300" simplePos="0" relativeHeight="251673600" behindDoc="0" locked="0" layoutInCell="1" allowOverlap="1" wp14:anchorId="4BAEAE00" wp14:editId="0756050E">
                <wp:simplePos x="0" y="0"/>
                <wp:positionH relativeFrom="column">
                  <wp:align>center</wp:align>
                </wp:positionH>
                <wp:positionV relativeFrom="paragraph">
                  <wp:posOffset>0</wp:posOffset>
                </wp:positionV>
                <wp:extent cx="5791200" cy="1403985"/>
                <wp:effectExtent l="0" t="0" r="1905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1403985"/>
                        </a:xfrm>
                        <a:prstGeom prst="rect">
                          <a:avLst/>
                        </a:prstGeom>
                        <a:solidFill>
                          <a:schemeClr val="accent1">
                            <a:lumMod val="60000"/>
                            <a:lumOff val="40000"/>
                          </a:schemeClr>
                        </a:solidFill>
                        <a:ln w="9525">
                          <a:solidFill>
                            <a:schemeClr val="accent1">
                              <a:lumMod val="60000"/>
                              <a:lumOff val="40000"/>
                            </a:schemeClr>
                          </a:solidFill>
                          <a:miter lim="800000"/>
                          <a:headEnd/>
                          <a:tailEnd/>
                        </a:ln>
                      </wps:spPr>
                      <wps:txbx>
                        <w:txbxContent>
                          <w:p w14:paraId="2121EAC2" w14:textId="77777777" w:rsidR="006D6A0C" w:rsidRPr="00125047" w:rsidRDefault="006D6A0C" w:rsidP="00125047">
                            <w:pPr>
                              <w:pStyle w:val="Heading1"/>
                              <w:rPr>
                                <w:color w:val="auto"/>
                                <w:sz w:val="56"/>
                                <w:szCs w:val="56"/>
                              </w:rPr>
                            </w:pPr>
                            <w:bookmarkStart w:id="22" w:name="_Toc81228161"/>
                            <w:bookmarkStart w:id="23" w:name="_Toc81228282"/>
                            <w:bookmarkStart w:id="24" w:name="_Toc81229093"/>
                            <w:r w:rsidRPr="00125047">
                              <w:rPr>
                                <w:color w:val="auto"/>
                                <w:sz w:val="56"/>
                                <w:szCs w:val="56"/>
                              </w:rPr>
                              <w:t>3.3 Poverty and Inequality</w:t>
                            </w:r>
                            <w:bookmarkEnd w:id="22"/>
                            <w:bookmarkEnd w:id="23"/>
                            <w:bookmarkEnd w:id="24"/>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BAEAE00" id="_x0000_s1038" type="#_x0000_t202" style="position:absolute;margin-left:0;margin-top:0;width:456pt;height:110.55pt;z-index:251673600;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" fillcolor="#9cc2e5 [1940]" strokecolor="#9cc2e5 [1940]">
                <v:textbox style="mso-fit-shape-to-text:t">
                  <w:txbxContent>
                    <w:p w:rsidR="006D6A0C" w:rsidRPr="00125047" w:rsidRDefault="006D6A0C" w:rsidP="00125047">
                      <w:pPr>
                        <w:pStyle w:val="Heading1"/>
                        <w:rPr>
                          <w:color w:val="auto"/>
                          <w:sz w:val="56"/>
                          <w:szCs w:val="56"/>
                        </w:rPr>
                      </w:pPr>
                      <w:bookmarkStart w:id="38" w:name="_Toc81228161"/>
                      <w:bookmarkStart w:id="39" w:name="_Toc81228282"/>
                      <w:bookmarkStart w:id="40" w:name="_Toc81229093"/>
                      <w:r w:rsidRPr="00125047">
                        <w:rPr>
                          <w:color w:val="auto"/>
                          <w:sz w:val="56"/>
                          <w:szCs w:val="56"/>
                        </w:rPr>
                        <w:t>3.3 Poverty and Inequality</w:t>
                      </w:r>
                      <w:bookmarkEnd w:id="38"/>
                      <w:bookmarkEnd w:id="39"/>
                      <w:bookmarkEnd w:id="40"/>
                    </w:p>
                  </w:txbxContent>
                </v:textbox>
              </v:shape>
            </w:pict>
          </mc:Fallback>
        </mc:AlternateContent>
      </w:r>
    </w:p>
    <w:p w14:paraId="2D37E597" w14:textId="77777777" w:rsidR="006E0454" w:rsidRDefault="006E0454" w:rsidP="00E75191">
      <w:pPr>
        <w:spacing w:line="240" w:lineRule="auto"/>
      </w:pPr>
    </w:p>
    <w:p w14:paraId="546F8A2A" w14:textId="77777777" w:rsidR="006E0454" w:rsidRDefault="006E0454" w:rsidP="00E75191">
      <w:pPr>
        <w:spacing w:line="240" w:lineRule="auto"/>
      </w:pPr>
    </w:p>
    <w:p w14:paraId="56144735" w14:textId="77777777" w:rsidR="00496AAF" w:rsidRDefault="0050020E" w:rsidP="00E75191">
      <w:pPr>
        <w:spacing w:line="240" w:lineRule="auto"/>
        <w:jc w:val="both"/>
        <w:rPr>
          <w:rFonts w:eastAsia="Times New Roman"/>
          <w:sz w:val="24"/>
          <w:szCs w:val="24"/>
        </w:rPr>
      </w:pPr>
      <w:r w:rsidRPr="00B02467">
        <w:rPr>
          <w:rFonts w:eastAsia="Times New Roman"/>
          <w:sz w:val="24"/>
          <w:szCs w:val="24"/>
        </w:rPr>
        <w:t>Nigeria has been referred to as</w:t>
      </w:r>
      <w:r w:rsidR="009E7B1E" w:rsidRPr="00B02467">
        <w:rPr>
          <w:rFonts w:eastAsia="Times New Roman"/>
          <w:sz w:val="24"/>
          <w:szCs w:val="24"/>
        </w:rPr>
        <w:t xml:space="preserve"> the poverty capital of the world</w:t>
      </w:r>
      <w:r w:rsidRPr="00B02467">
        <w:rPr>
          <w:rFonts w:eastAsia="Times New Roman"/>
          <w:sz w:val="24"/>
          <w:szCs w:val="24"/>
        </w:rPr>
        <w:t>, overtaking India as the country with the highest number of poor people in 2018</w:t>
      </w:r>
      <w:r w:rsidR="00AD746B">
        <w:rPr>
          <w:rFonts w:eastAsia="Times New Roman"/>
          <w:sz w:val="24"/>
          <w:szCs w:val="24"/>
        </w:rPr>
        <w:t>.</w:t>
      </w:r>
      <w:r>
        <w:rPr>
          <w:rStyle w:val="FootnoteReference"/>
          <w:rFonts w:eastAsia="Times New Roman"/>
          <w:sz w:val="24"/>
          <w:szCs w:val="24"/>
        </w:rPr>
        <w:footnoteReference w:id="37"/>
      </w:r>
      <w:r w:rsidR="00352E17">
        <w:rPr>
          <w:rFonts w:eastAsia="Times New Roman"/>
          <w:sz w:val="24"/>
          <w:szCs w:val="24"/>
        </w:rPr>
        <w:t xml:space="preserve"> </w:t>
      </w:r>
      <w:r w:rsidR="00AD746B">
        <w:rPr>
          <w:rFonts w:eastAsia="Times New Roman"/>
          <w:sz w:val="24"/>
          <w:szCs w:val="24"/>
        </w:rPr>
        <w:t xml:space="preserve">It </w:t>
      </w:r>
      <w:r w:rsidR="00352E17">
        <w:rPr>
          <w:rFonts w:eastAsia="Times New Roman"/>
          <w:sz w:val="24"/>
          <w:szCs w:val="24"/>
        </w:rPr>
        <w:t>is home to the largest number of poor people in Africa.</w:t>
      </w:r>
      <w:r w:rsidR="00521E0E">
        <w:rPr>
          <w:rStyle w:val="FootnoteReference"/>
          <w:rFonts w:eastAsia="Times New Roman"/>
          <w:sz w:val="24"/>
          <w:szCs w:val="24"/>
        </w:rPr>
        <w:footnoteReference w:id="38"/>
      </w:r>
      <w:r w:rsidR="00352E17">
        <w:rPr>
          <w:rFonts w:eastAsia="Times New Roman"/>
          <w:sz w:val="24"/>
          <w:szCs w:val="24"/>
        </w:rPr>
        <w:t xml:space="preserve"> </w:t>
      </w:r>
      <w:r w:rsidR="009521D7">
        <w:rPr>
          <w:rFonts w:eastAsia="Times New Roman"/>
          <w:sz w:val="24"/>
          <w:szCs w:val="24"/>
        </w:rPr>
        <w:t xml:space="preserve"> </w:t>
      </w:r>
      <w:r w:rsidR="009521D7" w:rsidRPr="009521D7">
        <w:rPr>
          <w:rFonts w:eastAsia="Times New Roman"/>
          <w:sz w:val="24"/>
          <w:szCs w:val="24"/>
        </w:rPr>
        <w:t xml:space="preserve">The country ranked 152 out of 157 in the World Bank’s Human Capital Index in 2018. </w:t>
      </w:r>
      <w:r w:rsidR="00352E17">
        <w:rPr>
          <w:rStyle w:val="FootnoteReference"/>
          <w:rFonts w:eastAsia="Times New Roman"/>
          <w:sz w:val="24"/>
          <w:szCs w:val="24"/>
        </w:rPr>
        <w:footnoteReference w:id="39"/>
      </w:r>
      <w:r w:rsidR="009521D7" w:rsidRPr="009521D7">
        <w:rPr>
          <w:rFonts w:eastAsia="Times New Roman"/>
          <w:sz w:val="24"/>
          <w:szCs w:val="24"/>
        </w:rPr>
        <w:t xml:space="preserve"> </w:t>
      </w:r>
      <w:r w:rsidR="00496AAF">
        <w:rPr>
          <w:rFonts w:eastAsia="Times New Roman"/>
          <w:sz w:val="24"/>
          <w:szCs w:val="24"/>
        </w:rPr>
        <w:t xml:space="preserve">The Nigerian </w:t>
      </w:r>
      <w:r w:rsidR="00496AAF" w:rsidRPr="00496AAF">
        <w:rPr>
          <w:rFonts w:eastAsia="Times New Roman"/>
          <w:sz w:val="24"/>
          <w:szCs w:val="24"/>
        </w:rPr>
        <w:t>Living Standards Survey 2018-2019</w:t>
      </w:r>
      <w:r w:rsidR="00496AAF">
        <w:rPr>
          <w:rFonts w:eastAsia="Times New Roman"/>
          <w:sz w:val="24"/>
          <w:szCs w:val="24"/>
        </w:rPr>
        <w:t xml:space="preserve"> conducted by the Nigeria Bureau of Statistics (NBS) with support of the World Bank and DFID and presented in 2020 found that </w:t>
      </w:r>
      <w:r w:rsidR="00496AAF" w:rsidRPr="00496AAF">
        <w:rPr>
          <w:rFonts w:eastAsia="Times New Roman"/>
          <w:sz w:val="24"/>
          <w:szCs w:val="24"/>
        </w:rPr>
        <w:t>40</w:t>
      </w:r>
      <w:r w:rsidR="00AD746B">
        <w:rPr>
          <w:rFonts w:eastAsia="Times New Roman"/>
          <w:sz w:val="24"/>
          <w:szCs w:val="24"/>
        </w:rPr>
        <w:t>%</w:t>
      </w:r>
      <w:r w:rsidR="00496AAF" w:rsidRPr="00496AAF">
        <w:rPr>
          <w:rFonts w:eastAsia="Times New Roman"/>
          <w:sz w:val="24"/>
          <w:szCs w:val="24"/>
        </w:rPr>
        <w:t>of the total population, or almost 83 million people, live below the country’s poverty line of 137,430 naira ($381.75) per year</w:t>
      </w:r>
      <w:r w:rsidR="00496AAF">
        <w:rPr>
          <w:rFonts w:eastAsia="Times New Roman"/>
          <w:sz w:val="24"/>
          <w:szCs w:val="24"/>
        </w:rPr>
        <w:t>.</w:t>
      </w:r>
      <w:r w:rsidR="00704727">
        <w:rPr>
          <w:rStyle w:val="FootnoteReference"/>
          <w:rFonts w:eastAsia="Times New Roman"/>
          <w:sz w:val="24"/>
          <w:szCs w:val="24"/>
        </w:rPr>
        <w:footnoteReference w:id="40"/>
      </w:r>
      <w:r w:rsidR="00704727">
        <w:rPr>
          <w:rFonts w:eastAsia="Times New Roman"/>
          <w:sz w:val="24"/>
          <w:szCs w:val="24"/>
        </w:rPr>
        <w:t xml:space="preserve"> </w:t>
      </w:r>
      <w:r w:rsidR="00704727" w:rsidRPr="00974C9E">
        <w:rPr>
          <w:rFonts w:eastAsia="Times New Roman"/>
          <w:sz w:val="24"/>
          <w:szCs w:val="24"/>
        </w:rPr>
        <w:t>According to the World Bank's Multidimensional Poverty Measure - which adopts a broader definition of poverty - an estimated 47.3% of Nigerians are poor, as they also lack access to education and other basic infrastructure.</w:t>
      </w:r>
      <w:r w:rsidR="00704727">
        <w:rPr>
          <w:rStyle w:val="FootnoteReference"/>
          <w:rFonts w:eastAsia="Times New Roman"/>
          <w:sz w:val="24"/>
          <w:szCs w:val="24"/>
        </w:rPr>
        <w:footnoteReference w:id="41"/>
      </w:r>
      <w:r w:rsidR="00704727">
        <w:rPr>
          <w:rFonts w:eastAsia="Times New Roman"/>
          <w:sz w:val="24"/>
          <w:szCs w:val="24"/>
        </w:rPr>
        <w:t xml:space="preserve">  </w:t>
      </w:r>
    </w:p>
    <w:p w14:paraId="46618B5F" w14:textId="77777777" w:rsidR="00331D3B" w:rsidRDefault="00704727" w:rsidP="00E75191">
      <w:pPr>
        <w:spacing w:line="240" w:lineRule="auto"/>
        <w:jc w:val="both"/>
        <w:rPr>
          <w:rFonts w:eastAsia="Times New Roman"/>
          <w:sz w:val="24"/>
          <w:szCs w:val="24"/>
        </w:rPr>
      </w:pPr>
      <w:r>
        <w:rPr>
          <w:rFonts w:eastAsia="Times New Roman"/>
          <w:sz w:val="24"/>
          <w:szCs w:val="24"/>
        </w:rPr>
        <w:t xml:space="preserve">These statistics </w:t>
      </w:r>
      <w:r w:rsidR="00AD746B">
        <w:rPr>
          <w:rFonts w:eastAsia="Times New Roman"/>
          <w:sz w:val="24"/>
          <w:szCs w:val="24"/>
        </w:rPr>
        <w:t>were retrieved</w:t>
      </w:r>
      <w:r>
        <w:rPr>
          <w:rFonts w:eastAsia="Times New Roman"/>
          <w:sz w:val="24"/>
          <w:szCs w:val="24"/>
        </w:rPr>
        <w:t xml:space="preserve"> prior </w:t>
      </w:r>
      <w:r w:rsidR="00E55C69">
        <w:rPr>
          <w:rFonts w:eastAsia="Times New Roman"/>
          <w:sz w:val="24"/>
          <w:szCs w:val="24"/>
        </w:rPr>
        <w:t>to the COVID-19 pandemic.</w:t>
      </w:r>
      <w:r w:rsidR="00051716">
        <w:rPr>
          <w:rFonts w:eastAsia="Times New Roman"/>
          <w:sz w:val="24"/>
          <w:szCs w:val="24"/>
        </w:rPr>
        <w:t xml:space="preserve"> </w:t>
      </w:r>
      <w:r w:rsidR="00AD746B">
        <w:rPr>
          <w:rFonts w:eastAsia="Times New Roman"/>
          <w:sz w:val="24"/>
          <w:szCs w:val="24"/>
        </w:rPr>
        <w:t>T</w:t>
      </w:r>
      <w:r w:rsidR="009E7B1E" w:rsidRPr="00974C9E">
        <w:rPr>
          <w:rFonts w:eastAsia="Times New Roman"/>
          <w:sz w:val="24"/>
          <w:szCs w:val="24"/>
        </w:rPr>
        <w:t xml:space="preserve">he pandemic has further </w:t>
      </w:r>
      <w:r w:rsidR="00AD746B">
        <w:rPr>
          <w:rFonts w:eastAsia="Times New Roman"/>
          <w:sz w:val="24"/>
          <w:szCs w:val="24"/>
        </w:rPr>
        <w:t>amplified</w:t>
      </w:r>
      <w:r w:rsidR="00AD746B" w:rsidRPr="00974C9E">
        <w:rPr>
          <w:rFonts w:eastAsia="Times New Roman"/>
          <w:sz w:val="24"/>
          <w:szCs w:val="24"/>
        </w:rPr>
        <w:t xml:space="preserve"> </w:t>
      </w:r>
      <w:r w:rsidR="009E7B1E" w:rsidRPr="00974C9E">
        <w:rPr>
          <w:rFonts w:eastAsia="Times New Roman"/>
          <w:sz w:val="24"/>
          <w:szCs w:val="24"/>
        </w:rPr>
        <w:t>poverty</w:t>
      </w:r>
      <w:r w:rsidR="00AD746B">
        <w:rPr>
          <w:rFonts w:eastAsia="Times New Roman"/>
          <w:sz w:val="24"/>
          <w:szCs w:val="24"/>
        </w:rPr>
        <w:t>,</w:t>
      </w:r>
      <w:r w:rsidR="009E7B1E" w:rsidRPr="00974C9E">
        <w:rPr>
          <w:rFonts w:eastAsia="Times New Roman"/>
          <w:sz w:val="24"/>
          <w:szCs w:val="24"/>
        </w:rPr>
        <w:t xml:space="preserve"> sending millions of Nigeria below the poverty line</w:t>
      </w:r>
      <w:r w:rsidR="00051716">
        <w:rPr>
          <w:rStyle w:val="FootnoteReference"/>
          <w:rFonts w:eastAsia="Times New Roman"/>
          <w:sz w:val="24"/>
          <w:szCs w:val="24"/>
        </w:rPr>
        <w:footnoteReference w:id="42"/>
      </w:r>
      <w:r w:rsidR="009E7B1E" w:rsidRPr="00974C9E">
        <w:rPr>
          <w:rFonts w:eastAsia="Times New Roman"/>
          <w:sz w:val="24"/>
          <w:szCs w:val="24"/>
        </w:rPr>
        <w:t>. Current projections continue to paint a grim picture on the extent of poverty in Nigeria as it is estimated that the combined effects of the COVID-19 pandemic and the national population growth could leave as many as 100 million people living below the national poverty line by 2022.</w:t>
      </w:r>
      <w:r w:rsidR="009E7B1E">
        <w:rPr>
          <w:rStyle w:val="FootnoteReference"/>
          <w:rFonts w:eastAsia="Times New Roman"/>
          <w:sz w:val="24"/>
          <w:szCs w:val="24"/>
        </w:rPr>
        <w:footnoteReference w:id="43"/>
      </w:r>
      <w:r w:rsidR="009E7B1E" w:rsidRPr="00974C9E">
        <w:rPr>
          <w:rFonts w:eastAsia="Times New Roman"/>
          <w:sz w:val="24"/>
          <w:szCs w:val="24"/>
        </w:rPr>
        <w:t xml:space="preserve"> </w:t>
      </w:r>
    </w:p>
    <w:p w14:paraId="3407097F" w14:textId="77777777" w:rsidR="00C54A47" w:rsidRDefault="00C54A47" w:rsidP="00E75191">
      <w:pPr>
        <w:spacing w:line="240" w:lineRule="auto"/>
        <w:jc w:val="both"/>
        <w:rPr>
          <w:rFonts w:eastAsia="Times New Roman"/>
          <w:sz w:val="24"/>
          <w:szCs w:val="24"/>
        </w:rPr>
      </w:pPr>
      <w:r>
        <w:rPr>
          <w:rFonts w:eastAsia="Times New Roman"/>
          <w:sz w:val="24"/>
          <w:szCs w:val="24"/>
        </w:rPr>
        <w:t xml:space="preserve">Poverty in Nigeria is gendered. Some studies have noted that women </w:t>
      </w:r>
      <w:r w:rsidR="00AD746B">
        <w:rPr>
          <w:rFonts w:eastAsia="Times New Roman"/>
          <w:sz w:val="24"/>
          <w:szCs w:val="24"/>
        </w:rPr>
        <w:t xml:space="preserve">in Nigeria </w:t>
      </w:r>
      <w:r>
        <w:rPr>
          <w:rFonts w:eastAsia="Times New Roman"/>
          <w:sz w:val="24"/>
          <w:szCs w:val="24"/>
        </w:rPr>
        <w:t xml:space="preserve">were </w:t>
      </w:r>
      <w:r w:rsidRPr="00974C9E">
        <w:rPr>
          <w:rFonts w:eastAsia="Times New Roman"/>
          <w:sz w:val="24"/>
          <w:szCs w:val="24"/>
        </w:rPr>
        <w:t>twice as likely as men to live below the poverty line.</w:t>
      </w:r>
      <w:r>
        <w:rPr>
          <w:rStyle w:val="FootnoteReference"/>
          <w:rFonts w:eastAsia="Times New Roman"/>
          <w:sz w:val="24"/>
          <w:szCs w:val="24"/>
        </w:rPr>
        <w:footnoteReference w:id="44"/>
      </w:r>
      <w:r w:rsidR="00AD746B">
        <w:rPr>
          <w:rFonts w:eastAsia="Times New Roman"/>
          <w:sz w:val="24"/>
          <w:szCs w:val="24"/>
        </w:rPr>
        <w:t xml:space="preserve"> </w:t>
      </w:r>
      <w:r>
        <w:rPr>
          <w:rFonts w:eastAsia="Times New Roman"/>
          <w:sz w:val="24"/>
          <w:szCs w:val="24"/>
        </w:rPr>
        <w:t xml:space="preserve">Although the Nigerian </w:t>
      </w:r>
      <w:r w:rsidRPr="00496AAF">
        <w:rPr>
          <w:rFonts w:eastAsia="Times New Roman"/>
          <w:sz w:val="24"/>
          <w:szCs w:val="24"/>
        </w:rPr>
        <w:t>Living Standards Survey 2018-2019</w:t>
      </w:r>
      <w:r>
        <w:rPr>
          <w:rFonts w:eastAsia="Times New Roman"/>
          <w:sz w:val="24"/>
          <w:szCs w:val="24"/>
        </w:rPr>
        <w:t xml:space="preserve"> indicated that female led households are less likely to suffer poverty, this finding has been questioned, especially in light of the number of households led by females</w:t>
      </w:r>
      <w:r w:rsidR="006714A0">
        <w:rPr>
          <w:rFonts w:eastAsia="Times New Roman"/>
          <w:sz w:val="24"/>
          <w:szCs w:val="24"/>
        </w:rPr>
        <w:t xml:space="preserve"> (which are fewer in number)</w:t>
      </w:r>
      <w:r>
        <w:rPr>
          <w:rFonts w:eastAsia="Times New Roman"/>
          <w:sz w:val="24"/>
          <w:szCs w:val="24"/>
        </w:rPr>
        <w:t xml:space="preserve"> and the</w:t>
      </w:r>
      <w:r w:rsidR="00256C96">
        <w:rPr>
          <w:rFonts w:eastAsia="Times New Roman"/>
          <w:sz w:val="24"/>
          <w:szCs w:val="24"/>
        </w:rPr>
        <w:t xml:space="preserve"> fact that the</w:t>
      </w:r>
      <w:r>
        <w:rPr>
          <w:rFonts w:eastAsia="Times New Roman"/>
          <w:sz w:val="24"/>
          <w:szCs w:val="24"/>
        </w:rPr>
        <w:t xml:space="preserve"> main determinants of poverty </w:t>
      </w:r>
      <w:r w:rsidR="00256C96">
        <w:rPr>
          <w:rFonts w:eastAsia="Times New Roman"/>
          <w:sz w:val="24"/>
          <w:szCs w:val="24"/>
        </w:rPr>
        <w:t>lie outside of only</w:t>
      </w:r>
      <w:r>
        <w:rPr>
          <w:rFonts w:eastAsia="Times New Roman"/>
          <w:sz w:val="24"/>
          <w:szCs w:val="24"/>
        </w:rPr>
        <w:t xml:space="preserve"> money (as employed by the </w:t>
      </w:r>
      <w:r w:rsidR="00256C96">
        <w:rPr>
          <w:rFonts w:eastAsia="Times New Roman"/>
          <w:sz w:val="24"/>
          <w:szCs w:val="24"/>
        </w:rPr>
        <w:t xml:space="preserve">Nigerian </w:t>
      </w:r>
      <w:r w:rsidR="00256C96" w:rsidRPr="00496AAF">
        <w:rPr>
          <w:rFonts w:eastAsia="Times New Roman"/>
          <w:sz w:val="24"/>
          <w:szCs w:val="24"/>
        </w:rPr>
        <w:t>Living Standards Survey</w:t>
      </w:r>
      <w:r>
        <w:rPr>
          <w:rFonts w:eastAsia="Times New Roman"/>
          <w:sz w:val="24"/>
          <w:szCs w:val="24"/>
        </w:rPr>
        <w:t>).</w:t>
      </w:r>
      <w:r>
        <w:rPr>
          <w:rStyle w:val="FootnoteReference"/>
          <w:rFonts w:eastAsia="Times New Roman"/>
          <w:sz w:val="24"/>
          <w:szCs w:val="24"/>
        </w:rPr>
        <w:footnoteReference w:id="45"/>
      </w:r>
      <w:r>
        <w:rPr>
          <w:rFonts w:eastAsia="Times New Roman"/>
          <w:sz w:val="24"/>
          <w:szCs w:val="24"/>
        </w:rPr>
        <w:t xml:space="preserve"> </w:t>
      </w:r>
      <w:r w:rsidR="00127808">
        <w:rPr>
          <w:rFonts w:eastAsia="Times New Roman"/>
          <w:sz w:val="24"/>
          <w:szCs w:val="24"/>
        </w:rPr>
        <w:t>With respect to banking,</w:t>
      </w:r>
      <w:r w:rsidRPr="00C54A47">
        <w:rPr>
          <w:rFonts w:eastAsia="Times New Roman"/>
          <w:sz w:val="24"/>
          <w:szCs w:val="24"/>
        </w:rPr>
        <w:t xml:space="preserve"> nearly 7 in 10 women are unbanked, with more than half of them financially excluded</w:t>
      </w:r>
      <w:r w:rsidR="003C399D">
        <w:rPr>
          <w:rFonts w:eastAsia="Times New Roman"/>
          <w:sz w:val="24"/>
          <w:szCs w:val="24"/>
        </w:rPr>
        <w:t xml:space="preserve"> from traditional </w:t>
      </w:r>
      <w:r w:rsidR="00256C96">
        <w:rPr>
          <w:rFonts w:eastAsia="Times New Roman"/>
          <w:sz w:val="24"/>
          <w:szCs w:val="24"/>
        </w:rPr>
        <w:t xml:space="preserve">financial </w:t>
      </w:r>
      <w:r w:rsidR="003C399D">
        <w:rPr>
          <w:rFonts w:eastAsia="Times New Roman"/>
          <w:sz w:val="24"/>
          <w:szCs w:val="24"/>
        </w:rPr>
        <w:t>structures</w:t>
      </w:r>
      <w:r w:rsidRPr="00C54A47">
        <w:rPr>
          <w:rFonts w:eastAsia="Times New Roman"/>
          <w:sz w:val="24"/>
          <w:szCs w:val="24"/>
        </w:rPr>
        <w:t>.</w:t>
      </w:r>
      <w:r w:rsidR="00127808">
        <w:rPr>
          <w:rStyle w:val="FootnoteReference"/>
          <w:rFonts w:eastAsia="Times New Roman"/>
          <w:sz w:val="24"/>
          <w:szCs w:val="24"/>
        </w:rPr>
        <w:footnoteReference w:id="46"/>
      </w:r>
    </w:p>
    <w:p w14:paraId="1E112E1E" w14:textId="77777777" w:rsidR="009E7B1E" w:rsidRDefault="009E7B1E" w:rsidP="00E75191">
      <w:pPr>
        <w:spacing w:line="240" w:lineRule="auto"/>
        <w:jc w:val="both"/>
        <w:rPr>
          <w:rFonts w:eastAsia="Times New Roman"/>
          <w:sz w:val="24"/>
          <w:szCs w:val="24"/>
        </w:rPr>
      </w:pPr>
      <w:r w:rsidRPr="00974C9E">
        <w:rPr>
          <w:rFonts w:eastAsia="Times New Roman"/>
          <w:sz w:val="24"/>
          <w:szCs w:val="24"/>
        </w:rPr>
        <w:t>In Nigeria, sociocultural f</w:t>
      </w:r>
      <w:r w:rsidR="00EC6BA0">
        <w:rPr>
          <w:rFonts w:eastAsia="Times New Roman"/>
          <w:sz w:val="24"/>
          <w:szCs w:val="24"/>
        </w:rPr>
        <w:t xml:space="preserve">actors such as the preference for educating </w:t>
      </w:r>
      <w:r w:rsidR="003D498F">
        <w:rPr>
          <w:rFonts w:eastAsia="Times New Roman"/>
          <w:sz w:val="24"/>
          <w:szCs w:val="24"/>
        </w:rPr>
        <w:t xml:space="preserve">boys </w:t>
      </w:r>
      <w:r w:rsidR="00EC6BA0">
        <w:rPr>
          <w:rFonts w:eastAsia="Times New Roman"/>
          <w:sz w:val="24"/>
          <w:szCs w:val="24"/>
        </w:rPr>
        <w:t xml:space="preserve">over </w:t>
      </w:r>
      <w:r w:rsidR="003D498F">
        <w:rPr>
          <w:rFonts w:eastAsia="Times New Roman"/>
          <w:sz w:val="24"/>
          <w:szCs w:val="24"/>
        </w:rPr>
        <w:t>girls</w:t>
      </w:r>
      <w:r w:rsidRPr="00974C9E">
        <w:rPr>
          <w:rFonts w:eastAsia="Times New Roman"/>
          <w:sz w:val="24"/>
          <w:szCs w:val="24"/>
        </w:rPr>
        <w:t xml:space="preserve">, pressure to marry early, unwanted pregnancy and lack of funds to expend on empowering both male </w:t>
      </w:r>
      <w:r w:rsidRPr="00974C9E">
        <w:rPr>
          <w:rFonts w:eastAsia="Times New Roman"/>
          <w:sz w:val="24"/>
          <w:szCs w:val="24"/>
        </w:rPr>
        <w:lastRenderedPageBreak/>
        <w:t>and female children continue to impede women</w:t>
      </w:r>
      <w:r w:rsidR="003D498F">
        <w:rPr>
          <w:rFonts w:eastAsia="Times New Roman"/>
          <w:sz w:val="24"/>
          <w:szCs w:val="24"/>
        </w:rPr>
        <w:t>’s (economic) empowerment</w:t>
      </w:r>
      <w:r w:rsidRPr="00974C9E">
        <w:rPr>
          <w:rFonts w:eastAsia="Times New Roman"/>
          <w:sz w:val="24"/>
          <w:szCs w:val="24"/>
        </w:rPr>
        <w:t xml:space="preserve">. Since women are disadvantaged in enrolment and access to educational facilities, they are often unable to complete their education and are restricted to semi-formal and informal employment. A </w:t>
      </w:r>
      <w:r w:rsidR="00331D3B">
        <w:rPr>
          <w:rFonts w:eastAsia="Times New Roman"/>
          <w:sz w:val="24"/>
          <w:szCs w:val="24"/>
        </w:rPr>
        <w:t xml:space="preserve">recent </w:t>
      </w:r>
      <w:r w:rsidRPr="00974C9E">
        <w:rPr>
          <w:rFonts w:eastAsia="Times New Roman"/>
          <w:sz w:val="24"/>
          <w:szCs w:val="24"/>
        </w:rPr>
        <w:t>study showed that 44%</w:t>
      </w:r>
      <w:r>
        <w:rPr>
          <w:rFonts w:eastAsia="Times New Roman"/>
          <w:sz w:val="24"/>
          <w:szCs w:val="24"/>
        </w:rPr>
        <w:t xml:space="preserve"> </w:t>
      </w:r>
      <w:r w:rsidRPr="00974C9E">
        <w:rPr>
          <w:rFonts w:eastAsia="Times New Roman"/>
          <w:sz w:val="24"/>
          <w:szCs w:val="24"/>
        </w:rPr>
        <w:t>of Nigerian women are involved in buying and selling of goods, 39% work in agriculture while 6% of them work in the manufacturing sector.</w:t>
      </w:r>
      <w:r>
        <w:rPr>
          <w:rStyle w:val="FootnoteReference"/>
          <w:rFonts w:eastAsia="Times New Roman"/>
          <w:sz w:val="24"/>
          <w:szCs w:val="24"/>
        </w:rPr>
        <w:footnoteReference w:id="47"/>
      </w:r>
      <w:r w:rsidRPr="00974C9E">
        <w:rPr>
          <w:rFonts w:eastAsia="Times New Roman"/>
          <w:sz w:val="24"/>
          <w:szCs w:val="24"/>
        </w:rPr>
        <w:t xml:space="preserve"> Female domination in these areas which largely require semi-skilled labour often translates t</w:t>
      </w:r>
      <w:r>
        <w:rPr>
          <w:rFonts w:eastAsia="Times New Roman"/>
          <w:sz w:val="24"/>
          <w:szCs w:val="24"/>
        </w:rPr>
        <w:t xml:space="preserve">o low income. </w:t>
      </w:r>
      <w:r w:rsidR="00681F77">
        <w:rPr>
          <w:rFonts w:eastAsia="Times New Roman"/>
          <w:sz w:val="24"/>
          <w:szCs w:val="24"/>
        </w:rPr>
        <w:t xml:space="preserve"> </w:t>
      </w:r>
    </w:p>
    <w:p w14:paraId="1D1C3B50" w14:textId="77777777" w:rsidR="00681F77" w:rsidRPr="00EB6159" w:rsidRDefault="00E75191" w:rsidP="00EB6159">
      <w:pPr>
        <w:rPr>
          <w:rStyle w:val="IntenseEmphasis"/>
        </w:rPr>
      </w:pPr>
      <w:r w:rsidRPr="00EB6159">
        <w:rPr>
          <w:rStyle w:val="IntenseEmphasis"/>
        </w:rPr>
        <w:t>Illustrative Finding:</w:t>
      </w:r>
      <w:r w:rsidR="00681F77" w:rsidRPr="00EB6159">
        <w:rPr>
          <w:rStyle w:val="IntenseEmphasis"/>
        </w:rPr>
        <w:t xml:space="preserve"> How Property Rights Compound the Problem of Poverty</w:t>
      </w:r>
    </w:p>
    <w:p w14:paraId="5F1C2E26" w14:textId="77777777" w:rsidR="00681F77" w:rsidRPr="00E75191" w:rsidRDefault="00681F77" w:rsidP="00E75191">
      <w:pPr>
        <w:shd w:val="clear" w:color="auto" w:fill="E7E6E6" w:themeFill="background2"/>
        <w:autoSpaceDE w:val="0"/>
        <w:autoSpaceDN w:val="0"/>
        <w:adjustRightInd w:val="0"/>
        <w:spacing w:after="0" w:line="240" w:lineRule="auto"/>
        <w:jc w:val="both"/>
        <w:rPr>
          <w:rFonts w:cstheme="minorHAnsi"/>
          <w:sz w:val="24"/>
          <w:szCs w:val="24"/>
        </w:rPr>
      </w:pPr>
      <w:r w:rsidRPr="00E75191">
        <w:rPr>
          <w:rFonts w:cstheme="minorHAnsi"/>
          <w:sz w:val="24"/>
          <w:szCs w:val="24"/>
        </w:rPr>
        <w:t xml:space="preserve">Rights to inheritance </w:t>
      </w:r>
      <w:r>
        <w:rPr>
          <w:rFonts w:cstheme="minorHAnsi"/>
          <w:sz w:val="24"/>
          <w:szCs w:val="24"/>
        </w:rPr>
        <w:t>is a</w:t>
      </w:r>
      <w:r w:rsidRPr="00E75191">
        <w:rPr>
          <w:rFonts w:cstheme="minorHAnsi"/>
          <w:sz w:val="24"/>
          <w:szCs w:val="24"/>
        </w:rPr>
        <w:t xml:space="preserve"> critical issue in traditional Nigerian communities. </w:t>
      </w:r>
      <w:r>
        <w:rPr>
          <w:rFonts w:cstheme="minorHAnsi"/>
          <w:sz w:val="24"/>
          <w:szCs w:val="24"/>
        </w:rPr>
        <w:t xml:space="preserve">In some communities, women cannot inherit property, putting them at risk of poverty in the event of the death of a breadwinner. </w:t>
      </w:r>
      <w:r w:rsidR="00E75191">
        <w:rPr>
          <w:rFonts w:cstheme="minorHAnsi"/>
          <w:sz w:val="24"/>
          <w:szCs w:val="24"/>
        </w:rPr>
        <w:t xml:space="preserve">We attempted to interrogate if right to inheritance and property was gender-inclusive during the study. </w:t>
      </w:r>
      <w:r w:rsidRPr="00E75191">
        <w:rPr>
          <w:rFonts w:cstheme="minorHAnsi"/>
          <w:sz w:val="24"/>
          <w:szCs w:val="24"/>
        </w:rPr>
        <w:t>About 52.8% (33.8% agreed while 15.3% strongly agreed) of all respondents believe that men and women have equal rights to family properties. More respondents in northern states believed this than those of the south: 62.2% and 21.4% agreed and strongly agreed in Adamawa while 41.9% and 13.2% agreed and strongly agreed in Kano. All southern states recorded about 22% of those that agreed and less than 20% of those that strongly agreed.</w:t>
      </w:r>
    </w:p>
    <w:p w14:paraId="57234996" w14:textId="77777777" w:rsidR="00681F77" w:rsidRPr="00774E08" w:rsidRDefault="00681F77" w:rsidP="00E75191">
      <w:pPr>
        <w:autoSpaceDE w:val="0"/>
        <w:autoSpaceDN w:val="0"/>
        <w:adjustRightInd w:val="0"/>
        <w:spacing w:after="0" w:line="240" w:lineRule="auto"/>
        <w:rPr>
          <w:rFonts w:ascii="Times New Roman" w:hAnsi="Times New Roman" w:cs="Times New Roman"/>
          <w:b/>
          <w:sz w:val="24"/>
          <w:szCs w:val="24"/>
        </w:rPr>
      </w:pPr>
    </w:p>
    <w:tbl>
      <w:tblPr>
        <w:tblW w:w="5000" w:type="pct"/>
        <w:tblLook w:val="04A0" w:firstRow="1" w:lastRow="0" w:firstColumn="1" w:lastColumn="0" w:noHBand="0" w:noVBand="1"/>
      </w:tblPr>
      <w:tblGrid>
        <w:gridCol w:w="1740"/>
        <w:gridCol w:w="1137"/>
        <w:gridCol w:w="1067"/>
        <w:gridCol w:w="847"/>
        <w:gridCol w:w="847"/>
        <w:gridCol w:w="847"/>
        <w:gridCol w:w="847"/>
        <w:gridCol w:w="847"/>
        <w:gridCol w:w="847"/>
      </w:tblGrid>
      <w:tr w:rsidR="006C4F2E" w14:paraId="04B35E17" w14:textId="77777777" w:rsidTr="006C4F2E">
        <w:trPr>
          <w:trHeight w:val="201"/>
        </w:trPr>
        <w:tc>
          <w:tcPr>
            <w:tcW w:w="965" w:type="pct"/>
          </w:tcPr>
          <w:p w14:paraId="7FCADAE7" w14:textId="77777777" w:rsidR="006C4F2E" w:rsidRDefault="006C4F2E" w:rsidP="006C4F2E">
            <w:pPr>
              <w:autoSpaceDE w:val="0"/>
              <w:autoSpaceDN w:val="0"/>
              <w:adjustRightInd w:val="0"/>
              <w:spacing w:line="240" w:lineRule="auto"/>
              <w:ind w:left="60" w:right="60"/>
              <w:jc w:val="center"/>
              <w:rPr>
                <w:rFonts w:ascii="Arial" w:hAnsi="Arial" w:cs="Arial"/>
                <w:color w:val="264A60"/>
                <w:sz w:val="18"/>
                <w:szCs w:val="18"/>
              </w:rPr>
            </w:pPr>
          </w:p>
        </w:tc>
        <w:tc>
          <w:tcPr>
            <w:tcW w:w="630" w:type="pct"/>
            <w:hideMark/>
          </w:tcPr>
          <w:p w14:paraId="243CC0D6" w14:textId="77777777" w:rsidR="006C4F2E" w:rsidRDefault="006C4F2E" w:rsidP="006C4F2E">
            <w:pPr>
              <w:autoSpaceDE w:val="0"/>
              <w:autoSpaceDN w:val="0"/>
              <w:adjustRightInd w:val="0"/>
              <w:spacing w:line="240" w:lineRule="auto"/>
              <w:ind w:left="60" w:right="60"/>
              <w:jc w:val="center"/>
              <w:rPr>
                <w:rFonts w:ascii="Arial" w:hAnsi="Arial" w:cs="Arial"/>
                <w:color w:val="264A60"/>
                <w:sz w:val="18"/>
                <w:szCs w:val="18"/>
              </w:rPr>
            </w:pPr>
            <w:r>
              <w:rPr>
                <w:rFonts w:ascii="Arial" w:hAnsi="Arial" w:cs="Arial"/>
                <w:color w:val="264A60"/>
                <w:sz w:val="18"/>
                <w:szCs w:val="18"/>
              </w:rPr>
              <w:t>Adamawa</w:t>
            </w:r>
          </w:p>
        </w:tc>
        <w:tc>
          <w:tcPr>
            <w:tcW w:w="591" w:type="pct"/>
            <w:hideMark/>
          </w:tcPr>
          <w:p w14:paraId="49BEA164" w14:textId="77777777" w:rsidR="006C4F2E" w:rsidRDefault="006C4F2E" w:rsidP="006C4F2E">
            <w:pPr>
              <w:autoSpaceDE w:val="0"/>
              <w:autoSpaceDN w:val="0"/>
              <w:adjustRightInd w:val="0"/>
              <w:spacing w:line="240" w:lineRule="auto"/>
              <w:ind w:left="60" w:right="60"/>
              <w:jc w:val="center"/>
              <w:rPr>
                <w:rFonts w:ascii="Arial" w:hAnsi="Arial" w:cs="Arial"/>
                <w:color w:val="264A60"/>
                <w:sz w:val="18"/>
                <w:szCs w:val="18"/>
              </w:rPr>
            </w:pPr>
            <w:r>
              <w:rPr>
                <w:rFonts w:ascii="Arial" w:hAnsi="Arial" w:cs="Arial"/>
                <w:color w:val="264A60"/>
                <w:sz w:val="18"/>
                <w:szCs w:val="18"/>
              </w:rPr>
              <w:t>Anambra</w:t>
            </w:r>
          </w:p>
        </w:tc>
        <w:tc>
          <w:tcPr>
            <w:tcW w:w="469" w:type="pct"/>
            <w:hideMark/>
          </w:tcPr>
          <w:p w14:paraId="31425664" w14:textId="77777777" w:rsidR="006C4F2E" w:rsidRDefault="006C4F2E" w:rsidP="006C4F2E">
            <w:pPr>
              <w:autoSpaceDE w:val="0"/>
              <w:autoSpaceDN w:val="0"/>
              <w:adjustRightInd w:val="0"/>
              <w:spacing w:line="240" w:lineRule="auto"/>
              <w:ind w:left="60" w:right="60"/>
              <w:jc w:val="center"/>
              <w:rPr>
                <w:rFonts w:ascii="Arial" w:hAnsi="Arial" w:cs="Arial"/>
                <w:color w:val="264A60"/>
                <w:sz w:val="18"/>
                <w:szCs w:val="18"/>
              </w:rPr>
            </w:pPr>
            <w:r>
              <w:rPr>
                <w:rFonts w:ascii="Arial" w:hAnsi="Arial" w:cs="Arial"/>
                <w:color w:val="264A60"/>
                <w:sz w:val="18"/>
                <w:szCs w:val="18"/>
              </w:rPr>
              <w:t>Edo</w:t>
            </w:r>
          </w:p>
        </w:tc>
        <w:tc>
          <w:tcPr>
            <w:tcW w:w="469" w:type="pct"/>
            <w:hideMark/>
          </w:tcPr>
          <w:p w14:paraId="58F904BB" w14:textId="77777777" w:rsidR="006C4F2E" w:rsidRDefault="006C4F2E" w:rsidP="006C4F2E">
            <w:pPr>
              <w:autoSpaceDE w:val="0"/>
              <w:autoSpaceDN w:val="0"/>
              <w:adjustRightInd w:val="0"/>
              <w:spacing w:line="240" w:lineRule="auto"/>
              <w:ind w:left="60" w:right="60"/>
              <w:jc w:val="center"/>
              <w:rPr>
                <w:rFonts w:ascii="Arial" w:hAnsi="Arial" w:cs="Arial"/>
                <w:color w:val="264A60"/>
                <w:sz w:val="18"/>
                <w:szCs w:val="18"/>
              </w:rPr>
            </w:pPr>
            <w:r>
              <w:rPr>
                <w:rFonts w:ascii="Arial" w:hAnsi="Arial" w:cs="Arial"/>
                <w:color w:val="264A60"/>
                <w:sz w:val="18"/>
                <w:szCs w:val="18"/>
              </w:rPr>
              <w:t>FCT</w:t>
            </w:r>
          </w:p>
        </w:tc>
        <w:tc>
          <w:tcPr>
            <w:tcW w:w="469" w:type="pct"/>
            <w:hideMark/>
          </w:tcPr>
          <w:p w14:paraId="643761EF" w14:textId="77777777" w:rsidR="006C4F2E" w:rsidRDefault="006C4F2E" w:rsidP="006C4F2E">
            <w:pPr>
              <w:autoSpaceDE w:val="0"/>
              <w:autoSpaceDN w:val="0"/>
              <w:adjustRightInd w:val="0"/>
              <w:spacing w:line="240" w:lineRule="auto"/>
              <w:ind w:left="60" w:right="60"/>
              <w:jc w:val="center"/>
              <w:rPr>
                <w:rFonts w:ascii="Arial" w:hAnsi="Arial" w:cs="Arial"/>
                <w:color w:val="264A60"/>
                <w:sz w:val="18"/>
                <w:szCs w:val="18"/>
              </w:rPr>
            </w:pPr>
            <w:r>
              <w:rPr>
                <w:rFonts w:ascii="Arial" w:hAnsi="Arial" w:cs="Arial"/>
                <w:color w:val="264A60"/>
                <w:sz w:val="18"/>
                <w:szCs w:val="18"/>
              </w:rPr>
              <w:t>Kano</w:t>
            </w:r>
          </w:p>
        </w:tc>
        <w:tc>
          <w:tcPr>
            <w:tcW w:w="469" w:type="pct"/>
            <w:hideMark/>
          </w:tcPr>
          <w:p w14:paraId="3BB4EC29" w14:textId="77777777" w:rsidR="006C4F2E" w:rsidRDefault="006C4F2E" w:rsidP="006C4F2E">
            <w:pPr>
              <w:autoSpaceDE w:val="0"/>
              <w:autoSpaceDN w:val="0"/>
              <w:adjustRightInd w:val="0"/>
              <w:spacing w:line="240" w:lineRule="auto"/>
              <w:ind w:left="60" w:right="60"/>
              <w:jc w:val="center"/>
              <w:rPr>
                <w:rFonts w:ascii="Arial" w:hAnsi="Arial" w:cs="Arial"/>
                <w:color w:val="264A60"/>
                <w:sz w:val="18"/>
                <w:szCs w:val="18"/>
              </w:rPr>
            </w:pPr>
            <w:r>
              <w:rPr>
                <w:rFonts w:ascii="Arial" w:hAnsi="Arial" w:cs="Arial"/>
                <w:color w:val="264A60"/>
                <w:sz w:val="18"/>
                <w:szCs w:val="18"/>
              </w:rPr>
              <w:t>Kwara</w:t>
            </w:r>
          </w:p>
        </w:tc>
        <w:tc>
          <w:tcPr>
            <w:tcW w:w="469" w:type="pct"/>
            <w:hideMark/>
          </w:tcPr>
          <w:p w14:paraId="26D4AEAC" w14:textId="77777777" w:rsidR="006C4F2E" w:rsidRDefault="006C4F2E" w:rsidP="006C4F2E">
            <w:pPr>
              <w:autoSpaceDE w:val="0"/>
              <w:autoSpaceDN w:val="0"/>
              <w:adjustRightInd w:val="0"/>
              <w:spacing w:line="240" w:lineRule="auto"/>
              <w:ind w:left="60" w:right="60"/>
              <w:jc w:val="center"/>
              <w:rPr>
                <w:rFonts w:ascii="Arial" w:hAnsi="Arial" w:cs="Arial"/>
                <w:color w:val="264A60"/>
                <w:sz w:val="18"/>
                <w:szCs w:val="18"/>
              </w:rPr>
            </w:pPr>
            <w:r>
              <w:rPr>
                <w:rFonts w:ascii="Arial" w:hAnsi="Arial" w:cs="Arial"/>
                <w:color w:val="264A60"/>
                <w:sz w:val="18"/>
                <w:szCs w:val="18"/>
              </w:rPr>
              <w:t>Lagos</w:t>
            </w:r>
          </w:p>
        </w:tc>
        <w:tc>
          <w:tcPr>
            <w:tcW w:w="469" w:type="pct"/>
            <w:hideMark/>
          </w:tcPr>
          <w:p w14:paraId="483DC4CA" w14:textId="77777777" w:rsidR="006C4F2E" w:rsidRDefault="006C4F2E" w:rsidP="006C4F2E">
            <w:pPr>
              <w:autoSpaceDE w:val="0"/>
              <w:autoSpaceDN w:val="0"/>
              <w:adjustRightInd w:val="0"/>
              <w:spacing w:line="240" w:lineRule="auto"/>
              <w:rPr>
                <w:rFonts w:ascii="Arial" w:hAnsi="Arial" w:cs="Arial"/>
                <w:color w:val="264A60"/>
                <w:sz w:val="18"/>
                <w:szCs w:val="18"/>
              </w:rPr>
            </w:pPr>
            <w:r>
              <w:rPr>
                <w:rFonts w:ascii="Arial" w:hAnsi="Arial" w:cs="Arial"/>
                <w:color w:val="264A60"/>
                <w:sz w:val="18"/>
                <w:szCs w:val="18"/>
              </w:rPr>
              <w:t>Total</w:t>
            </w:r>
          </w:p>
        </w:tc>
      </w:tr>
      <w:tr w:rsidR="006C4F2E" w14:paraId="753C4BF3" w14:textId="77777777" w:rsidTr="006C4F2E">
        <w:trPr>
          <w:trHeight w:val="70"/>
        </w:trPr>
        <w:tc>
          <w:tcPr>
            <w:tcW w:w="965" w:type="pct"/>
            <w:hideMark/>
          </w:tcPr>
          <w:p w14:paraId="702D50A0" w14:textId="77777777" w:rsidR="006C4F2E" w:rsidRDefault="006C4F2E" w:rsidP="006C4F2E">
            <w:pPr>
              <w:autoSpaceDE w:val="0"/>
              <w:autoSpaceDN w:val="0"/>
              <w:adjustRightInd w:val="0"/>
              <w:spacing w:line="240" w:lineRule="auto"/>
              <w:ind w:left="60" w:right="60"/>
              <w:rPr>
                <w:rFonts w:ascii="Arial" w:hAnsi="Arial" w:cs="Arial"/>
                <w:color w:val="264A60"/>
                <w:sz w:val="18"/>
                <w:szCs w:val="18"/>
              </w:rPr>
            </w:pPr>
            <w:r>
              <w:rPr>
                <w:rFonts w:ascii="Arial" w:hAnsi="Arial" w:cs="Arial"/>
                <w:color w:val="264A60"/>
                <w:sz w:val="18"/>
                <w:szCs w:val="18"/>
              </w:rPr>
              <w:t>I strongly agree</w:t>
            </w:r>
          </w:p>
        </w:tc>
        <w:tc>
          <w:tcPr>
            <w:tcW w:w="630" w:type="pct"/>
            <w:hideMark/>
          </w:tcPr>
          <w:p w14:paraId="157AF3C7"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21.4%</w:t>
            </w:r>
          </w:p>
        </w:tc>
        <w:tc>
          <w:tcPr>
            <w:tcW w:w="591" w:type="pct"/>
            <w:hideMark/>
          </w:tcPr>
          <w:p w14:paraId="28E6D144"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18.2%</w:t>
            </w:r>
          </w:p>
        </w:tc>
        <w:tc>
          <w:tcPr>
            <w:tcW w:w="469" w:type="pct"/>
            <w:hideMark/>
          </w:tcPr>
          <w:p w14:paraId="39F6EB7B"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4.2%</w:t>
            </w:r>
          </w:p>
        </w:tc>
        <w:tc>
          <w:tcPr>
            <w:tcW w:w="469" w:type="pct"/>
            <w:hideMark/>
          </w:tcPr>
          <w:p w14:paraId="50B495FD"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16.2%</w:t>
            </w:r>
          </w:p>
        </w:tc>
        <w:tc>
          <w:tcPr>
            <w:tcW w:w="469" w:type="pct"/>
            <w:hideMark/>
          </w:tcPr>
          <w:p w14:paraId="3AEAEF9D"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13.2%</w:t>
            </w:r>
          </w:p>
        </w:tc>
        <w:tc>
          <w:tcPr>
            <w:tcW w:w="469" w:type="pct"/>
            <w:hideMark/>
          </w:tcPr>
          <w:p w14:paraId="61F738AB"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22.2%</w:t>
            </w:r>
          </w:p>
        </w:tc>
        <w:tc>
          <w:tcPr>
            <w:tcW w:w="469" w:type="pct"/>
            <w:hideMark/>
          </w:tcPr>
          <w:p w14:paraId="6445E1C5"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16.1%</w:t>
            </w:r>
          </w:p>
        </w:tc>
        <w:tc>
          <w:tcPr>
            <w:tcW w:w="469" w:type="pct"/>
            <w:hideMark/>
          </w:tcPr>
          <w:p w14:paraId="67F320C0"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15.3%</w:t>
            </w:r>
          </w:p>
        </w:tc>
      </w:tr>
      <w:tr w:rsidR="006C4F2E" w14:paraId="31D2F895" w14:textId="77777777" w:rsidTr="006C4F2E">
        <w:trPr>
          <w:trHeight w:val="201"/>
        </w:trPr>
        <w:tc>
          <w:tcPr>
            <w:tcW w:w="965" w:type="pct"/>
            <w:hideMark/>
          </w:tcPr>
          <w:p w14:paraId="253AA031" w14:textId="77777777" w:rsidR="006C4F2E" w:rsidRDefault="006C4F2E" w:rsidP="006C4F2E">
            <w:pPr>
              <w:autoSpaceDE w:val="0"/>
              <w:autoSpaceDN w:val="0"/>
              <w:adjustRightInd w:val="0"/>
              <w:spacing w:line="240" w:lineRule="auto"/>
              <w:ind w:left="60" w:right="60"/>
              <w:rPr>
                <w:rFonts w:ascii="Arial" w:hAnsi="Arial" w:cs="Arial"/>
                <w:color w:val="264A60"/>
                <w:sz w:val="18"/>
                <w:szCs w:val="18"/>
              </w:rPr>
            </w:pPr>
            <w:r>
              <w:rPr>
                <w:rFonts w:ascii="Arial" w:hAnsi="Arial" w:cs="Arial"/>
                <w:color w:val="264A60"/>
                <w:sz w:val="18"/>
                <w:szCs w:val="18"/>
              </w:rPr>
              <w:t>I agree</w:t>
            </w:r>
          </w:p>
        </w:tc>
        <w:tc>
          <w:tcPr>
            <w:tcW w:w="630" w:type="pct"/>
            <w:hideMark/>
          </w:tcPr>
          <w:p w14:paraId="55203577"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62.2%</w:t>
            </w:r>
          </w:p>
        </w:tc>
        <w:tc>
          <w:tcPr>
            <w:tcW w:w="591" w:type="pct"/>
            <w:hideMark/>
          </w:tcPr>
          <w:p w14:paraId="4FB002E0"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26.6%</w:t>
            </w:r>
          </w:p>
        </w:tc>
        <w:tc>
          <w:tcPr>
            <w:tcW w:w="469" w:type="pct"/>
            <w:hideMark/>
          </w:tcPr>
          <w:p w14:paraId="2E6B33C0"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22.0%</w:t>
            </w:r>
          </w:p>
        </w:tc>
        <w:tc>
          <w:tcPr>
            <w:tcW w:w="469" w:type="pct"/>
            <w:hideMark/>
          </w:tcPr>
          <w:p w14:paraId="61AD2790"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22.3%</w:t>
            </w:r>
          </w:p>
        </w:tc>
        <w:tc>
          <w:tcPr>
            <w:tcW w:w="469" w:type="pct"/>
            <w:hideMark/>
          </w:tcPr>
          <w:p w14:paraId="4AD39ED9"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41.9%</w:t>
            </w:r>
          </w:p>
        </w:tc>
        <w:tc>
          <w:tcPr>
            <w:tcW w:w="469" w:type="pct"/>
            <w:hideMark/>
          </w:tcPr>
          <w:p w14:paraId="3381B503"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27.2%</w:t>
            </w:r>
          </w:p>
        </w:tc>
        <w:tc>
          <w:tcPr>
            <w:tcW w:w="469" w:type="pct"/>
            <w:hideMark/>
          </w:tcPr>
          <w:p w14:paraId="120A0730"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22.3%</w:t>
            </w:r>
          </w:p>
        </w:tc>
        <w:tc>
          <w:tcPr>
            <w:tcW w:w="469" w:type="pct"/>
            <w:hideMark/>
          </w:tcPr>
          <w:p w14:paraId="25C280C6"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33.8%</w:t>
            </w:r>
          </w:p>
        </w:tc>
      </w:tr>
      <w:tr w:rsidR="006C4F2E" w14:paraId="675576B4" w14:textId="77777777" w:rsidTr="006C4F2E">
        <w:trPr>
          <w:trHeight w:val="70"/>
        </w:trPr>
        <w:tc>
          <w:tcPr>
            <w:tcW w:w="965" w:type="pct"/>
            <w:hideMark/>
          </w:tcPr>
          <w:p w14:paraId="05973F01" w14:textId="77777777" w:rsidR="006C4F2E" w:rsidRDefault="006C4F2E" w:rsidP="006C4F2E">
            <w:pPr>
              <w:autoSpaceDE w:val="0"/>
              <w:autoSpaceDN w:val="0"/>
              <w:adjustRightInd w:val="0"/>
              <w:spacing w:line="240" w:lineRule="auto"/>
              <w:ind w:left="60" w:right="60"/>
              <w:rPr>
                <w:rFonts w:ascii="Arial" w:hAnsi="Arial" w:cs="Arial"/>
                <w:color w:val="264A60"/>
                <w:sz w:val="18"/>
                <w:szCs w:val="18"/>
              </w:rPr>
            </w:pPr>
            <w:r>
              <w:rPr>
                <w:rFonts w:ascii="Arial" w:hAnsi="Arial" w:cs="Arial"/>
                <w:color w:val="264A60"/>
                <w:sz w:val="18"/>
                <w:szCs w:val="18"/>
              </w:rPr>
              <w:t>I neither agree or disagree</w:t>
            </w:r>
          </w:p>
        </w:tc>
        <w:tc>
          <w:tcPr>
            <w:tcW w:w="630" w:type="pct"/>
            <w:hideMark/>
          </w:tcPr>
          <w:p w14:paraId="1658B8CC"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8.7%</w:t>
            </w:r>
          </w:p>
        </w:tc>
        <w:tc>
          <w:tcPr>
            <w:tcW w:w="591" w:type="pct"/>
            <w:hideMark/>
          </w:tcPr>
          <w:p w14:paraId="64B61CC2"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3.9%</w:t>
            </w:r>
          </w:p>
        </w:tc>
        <w:tc>
          <w:tcPr>
            <w:tcW w:w="469" w:type="pct"/>
            <w:hideMark/>
          </w:tcPr>
          <w:p w14:paraId="397A3696"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16.3%</w:t>
            </w:r>
          </w:p>
        </w:tc>
        <w:tc>
          <w:tcPr>
            <w:tcW w:w="469" w:type="pct"/>
            <w:hideMark/>
          </w:tcPr>
          <w:p w14:paraId="208CF8DA"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18.1%</w:t>
            </w:r>
          </w:p>
        </w:tc>
        <w:tc>
          <w:tcPr>
            <w:tcW w:w="469" w:type="pct"/>
            <w:hideMark/>
          </w:tcPr>
          <w:p w14:paraId="5B338D4C"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5.6%</w:t>
            </w:r>
          </w:p>
        </w:tc>
        <w:tc>
          <w:tcPr>
            <w:tcW w:w="469" w:type="pct"/>
            <w:hideMark/>
          </w:tcPr>
          <w:p w14:paraId="63C08F19"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8.9%</w:t>
            </w:r>
          </w:p>
        </w:tc>
        <w:tc>
          <w:tcPr>
            <w:tcW w:w="469" w:type="pct"/>
            <w:hideMark/>
          </w:tcPr>
          <w:p w14:paraId="6D3EA0E6"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11.6%</w:t>
            </w:r>
          </w:p>
        </w:tc>
        <w:tc>
          <w:tcPr>
            <w:tcW w:w="469" w:type="pct"/>
            <w:hideMark/>
          </w:tcPr>
          <w:p w14:paraId="16AF8A33"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10.3%</w:t>
            </w:r>
          </w:p>
        </w:tc>
      </w:tr>
      <w:tr w:rsidR="006C4F2E" w14:paraId="4C48DBD9" w14:textId="77777777" w:rsidTr="006C4F2E">
        <w:trPr>
          <w:trHeight w:val="201"/>
        </w:trPr>
        <w:tc>
          <w:tcPr>
            <w:tcW w:w="965" w:type="pct"/>
            <w:hideMark/>
          </w:tcPr>
          <w:p w14:paraId="54B7CFB9" w14:textId="77777777" w:rsidR="006C4F2E" w:rsidRDefault="006C4F2E" w:rsidP="006C4F2E">
            <w:pPr>
              <w:autoSpaceDE w:val="0"/>
              <w:autoSpaceDN w:val="0"/>
              <w:adjustRightInd w:val="0"/>
              <w:spacing w:line="240" w:lineRule="auto"/>
              <w:ind w:left="60" w:right="60"/>
              <w:rPr>
                <w:rFonts w:ascii="Arial" w:hAnsi="Arial" w:cs="Arial"/>
                <w:color w:val="264A60"/>
                <w:sz w:val="18"/>
                <w:szCs w:val="18"/>
              </w:rPr>
            </w:pPr>
            <w:r>
              <w:rPr>
                <w:rFonts w:ascii="Arial" w:hAnsi="Arial" w:cs="Arial"/>
                <w:color w:val="264A60"/>
                <w:sz w:val="18"/>
                <w:szCs w:val="18"/>
              </w:rPr>
              <w:t>I disagree</w:t>
            </w:r>
          </w:p>
        </w:tc>
        <w:tc>
          <w:tcPr>
            <w:tcW w:w="630" w:type="pct"/>
            <w:hideMark/>
          </w:tcPr>
          <w:p w14:paraId="2AA8E179"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5.0%</w:t>
            </w:r>
          </w:p>
        </w:tc>
        <w:tc>
          <w:tcPr>
            <w:tcW w:w="591" w:type="pct"/>
            <w:hideMark/>
          </w:tcPr>
          <w:p w14:paraId="2BDE9CB3"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30.8%</w:t>
            </w:r>
          </w:p>
        </w:tc>
        <w:tc>
          <w:tcPr>
            <w:tcW w:w="469" w:type="pct"/>
            <w:hideMark/>
          </w:tcPr>
          <w:p w14:paraId="162E4C48"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44.7%</w:t>
            </w:r>
          </w:p>
        </w:tc>
        <w:tc>
          <w:tcPr>
            <w:tcW w:w="469" w:type="pct"/>
            <w:hideMark/>
          </w:tcPr>
          <w:p w14:paraId="0931240D"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29.1%</w:t>
            </w:r>
          </w:p>
        </w:tc>
        <w:tc>
          <w:tcPr>
            <w:tcW w:w="469" w:type="pct"/>
            <w:hideMark/>
          </w:tcPr>
          <w:p w14:paraId="3D40BB8C"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34.8%</w:t>
            </w:r>
          </w:p>
        </w:tc>
        <w:tc>
          <w:tcPr>
            <w:tcW w:w="469" w:type="pct"/>
            <w:hideMark/>
          </w:tcPr>
          <w:p w14:paraId="7767C5DE"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29.7%</w:t>
            </w:r>
          </w:p>
        </w:tc>
        <w:tc>
          <w:tcPr>
            <w:tcW w:w="469" w:type="pct"/>
            <w:hideMark/>
          </w:tcPr>
          <w:p w14:paraId="631ED7F2"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27.7%</w:t>
            </w:r>
          </w:p>
        </w:tc>
        <w:tc>
          <w:tcPr>
            <w:tcW w:w="469" w:type="pct"/>
            <w:hideMark/>
          </w:tcPr>
          <w:p w14:paraId="314F5A52"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28.9%</w:t>
            </w:r>
          </w:p>
        </w:tc>
      </w:tr>
      <w:tr w:rsidR="006C4F2E" w14:paraId="6182C97E" w14:textId="77777777" w:rsidTr="006C4F2E">
        <w:trPr>
          <w:trHeight w:val="70"/>
        </w:trPr>
        <w:tc>
          <w:tcPr>
            <w:tcW w:w="965" w:type="pct"/>
            <w:hideMark/>
          </w:tcPr>
          <w:p w14:paraId="2226E86E" w14:textId="77777777" w:rsidR="006C4F2E" w:rsidRDefault="006C4F2E" w:rsidP="006C4F2E">
            <w:pPr>
              <w:autoSpaceDE w:val="0"/>
              <w:autoSpaceDN w:val="0"/>
              <w:adjustRightInd w:val="0"/>
              <w:spacing w:line="240" w:lineRule="auto"/>
              <w:ind w:left="60" w:right="60"/>
              <w:rPr>
                <w:rFonts w:ascii="Arial" w:hAnsi="Arial" w:cs="Arial"/>
                <w:color w:val="264A60"/>
                <w:sz w:val="18"/>
                <w:szCs w:val="18"/>
              </w:rPr>
            </w:pPr>
            <w:r>
              <w:rPr>
                <w:rFonts w:ascii="Arial" w:hAnsi="Arial" w:cs="Arial"/>
                <w:color w:val="264A60"/>
                <w:sz w:val="18"/>
                <w:szCs w:val="18"/>
              </w:rPr>
              <w:t>I strongly disagree</w:t>
            </w:r>
          </w:p>
        </w:tc>
        <w:tc>
          <w:tcPr>
            <w:tcW w:w="630" w:type="pct"/>
            <w:hideMark/>
          </w:tcPr>
          <w:p w14:paraId="49AF7A35"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3.1%</w:t>
            </w:r>
          </w:p>
        </w:tc>
        <w:tc>
          <w:tcPr>
            <w:tcW w:w="591" w:type="pct"/>
            <w:hideMark/>
          </w:tcPr>
          <w:p w14:paraId="6BF03092"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20.5%</w:t>
            </w:r>
          </w:p>
        </w:tc>
        <w:tc>
          <w:tcPr>
            <w:tcW w:w="469" w:type="pct"/>
            <w:hideMark/>
          </w:tcPr>
          <w:p w14:paraId="788451C3"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12.8%</w:t>
            </w:r>
          </w:p>
        </w:tc>
        <w:tc>
          <w:tcPr>
            <w:tcW w:w="469" w:type="pct"/>
            <w:hideMark/>
          </w:tcPr>
          <w:p w14:paraId="0741A872"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14.2%</w:t>
            </w:r>
          </w:p>
        </w:tc>
        <w:tc>
          <w:tcPr>
            <w:tcW w:w="469" w:type="pct"/>
            <w:hideMark/>
          </w:tcPr>
          <w:p w14:paraId="7CE7C19A"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4.5%</w:t>
            </w:r>
          </w:p>
        </w:tc>
        <w:tc>
          <w:tcPr>
            <w:tcW w:w="469" w:type="pct"/>
            <w:hideMark/>
          </w:tcPr>
          <w:p w14:paraId="61FB26E1"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12.0%</w:t>
            </w:r>
          </w:p>
        </w:tc>
        <w:tc>
          <w:tcPr>
            <w:tcW w:w="469" w:type="pct"/>
            <w:hideMark/>
          </w:tcPr>
          <w:p w14:paraId="7B0F8257" w14:textId="77777777" w:rsidR="006C4F2E" w:rsidRDefault="006C4F2E" w:rsidP="006C4F2E">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22.3%</w:t>
            </w:r>
          </w:p>
        </w:tc>
        <w:tc>
          <w:tcPr>
            <w:tcW w:w="469" w:type="pct"/>
            <w:hideMark/>
          </w:tcPr>
          <w:p w14:paraId="1D08466F" w14:textId="77777777" w:rsidR="006C4F2E" w:rsidRDefault="006C4F2E" w:rsidP="006C4F2E">
            <w:pPr>
              <w:keepNext/>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11.5%</w:t>
            </w:r>
          </w:p>
        </w:tc>
      </w:tr>
    </w:tbl>
    <w:p w14:paraId="7178D750" w14:textId="77777777" w:rsidR="006C4F2E" w:rsidRDefault="006C4F2E" w:rsidP="00E75191">
      <w:pPr>
        <w:pStyle w:val="Caption"/>
      </w:pPr>
    </w:p>
    <w:p w14:paraId="43E91185" w14:textId="77777777" w:rsidR="00681F77" w:rsidRDefault="00681F77" w:rsidP="00E75191">
      <w:pPr>
        <w:pStyle w:val="Caption"/>
      </w:pPr>
      <w:r>
        <w:t xml:space="preserve">Figure </w:t>
      </w:r>
      <w:fldSimple w:instr=" SEQ Figure \* ARABIC ">
        <w:r w:rsidR="00C15490">
          <w:rPr>
            <w:noProof/>
          </w:rPr>
          <w:t>4</w:t>
        </w:r>
      </w:fldSimple>
      <w:r>
        <w:t xml:space="preserve"> </w:t>
      </w:r>
      <w:r w:rsidRPr="00E64DDC">
        <w:t>Men and women have equal rights to family property by states</w:t>
      </w:r>
    </w:p>
    <w:p w14:paraId="5F520616" w14:textId="77777777" w:rsidR="00681F77" w:rsidRPr="00E75191" w:rsidRDefault="00681F77" w:rsidP="00E75191">
      <w:pPr>
        <w:shd w:val="clear" w:color="auto" w:fill="E7E6E6" w:themeFill="background2"/>
        <w:spacing w:line="240" w:lineRule="auto"/>
        <w:jc w:val="both"/>
        <w:rPr>
          <w:sz w:val="24"/>
          <w:szCs w:val="24"/>
        </w:rPr>
      </w:pPr>
      <w:r w:rsidRPr="00E75191">
        <w:rPr>
          <w:sz w:val="24"/>
          <w:szCs w:val="24"/>
        </w:rPr>
        <w:t>This perception around property highlights the problem of exclusion of women in inheritance but does not provide an accurate enough picture in view of the heterogeneity of Nigeria.</w:t>
      </w:r>
    </w:p>
    <w:p w14:paraId="68C073F9" w14:textId="77777777" w:rsidR="00681F77" w:rsidRDefault="009E7B1E" w:rsidP="00E75191">
      <w:pPr>
        <w:spacing w:line="240" w:lineRule="auto"/>
        <w:jc w:val="both"/>
        <w:rPr>
          <w:rFonts w:eastAsia="Times New Roman"/>
          <w:sz w:val="24"/>
          <w:szCs w:val="24"/>
        </w:rPr>
      </w:pPr>
      <w:r w:rsidRPr="00974C9E">
        <w:rPr>
          <w:rFonts w:eastAsia="Times New Roman"/>
          <w:sz w:val="24"/>
          <w:szCs w:val="24"/>
        </w:rPr>
        <w:t xml:space="preserve">More so, other studies have </w:t>
      </w:r>
      <w:r w:rsidR="003D498F">
        <w:rPr>
          <w:rFonts w:eastAsia="Times New Roman"/>
          <w:sz w:val="24"/>
          <w:szCs w:val="24"/>
        </w:rPr>
        <w:t>revealed</w:t>
      </w:r>
      <w:r w:rsidR="003D498F" w:rsidRPr="00974C9E">
        <w:rPr>
          <w:rFonts w:eastAsia="Times New Roman"/>
          <w:sz w:val="24"/>
          <w:szCs w:val="24"/>
        </w:rPr>
        <w:t xml:space="preserve"> </w:t>
      </w:r>
      <w:r w:rsidRPr="00974C9E">
        <w:rPr>
          <w:rFonts w:eastAsia="Times New Roman"/>
          <w:sz w:val="24"/>
          <w:szCs w:val="24"/>
        </w:rPr>
        <w:t>inequalities in wages between male and female workers in the semi-formal and informal industries where income is already significantly low. For instance, one study revealed that women earn the least wages N 1000 - N1500 ($3.17 cents - $4.75 cents) at construction sites while men earn the highest N 2,500 - N 3,500 ($7.95 cents - $10.96</w:t>
      </w:r>
      <w:r>
        <w:rPr>
          <w:rFonts w:eastAsia="Times New Roman"/>
          <w:sz w:val="24"/>
          <w:szCs w:val="24"/>
        </w:rPr>
        <w:t xml:space="preserve"> </w:t>
      </w:r>
      <w:r w:rsidRPr="00974C9E">
        <w:rPr>
          <w:rFonts w:eastAsia="Times New Roman"/>
          <w:sz w:val="24"/>
          <w:szCs w:val="24"/>
        </w:rPr>
        <w:t>cents), even though they work the same number of hours and do the same work.</w:t>
      </w:r>
      <w:r>
        <w:rPr>
          <w:rStyle w:val="FootnoteReference"/>
          <w:rFonts w:eastAsia="Times New Roman"/>
          <w:sz w:val="24"/>
          <w:szCs w:val="24"/>
        </w:rPr>
        <w:footnoteReference w:id="48"/>
      </w:r>
      <w:r>
        <w:rPr>
          <w:rFonts w:eastAsia="Times New Roman"/>
          <w:sz w:val="24"/>
          <w:szCs w:val="24"/>
        </w:rPr>
        <w:t xml:space="preserve"> </w:t>
      </w:r>
      <w:r w:rsidRPr="00974C9E">
        <w:rPr>
          <w:rFonts w:eastAsia="Times New Roman"/>
          <w:sz w:val="24"/>
          <w:szCs w:val="24"/>
        </w:rPr>
        <w:t>In another study focus</w:t>
      </w:r>
      <w:r w:rsidR="003D498F">
        <w:rPr>
          <w:rFonts w:eastAsia="Times New Roman"/>
          <w:sz w:val="24"/>
          <w:szCs w:val="24"/>
        </w:rPr>
        <w:t>ing</w:t>
      </w:r>
      <w:r w:rsidRPr="00974C9E">
        <w:rPr>
          <w:rFonts w:eastAsia="Times New Roman"/>
          <w:sz w:val="24"/>
          <w:szCs w:val="24"/>
        </w:rPr>
        <w:t xml:space="preserve"> on the agricultural sector, it was shown that female plot managers spend more than their male counterparts on the running of their farms as reproductive and other household responsibilities compel them to hire more hands on their farms</w:t>
      </w:r>
      <w:r>
        <w:rPr>
          <w:rFonts w:eastAsia="Times New Roman"/>
          <w:sz w:val="24"/>
          <w:szCs w:val="24"/>
        </w:rPr>
        <w:t>.</w:t>
      </w:r>
      <w:r>
        <w:rPr>
          <w:rStyle w:val="FootnoteReference"/>
          <w:rFonts w:eastAsia="Times New Roman"/>
          <w:sz w:val="24"/>
          <w:szCs w:val="24"/>
        </w:rPr>
        <w:footnoteReference w:id="49"/>
      </w:r>
      <w:r w:rsidRPr="00974C9E">
        <w:rPr>
          <w:rFonts w:eastAsia="Times New Roman"/>
          <w:sz w:val="24"/>
          <w:szCs w:val="24"/>
        </w:rPr>
        <w:t xml:space="preserve"> A study </w:t>
      </w:r>
      <w:r w:rsidRPr="00974C9E">
        <w:rPr>
          <w:rFonts w:eastAsia="Times New Roman"/>
          <w:sz w:val="24"/>
          <w:szCs w:val="24"/>
        </w:rPr>
        <w:lastRenderedPageBreak/>
        <w:t>has also shown that men engaged in small-scale agricultural businesses in parts of Nigeria access larger loan sizes than women.</w:t>
      </w:r>
      <w:r>
        <w:rPr>
          <w:rStyle w:val="FootnoteReference"/>
          <w:rFonts w:eastAsia="Times New Roman"/>
          <w:sz w:val="24"/>
          <w:szCs w:val="24"/>
        </w:rPr>
        <w:footnoteReference w:id="50"/>
      </w:r>
      <w:r w:rsidRPr="00974C9E">
        <w:rPr>
          <w:rFonts w:eastAsia="Times New Roman"/>
          <w:sz w:val="24"/>
          <w:szCs w:val="24"/>
        </w:rPr>
        <w:t xml:space="preserve"> </w:t>
      </w:r>
    </w:p>
    <w:p w14:paraId="7FBC5BE3" w14:textId="77777777" w:rsidR="006E0454" w:rsidRDefault="009E7B1E" w:rsidP="00E75191">
      <w:pPr>
        <w:spacing w:line="240" w:lineRule="auto"/>
        <w:jc w:val="both"/>
        <w:rPr>
          <w:rFonts w:eastAsia="Times New Roman"/>
          <w:sz w:val="24"/>
          <w:szCs w:val="24"/>
        </w:rPr>
      </w:pPr>
      <w:r w:rsidRPr="00974C9E">
        <w:rPr>
          <w:rFonts w:eastAsia="Times New Roman"/>
          <w:sz w:val="24"/>
          <w:szCs w:val="24"/>
        </w:rPr>
        <w:t xml:space="preserve">The prevalence of </w:t>
      </w:r>
      <w:r w:rsidR="00D51402" w:rsidRPr="00974C9E">
        <w:rPr>
          <w:rFonts w:eastAsia="Times New Roman"/>
          <w:sz w:val="24"/>
          <w:szCs w:val="24"/>
        </w:rPr>
        <w:t xml:space="preserve">economic inequalities </w:t>
      </w:r>
      <w:r w:rsidR="00D51402">
        <w:rPr>
          <w:rFonts w:eastAsia="Times New Roman"/>
          <w:sz w:val="24"/>
          <w:szCs w:val="24"/>
        </w:rPr>
        <w:t xml:space="preserve">and </w:t>
      </w:r>
      <w:r w:rsidRPr="00974C9E">
        <w:rPr>
          <w:rFonts w:eastAsia="Times New Roman"/>
          <w:sz w:val="24"/>
          <w:szCs w:val="24"/>
        </w:rPr>
        <w:t>poverty among Nigerian women have far reaching effects on the welfare of women, their households and communities. For instance, poverty is a barrier to access skilled maternal healthcare services</w:t>
      </w:r>
      <w:r>
        <w:rPr>
          <w:rFonts w:eastAsia="Times New Roman"/>
          <w:sz w:val="24"/>
          <w:szCs w:val="24"/>
        </w:rPr>
        <w:t>,</w:t>
      </w:r>
      <w:r>
        <w:rPr>
          <w:rStyle w:val="FootnoteReference"/>
          <w:rFonts w:eastAsia="Times New Roman"/>
          <w:sz w:val="24"/>
          <w:szCs w:val="24"/>
        </w:rPr>
        <w:footnoteReference w:id="51"/>
      </w:r>
      <w:r>
        <w:rPr>
          <w:rFonts w:eastAsia="Times New Roman"/>
          <w:sz w:val="24"/>
          <w:szCs w:val="24"/>
        </w:rPr>
        <w:t xml:space="preserve"> </w:t>
      </w:r>
      <w:r w:rsidRPr="00974C9E">
        <w:rPr>
          <w:rFonts w:eastAsia="Times New Roman"/>
          <w:sz w:val="24"/>
          <w:szCs w:val="24"/>
        </w:rPr>
        <w:t>with one study estimating that over one-third of women in Nigeria - predominantly those in the poorer stratum - do not receive any antenatal care</w:t>
      </w:r>
      <w:r>
        <w:rPr>
          <w:rFonts w:eastAsia="Times New Roman"/>
          <w:sz w:val="24"/>
          <w:szCs w:val="24"/>
        </w:rPr>
        <w:t>.</w:t>
      </w:r>
      <w:r>
        <w:rPr>
          <w:rStyle w:val="FootnoteReference"/>
          <w:rFonts w:eastAsia="Times New Roman"/>
          <w:sz w:val="24"/>
          <w:szCs w:val="24"/>
        </w:rPr>
        <w:footnoteReference w:id="52"/>
      </w:r>
      <w:r w:rsidRPr="00974C9E">
        <w:rPr>
          <w:rFonts w:eastAsia="Times New Roman"/>
          <w:sz w:val="24"/>
          <w:szCs w:val="24"/>
        </w:rPr>
        <w:t xml:space="preserve"> Studies have also shown that less than 1% of women in the lowest wealth index can access life-saving interventions like caesarean sections</w:t>
      </w:r>
      <w:r w:rsidR="003309A5">
        <w:rPr>
          <w:rFonts w:eastAsia="Times New Roman"/>
          <w:sz w:val="24"/>
          <w:szCs w:val="24"/>
        </w:rPr>
        <w:t xml:space="preserve"> during complicated deliveries</w:t>
      </w:r>
      <w:r w:rsidRPr="00974C9E">
        <w:rPr>
          <w:rFonts w:eastAsia="Times New Roman"/>
          <w:sz w:val="24"/>
          <w:szCs w:val="24"/>
        </w:rPr>
        <w:t>.</w:t>
      </w:r>
      <w:r w:rsidR="003309A5">
        <w:rPr>
          <w:rStyle w:val="FootnoteReference"/>
          <w:rFonts w:eastAsia="Times New Roman"/>
          <w:sz w:val="24"/>
          <w:szCs w:val="24"/>
        </w:rPr>
        <w:footnoteReference w:id="53"/>
      </w:r>
      <w:r w:rsidRPr="00974C9E">
        <w:rPr>
          <w:rFonts w:eastAsia="Times New Roman"/>
          <w:sz w:val="24"/>
          <w:szCs w:val="24"/>
        </w:rPr>
        <w:t xml:space="preserve"> Additionally, it has been shown that unequal access to education, health and technology make women less equipped to take on different roles in the labour market, impeding national growth and reducing income available for the support of their households.</w:t>
      </w:r>
      <w:r w:rsidR="003309A5">
        <w:rPr>
          <w:rStyle w:val="FootnoteReference"/>
          <w:rFonts w:eastAsia="Times New Roman"/>
          <w:sz w:val="24"/>
          <w:szCs w:val="24"/>
        </w:rPr>
        <w:footnoteReference w:id="54"/>
      </w:r>
      <w:r w:rsidRPr="00974C9E">
        <w:rPr>
          <w:rFonts w:eastAsia="Times New Roman"/>
          <w:sz w:val="24"/>
          <w:szCs w:val="24"/>
        </w:rPr>
        <w:t xml:space="preserve"> </w:t>
      </w:r>
    </w:p>
    <w:p w14:paraId="759D1DB9" w14:textId="77777777" w:rsidR="00127808" w:rsidRDefault="00127808" w:rsidP="00E75191">
      <w:pPr>
        <w:spacing w:line="240" w:lineRule="auto"/>
        <w:jc w:val="both"/>
        <w:rPr>
          <w:rFonts w:eastAsia="Times New Roman"/>
          <w:sz w:val="24"/>
          <w:szCs w:val="24"/>
        </w:rPr>
      </w:pPr>
      <w:r>
        <w:rPr>
          <w:rFonts w:eastAsia="Times New Roman"/>
          <w:sz w:val="24"/>
          <w:szCs w:val="24"/>
        </w:rPr>
        <w:t>Research in financial inclusion shows that almost 60</w:t>
      </w:r>
      <w:r w:rsidR="00D51402">
        <w:rPr>
          <w:rFonts w:eastAsia="Times New Roman"/>
          <w:sz w:val="24"/>
          <w:szCs w:val="24"/>
        </w:rPr>
        <w:t>%</w:t>
      </w:r>
      <w:r>
        <w:rPr>
          <w:rFonts w:eastAsia="Times New Roman"/>
          <w:sz w:val="24"/>
          <w:szCs w:val="24"/>
        </w:rPr>
        <w:t xml:space="preserve">of Nigeria, including both genders suffer financial exclusion. </w:t>
      </w:r>
      <w:r w:rsidR="00C4203A">
        <w:rPr>
          <w:rFonts w:eastAsia="Times New Roman"/>
          <w:sz w:val="24"/>
          <w:szCs w:val="24"/>
        </w:rPr>
        <w:t xml:space="preserve">According to the report, </w:t>
      </w:r>
      <w:r w:rsidR="00C4203A" w:rsidRPr="00C4203A">
        <w:rPr>
          <w:rFonts w:eastAsia="Times New Roman"/>
          <w:i/>
          <w:sz w:val="24"/>
          <w:szCs w:val="24"/>
        </w:rPr>
        <w:t>Financial Inclusion for Women in Nigeria</w:t>
      </w:r>
      <w:r w:rsidR="00C4203A">
        <w:rPr>
          <w:rFonts w:eastAsia="Times New Roman"/>
          <w:sz w:val="24"/>
          <w:szCs w:val="24"/>
        </w:rPr>
        <w:t>, t</w:t>
      </w:r>
      <w:r w:rsidRPr="00127808">
        <w:rPr>
          <w:rFonts w:eastAsia="Times New Roman"/>
          <w:sz w:val="24"/>
          <w:szCs w:val="24"/>
        </w:rPr>
        <w:t>he</w:t>
      </w:r>
      <w:r>
        <w:rPr>
          <w:rFonts w:eastAsia="Times New Roman"/>
          <w:sz w:val="24"/>
          <w:szCs w:val="24"/>
        </w:rPr>
        <w:t xml:space="preserve"> factors that are responsible for this include </w:t>
      </w:r>
      <w:r w:rsidRPr="00127808">
        <w:rPr>
          <w:rFonts w:eastAsia="Times New Roman"/>
          <w:sz w:val="24"/>
          <w:szCs w:val="24"/>
        </w:rPr>
        <w:t>lack of income, lack of</w:t>
      </w:r>
      <w:r>
        <w:rPr>
          <w:rFonts w:eastAsia="Times New Roman"/>
          <w:sz w:val="24"/>
          <w:szCs w:val="24"/>
        </w:rPr>
        <w:t xml:space="preserve"> </w:t>
      </w:r>
      <w:r w:rsidRPr="00127808">
        <w:rPr>
          <w:rFonts w:eastAsia="Times New Roman"/>
          <w:sz w:val="24"/>
          <w:szCs w:val="24"/>
        </w:rPr>
        <w:t>educa</w:t>
      </w:r>
      <w:r>
        <w:rPr>
          <w:rFonts w:eastAsia="Times New Roman"/>
          <w:sz w:val="24"/>
          <w:szCs w:val="24"/>
        </w:rPr>
        <w:t xml:space="preserve">tion, and low trust </w:t>
      </w:r>
      <w:r w:rsidRPr="00127808">
        <w:rPr>
          <w:rFonts w:eastAsia="Times New Roman"/>
          <w:sz w:val="24"/>
          <w:szCs w:val="24"/>
        </w:rPr>
        <w:t>in Financial Service Providers (FSPs)</w:t>
      </w:r>
      <w:r>
        <w:rPr>
          <w:rFonts w:eastAsia="Times New Roman"/>
          <w:sz w:val="24"/>
          <w:szCs w:val="24"/>
        </w:rPr>
        <w:t xml:space="preserve">. </w:t>
      </w:r>
      <w:r w:rsidRPr="008637AF">
        <w:rPr>
          <w:rFonts w:eastAsia="Times New Roman"/>
          <w:sz w:val="24"/>
          <w:szCs w:val="24"/>
        </w:rPr>
        <w:t>These factors are significantly worse for females.</w:t>
      </w:r>
      <w:r w:rsidRPr="008637AF">
        <w:rPr>
          <w:rStyle w:val="FootnoteReference"/>
          <w:rFonts w:eastAsia="Times New Roman"/>
          <w:sz w:val="24"/>
          <w:szCs w:val="24"/>
        </w:rPr>
        <w:footnoteReference w:id="55"/>
      </w:r>
      <w:r w:rsidRPr="008637AF">
        <w:rPr>
          <w:rFonts w:eastAsia="Times New Roman"/>
          <w:sz w:val="24"/>
          <w:szCs w:val="24"/>
        </w:rPr>
        <w:t xml:space="preserve"> </w:t>
      </w:r>
      <w:r w:rsidR="00C4203A" w:rsidRPr="008637AF">
        <w:rPr>
          <w:rFonts w:eastAsia="Times New Roman"/>
          <w:sz w:val="24"/>
          <w:szCs w:val="24"/>
        </w:rPr>
        <w:t>The gender gap in financial inclusion was 8.4</w:t>
      </w:r>
      <w:r w:rsidR="00D51402" w:rsidRPr="00177AD6">
        <w:rPr>
          <w:rFonts w:eastAsia="Times New Roman"/>
          <w:sz w:val="24"/>
          <w:szCs w:val="24"/>
        </w:rPr>
        <w:t>%</w:t>
      </w:r>
      <w:r w:rsidR="00C4203A" w:rsidRPr="00177AD6">
        <w:rPr>
          <w:rFonts w:eastAsia="Times New Roman"/>
          <w:sz w:val="24"/>
          <w:szCs w:val="24"/>
        </w:rPr>
        <w:t xml:space="preserve"> with 59.1</w:t>
      </w:r>
      <w:r w:rsidR="00D51402" w:rsidRPr="00177AD6">
        <w:rPr>
          <w:rFonts w:eastAsia="Times New Roman"/>
          <w:sz w:val="24"/>
          <w:szCs w:val="24"/>
        </w:rPr>
        <w:t>%</w:t>
      </w:r>
      <w:r w:rsidR="00C4203A" w:rsidRPr="00177AD6">
        <w:rPr>
          <w:rFonts w:eastAsia="Times New Roman"/>
          <w:sz w:val="24"/>
          <w:szCs w:val="24"/>
        </w:rPr>
        <w:t xml:space="preserve"> for men and 67.3</w:t>
      </w:r>
      <w:r w:rsidR="00646646" w:rsidRPr="00177AD6">
        <w:rPr>
          <w:rFonts w:eastAsia="Times New Roman"/>
          <w:sz w:val="24"/>
          <w:szCs w:val="24"/>
        </w:rPr>
        <w:t>%</w:t>
      </w:r>
      <w:r w:rsidR="00C4203A" w:rsidRPr="00177AD6">
        <w:rPr>
          <w:rFonts w:eastAsia="Times New Roman"/>
          <w:sz w:val="24"/>
          <w:szCs w:val="24"/>
        </w:rPr>
        <w:t xml:space="preserve"> for </w:t>
      </w:r>
      <w:r w:rsidR="00177AD6" w:rsidRPr="006E3C5B">
        <w:rPr>
          <w:rFonts w:eastAsia="Times New Roman"/>
          <w:sz w:val="24"/>
          <w:szCs w:val="24"/>
        </w:rPr>
        <w:t xml:space="preserve">women </w:t>
      </w:r>
      <w:r w:rsidR="00256C96">
        <w:rPr>
          <w:rFonts w:eastAsia="Times New Roman"/>
          <w:sz w:val="24"/>
          <w:szCs w:val="24"/>
        </w:rPr>
        <w:t>who are</w:t>
      </w:r>
      <w:r w:rsidR="00177AD6">
        <w:rPr>
          <w:rFonts w:eastAsia="Times New Roman"/>
          <w:sz w:val="24"/>
          <w:szCs w:val="24"/>
        </w:rPr>
        <w:t xml:space="preserve"> unable to access banking and other financial services.</w:t>
      </w:r>
      <w:r w:rsidR="00C205C4">
        <w:rPr>
          <w:rFonts w:eastAsia="Times New Roman"/>
          <w:sz w:val="24"/>
          <w:szCs w:val="24"/>
        </w:rPr>
        <w:t xml:space="preserve"> That </w:t>
      </w:r>
      <w:r w:rsidR="00646646">
        <w:rPr>
          <w:rFonts w:eastAsia="Times New Roman"/>
          <w:sz w:val="24"/>
          <w:szCs w:val="24"/>
        </w:rPr>
        <w:t xml:space="preserve">being </w:t>
      </w:r>
      <w:r w:rsidR="00C205C4">
        <w:rPr>
          <w:rFonts w:eastAsia="Times New Roman"/>
          <w:sz w:val="24"/>
          <w:szCs w:val="24"/>
        </w:rPr>
        <w:t>said, it was also found that mobile phone ownership was positively correlated with financial inclusion.  Although this was not definitive, the reasons might include comfort with technology use.</w:t>
      </w:r>
      <w:r w:rsidR="00646646">
        <w:rPr>
          <w:rFonts w:eastAsia="Times New Roman"/>
          <w:sz w:val="24"/>
          <w:szCs w:val="24"/>
        </w:rPr>
        <w:t xml:space="preserve"> </w:t>
      </w:r>
      <w:r w:rsidR="009A4545">
        <w:rPr>
          <w:rFonts w:eastAsia="Times New Roman"/>
          <w:sz w:val="24"/>
          <w:szCs w:val="24"/>
        </w:rPr>
        <w:t xml:space="preserve">Marital status was negatively associated with financial inclusion </w:t>
      </w:r>
      <w:r w:rsidR="00C4203A">
        <w:rPr>
          <w:rFonts w:eastAsia="Times New Roman"/>
          <w:sz w:val="24"/>
          <w:szCs w:val="24"/>
        </w:rPr>
        <w:t xml:space="preserve">for women </w:t>
      </w:r>
      <w:r w:rsidR="009A4545">
        <w:rPr>
          <w:rFonts w:eastAsia="Times New Roman"/>
          <w:sz w:val="24"/>
          <w:szCs w:val="24"/>
        </w:rPr>
        <w:t xml:space="preserve">for a variety of reasons including being more time-poor, </w:t>
      </w:r>
      <w:r w:rsidR="00646646">
        <w:rPr>
          <w:rFonts w:eastAsia="Times New Roman"/>
          <w:sz w:val="24"/>
          <w:szCs w:val="24"/>
        </w:rPr>
        <w:t>and having less agency</w:t>
      </w:r>
      <w:r w:rsidR="009A4545">
        <w:rPr>
          <w:rFonts w:eastAsia="Times New Roman"/>
          <w:sz w:val="24"/>
          <w:szCs w:val="24"/>
        </w:rPr>
        <w:t>. According to this report, w</w:t>
      </w:r>
      <w:r w:rsidR="009A4545" w:rsidRPr="009A4545">
        <w:rPr>
          <w:rFonts w:eastAsia="Times New Roman"/>
          <w:sz w:val="24"/>
          <w:szCs w:val="24"/>
        </w:rPr>
        <w:t xml:space="preserve">omen in the North are more excluded than their peers in the South, </w:t>
      </w:r>
      <w:r w:rsidR="009A4545">
        <w:rPr>
          <w:rFonts w:eastAsia="Times New Roman"/>
          <w:sz w:val="24"/>
          <w:szCs w:val="24"/>
        </w:rPr>
        <w:t xml:space="preserve">a finding </w:t>
      </w:r>
      <w:r w:rsidR="009A4545" w:rsidRPr="009A4545">
        <w:rPr>
          <w:rFonts w:eastAsia="Times New Roman"/>
          <w:sz w:val="24"/>
          <w:szCs w:val="24"/>
        </w:rPr>
        <w:t xml:space="preserve">which may be </w:t>
      </w:r>
      <w:r w:rsidR="009A4545">
        <w:rPr>
          <w:rFonts w:eastAsia="Times New Roman"/>
          <w:sz w:val="24"/>
          <w:szCs w:val="24"/>
        </w:rPr>
        <w:t xml:space="preserve">as a result of </w:t>
      </w:r>
      <w:r w:rsidR="009A4545" w:rsidRPr="009A4545">
        <w:rPr>
          <w:rFonts w:eastAsia="Times New Roman"/>
          <w:sz w:val="24"/>
          <w:szCs w:val="24"/>
        </w:rPr>
        <w:t>conservative socio-cultural gender norms.</w:t>
      </w:r>
      <w:r w:rsidR="009A4545">
        <w:rPr>
          <w:rFonts w:eastAsia="Times New Roman"/>
          <w:sz w:val="24"/>
          <w:szCs w:val="24"/>
        </w:rPr>
        <w:t xml:space="preserve"> Despite the finding that both genders suffer financial inclusion, there was</w:t>
      </w:r>
      <w:r w:rsidR="009A4545" w:rsidRPr="009A4545">
        <w:rPr>
          <w:rFonts w:eastAsia="Times New Roman"/>
          <w:sz w:val="24"/>
          <w:szCs w:val="24"/>
        </w:rPr>
        <w:t xml:space="preserve"> no significant difference in rates of inclusion between a man living in the North and a man living in the South</w:t>
      </w:r>
      <w:r w:rsidR="009A4545">
        <w:rPr>
          <w:rFonts w:eastAsia="Times New Roman"/>
          <w:sz w:val="24"/>
          <w:szCs w:val="24"/>
        </w:rPr>
        <w:t xml:space="preserve">. </w:t>
      </w:r>
      <w:r w:rsidR="00336C04">
        <w:rPr>
          <w:rFonts w:eastAsia="Times New Roman"/>
          <w:sz w:val="24"/>
          <w:szCs w:val="24"/>
        </w:rPr>
        <w:t>The study shows that</w:t>
      </w:r>
      <w:r w:rsidR="009A4545">
        <w:rPr>
          <w:rFonts w:eastAsia="Times New Roman"/>
          <w:sz w:val="24"/>
          <w:szCs w:val="24"/>
        </w:rPr>
        <w:t xml:space="preserve"> financially excluded women </w:t>
      </w:r>
      <w:r w:rsidR="00336C04">
        <w:rPr>
          <w:rFonts w:eastAsia="Times New Roman"/>
          <w:sz w:val="24"/>
          <w:szCs w:val="24"/>
        </w:rPr>
        <w:t>did have</w:t>
      </w:r>
      <w:r w:rsidR="009A4545">
        <w:rPr>
          <w:rFonts w:eastAsia="Times New Roman"/>
          <w:sz w:val="24"/>
          <w:szCs w:val="24"/>
        </w:rPr>
        <w:t xml:space="preserve"> financial ambitions and expressed a need for financial services.</w:t>
      </w:r>
      <w:r w:rsidR="00F15050">
        <w:rPr>
          <w:rStyle w:val="FootnoteReference"/>
          <w:rFonts w:eastAsia="Times New Roman"/>
          <w:sz w:val="24"/>
          <w:szCs w:val="24"/>
        </w:rPr>
        <w:footnoteReference w:id="56"/>
      </w:r>
      <w:r w:rsidR="009A4545">
        <w:rPr>
          <w:rFonts w:eastAsia="Times New Roman"/>
          <w:sz w:val="24"/>
          <w:szCs w:val="24"/>
        </w:rPr>
        <w:t xml:space="preserve">  Some banks like </w:t>
      </w:r>
      <w:r w:rsidR="009A4545" w:rsidRPr="009A4545">
        <w:rPr>
          <w:rFonts w:eastAsia="Times New Roman"/>
          <w:sz w:val="24"/>
          <w:szCs w:val="24"/>
        </w:rPr>
        <w:t>Access Bank and First Bank</w:t>
      </w:r>
      <w:r w:rsidR="009A4545">
        <w:rPr>
          <w:rFonts w:eastAsia="Times New Roman"/>
          <w:sz w:val="24"/>
          <w:szCs w:val="24"/>
        </w:rPr>
        <w:t xml:space="preserve"> now have dedicated financial products for women, but it is clear that more needs to be done to improve f</w:t>
      </w:r>
      <w:r w:rsidR="00F15050">
        <w:rPr>
          <w:rFonts w:eastAsia="Times New Roman"/>
          <w:sz w:val="24"/>
          <w:szCs w:val="24"/>
        </w:rPr>
        <w:t>inancial inclusion</w:t>
      </w:r>
      <w:r w:rsidR="00336C04">
        <w:rPr>
          <w:rFonts w:eastAsia="Times New Roman"/>
          <w:sz w:val="24"/>
          <w:szCs w:val="24"/>
        </w:rPr>
        <w:t xml:space="preserve"> of women</w:t>
      </w:r>
      <w:r w:rsidR="00F15050">
        <w:rPr>
          <w:rFonts w:eastAsia="Times New Roman"/>
          <w:sz w:val="24"/>
          <w:szCs w:val="24"/>
        </w:rPr>
        <w:t>.</w:t>
      </w:r>
    </w:p>
    <w:p w14:paraId="4F5039E2" w14:textId="77777777" w:rsidR="00BA62E5" w:rsidRPr="00BA62E5" w:rsidRDefault="00C205C4" w:rsidP="00E75191">
      <w:pPr>
        <w:spacing w:line="240" w:lineRule="auto"/>
        <w:jc w:val="both"/>
        <w:rPr>
          <w:sz w:val="24"/>
          <w:szCs w:val="24"/>
        </w:rPr>
      </w:pPr>
      <w:r>
        <w:rPr>
          <w:rFonts w:eastAsia="Times New Roman"/>
          <w:sz w:val="24"/>
          <w:szCs w:val="24"/>
        </w:rPr>
        <w:t xml:space="preserve">Respondents </w:t>
      </w:r>
      <w:r w:rsidR="00336C04">
        <w:rPr>
          <w:rFonts w:eastAsia="Times New Roman"/>
          <w:sz w:val="24"/>
          <w:szCs w:val="24"/>
        </w:rPr>
        <w:t xml:space="preserve">who participated in </w:t>
      </w:r>
      <w:r>
        <w:rPr>
          <w:rFonts w:eastAsia="Times New Roman"/>
          <w:sz w:val="24"/>
          <w:szCs w:val="24"/>
        </w:rPr>
        <w:t xml:space="preserve">the qualitative study noted that while poverty was a challenge across the country, women and girls were significantly more likely to be poor, </w:t>
      </w:r>
      <w:r>
        <w:rPr>
          <w:rFonts w:eastAsia="Times New Roman"/>
          <w:sz w:val="24"/>
          <w:szCs w:val="24"/>
        </w:rPr>
        <w:lastRenderedPageBreak/>
        <w:t>reflecting</w:t>
      </w:r>
      <w:r w:rsidR="00DD1AE8">
        <w:rPr>
          <w:rFonts w:eastAsia="Times New Roman"/>
          <w:sz w:val="24"/>
          <w:szCs w:val="24"/>
        </w:rPr>
        <w:t xml:space="preserve"> </w:t>
      </w:r>
      <w:r w:rsidR="00336C04">
        <w:rPr>
          <w:rFonts w:eastAsia="Times New Roman"/>
          <w:sz w:val="24"/>
          <w:szCs w:val="24"/>
        </w:rPr>
        <w:t xml:space="preserve">the </w:t>
      </w:r>
      <w:r w:rsidR="001B1E2D">
        <w:rPr>
          <w:rFonts w:eastAsia="Times New Roman"/>
          <w:sz w:val="24"/>
          <w:szCs w:val="24"/>
        </w:rPr>
        <w:t>d</w:t>
      </w:r>
      <w:r>
        <w:rPr>
          <w:rFonts w:eastAsia="Times New Roman"/>
          <w:sz w:val="24"/>
          <w:szCs w:val="24"/>
        </w:rPr>
        <w:t xml:space="preserve">ata found in the desk review. </w:t>
      </w:r>
      <w:r w:rsidR="00DD1AE8">
        <w:rPr>
          <w:rFonts w:eastAsia="Times New Roman"/>
          <w:sz w:val="24"/>
          <w:szCs w:val="24"/>
        </w:rPr>
        <w:t xml:space="preserve">Efforts to address poverty must therefore address gender and women’s economic empowerment in meaningful ways. </w:t>
      </w:r>
    </w:p>
    <w:p w14:paraId="53C9618D" w14:textId="77777777" w:rsidR="00E75191" w:rsidRDefault="00E75191">
      <w:r>
        <w:br w:type="page"/>
      </w:r>
    </w:p>
    <w:p w14:paraId="6FB03EE1" w14:textId="77777777" w:rsidR="008639A0" w:rsidRDefault="008639A0" w:rsidP="00E75191">
      <w:pPr>
        <w:spacing w:line="240" w:lineRule="auto"/>
      </w:pPr>
    </w:p>
    <w:p w14:paraId="576923B7" w14:textId="77777777" w:rsidR="00C6536D" w:rsidRPr="00C6536D" w:rsidRDefault="00C6536D" w:rsidP="00E75191">
      <w:pPr>
        <w:spacing w:line="240" w:lineRule="auto"/>
      </w:pPr>
      <w:r>
        <w:rPr>
          <w:noProof/>
          <w:lang w:val="en-IE" w:eastAsia="en-IE"/>
        </w:rPr>
        <mc:AlternateContent>
          <mc:Choice Requires="wps">
            <w:drawing>
              <wp:anchor distT="0" distB="0" distL="114300" distR="114300" simplePos="0" relativeHeight="251663360" behindDoc="0" locked="0" layoutInCell="1" allowOverlap="1" wp14:anchorId="0A0C8F67" wp14:editId="1EE6276E">
                <wp:simplePos x="0" y="0"/>
                <wp:positionH relativeFrom="column">
                  <wp:align>center</wp:align>
                </wp:positionH>
                <wp:positionV relativeFrom="paragraph">
                  <wp:posOffset>0</wp:posOffset>
                </wp:positionV>
                <wp:extent cx="5791200" cy="1403985"/>
                <wp:effectExtent l="0" t="0" r="19050" b="127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1403985"/>
                        </a:xfrm>
                        <a:prstGeom prst="rect">
                          <a:avLst/>
                        </a:prstGeom>
                        <a:solidFill>
                          <a:schemeClr val="accent1">
                            <a:lumMod val="60000"/>
                            <a:lumOff val="40000"/>
                          </a:schemeClr>
                        </a:solidFill>
                        <a:ln w="9525">
                          <a:solidFill>
                            <a:schemeClr val="accent1">
                              <a:lumMod val="60000"/>
                              <a:lumOff val="40000"/>
                            </a:schemeClr>
                          </a:solidFill>
                          <a:miter lim="800000"/>
                          <a:headEnd/>
                          <a:tailEnd/>
                        </a:ln>
                      </wps:spPr>
                      <wps:txbx>
                        <w:txbxContent>
                          <w:p w14:paraId="09337C3C" w14:textId="77777777" w:rsidR="006D6A0C" w:rsidRPr="00125047" w:rsidRDefault="005667FD" w:rsidP="00125047">
                            <w:pPr>
                              <w:pStyle w:val="Heading1"/>
                              <w:rPr>
                                <w:color w:val="auto"/>
                                <w:sz w:val="56"/>
                                <w:szCs w:val="56"/>
                              </w:rPr>
                            </w:pPr>
                            <w:bookmarkStart w:id="25" w:name="_Toc81228163"/>
                            <w:bookmarkStart w:id="26" w:name="_Toc81228283"/>
                            <w:bookmarkStart w:id="27" w:name="_Toc81229094"/>
                            <w:r>
                              <w:rPr>
                                <w:color w:val="auto"/>
                                <w:sz w:val="56"/>
                                <w:szCs w:val="56"/>
                              </w:rPr>
                              <w:t xml:space="preserve">3.4 </w:t>
                            </w:r>
                            <w:r w:rsidR="006D6A0C" w:rsidRPr="00125047">
                              <w:rPr>
                                <w:color w:val="auto"/>
                                <w:sz w:val="56"/>
                                <w:szCs w:val="56"/>
                              </w:rPr>
                              <w:t>Enterprise and Employment</w:t>
                            </w:r>
                            <w:bookmarkEnd w:id="25"/>
                            <w:bookmarkEnd w:id="26"/>
                            <w:bookmarkEnd w:id="27"/>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0C8F67" id="_x0000_s1039" type="#_x0000_t202" style="position:absolute;margin-left:0;margin-top:0;width:456pt;height:110.55pt;z-index:251663360;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" fillcolor="#9cc2e5 [1940]" strokecolor="#9cc2e5 [1940]">
                <v:textbox style="mso-fit-shape-to-text:t">
                  <w:txbxContent>
                    <w:p w:rsidR="006D6A0C" w:rsidRPr="00125047" w:rsidRDefault="005667FD" w:rsidP="00125047">
                      <w:pPr>
                        <w:pStyle w:val="Heading1"/>
                        <w:rPr>
                          <w:color w:val="auto"/>
                          <w:sz w:val="56"/>
                          <w:szCs w:val="56"/>
                        </w:rPr>
                      </w:pPr>
                      <w:bookmarkStart w:id="44" w:name="_Toc81228163"/>
                      <w:bookmarkStart w:id="45" w:name="_Toc81228283"/>
                      <w:bookmarkStart w:id="46" w:name="_Toc81229094"/>
                      <w:r>
                        <w:rPr>
                          <w:color w:val="auto"/>
                          <w:sz w:val="56"/>
                          <w:szCs w:val="56"/>
                        </w:rPr>
                        <w:t xml:space="preserve">3.4 </w:t>
                      </w:r>
                      <w:r w:rsidR="006D6A0C" w:rsidRPr="00125047">
                        <w:rPr>
                          <w:color w:val="auto"/>
                          <w:sz w:val="56"/>
                          <w:szCs w:val="56"/>
                        </w:rPr>
                        <w:t>Enterprise and Employment</w:t>
                      </w:r>
                      <w:bookmarkEnd w:id="44"/>
                      <w:bookmarkEnd w:id="45"/>
                      <w:bookmarkEnd w:id="46"/>
                    </w:p>
                  </w:txbxContent>
                </v:textbox>
              </v:shape>
            </w:pict>
          </mc:Fallback>
        </mc:AlternateContent>
      </w:r>
    </w:p>
    <w:p w14:paraId="1731B482" w14:textId="77777777" w:rsidR="00C6536D" w:rsidRDefault="00C6536D" w:rsidP="00E75191">
      <w:pPr>
        <w:spacing w:line="240" w:lineRule="auto"/>
        <w:jc w:val="both"/>
        <w:rPr>
          <w:b/>
          <w:sz w:val="24"/>
          <w:szCs w:val="24"/>
        </w:rPr>
      </w:pPr>
    </w:p>
    <w:p w14:paraId="68E6A73B" w14:textId="77777777" w:rsidR="003309A5" w:rsidRDefault="003309A5" w:rsidP="00E75191">
      <w:pPr>
        <w:spacing w:line="240" w:lineRule="auto"/>
        <w:jc w:val="both"/>
        <w:rPr>
          <w:b/>
          <w:sz w:val="24"/>
          <w:szCs w:val="24"/>
        </w:rPr>
      </w:pPr>
    </w:p>
    <w:p w14:paraId="73AA71A0" w14:textId="77777777" w:rsidR="00841ACE" w:rsidRDefault="008D3030" w:rsidP="00E75191">
      <w:pPr>
        <w:spacing w:line="240" w:lineRule="auto"/>
        <w:jc w:val="both"/>
        <w:rPr>
          <w:sz w:val="24"/>
          <w:szCs w:val="24"/>
        </w:rPr>
      </w:pPr>
      <w:r>
        <w:rPr>
          <w:sz w:val="24"/>
          <w:szCs w:val="24"/>
        </w:rPr>
        <w:t>Enterprise and employment are critical to the overall wellbeing of men and women across Nigeria.  As noted in other reports, when</w:t>
      </w:r>
      <w:r w:rsidRPr="008D3030">
        <w:rPr>
          <w:sz w:val="24"/>
          <w:szCs w:val="24"/>
        </w:rPr>
        <w:t xml:space="preserve"> asked to rank </w:t>
      </w:r>
      <w:r>
        <w:rPr>
          <w:sz w:val="24"/>
          <w:szCs w:val="24"/>
        </w:rPr>
        <w:t>the main challenge</w:t>
      </w:r>
      <w:r w:rsidRPr="008D3030">
        <w:rPr>
          <w:sz w:val="24"/>
          <w:szCs w:val="24"/>
        </w:rPr>
        <w:t xml:space="preserve">s facing the country, Nigerians mention unemployment as the most </w:t>
      </w:r>
      <w:r>
        <w:rPr>
          <w:sz w:val="24"/>
          <w:szCs w:val="24"/>
        </w:rPr>
        <w:t>important, with poverty as a secondary consideration.</w:t>
      </w:r>
      <w:r>
        <w:rPr>
          <w:rStyle w:val="FootnoteReference"/>
          <w:sz w:val="24"/>
          <w:szCs w:val="24"/>
        </w:rPr>
        <w:footnoteReference w:id="57"/>
      </w:r>
      <w:r>
        <w:rPr>
          <w:sz w:val="24"/>
          <w:szCs w:val="24"/>
        </w:rPr>
        <w:t xml:space="preserve"> </w:t>
      </w:r>
      <w:r w:rsidR="00AF1411">
        <w:rPr>
          <w:sz w:val="24"/>
          <w:szCs w:val="24"/>
        </w:rPr>
        <w:t xml:space="preserve"> </w:t>
      </w:r>
    </w:p>
    <w:p w14:paraId="675490BF" w14:textId="77777777" w:rsidR="00681F77" w:rsidRDefault="00681F77" w:rsidP="00E75191">
      <w:pPr>
        <w:keepNext/>
        <w:spacing w:line="240" w:lineRule="auto"/>
        <w:jc w:val="center"/>
      </w:pPr>
      <w:r>
        <w:rPr>
          <w:noProof/>
          <w:lang w:val="en-IE" w:eastAsia="en-IE"/>
        </w:rPr>
        <w:drawing>
          <wp:inline distT="0" distB="0" distL="0" distR="0" wp14:anchorId="7E836599" wp14:editId="11DD9918">
            <wp:extent cx="3846056" cy="2302248"/>
            <wp:effectExtent l="0" t="0" r="2540" b="3175"/>
            <wp:docPr id="449" name="Picture 449" descr="Proshare Nigeria Pvt. L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oshare Nigeria Pvt. Lt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878176" cy="2321475"/>
                    </a:xfrm>
                    <a:prstGeom prst="rect">
                      <a:avLst/>
                    </a:prstGeom>
                    <a:noFill/>
                    <a:ln>
                      <a:noFill/>
                    </a:ln>
                  </pic:spPr>
                </pic:pic>
              </a:graphicData>
            </a:graphic>
          </wp:inline>
        </w:drawing>
      </w:r>
    </w:p>
    <w:p w14:paraId="3241E2B4" w14:textId="77777777" w:rsidR="00681F77" w:rsidRDefault="00681F77" w:rsidP="00E75191">
      <w:pPr>
        <w:pStyle w:val="Caption"/>
        <w:jc w:val="center"/>
        <w:rPr>
          <w:rFonts w:cstheme="minorHAnsi"/>
          <w:sz w:val="24"/>
          <w:szCs w:val="24"/>
        </w:rPr>
      </w:pPr>
      <w:r>
        <w:t xml:space="preserve">Figure </w:t>
      </w:r>
      <w:fldSimple w:instr=" SEQ Figure \* ARABIC ">
        <w:r w:rsidR="00C15490">
          <w:rPr>
            <w:noProof/>
          </w:rPr>
          <w:t>5</w:t>
        </w:r>
      </w:fldSimple>
      <w:r>
        <w:t xml:space="preserve"> Trend Analysis of Unemployment in Nigeria 2015-2020. (Source Nigerian Bureau of Statistics, Proshare)</w:t>
      </w:r>
      <w:r>
        <w:rPr>
          <w:rStyle w:val="FootnoteReference"/>
        </w:rPr>
        <w:footnoteReference w:id="58"/>
      </w:r>
    </w:p>
    <w:p w14:paraId="16D6003E" w14:textId="77777777" w:rsidR="00260BC9" w:rsidRPr="00B703E3" w:rsidRDefault="00AF1411" w:rsidP="00E75191">
      <w:pPr>
        <w:spacing w:line="240" w:lineRule="auto"/>
        <w:jc w:val="both"/>
        <w:rPr>
          <w:rFonts w:cstheme="minorHAnsi"/>
          <w:color w:val="000000"/>
          <w:sz w:val="24"/>
          <w:szCs w:val="24"/>
          <w:shd w:val="clear" w:color="auto" w:fill="FFFFFF"/>
        </w:rPr>
      </w:pPr>
      <w:r w:rsidRPr="00184982">
        <w:rPr>
          <w:rFonts w:cstheme="minorHAnsi"/>
          <w:sz w:val="24"/>
          <w:szCs w:val="24"/>
        </w:rPr>
        <w:t xml:space="preserve">Unemployment rates are high, with </w:t>
      </w:r>
      <w:r w:rsidR="0031524B">
        <w:rPr>
          <w:rFonts w:cstheme="minorHAnsi"/>
          <w:sz w:val="24"/>
          <w:szCs w:val="24"/>
        </w:rPr>
        <w:t xml:space="preserve">the most </w:t>
      </w:r>
      <w:r w:rsidRPr="00184982">
        <w:rPr>
          <w:rFonts w:cstheme="minorHAnsi"/>
          <w:sz w:val="24"/>
          <w:szCs w:val="24"/>
        </w:rPr>
        <w:t xml:space="preserve">recent figures </w:t>
      </w:r>
      <w:r w:rsidR="003B433A">
        <w:rPr>
          <w:rFonts w:cstheme="minorHAnsi"/>
          <w:sz w:val="24"/>
          <w:szCs w:val="24"/>
        </w:rPr>
        <w:t xml:space="preserve">(2021) </w:t>
      </w:r>
      <w:r w:rsidR="0031524B">
        <w:rPr>
          <w:rFonts w:cstheme="minorHAnsi"/>
          <w:sz w:val="24"/>
          <w:szCs w:val="24"/>
        </w:rPr>
        <w:t>being</w:t>
      </w:r>
      <w:r w:rsidR="00841ACE" w:rsidRPr="00184982">
        <w:rPr>
          <w:rFonts w:cstheme="minorHAnsi"/>
          <w:sz w:val="24"/>
          <w:szCs w:val="24"/>
        </w:rPr>
        <w:t xml:space="preserve"> </w:t>
      </w:r>
      <w:r w:rsidR="0031524B">
        <w:rPr>
          <w:rFonts w:cstheme="minorHAnsi"/>
          <w:sz w:val="24"/>
          <w:szCs w:val="24"/>
        </w:rPr>
        <w:t>33.3</w:t>
      </w:r>
      <w:r w:rsidR="00336C04">
        <w:rPr>
          <w:rFonts w:cstheme="minorHAnsi"/>
          <w:sz w:val="24"/>
          <w:szCs w:val="24"/>
        </w:rPr>
        <w:t>%</w:t>
      </w:r>
      <w:r w:rsidR="00841ACE" w:rsidRPr="00184982">
        <w:rPr>
          <w:rFonts w:cstheme="minorHAnsi"/>
          <w:sz w:val="24"/>
          <w:szCs w:val="24"/>
        </w:rPr>
        <w:t>,</w:t>
      </w:r>
      <w:r w:rsidRPr="00184982">
        <w:rPr>
          <w:rStyle w:val="FootnoteReference"/>
          <w:rFonts w:cstheme="minorHAnsi"/>
          <w:sz w:val="24"/>
          <w:szCs w:val="24"/>
        </w:rPr>
        <w:footnoteReference w:id="59"/>
      </w:r>
      <w:r w:rsidR="00841ACE" w:rsidRPr="00184982">
        <w:rPr>
          <w:rFonts w:cstheme="minorHAnsi"/>
          <w:sz w:val="24"/>
          <w:szCs w:val="24"/>
        </w:rPr>
        <w:t xml:space="preserve"> according to the National Bureau of Statistics</w:t>
      </w:r>
      <w:r w:rsidR="00260BC9">
        <w:rPr>
          <w:rFonts w:cstheme="minorHAnsi"/>
          <w:sz w:val="24"/>
          <w:szCs w:val="24"/>
        </w:rPr>
        <w:t xml:space="preserve"> with </w:t>
      </w:r>
      <w:r w:rsidR="00260BC9" w:rsidRPr="00B703E3">
        <w:rPr>
          <w:rFonts w:cstheme="minorHAnsi"/>
          <w:sz w:val="24"/>
          <w:szCs w:val="24"/>
        </w:rPr>
        <w:t>persons</w:t>
      </w:r>
      <w:r w:rsidR="00256C96" w:rsidRPr="00B703E3">
        <w:rPr>
          <w:rFonts w:cstheme="minorHAnsi"/>
          <w:sz w:val="24"/>
          <w:szCs w:val="24"/>
        </w:rPr>
        <w:t xml:space="preserve"> between 15 and 24 having </w:t>
      </w:r>
      <w:r w:rsidR="0031524B" w:rsidRPr="00B703E3">
        <w:rPr>
          <w:rFonts w:cstheme="minorHAnsi"/>
          <w:sz w:val="24"/>
          <w:szCs w:val="24"/>
        </w:rPr>
        <w:t>the highest</w:t>
      </w:r>
      <w:r w:rsidR="00260BC9" w:rsidRPr="00B703E3">
        <w:rPr>
          <w:rFonts w:cstheme="minorHAnsi"/>
          <w:sz w:val="24"/>
          <w:szCs w:val="24"/>
        </w:rPr>
        <w:t xml:space="preserve"> rates of unemployment.</w:t>
      </w:r>
      <w:r w:rsidR="00256C96" w:rsidRPr="00B703E3">
        <w:rPr>
          <w:rFonts w:cstheme="minorHAnsi"/>
          <w:sz w:val="24"/>
          <w:szCs w:val="24"/>
        </w:rPr>
        <w:t xml:space="preserve"> </w:t>
      </w:r>
      <w:r w:rsidR="00256C96" w:rsidRPr="00B703E3">
        <w:rPr>
          <w:rStyle w:val="FootnoteReference"/>
          <w:rFonts w:cstheme="minorHAnsi"/>
          <w:sz w:val="24"/>
          <w:szCs w:val="24"/>
        </w:rPr>
        <w:footnoteReference w:id="60"/>
      </w:r>
      <w:r w:rsidR="00260BC9" w:rsidRPr="00B703E3">
        <w:rPr>
          <w:rFonts w:cstheme="minorHAnsi"/>
          <w:sz w:val="24"/>
          <w:szCs w:val="24"/>
        </w:rPr>
        <w:t xml:space="preserve"> This is critical considering that the population of Nigeria is largely young and the absence of employment opportunities for young people could be damaging for social welfare in the long run</w:t>
      </w:r>
      <w:r w:rsidR="0031524B" w:rsidRPr="00B703E3">
        <w:rPr>
          <w:rFonts w:cstheme="minorHAnsi"/>
          <w:sz w:val="24"/>
          <w:szCs w:val="24"/>
        </w:rPr>
        <w:t xml:space="preserve">.  </w:t>
      </w:r>
      <w:r w:rsidRPr="00B703E3">
        <w:rPr>
          <w:rFonts w:cstheme="minorHAnsi"/>
          <w:sz w:val="24"/>
          <w:szCs w:val="24"/>
        </w:rPr>
        <w:t xml:space="preserve">As with other issues, </w:t>
      </w:r>
      <w:r w:rsidR="00336C04" w:rsidRPr="00B703E3">
        <w:rPr>
          <w:rFonts w:cstheme="minorHAnsi"/>
          <w:sz w:val="24"/>
          <w:szCs w:val="24"/>
        </w:rPr>
        <w:t xml:space="preserve">women </w:t>
      </w:r>
      <w:r w:rsidR="00256C96" w:rsidRPr="00B703E3">
        <w:rPr>
          <w:rFonts w:cstheme="minorHAnsi"/>
          <w:sz w:val="24"/>
          <w:szCs w:val="24"/>
        </w:rPr>
        <w:t>had</w:t>
      </w:r>
      <w:r w:rsidR="00841ACE" w:rsidRPr="00B703E3">
        <w:rPr>
          <w:rFonts w:cstheme="minorHAnsi"/>
          <w:sz w:val="24"/>
          <w:szCs w:val="24"/>
        </w:rPr>
        <w:t xml:space="preserve"> the highest unemployment rates in 2020</w:t>
      </w:r>
      <w:r w:rsidR="00336C04" w:rsidRPr="00B703E3">
        <w:rPr>
          <w:rFonts w:cstheme="minorHAnsi"/>
          <w:sz w:val="24"/>
          <w:szCs w:val="24"/>
        </w:rPr>
        <w:t xml:space="preserve">. </w:t>
      </w:r>
      <w:r w:rsidR="00336C04" w:rsidRPr="00B703E3">
        <w:rPr>
          <w:rFonts w:cstheme="minorHAnsi"/>
          <w:color w:val="000000"/>
          <w:sz w:val="24"/>
          <w:szCs w:val="24"/>
          <w:shd w:val="clear" w:color="auto" w:fill="FFFFFF"/>
        </w:rPr>
        <w:t xml:space="preserve">In the last quarter of 2020, </w:t>
      </w:r>
      <w:r w:rsidR="008B708F" w:rsidRPr="00B703E3">
        <w:rPr>
          <w:rFonts w:cstheme="minorHAnsi"/>
          <w:color w:val="000000"/>
          <w:sz w:val="24"/>
          <w:szCs w:val="24"/>
          <w:shd w:val="clear" w:color="auto" w:fill="FFFFFF"/>
        </w:rPr>
        <w:t xml:space="preserve">35.2% </w:t>
      </w:r>
      <w:r w:rsidR="00336C04" w:rsidRPr="00B703E3">
        <w:rPr>
          <w:rFonts w:cstheme="minorHAnsi"/>
          <w:color w:val="000000"/>
          <w:sz w:val="24"/>
          <w:szCs w:val="24"/>
          <w:shd w:val="clear" w:color="auto" w:fill="FFFFFF"/>
        </w:rPr>
        <w:t>of women w</w:t>
      </w:r>
      <w:r w:rsidR="00256C96" w:rsidRPr="00B703E3">
        <w:rPr>
          <w:rFonts w:cstheme="minorHAnsi"/>
          <w:color w:val="000000"/>
          <w:sz w:val="24"/>
          <w:szCs w:val="24"/>
          <w:shd w:val="clear" w:color="auto" w:fill="FFFFFF"/>
        </w:rPr>
        <w:t>ere</w:t>
      </w:r>
      <w:r w:rsidR="00336C04" w:rsidRPr="00B703E3">
        <w:rPr>
          <w:rFonts w:cstheme="minorHAnsi"/>
          <w:color w:val="000000"/>
          <w:sz w:val="24"/>
          <w:szCs w:val="24"/>
          <w:shd w:val="clear" w:color="auto" w:fill="FFFFFF"/>
        </w:rPr>
        <w:t xml:space="preserve"> unemployed versus </w:t>
      </w:r>
      <w:r w:rsidR="008B708F" w:rsidRPr="00B703E3">
        <w:rPr>
          <w:rFonts w:cstheme="minorHAnsi"/>
          <w:color w:val="000000"/>
          <w:sz w:val="24"/>
          <w:szCs w:val="24"/>
          <w:shd w:val="clear" w:color="auto" w:fill="FFFFFF"/>
        </w:rPr>
        <w:t xml:space="preserve">31.8% </w:t>
      </w:r>
      <w:r w:rsidR="00336C04" w:rsidRPr="00B703E3">
        <w:rPr>
          <w:rFonts w:cstheme="minorHAnsi"/>
          <w:color w:val="000000"/>
          <w:sz w:val="24"/>
          <w:szCs w:val="24"/>
          <w:shd w:val="clear" w:color="auto" w:fill="FFFFFF"/>
        </w:rPr>
        <w:t xml:space="preserve">unemployment of men </w:t>
      </w:r>
      <w:r w:rsidR="00841ACE" w:rsidRPr="00B703E3">
        <w:rPr>
          <w:rFonts w:cstheme="minorHAnsi"/>
          <w:color w:val="000000"/>
          <w:sz w:val="24"/>
          <w:szCs w:val="24"/>
          <w:shd w:val="clear" w:color="auto" w:fill="FFFFFF"/>
        </w:rPr>
        <w:t>.</w:t>
      </w:r>
      <w:r w:rsidR="00841ACE" w:rsidRPr="00B703E3">
        <w:rPr>
          <w:rStyle w:val="FootnoteReference"/>
          <w:rFonts w:cstheme="minorHAnsi"/>
          <w:sz w:val="24"/>
          <w:szCs w:val="24"/>
        </w:rPr>
        <w:footnoteReference w:id="61"/>
      </w:r>
    </w:p>
    <w:p w14:paraId="4270036D" w14:textId="77777777" w:rsidR="00841ACE" w:rsidRPr="008B708F" w:rsidRDefault="00841ACE" w:rsidP="00E75191">
      <w:pPr>
        <w:spacing w:line="240" w:lineRule="auto"/>
        <w:jc w:val="both"/>
        <w:rPr>
          <w:rFonts w:cstheme="minorHAnsi"/>
          <w:color w:val="000000"/>
          <w:sz w:val="24"/>
          <w:szCs w:val="24"/>
          <w:shd w:val="clear" w:color="auto" w:fill="FFFFFF"/>
        </w:rPr>
      </w:pPr>
      <w:r w:rsidRPr="00B703E3">
        <w:rPr>
          <w:rFonts w:cstheme="minorHAnsi"/>
          <w:color w:val="000000"/>
          <w:sz w:val="24"/>
          <w:szCs w:val="24"/>
          <w:shd w:val="clear" w:color="auto" w:fill="FFFFFF"/>
        </w:rPr>
        <w:t xml:space="preserve"> Thus, unemployment is a serious challenges for both men and women in Nigeria, but more so for women. </w:t>
      </w:r>
      <w:r w:rsidR="00EB0AEC" w:rsidRPr="00B703E3">
        <w:rPr>
          <w:rFonts w:cstheme="minorHAnsi"/>
          <w:color w:val="000000"/>
          <w:sz w:val="24"/>
          <w:szCs w:val="24"/>
          <w:shd w:val="clear" w:color="auto" w:fill="FFFFFF"/>
        </w:rPr>
        <w:t>This is emblematic of the long standing situation.</w:t>
      </w:r>
      <w:r w:rsidRPr="00B703E3">
        <w:rPr>
          <w:rFonts w:cstheme="minorHAnsi"/>
          <w:color w:val="000000"/>
          <w:sz w:val="24"/>
          <w:szCs w:val="24"/>
          <w:shd w:val="clear" w:color="auto" w:fill="FFFFFF"/>
        </w:rPr>
        <w:t xml:space="preserve"> </w:t>
      </w:r>
      <w:r w:rsidRPr="00B703E3">
        <w:rPr>
          <w:rFonts w:eastAsia="Times New Roman" w:cstheme="minorHAnsi"/>
          <w:sz w:val="24"/>
          <w:szCs w:val="24"/>
        </w:rPr>
        <w:t>According to the Nigeria Demographic Health Survey (NDHS), employment among women age 15-49 has increased over the past ten years, from 59% in 2008 to 65% in 2018. Similarly, the percentage of men who are currently employed has increased from 80% to 86%.</w:t>
      </w:r>
      <w:r w:rsidRPr="00B703E3">
        <w:rPr>
          <w:rStyle w:val="FootnoteReference"/>
          <w:rFonts w:eastAsia="Times New Roman" w:cstheme="minorHAnsi"/>
          <w:sz w:val="24"/>
          <w:szCs w:val="24"/>
        </w:rPr>
        <w:footnoteReference w:id="62"/>
      </w:r>
      <w:r w:rsidRPr="00B703E3">
        <w:rPr>
          <w:rFonts w:eastAsia="Times New Roman" w:cstheme="minorHAnsi"/>
          <w:sz w:val="24"/>
          <w:szCs w:val="24"/>
        </w:rPr>
        <w:t xml:space="preserve"> These figures show a significant disparity in the engagement of </w:t>
      </w:r>
      <w:r w:rsidR="00800FF9" w:rsidRPr="00B703E3">
        <w:rPr>
          <w:rFonts w:eastAsia="Times New Roman" w:cstheme="minorHAnsi"/>
          <w:sz w:val="24"/>
          <w:szCs w:val="24"/>
        </w:rPr>
        <w:t xml:space="preserve">men and women </w:t>
      </w:r>
      <w:r w:rsidRPr="00B703E3">
        <w:rPr>
          <w:rFonts w:eastAsia="Times New Roman" w:cstheme="minorHAnsi"/>
          <w:sz w:val="24"/>
          <w:szCs w:val="24"/>
        </w:rPr>
        <w:t>in work</w:t>
      </w:r>
      <w:r w:rsidR="00256C96" w:rsidRPr="00B703E3">
        <w:rPr>
          <w:rFonts w:eastAsia="Times New Roman" w:cstheme="minorHAnsi"/>
          <w:sz w:val="24"/>
          <w:szCs w:val="24"/>
        </w:rPr>
        <w:t xml:space="preserve"> </w:t>
      </w:r>
      <w:r w:rsidRPr="00B703E3">
        <w:rPr>
          <w:rFonts w:eastAsia="Times New Roman" w:cstheme="minorHAnsi"/>
          <w:sz w:val="24"/>
          <w:szCs w:val="24"/>
        </w:rPr>
        <w:t xml:space="preserve">with implications for male </w:t>
      </w:r>
      <w:r w:rsidRPr="00B703E3">
        <w:rPr>
          <w:rFonts w:eastAsia="Times New Roman" w:cstheme="minorHAnsi"/>
          <w:sz w:val="24"/>
          <w:szCs w:val="24"/>
        </w:rPr>
        <w:lastRenderedPageBreak/>
        <w:t>and female economic status</w:t>
      </w:r>
      <w:r w:rsidR="00184982" w:rsidRPr="00B703E3">
        <w:rPr>
          <w:rFonts w:eastAsia="Times New Roman" w:cstheme="minorHAnsi"/>
          <w:sz w:val="24"/>
          <w:szCs w:val="24"/>
        </w:rPr>
        <w:t>.</w:t>
      </w:r>
      <w:r w:rsidR="00256C96" w:rsidRPr="00B703E3">
        <w:rPr>
          <w:rStyle w:val="FootnoteReference"/>
          <w:rFonts w:eastAsia="Times New Roman" w:cstheme="minorHAnsi"/>
          <w:sz w:val="24"/>
          <w:szCs w:val="24"/>
        </w:rPr>
        <w:footnoteReference w:id="63"/>
      </w:r>
      <w:r w:rsidR="00184982" w:rsidRPr="00B703E3">
        <w:rPr>
          <w:rFonts w:eastAsia="Times New Roman" w:cstheme="minorHAnsi"/>
          <w:sz w:val="24"/>
          <w:szCs w:val="24"/>
        </w:rPr>
        <w:t xml:space="preserve"> </w:t>
      </w:r>
      <w:r w:rsidRPr="00B703E3">
        <w:rPr>
          <w:rFonts w:cstheme="minorHAnsi"/>
          <w:sz w:val="24"/>
          <w:szCs w:val="24"/>
        </w:rPr>
        <w:t>Similarly, whilst 15% of the women employed did not receive any payment for their work, only 8% of men were unpaid for the goods or services they provided</w:t>
      </w:r>
      <w:r w:rsidRPr="00184982">
        <w:rPr>
          <w:rFonts w:cstheme="minorHAnsi"/>
          <w:sz w:val="24"/>
          <w:szCs w:val="24"/>
        </w:rPr>
        <w:t>.</w:t>
      </w:r>
      <w:r w:rsidRPr="00184982">
        <w:rPr>
          <w:rStyle w:val="FootnoteReference"/>
          <w:rFonts w:cstheme="minorHAnsi"/>
          <w:sz w:val="24"/>
          <w:szCs w:val="24"/>
        </w:rPr>
        <w:footnoteReference w:id="64"/>
      </w:r>
      <w:r w:rsidRPr="00184982">
        <w:rPr>
          <w:rFonts w:cstheme="minorHAnsi"/>
          <w:sz w:val="24"/>
          <w:szCs w:val="24"/>
        </w:rPr>
        <w:t xml:space="preserve"> Where women work, they are less likely to be paid as </w:t>
      </w:r>
      <w:r w:rsidR="00800FF9">
        <w:rPr>
          <w:rFonts w:cstheme="minorHAnsi"/>
          <w:sz w:val="24"/>
          <w:szCs w:val="24"/>
        </w:rPr>
        <w:t>much</w:t>
      </w:r>
      <w:r w:rsidR="00800FF9" w:rsidRPr="00184982">
        <w:rPr>
          <w:rFonts w:cstheme="minorHAnsi"/>
          <w:sz w:val="24"/>
          <w:szCs w:val="24"/>
        </w:rPr>
        <w:t xml:space="preserve"> </w:t>
      </w:r>
      <w:r w:rsidRPr="00184982">
        <w:rPr>
          <w:rFonts w:cstheme="minorHAnsi"/>
          <w:sz w:val="24"/>
          <w:szCs w:val="24"/>
        </w:rPr>
        <w:t>as men.</w:t>
      </w:r>
      <w:r w:rsidRPr="00184982">
        <w:rPr>
          <w:rStyle w:val="FootnoteReference"/>
          <w:rFonts w:cstheme="minorHAnsi"/>
          <w:sz w:val="24"/>
          <w:szCs w:val="24"/>
        </w:rPr>
        <w:footnoteReference w:id="65"/>
      </w:r>
      <w:r w:rsidRPr="00184982">
        <w:rPr>
          <w:rFonts w:cstheme="minorHAnsi"/>
          <w:sz w:val="24"/>
          <w:szCs w:val="24"/>
        </w:rPr>
        <w:t xml:space="preserve"> </w:t>
      </w:r>
      <w:r w:rsidR="00863506">
        <w:rPr>
          <w:rFonts w:cstheme="minorHAnsi"/>
          <w:sz w:val="24"/>
          <w:szCs w:val="24"/>
        </w:rPr>
        <w:t xml:space="preserve"> Furthermore, earlier data show that when c</w:t>
      </w:r>
      <w:r w:rsidR="00863506" w:rsidRPr="00863506">
        <w:rPr>
          <w:rFonts w:cstheme="minorHAnsi"/>
          <w:sz w:val="24"/>
          <w:szCs w:val="24"/>
        </w:rPr>
        <w:t>ompared to the entire working-age population (ages 15–64), married women, northern inhabitants, and poor adult women are more likely to be inactive</w:t>
      </w:r>
      <w:r w:rsidR="00863506">
        <w:rPr>
          <w:rFonts w:cstheme="minorHAnsi"/>
          <w:sz w:val="24"/>
          <w:szCs w:val="24"/>
        </w:rPr>
        <w:t>, that is, not working, not in school and not looking for work.</w:t>
      </w:r>
      <w:r w:rsidR="00863506">
        <w:rPr>
          <w:rStyle w:val="FootnoteReference"/>
          <w:rFonts w:cstheme="minorHAnsi"/>
          <w:sz w:val="24"/>
          <w:szCs w:val="24"/>
        </w:rPr>
        <w:footnoteReference w:id="66"/>
      </w:r>
      <w:r w:rsidRPr="00184982">
        <w:rPr>
          <w:rFonts w:cstheme="minorHAnsi"/>
          <w:sz w:val="24"/>
          <w:szCs w:val="24"/>
        </w:rPr>
        <w:t xml:space="preserve"> </w:t>
      </w:r>
      <w:r w:rsidR="00CE4FB6">
        <w:rPr>
          <w:rFonts w:cstheme="minorHAnsi"/>
          <w:sz w:val="24"/>
          <w:szCs w:val="24"/>
        </w:rPr>
        <w:t>The data has</w:t>
      </w:r>
      <w:r w:rsidRPr="00184982">
        <w:rPr>
          <w:rFonts w:cstheme="minorHAnsi"/>
          <w:sz w:val="24"/>
          <w:szCs w:val="24"/>
        </w:rPr>
        <w:t xml:space="preserve"> implications for female poverty and economic status: </w:t>
      </w:r>
      <w:r w:rsidRPr="00184982">
        <w:rPr>
          <w:rFonts w:eastAsia="Times New Roman" w:cstheme="minorHAnsi"/>
          <w:sz w:val="24"/>
          <w:szCs w:val="24"/>
        </w:rPr>
        <w:t>women are often the worst hit by poverty and economic inequality.</w:t>
      </w:r>
    </w:p>
    <w:p w14:paraId="232B8AF5" w14:textId="77777777" w:rsidR="00AC3F29" w:rsidRDefault="00863506" w:rsidP="00E75191">
      <w:pPr>
        <w:spacing w:line="240" w:lineRule="auto"/>
        <w:jc w:val="both"/>
        <w:rPr>
          <w:sz w:val="24"/>
          <w:szCs w:val="24"/>
        </w:rPr>
      </w:pPr>
      <w:r w:rsidRPr="008637AF">
        <w:rPr>
          <w:sz w:val="24"/>
          <w:szCs w:val="24"/>
        </w:rPr>
        <w:t xml:space="preserve">Although more women are now working, most work in the informal sector. </w:t>
      </w:r>
      <w:r w:rsidR="00DD1AE8" w:rsidRPr="008637AF">
        <w:rPr>
          <w:sz w:val="24"/>
          <w:szCs w:val="24"/>
        </w:rPr>
        <w:t xml:space="preserve">Employment of women in the formal sector is relatively low with </w:t>
      </w:r>
      <w:r w:rsidR="00DD1AE8" w:rsidRPr="00E42909">
        <w:rPr>
          <w:sz w:val="24"/>
          <w:szCs w:val="24"/>
        </w:rPr>
        <w:t>only about 36% of Nigerian women</w:t>
      </w:r>
      <w:r w:rsidRPr="00E42909">
        <w:rPr>
          <w:sz w:val="24"/>
          <w:szCs w:val="24"/>
        </w:rPr>
        <w:t xml:space="preserve"> in the </w:t>
      </w:r>
      <w:r w:rsidR="00DD1AE8" w:rsidRPr="00E42909">
        <w:rPr>
          <w:sz w:val="24"/>
          <w:szCs w:val="24"/>
        </w:rPr>
        <w:t>workforce.</w:t>
      </w:r>
      <w:r w:rsidR="00DD1AE8" w:rsidRPr="008637AF">
        <w:rPr>
          <w:rStyle w:val="FootnoteReference"/>
          <w:sz w:val="24"/>
          <w:szCs w:val="24"/>
        </w:rPr>
        <w:footnoteReference w:id="67"/>
      </w:r>
      <w:r w:rsidR="00DD1AE8" w:rsidRPr="008637AF">
        <w:rPr>
          <w:sz w:val="24"/>
          <w:szCs w:val="24"/>
        </w:rPr>
        <w:t xml:space="preserve"> </w:t>
      </w:r>
      <w:r w:rsidR="00841ACE" w:rsidRPr="008637AF">
        <w:rPr>
          <w:sz w:val="24"/>
          <w:szCs w:val="24"/>
        </w:rPr>
        <w:t xml:space="preserve">Most women typically turn to the enterprise sector with financial aid from friends and family or personal savings owing to limited access to collateral – immovable property that formal financial organizations require to provide loans. Existing data shows that in Nigeria, men are more than three times </w:t>
      </w:r>
      <w:r w:rsidR="00FF7372" w:rsidRPr="00E42909">
        <w:rPr>
          <w:sz w:val="24"/>
          <w:szCs w:val="24"/>
        </w:rPr>
        <w:t xml:space="preserve">more </w:t>
      </w:r>
      <w:r w:rsidR="00841ACE" w:rsidRPr="00E42909">
        <w:rPr>
          <w:sz w:val="24"/>
          <w:szCs w:val="24"/>
        </w:rPr>
        <w:t xml:space="preserve">likely to own a house or land </w:t>
      </w:r>
      <w:r w:rsidR="00FF7372" w:rsidRPr="00E42909">
        <w:rPr>
          <w:sz w:val="24"/>
          <w:szCs w:val="24"/>
        </w:rPr>
        <w:t xml:space="preserve">than </w:t>
      </w:r>
      <w:r w:rsidR="00841ACE" w:rsidRPr="00E42909">
        <w:rPr>
          <w:sz w:val="24"/>
          <w:szCs w:val="24"/>
        </w:rPr>
        <w:t>women</w:t>
      </w:r>
      <w:r w:rsidR="00FF7372" w:rsidRPr="00E42909">
        <w:rPr>
          <w:sz w:val="24"/>
          <w:szCs w:val="24"/>
        </w:rPr>
        <w:t>. The</w:t>
      </w:r>
      <w:r w:rsidR="00841ACE" w:rsidRPr="00E42909">
        <w:rPr>
          <w:sz w:val="24"/>
          <w:szCs w:val="24"/>
        </w:rPr>
        <w:t xml:space="preserve"> highest level of house ownership among women </w:t>
      </w:r>
      <w:r w:rsidR="00FF7372" w:rsidRPr="00E42909">
        <w:rPr>
          <w:sz w:val="24"/>
          <w:szCs w:val="24"/>
        </w:rPr>
        <w:t>is</w:t>
      </w:r>
      <w:r w:rsidR="00841ACE" w:rsidRPr="00E42909">
        <w:rPr>
          <w:sz w:val="24"/>
          <w:szCs w:val="24"/>
        </w:rPr>
        <w:t xml:space="preserve"> recorded in the South East (27%) and the lowest in the North West (4%).</w:t>
      </w:r>
      <w:r w:rsidR="00841ACE" w:rsidRPr="008637AF">
        <w:rPr>
          <w:rStyle w:val="FootnoteReference"/>
          <w:sz w:val="24"/>
          <w:szCs w:val="24"/>
        </w:rPr>
        <w:footnoteReference w:id="68"/>
      </w:r>
      <w:r w:rsidR="00841ACE" w:rsidRPr="008637AF">
        <w:rPr>
          <w:sz w:val="24"/>
          <w:szCs w:val="24"/>
        </w:rPr>
        <w:t xml:space="preserve"> At the national level, only 11% and 12% of women own a house or land alone or jointly with someone respectively, a considerable decline from the figures recorded in 2013 (18</w:t>
      </w:r>
      <w:r w:rsidR="00FF7372" w:rsidRPr="008637AF">
        <w:rPr>
          <w:sz w:val="24"/>
          <w:szCs w:val="24"/>
        </w:rPr>
        <w:t>%</w:t>
      </w:r>
      <w:r w:rsidR="00841ACE" w:rsidRPr="008637AF">
        <w:rPr>
          <w:sz w:val="24"/>
          <w:szCs w:val="24"/>
        </w:rPr>
        <w:t xml:space="preserve"> and 15% respectively).</w:t>
      </w:r>
      <w:r w:rsidR="00841ACE" w:rsidRPr="008637AF">
        <w:rPr>
          <w:rStyle w:val="FootnoteReference"/>
          <w:sz w:val="24"/>
          <w:szCs w:val="24"/>
        </w:rPr>
        <w:footnoteReference w:id="69"/>
      </w:r>
      <w:r w:rsidR="00841ACE" w:rsidRPr="00C6536D">
        <w:rPr>
          <w:sz w:val="24"/>
          <w:szCs w:val="24"/>
        </w:rPr>
        <w:t xml:space="preserve"> </w:t>
      </w:r>
    </w:p>
    <w:p w14:paraId="4A23264C" w14:textId="77777777" w:rsidR="00681F77" w:rsidRDefault="00FF7372" w:rsidP="00E75191">
      <w:pPr>
        <w:spacing w:line="240" w:lineRule="auto"/>
        <w:jc w:val="both"/>
        <w:rPr>
          <w:sz w:val="24"/>
          <w:szCs w:val="24"/>
        </w:rPr>
      </w:pPr>
      <w:r>
        <w:rPr>
          <w:sz w:val="24"/>
          <w:szCs w:val="24"/>
        </w:rPr>
        <w:t>L</w:t>
      </w:r>
      <w:r w:rsidRPr="00C6536D">
        <w:rPr>
          <w:sz w:val="24"/>
          <w:szCs w:val="24"/>
        </w:rPr>
        <w:t xml:space="preserve">ongstanding traditional practices concerning the ownership of land </w:t>
      </w:r>
      <w:r>
        <w:rPr>
          <w:sz w:val="24"/>
          <w:szCs w:val="24"/>
        </w:rPr>
        <w:t>increase the</w:t>
      </w:r>
      <w:r w:rsidR="00841ACE" w:rsidRPr="00C6536D">
        <w:rPr>
          <w:sz w:val="24"/>
          <w:szCs w:val="24"/>
        </w:rPr>
        <w:t xml:space="preserve"> gap between the number of men and women that are able to access loans from formal financial institutions. Report</w:t>
      </w:r>
      <w:r>
        <w:rPr>
          <w:sz w:val="24"/>
          <w:szCs w:val="24"/>
        </w:rPr>
        <w:t>s</w:t>
      </w:r>
      <w:r w:rsidR="00841ACE" w:rsidRPr="00C6536D">
        <w:rPr>
          <w:sz w:val="24"/>
          <w:szCs w:val="24"/>
        </w:rPr>
        <w:t xml:space="preserve"> show that one of the reasons for loan rejections is the unattainable collateral requirement.</w:t>
      </w:r>
      <w:r w:rsidR="00841ACE" w:rsidRPr="00C6536D">
        <w:rPr>
          <w:rStyle w:val="FootnoteReference"/>
          <w:sz w:val="24"/>
          <w:szCs w:val="24"/>
        </w:rPr>
        <w:footnoteReference w:id="70"/>
      </w:r>
      <w:r w:rsidR="00DA670E">
        <w:rPr>
          <w:sz w:val="24"/>
          <w:szCs w:val="24"/>
        </w:rPr>
        <w:t xml:space="preserve"> </w:t>
      </w:r>
      <w:r w:rsidR="00873D3C">
        <w:rPr>
          <w:sz w:val="24"/>
          <w:szCs w:val="24"/>
        </w:rPr>
        <w:t xml:space="preserve">Limited access to financial education, </w:t>
      </w:r>
      <w:r w:rsidR="00873D3C" w:rsidRPr="00C763A9">
        <w:rPr>
          <w:sz w:val="24"/>
          <w:szCs w:val="24"/>
        </w:rPr>
        <w:t>capacity building opportunities</w:t>
      </w:r>
      <w:r w:rsidR="00873D3C">
        <w:rPr>
          <w:sz w:val="24"/>
          <w:szCs w:val="24"/>
        </w:rPr>
        <w:t xml:space="preserve"> often lead to women mixing personal and business finances, further limiting potential for up scaling businesses</w:t>
      </w:r>
      <w:r w:rsidR="00AC3F29">
        <w:rPr>
          <w:sz w:val="24"/>
          <w:szCs w:val="24"/>
        </w:rPr>
        <w:t xml:space="preserve"> and securing loans</w:t>
      </w:r>
      <w:r w:rsidR="00873D3C">
        <w:rPr>
          <w:sz w:val="24"/>
          <w:szCs w:val="24"/>
        </w:rPr>
        <w:t xml:space="preserve">. Social norms which dictate that women be in charge of </w:t>
      </w:r>
      <w:r w:rsidR="00C763A9">
        <w:rPr>
          <w:sz w:val="24"/>
          <w:szCs w:val="24"/>
        </w:rPr>
        <w:t xml:space="preserve">managing family and </w:t>
      </w:r>
      <w:r w:rsidR="00873D3C">
        <w:rPr>
          <w:sz w:val="24"/>
          <w:szCs w:val="24"/>
        </w:rPr>
        <w:t xml:space="preserve">other social </w:t>
      </w:r>
      <w:r w:rsidR="00C763A9">
        <w:rPr>
          <w:sz w:val="24"/>
          <w:szCs w:val="24"/>
        </w:rPr>
        <w:t>commitments leave women time-poor</w:t>
      </w:r>
      <w:r w:rsidR="00873D3C">
        <w:rPr>
          <w:sz w:val="24"/>
          <w:szCs w:val="24"/>
        </w:rPr>
        <w:t xml:space="preserve">, reducing their ability to find and maintain traditional forms of employment. </w:t>
      </w:r>
      <w:r w:rsidR="00C763A9">
        <w:rPr>
          <w:sz w:val="24"/>
          <w:szCs w:val="24"/>
        </w:rPr>
        <w:t xml:space="preserve">This is of significant concern in light of the data </w:t>
      </w:r>
      <w:r w:rsidR="00C04286">
        <w:rPr>
          <w:sz w:val="24"/>
          <w:szCs w:val="24"/>
        </w:rPr>
        <w:t>show</w:t>
      </w:r>
      <w:r w:rsidR="004D0772">
        <w:rPr>
          <w:sz w:val="24"/>
          <w:szCs w:val="24"/>
        </w:rPr>
        <w:t>ing</w:t>
      </w:r>
      <w:r w:rsidR="00C04286">
        <w:rPr>
          <w:sz w:val="24"/>
          <w:szCs w:val="24"/>
        </w:rPr>
        <w:t xml:space="preserve"> that when women earn an income, </w:t>
      </w:r>
      <w:r w:rsidR="00C04286" w:rsidRPr="008637AF">
        <w:rPr>
          <w:sz w:val="24"/>
          <w:szCs w:val="24"/>
        </w:rPr>
        <w:t>they invest 90</w:t>
      </w:r>
      <w:r w:rsidR="004D0772" w:rsidRPr="008637AF">
        <w:rPr>
          <w:sz w:val="24"/>
          <w:szCs w:val="24"/>
        </w:rPr>
        <w:t>%</w:t>
      </w:r>
      <w:r w:rsidR="00C04286" w:rsidRPr="008637AF">
        <w:rPr>
          <w:sz w:val="24"/>
          <w:szCs w:val="24"/>
        </w:rPr>
        <w:t xml:space="preserve"> of it</w:t>
      </w:r>
      <w:r w:rsidR="00863506" w:rsidRPr="008637AF">
        <w:rPr>
          <w:sz w:val="24"/>
          <w:szCs w:val="24"/>
        </w:rPr>
        <w:t xml:space="preserve"> in their families</w:t>
      </w:r>
      <w:r w:rsidR="00260BC9" w:rsidRPr="008637AF">
        <w:rPr>
          <w:sz w:val="24"/>
          <w:szCs w:val="24"/>
        </w:rPr>
        <w:t xml:space="preserve"> while men typically invest about 40</w:t>
      </w:r>
      <w:r w:rsidR="00260BC9">
        <w:rPr>
          <w:sz w:val="24"/>
          <w:szCs w:val="24"/>
        </w:rPr>
        <w:t>%</w:t>
      </w:r>
      <w:r w:rsidR="00C04286">
        <w:rPr>
          <w:sz w:val="24"/>
          <w:szCs w:val="24"/>
        </w:rPr>
        <w:t>.</w:t>
      </w:r>
      <w:r w:rsidR="00DA670E">
        <w:rPr>
          <w:rStyle w:val="FootnoteReference"/>
          <w:sz w:val="24"/>
          <w:szCs w:val="24"/>
        </w:rPr>
        <w:footnoteReference w:id="71"/>
      </w:r>
    </w:p>
    <w:p w14:paraId="31BC0BE8" w14:textId="77777777" w:rsidR="00681F77" w:rsidRPr="00EB6159" w:rsidRDefault="00E75191" w:rsidP="00EB6159">
      <w:pPr>
        <w:rPr>
          <w:rStyle w:val="IntenseEmphasis"/>
        </w:rPr>
      </w:pPr>
      <w:r w:rsidRPr="00EB6159">
        <w:rPr>
          <w:rStyle w:val="IntenseEmphasis"/>
        </w:rPr>
        <w:t>Illustrative Finding:</w:t>
      </w:r>
      <w:r w:rsidR="00681F77" w:rsidRPr="00EB6159">
        <w:rPr>
          <w:rStyle w:val="IntenseEmphasis"/>
        </w:rPr>
        <w:t xml:space="preserve"> Parity in Employment Opportunity and Remuneration</w:t>
      </w:r>
    </w:p>
    <w:p w14:paraId="162191BC" w14:textId="77777777" w:rsidR="008637AF" w:rsidRPr="008637AF" w:rsidRDefault="008637AF" w:rsidP="008637AF">
      <w:pPr>
        <w:spacing w:line="240" w:lineRule="auto"/>
        <w:jc w:val="both"/>
        <w:rPr>
          <w:sz w:val="24"/>
          <w:szCs w:val="24"/>
        </w:rPr>
      </w:pPr>
      <w:r w:rsidRPr="008637AF">
        <w:rPr>
          <w:sz w:val="24"/>
          <w:szCs w:val="24"/>
        </w:rPr>
        <w:t xml:space="preserve">A total of 67% (44.8% agreed and 22.2% strongly agreed) held the view that women and men have equal employment and promotion opportunities in public sector. A total of 43.9% and 23.3% of all females agreed and strongly agreed respectively while a total of 46.6% and 20.9% of all males agreed and strongly agreed respectively. Those that agreed and strongly agreed </w:t>
      </w:r>
      <w:r w:rsidRPr="008637AF">
        <w:rPr>
          <w:sz w:val="24"/>
          <w:szCs w:val="24"/>
        </w:rPr>
        <w:lastRenderedPageBreak/>
        <w:t>among 'other' are 41.7% and 16.7% while 23.1% and 26.9% of those</w:t>
      </w:r>
      <w:r w:rsidR="008421E4">
        <w:rPr>
          <w:sz w:val="24"/>
          <w:szCs w:val="24"/>
        </w:rPr>
        <w:t xml:space="preserve"> who</w:t>
      </w:r>
      <w:r w:rsidRPr="008637AF">
        <w:rPr>
          <w:sz w:val="24"/>
          <w:szCs w:val="24"/>
        </w:rPr>
        <w:t xml:space="preserve"> preferred not to say anything about their gender agreed and strongly agreed respectively.</w:t>
      </w:r>
    </w:p>
    <w:tbl>
      <w:tblPr>
        <w:tblW w:w="8598" w:type="pct"/>
        <w:tblLook w:val="0000" w:firstRow="0" w:lastRow="0" w:firstColumn="0" w:lastColumn="0" w:noHBand="0" w:noVBand="0"/>
      </w:tblPr>
      <w:tblGrid>
        <w:gridCol w:w="1807"/>
        <w:gridCol w:w="1190"/>
        <w:gridCol w:w="1113"/>
        <w:gridCol w:w="814"/>
        <w:gridCol w:w="814"/>
        <w:gridCol w:w="814"/>
        <w:gridCol w:w="826"/>
        <w:gridCol w:w="814"/>
        <w:gridCol w:w="814"/>
        <w:gridCol w:w="814"/>
        <w:gridCol w:w="814"/>
        <w:gridCol w:w="814"/>
        <w:gridCol w:w="814"/>
        <w:gridCol w:w="814"/>
        <w:gridCol w:w="814"/>
        <w:gridCol w:w="814"/>
        <w:gridCol w:w="817"/>
      </w:tblGrid>
      <w:tr w:rsidR="008637AF" w:rsidRPr="008637AF" w14:paraId="057F307E" w14:textId="77777777" w:rsidTr="00C15490">
        <w:trPr>
          <w:gridAfter w:val="8"/>
          <w:wAfter w:w="2098" w:type="pct"/>
        </w:trPr>
        <w:tc>
          <w:tcPr>
            <w:tcW w:w="583" w:type="pct"/>
          </w:tcPr>
          <w:p w14:paraId="20E09398" w14:textId="77777777" w:rsidR="008637AF" w:rsidRPr="008637AF" w:rsidRDefault="008637AF" w:rsidP="008637AF">
            <w:pPr>
              <w:spacing w:line="240" w:lineRule="auto"/>
              <w:jc w:val="both"/>
              <w:rPr>
                <w:sz w:val="24"/>
                <w:szCs w:val="24"/>
              </w:rPr>
            </w:pPr>
          </w:p>
        </w:tc>
        <w:tc>
          <w:tcPr>
            <w:tcW w:w="383" w:type="pct"/>
          </w:tcPr>
          <w:p w14:paraId="628AEDD5" w14:textId="77777777" w:rsidR="008637AF" w:rsidRPr="008637AF" w:rsidRDefault="008637AF" w:rsidP="008637AF">
            <w:pPr>
              <w:spacing w:line="240" w:lineRule="auto"/>
              <w:jc w:val="both"/>
              <w:rPr>
                <w:sz w:val="24"/>
                <w:szCs w:val="24"/>
              </w:rPr>
            </w:pPr>
            <w:r w:rsidRPr="008637AF">
              <w:rPr>
                <w:sz w:val="24"/>
                <w:szCs w:val="24"/>
              </w:rPr>
              <w:t>Adamawa</w:t>
            </w:r>
          </w:p>
        </w:tc>
        <w:tc>
          <w:tcPr>
            <w:tcW w:w="359" w:type="pct"/>
          </w:tcPr>
          <w:p w14:paraId="06D2E664" w14:textId="77777777" w:rsidR="008637AF" w:rsidRPr="008637AF" w:rsidRDefault="008637AF" w:rsidP="008637AF">
            <w:pPr>
              <w:spacing w:line="240" w:lineRule="auto"/>
              <w:jc w:val="both"/>
              <w:rPr>
                <w:sz w:val="24"/>
                <w:szCs w:val="24"/>
              </w:rPr>
            </w:pPr>
            <w:r w:rsidRPr="008637AF">
              <w:rPr>
                <w:sz w:val="24"/>
                <w:szCs w:val="24"/>
              </w:rPr>
              <w:t>Anambra</w:t>
            </w:r>
          </w:p>
        </w:tc>
        <w:tc>
          <w:tcPr>
            <w:tcW w:w="262" w:type="pct"/>
          </w:tcPr>
          <w:p w14:paraId="63DD2DEB" w14:textId="77777777" w:rsidR="008637AF" w:rsidRPr="008637AF" w:rsidRDefault="008637AF" w:rsidP="008637AF">
            <w:pPr>
              <w:spacing w:line="240" w:lineRule="auto"/>
              <w:jc w:val="both"/>
              <w:rPr>
                <w:sz w:val="24"/>
                <w:szCs w:val="24"/>
              </w:rPr>
            </w:pPr>
            <w:r w:rsidRPr="008637AF">
              <w:rPr>
                <w:sz w:val="24"/>
                <w:szCs w:val="24"/>
              </w:rPr>
              <w:t>Edo</w:t>
            </w:r>
          </w:p>
        </w:tc>
        <w:tc>
          <w:tcPr>
            <w:tcW w:w="262" w:type="pct"/>
          </w:tcPr>
          <w:p w14:paraId="373774ED" w14:textId="77777777" w:rsidR="008637AF" w:rsidRPr="008637AF" w:rsidRDefault="008637AF" w:rsidP="008637AF">
            <w:pPr>
              <w:spacing w:line="240" w:lineRule="auto"/>
              <w:jc w:val="both"/>
              <w:rPr>
                <w:sz w:val="24"/>
                <w:szCs w:val="24"/>
              </w:rPr>
            </w:pPr>
            <w:r w:rsidRPr="008637AF">
              <w:rPr>
                <w:sz w:val="24"/>
                <w:szCs w:val="24"/>
              </w:rPr>
              <w:t>FCT</w:t>
            </w:r>
          </w:p>
        </w:tc>
        <w:tc>
          <w:tcPr>
            <w:tcW w:w="262" w:type="pct"/>
          </w:tcPr>
          <w:p w14:paraId="658D78CB" w14:textId="77777777" w:rsidR="008637AF" w:rsidRPr="008637AF" w:rsidRDefault="008637AF" w:rsidP="008637AF">
            <w:pPr>
              <w:spacing w:line="240" w:lineRule="auto"/>
              <w:jc w:val="both"/>
              <w:rPr>
                <w:sz w:val="24"/>
                <w:szCs w:val="24"/>
              </w:rPr>
            </w:pPr>
            <w:r w:rsidRPr="008637AF">
              <w:rPr>
                <w:sz w:val="24"/>
                <w:szCs w:val="24"/>
              </w:rPr>
              <w:t>Kano</w:t>
            </w:r>
          </w:p>
        </w:tc>
        <w:tc>
          <w:tcPr>
            <w:tcW w:w="266" w:type="pct"/>
          </w:tcPr>
          <w:p w14:paraId="7F5FF5A2" w14:textId="77777777" w:rsidR="008637AF" w:rsidRPr="008637AF" w:rsidRDefault="008637AF" w:rsidP="008637AF">
            <w:pPr>
              <w:spacing w:line="240" w:lineRule="auto"/>
              <w:jc w:val="both"/>
              <w:rPr>
                <w:sz w:val="24"/>
                <w:szCs w:val="24"/>
              </w:rPr>
            </w:pPr>
            <w:r w:rsidRPr="008637AF">
              <w:rPr>
                <w:sz w:val="24"/>
                <w:szCs w:val="24"/>
              </w:rPr>
              <w:t>Kwara</w:t>
            </w:r>
          </w:p>
        </w:tc>
        <w:tc>
          <w:tcPr>
            <w:tcW w:w="262" w:type="pct"/>
          </w:tcPr>
          <w:p w14:paraId="1F5F4BA7" w14:textId="77777777" w:rsidR="008637AF" w:rsidRPr="008637AF" w:rsidRDefault="008637AF" w:rsidP="008637AF">
            <w:pPr>
              <w:spacing w:line="240" w:lineRule="auto"/>
              <w:jc w:val="both"/>
              <w:rPr>
                <w:sz w:val="24"/>
                <w:szCs w:val="24"/>
              </w:rPr>
            </w:pPr>
            <w:r w:rsidRPr="008637AF">
              <w:rPr>
                <w:sz w:val="24"/>
                <w:szCs w:val="24"/>
              </w:rPr>
              <w:t>Lagos</w:t>
            </w:r>
          </w:p>
        </w:tc>
        <w:tc>
          <w:tcPr>
            <w:tcW w:w="262" w:type="pct"/>
          </w:tcPr>
          <w:p w14:paraId="25E60CA1" w14:textId="77777777" w:rsidR="008637AF" w:rsidRPr="008637AF" w:rsidRDefault="008637AF" w:rsidP="008637AF">
            <w:pPr>
              <w:spacing w:line="240" w:lineRule="auto"/>
              <w:jc w:val="both"/>
              <w:rPr>
                <w:sz w:val="24"/>
                <w:szCs w:val="24"/>
              </w:rPr>
            </w:pPr>
            <w:r w:rsidRPr="008637AF">
              <w:rPr>
                <w:sz w:val="24"/>
                <w:szCs w:val="24"/>
              </w:rPr>
              <w:t>Total</w:t>
            </w:r>
          </w:p>
        </w:tc>
      </w:tr>
      <w:tr w:rsidR="00C15490" w:rsidRPr="008637AF" w14:paraId="69472178" w14:textId="77777777" w:rsidTr="00C15490">
        <w:trPr>
          <w:gridAfter w:val="8"/>
          <w:wAfter w:w="2098" w:type="pct"/>
        </w:trPr>
        <w:tc>
          <w:tcPr>
            <w:tcW w:w="583" w:type="pct"/>
          </w:tcPr>
          <w:p w14:paraId="7B74077E" w14:textId="77777777" w:rsidR="00C15490" w:rsidRPr="008637AF" w:rsidRDefault="00C15490" w:rsidP="00C15490">
            <w:pPr>
              <w:spacing w:line="240" w:lineRule="auto"/>
              <w:jc w:val="both"/>
              <w:rPr>
                <w:sz w:val="24"/>
                <w:szCs w:val="24"/>
              </w:rPr>
            </w:pPr>
            <w:r w:rsidRPr="008637AF">
              <w:rPr>
                <w:sz w:val="24"/>
                <w:szCs w:val="24"/>
              </w:rPr>
              <w:t>I agree</w:t>
            </w:r>
          </w:p>
        </w:tc>
        <w:tc>
          <w:tcPr>
            <w:tcW w:w="383" w:type="pct"/>
          </w:tcPr>
          <w:p w14:paraId="2D50760B" w14:textId="77777777" w:rsidR="00C15490" w:rsidRPr="008637AF" w:rsidRDefault="00C15490" w:rsidP="00C15490">
            <w:r w:rsidRPr="008637AF">
              <w:rPr>
                <w:sz w:val="24"/>
                <w:szCs w:val="24"/>
              </w:rPr>
              <w:t>54.0%</w:t>
            </w:r>
          </w:p>
        </w:tc>
        <w:tc>
          <w:tcPr>
            <w:tcW w:w="359" w:type="pct"/>
          </w:tcPr>
          <w:p w14:paraId="02CD54D9" w14:textId="77777777" w:rsidR="00C15490" w:rsidRPr="008637AF" w:rsidRDefault="00C15490" w:rsidP="00C15490">
            <w:r w:rsidRPr="008637AF">
              <w:rPr>
                <w:sz w:val="24"/>
                <w:szCs w:val="24"/>
              </w:rPr>
              <w:t>35.7%</w:t>
            </w:r>
          </w:p>
        </w:tc>
        <w:tc>
          <w:tcPr>
            <w:tcW w:w="262" w:type="pct"/>
          </w:tcPr>
          <w:p w14:paraId="1A3CBBF0" w14:textId="77777777" w:rsidR="00C15490" w:rsidRPr="008637AF" w:rsidRDefault="00C15490" w:rsidP="00C15490">
            <w:r w:rsidRPr="008637AF">
              <w:rPr>
                <w:sz w:val="24"/>
                <w:szCs w:val="24"/>
              </w:rPr>
              <w:t>49.8%</w:t>
            </w:r>
          </w:p>
        </w:tc>
        <w:tc>
          <w:tcPr>
            <w:tcW w:w="262" w:type="pct"/>
          </w:tcPr>
          <w:p w14:paraId="27029506" w14:textId="77777777" w:rsidR="00C15490" w:rsidRPr="008637AF" w:rsidRDefault="00C15490" w:rsidP="00C15490">
            <w:pPr>
              <w:spacing w:line="240" w:lineRule="auto"/>
              <w:jc w:val="both"/>
              <w:rPr>
                <w:sz w:val="24"/>
                <w:szCs w:val="24"/>
              </w:rPr>
            </w:pPr>
          </w:p>
        </w:tc>
        <w:tc>
          <w:tcPr>
            <w:tcW w:w="262" w:type="pct"/>
          </w:tcPr>
          <w:p w14:paraId="291BBF74" w14:textId="77777777" w:rsidR="00C15490" w:rsidRPr="008637AF" w:rsidRDefault="00C15490" w:rsidP="00C15490"/>
        </w:tc>
        <w:tc>
          <w:tcPr>
            <w:tcW w:w="266" w:type="pct"/>
          </w:tcPr>
          <w:p w14:paraId="288C886E" w14:textId="77777777" w:rsidR="00C15490" w:rsidRPr="008637AF" w:rsidRDefault="00C15490" w:rsidP="00C15490"/>
        </w:tc>
        <w:tc>
          <w:tcPr>
            <w:tcW w:w="262" w:type="pct"/>
          </w:tcPr>
          <w:p w14:paraId="325A9BC9" w14:textId="77777777" w:rsidR="00C15490" w:rsidRPr="008637AF" w:rsidRDefault="00C15490" w:rsidP="00C15490"/>
        </w:tc>
        <w:tc>
          <w:tcPr>
            <w:tcW w:w="262" w:type="pct"/>
          </w:tcPr>
          <w:p w14:paraId="59172DDB" w14:textId="77777777" w:rsidR="00C15490" w:rsidRPr="008637AF" w:rsidRDefault="00C15490" w:rsidP="00C15490">
            <w:pPr>
              <w:spacing w:line="240" w:lineRule="auto"/>
              <w:jc w:val="both"/>
              <w:rPr>
                <w:sz w:val="24"/>
                <w:szCs w:val="24"/>
              </w:rPr>
            </w:pPr>
          </w:p>
        </w:tc>
      </w:tr>
      <w:tr w:rsidR="00BC51C5" w:rsidRPr="008637AF" w14:paraId="60E6E9D3" w14:textId="77777777" w:rsidTr="00C15490">
        <w:tc>
          <w:tcPr>
            <w:tcW w:w="583" w:type="pct"/>
          </w:tcPr>
          <w:p w14:paraId="68DBDC8C" w14:textId="77777777" w:rsidR="00BC51C5" w:rsidRPr="008637AF" w:rsidRDefault="00BC51C5" w:rsidP="00BC51C5">
            <w:pPr>
              <w:spacing w:line="240" w:lineRule="auto"/>
              <w:jc w:val="both"/>
              <w:rPr>
                <w:sz w:val="24"/>
                <w:szCs w:val="24"/>
              </w:rPr>
            </w:pPr>
            <w:r w:rsidRPr="008637AF">
              <w:rPr>
                <w:sz w:val="24"/>
                <w:szCs w:val="24"/>
              </w:rPr>
              <w:t>I strongly agree</w:t>
            </w:r>
          </w:p>
        </w:tc>
        <w:tc>
          <w:tcPr>
            <w:tcW w:w="383" w:type="pct"/>
          </w:tcPr>
          <w:p w14:paraId="55A8CC89" w14:textId="77777777" w:rsidR="00BC51C5" w:rsidRPr="008637AF" w:rsidRDefault="00BC51C5" w:rsidP="00BC51C5">
            <w:pPr>
              <w:spacing w:line="240" w:lineRule="auto"/>
              <w:jc w:val="both"/>
              <w:rPr>
                <w:sz w:val="24"/>
                <w:szCs w:val="24"/>
              </w:rPr>
            </w:pPr>
            <w:r w:rsidRPr="008637AF">
              <w:rPr>
                <w:sz w:val="24"/>
                <w:szCs w:val="24"/>
              </w:rPr>
              <w:t>39.4%</w:t>
            </w:r>
          </w:p>
        </w:tc>
        <w:tc>
          <w:tcPr>
            <w:tcW w:w="359" w:type="pct"/>
          </w:tcPr>
          <w:p w14:paraId="47BB9044" w14:textId="77777777" w:rsidR="00BC51C5" w:rsidRPr="008637AF" w:rsidRDefault="00BC51C5" w:rsidP="00BC51C5">
            <w:pPr>
              <w:spacing w:line="240" w:lineRule="auto"/>
              <w:jc w:val="both"/>
              <w:rPr>
                <w:sz w:val="24"/>
                <w:szCs w:val="24"/>
              </w:rPr>
            </w:pPr>
            <w:r w:rsidRPr="008637AF">
              <w:rPr>
                <w:sz w:val="24"/>
                <w:szCs w:val="24"/>
              </w:rPr>
              <w:t>28.2%</w:t>
            </w:r>
          </w:p>
        </w:tc>
        <w:tc>
          <w:tcPr>
            <w:tcW w:w="262" w:type="pct"/>
          </w:tcPr>
          <w:p w14:paraId="019A5B25" w14:textId="77777777" w:rsidR="00BC51C5" w:rsidRPr="008637AF" w:rsidRDefault="00BC51C5" w:rsidP="00BC51C5">
            <w:pPr>
              <w:spacing w:line="240" w:lineRule="auto"/>
              <w:jc w:val="both"/>
              <w:rPr>
                <w:sz w:val="24"/>
                <w:szCs w:val="24"/>
              </w:rPr>
            </w:pPr>
            <w:r w:rsidRPr="008637AF">
              <w:rPr>
                <w:sz w:val="24"/>
                <w:szCs w:val="24"/>
              </w:rPr>
              <w:t>11.8%</w:t>
            </w:r>
          </w:p>
        </w:tc>
        <w:tc>
          <w:tcPr>
            <w:tcW w:w="262" w:type="pct"/>
          </w:tcPr>
          <w:p w14:paraId="19A75723" w14:textId="77777777" w:rsidR="00BC51C5" w:rsidRPr="008637AF" w:rsidRDefault="00BC51C5" w:rsidP="00BC51C5">
            <w:pPr>
              <w:spacing w:line="240" w:lineRule="auto"/>
              <w:jc w:val="both"/>
              <w:rPr>
                <w:sz w:val="24"/>
                <w:szCs w:val="24"/>
              </w:rPr>
            </w:pPr>
            <w:r w:rsidRPr="008637AF">
              <w:rPr>
                <w:sz w:val="24"/>
                <w:szCs w:val="24"/>
              </w:rPr>
              <w:t>17.8%</w:t>
            </w:r>
          </w:p>
        </w:tc>
        <w:tc>
          <w:tcPr>
            <w:tcW w:w="262" w:type="pct"/>
          </w:tcPr>
          <w:p w14:paraId="43C69223" w14:textId="77777777" w:rsidR="00BC51C5" w:rsidRPr="008637AF" w:rsidRDefault="00BC51C5" w:rsidP="00BC51C5">
            <w:pPr>
              <w:spacing w:line="240" w:lineRule="auto"/>
              <w:jc w:val="both"/>
              <w:rPr>
                <w:sz w:val="24"/>
                <w:szCs w:val="24"/>
              </w:rPr>
            </w:pPr>
            <w:r w:rsidRPr="008637AF">
              <w:rPr>
                <w:sz w:val="24"/>
                <w:szCs w:val="24"/>
              </w:rPr>
              <w:t>18.5%</w:t>
            </w:r>
          </w:p>
        </w:tc>
        <w:tc>
          <w:tcPr>
            <w:tcW w:w="266" w:type="pct"/>
          </w:tcPr>
          <w:p w14:paraId="33E12571" w14:textId="77777777" w:rsidR="00BC51C5" w:rsidRPr="008637AF" w:rsidRDefault="00BC51C5" w:rsidP="00BC51C5">
            <w:pPr>
              <w:spacing w:line="240" w:lineRule="auto"/>
              <w:jc w:val="both"/>
              <w:rPr>
                <w:sz w:val="24"/>
                <w:szCs w:val="24"/>
              </w:rPr>
            </w:pPr>
            <w:r w:rsidRPr="008637AF">
              <w:rPr>
                <w:sz w:val="24"/>
                <w:szCs w:val="24"/>
              </w:rPr>
              <w:t>17.7%</w:t>
            </w:r>
          </w:p>
        </w:tc>
        <w:tc>
          <w:tcPr>
            <w:tcW w:w="262" w:type="pct"/>
          </w:tcPr>
          <w:p w14:paraId="5F661E3D" w14:textId="77777777" w:rsidR="00BC51C5" w:rsidRPr="008637AF" w:rsidRDefault="00BC51C5" w:rsidP="00BC51C5">
            <w:pPr>
              <w:spacing w:line="240" w:lineRule="auto"/>
              <w:jc w:val="both"/>
              <w:rPr>
                <w:sz w:val="24"/>
                <w:szCs w:val="24"/>
              </w:rPr>
            </w:pPr>
            <w:r w:rsidRPr="008637AF">
              <w:rPr>
                <w:sz w:val="24"/>
                <w:szCs w:val="24"/>
              </w:rPr>
              <w:t>15.2%</w:t>
            </w:r>
          </w:p>
        </w:tc>
        <w:tc>
          <w:tcPr>
            <w:tcW w:w="262" w:type="pct"/>
          </w:tcPr>
          <w:p w14:paraId="6BA30138" w14:textId="77777777" w:rsidR="00BC51C5" w:rsidRPr="008637AF" w:rsidRDefault="00BC51C5" w:rsidP="00BC51C5">
            <w:pPr>
              <w:spacing w:line="240" w:lineRule="auto"/>
              <w:jc w:val="both"/>
              <w:rPr>
                <w:sz w:val="24"/>
                <w:szCs w:val="24"/>
              </w:rPr>
            </w:pPr>
            <w:r w:rsidRPr="008637AF">
              <w:rPr>
                <w:sz w:val="24"/>
                <w:szCs w:val="24"/>
              </w:rPr>
              <w:t>I agree</w:t>
            </w:r>
          </w:p>
        </w:tc>
        <w:tc>
          <w:tcPr>
            <w:tcW w:w="262" w:type="pct"/>
          </w:tcPr>
          <w:p w14:paraId="6772B33C" w14:textId="77777777" w:rsidR="00BC51C5" w:rsidRPr="008637AF" w:rsidRDefault="00BC51C5" w:rsidP="00BC51C5">
            <w:r w:rsidRPr="008637AF">
              <w:rPr>
                <w:sz w:val="24"/>
                <w:szCs w:val="24"/>
              </w:rPr>
              <w:t>54.0%</w:t>
            </w:r>
          </w:p>
        </w:tc>
        <w:tc>
          <w:tcPr>
            <w:tcW w:w="262" w:type="pct"/>
          </w:tcPr>
          <w:p w14:paraId="3652E23C" w14:textId="77777777" w:rsidR="00BC51C5" w:rsidRPr="008637AF" w:rsidRDefault="00BC51C5" w:rsidP="00BC51C5">
            <w:r w:rsidRPr="008637AF">
              <w:rPr>
                <w:sz w:val="24"/>
                <w:szCs w:val="24"/>
              </w:rPr>
              <w:t>35.7%</w:t>
            </w:r>
          </w:p>
        </w:tc>
        <w:tc>
          <w:tcPr>
            <w:tcW w:w="262" w:type="pct"/>
          </w:tcPr>
          <w:p w14:paraId="24BDDEAE" w14:textId="77777777" w:rsidR="00BC51C5" w:rsidRPr="008637AF" w:rsidRDefault="00BC51C5" w:rsidP="00BC51C5">
            <w:r w:rsidRPr="008637AF">
              <w:rPr>
                <w:sz w:val="24"/>
                <w:szCs w:val="24"/>
              </w:rPr>
              <w:t>49.8%</w:t>
            </w:r>
          </w:p>
        </w:tc>
        <w:tc>
          <w:tcPr>
            <w:tcW w:w="262" w:type="pct"/>
          </w:tcPr>
          <w:p w14:paraId="23148C9C" w14:textId="77777777" w:rsidR="00BC51C5" w:rsidRPr="008637AF" w:rsidRDefault="00BC51C5" w:rsidP="00BC51C5">
            <w:r w:rsidRPr="008637AF">
              <w:rPr>
                <w:sz w:val="24"/>
                <w:szCs w:val="24"/>
              </w:rPr>
              <w:t>46.0%</w:t>
            </w:r>
          </w:p>
        </w:tc>
        <w:tc>
          <w:tcPr>
            <w:tcW w:w="262" w:type="pct"/>
          </w:tcPr>
          <w:p w14:paraId="6662F684" w14:textId="77777777" w:rsidR="00BC51C5" w:rsidRPr="008637AF" w:rsidRDefault="00BC51C5" w:rsidP="00BC51C5">
            <w:r w:rsidRPr="008637AF">
              <w:rPr>
                <w:sz w:val="24"/>
                <w:szCs w:val="24"/>
              </w:rPr>
              <w:t>49.4%</w:t>
            </w:r>
          </w:p>
        </w:tc>
        <w:tc>
          <w:tcPr>
            <w:tcW w:w="262" w:type="pct"/>
          </w:tcPr>
          <w:p w14:paraId="7D98087B" w14:textId="77777777" w:rsidR="00BC51C5" w:rsidRPr="008637AF" w:rsidRDefault="00BC51C5" w:rsidP="00BC51C5">
            <w:r w:rsidRPr="008637AF">
              <w:rPr>
                <w:sz w:val="24"/>
                <w:szCs w:val="24"/>
              </w:rPr>
              <w:t>38.0%</w:t>
            </w:r>
          </w:p>
        </w:tc>
        <w:tc>
          <w:tcPr>
            <w:tcW w:w="262" w:type="pct"/>
          </w:tcPr>
          <w:p w14:paraId="4C8A516A" w14:textId="77777777" w:rsidR="00BC51C5" w:rsidRPr="008637AF" w:rsidRDefault="00BC51C5" w:rsidP="00BC51C5">
            <w:r w:rsidRPr="008637AF">
              <w:rPr>
                <w:sz w:val="24"/>
                <w:szCs w:val="24"/>
              </w:rPr>
              <w:t>21.4%</w:t>
            </w:r>
          </w:p>
        </w:tc>
        <w:tc>
          <w:tcPr>
            <w:tcW w:w="262" w:type="pct"/>
          </w:tcPr>
          <w:p w14:paraId="71623DBA" w14:textId="77777777" w:rsidR="00BC51C5" w:rsidRPr="008637AF" w:rsidRDefault="00BC51C5" w:rsidP="00BC51C5">
            <w:r w:rsidRPr="008637AF">
              <w:rPr>
                <w:sz w:val="24"/>
                <w:szCs w:val="24"/>
              </w:rPr>
              <w:t>44.8%</w:t>
            </w:r>
          </w:p>
        </w:tc>
      </w:tr>
      <w:tr w:rsidR="00BC51C5" w:rsidRPr="008637AF" w14:paraId="2D3F979E" w14:textId="77777777" w:rsidTr="00C15490">
        <w:trPr>
          <w:gridAfter w:val="8"/>
          <w:wAfter w:w="2098" w:type="pct"/>
        </w:trPr>
        <w:tc>
          <w:tcPr>
            <w:tcW w:w="583" w:type="pct"/>
          </w:tcPr>
          <w:p w14:paraId="15A53B2A" w14:textId="77777777" w:rsidR="00BC51C5" w:rsidRPr="008637AF" w:rsidRDefault="00BC51C5" w:rsidP="00BC51C5">
            <w:pPr>
              <w:spacing w:line="240" w:lineRule="auto"/>
              <w:jc w:val="both"/>
              <w:rPr>
                <w:sz w:val="24"/>
                <w:szCs w:val="24"/>
              </w:rPr>
            </w:pPr>
            <w:r w:rsidRPr="008637AF">
              <w:rPr>
                <w:sz w:val="24"/>
                <w:szCs w:val="24"/>
              </w:rPr>
              <w:t>I neither agree or disagree</w:t>
            </w:r>
          </w:p>
        </w:tc>
        <w:tc>
          <w:tcPr>
            <w:tcW w:w="383" w:type="pct"/>
          </w:tcPr>
          <w:p w14:paraId="7EDB893B" w14:textId="77777777" w:rsidR="00BC51C5" w:rsidRPr="008637AF" w:rsidRDefault="00BC51C5" w:rsidP="00BC51C5">
            <w:pPr>
              <w:spacing w:line="240" w:lineRule="auto"/>
              <w:jc w:val="both"/>
              <w:rPr>
                <w:sz w:val="24"/>
                <w:szCs w:val="24"/>
              </w:rPr>
            </w:pPr>
            <w:r w:rsidRPr="008637AF">
              <w:rPr>
                <w:sz w:val="24"/>
                <w:szCs w:val="24"/>
              </w:rPr>
              <w:t>1.9%</w:t>
            </w:r>
          </w:p>
        </w:tc>
        <w:tc>
          <w:tcPr>
            <w:tcW w:w="359" w:type="pct"/>
          </w:tcPr>
          <w:p w14:paraId="472C8782" w14:textId="77777777" w:rsidR="00BC51C5" w:rsidRPr="008637AF" w:rsidRDefault="00BC51C5" w:rsidP="00BC51C5">
            <w:pPr>
              <w:spacing w:line="240" w:lineRule="auto"/>
              <w:jc w:val="both"/>
              <w:rPr>
                <w:sz w:val="24"/>
                <w:szCs w:val="24"/>
              </w:rPr>
            </w:pPr>
            <w:r w:rsidRPr="008637AF">
              <w:rPr>
                <w:sz w:val="24"/>
                <w:szCs w:val="24"/>
              </w:rPr>
              <w:t>5.5%</w:t>
            </w:r>
          </w:p>
        </w:tc>
        <w:tc>
          <w:tcPr>
            <w:tcW w:w="262" w:type="pct"/>
          </w:tcPr>
          <w:p w14:paraId="12574F6F" w14:textId="77777777" w:rsidR="00BC51C5" w:rsidRPr="008637AF" w:rsidRDefault="00BC51C5" w:rsidP="00BC51C5">
            <w:pPr>
              <w:spacing w:line="240" w:lineRule="auto"/>
              <w:jc w:val="both"/>
              <w:rPr>
                <w:sz w:val="24"/>
                <w:szCs w:val="24"/>
              </w:rPr>
            </w:pPr>
            <w:r w:rsidRPr="008637AF">
              <w:rPr>
                <w:sz w:val="24"/>
                <w:szCs w:val="24"/>
              </w:rPr>
              <w:t>13.1%</w:t>
            </w:r>
          </w:p>
        </w:tc>
        <w:tc>
          <w:tcPr>
            <w:tcW w:w="262" w:type="pct"/>
          </w:tcPr>
          <w:p w14:paraId="3A8F1A8F" w14:textId="77777777" w:rsidR="00BC51C5" w:rsidRPr="008637AF" w:rsidRDefault="00BC51C5" w:rsidP="00BC51C5">
            <w:pPr>
              <w:spacing w:line="240" w:lineRule="auto"/>
              <w:jc w:val="both"/>
              <w:rPr>
                <w:sz w:val="24"/>
                <w:szCs w:val="24"/>
              </w:rPr>
            </w:pPr>
            <w:r w:rsidRPr="008637AF">
              <w:rPr>
                <w:sz w:val="24"/>
                <w:szCs w:val="24"/>
              </w:rPr>
              <w:t>12.6%</w:t>
            </w:r>
          </w:p>
        </w:tc>
        <w:tc>
          <w:tcPr>
            <w:tcW w:w="262" w:type="pct"/>
          </w:tcPr>
          <w:p w14:paraId="1EFAB37F" w14:textId="77777777" w:rsidR="00BC51C5" w:rsidRPr="008637AF" w:rsidRDefault="00BC51C5" w:rsidP="00BC51C5">
            <w:pPr>
              <w:spacing w:line="240" w:lineRule="auto"/>
              <w:jc w:val="both"/>
              <w:rPr>
                <w:sz w:val="24"/>
                <w:szCs w:val="24"/>
              </w:rPr>
            </w:pPr>
            <w:r w:rsidRPr="008637AF">
              <w:rPr>
                <w:sz w:val="24"/>
                <w:szCs w:val="24"/>
              </w:rPr>
              <w:t>5.3%</w:t>
            </w:r>
          </w:p>
        </w:tc>
        <w:tc>
          <w:tcPr>
            <w:tcW w:w="266" w:type="pct"/>
          </w:tcPr>
          <w:p w14:paraId="12C4D6EC" w14:textId="77777777" w:rsidR="00BC51C5" w:rsidRPr="008637AF" w:rsidRDefault="00BC51C5" w:rsidP="00BC51C5">
            <w:pPr>
              <w:spacing w:line="240" w:lineRule="auto"/>
              <w:jc w:val="both"/>
              <w:rPr>
                <w:sz w:val="24"/>
                <w:szCs w:val="24"/>
              </w:rPr>
            </w:pPr>
            <w:r w:rsidRPr="008637AF">
              <w:rPr>
                <w:sz w:val="24"/>
                <w:szCs w:val="24"/>
              </w:rPr>
              <w:t>13.9%</w:t>
            </w:r>
          </w:p>
        </w:tc>
        <w:tc>
          <w:tcPr>
            <w:tcW w:w="262" w:type="pct"/>
          </w:tcPr>
          <w:p w14:paraId="2475CFA9" w14:textId="77777777" w:rsidR="00BC51C5" w:rsidRPr="008637AF" w:rsidRDefault="00BC51C5" w:rsidP="00BC51C5">
            <w:pPr>
              <w:spacing w:line="240" w:lineRule="auto"/>
              <w:jc w:val="both"/>
              <w:rPr>
                <w:sz w:val="24"/>
                <w:szCs w:val="24"/>
              </w:rPr>
            </w:pPr>
            <w:r w:rsidRPr="008637AF">
              <w:rPr>
                <w:sz w:val="24"/>
                <w:szCs w:val="24"/>
              </w:rPr>
              <w:t>11.6%</w:t>
            </w:r>
          </w:p>
        </w:tc>
        <w:tc>
          <w:tcPr>
            <w:tcW w:w="262" w:type="pct"/>
          </w:tcPr>
          <w:p w14:paraId="56AC5B83" w14:textId="77777777" w:rsidR="00BC51C5" w:rsidRPr="008637AF" w:rsidRDefault="00BC51C5" w:rsidP="00BC51C5">
            <w:pPr>
              <w:spacing w:line="240" w:lineRule="auto"/>
              <w:jc w:val="both"/>
              <w:rPr>
                <w:sz w:val="24"/>
                <w:szCs w:val="24"/>
              </w:rPr>
            </w:pPr>
            <w:r w:rsidRPr="008637AF">
              <w:rPr>
                <w:sz w:val="24"/>
                <w:szCs w:val="24"/>
              </w:rPr>
              <w:t>8.4%</w:t>
            </w:r>
          </w:p>
        </w:tc>
      </w:tr>
      <w:tr w:rsidR="00BC51C5" w:rsidRPr="008637AF" w14:paraId="3C0CC3D9" w14:textId="77777777" w:rsidTr="00C15490">
        <w:trPr>
          <w:gridAfter w:val="8"/>
          <w:wAfter w:w="2098" w:type="pct"/>
        </w:trPr>
        <w:tc>
          <w:tcPr>
            <w:tcW w:w="583" w:type="pct"/>
          </w:tcPr>
          <w:p w14:paraId="7BA858DE" w14:textId="77777777" w:rsidR="00BC51C5" w:rsidRPr="008637AF" w:rsidRDefault="00BC51C5" w:rsidP="00BC51C5">
            <w:pPr>
              <w:spacing w:line="240" w:lineRule="auto"/>
              <w:jc w:val="both"/>
              <w:rPr>
                <w:sz w:val="24"/>
                <w:szCs w:val="24"/>
              </w:rPr>
            </w:pPr>
            <w:r w:rsidRPr="008637AF">
              <w:rPr>
                <w:sz w:val="24"/>
                <w:szCs w:val="24"/>
              </w:rPr>
              <w:t>I disagree</w:t>
            </w:r>
          </w:p>
        </w:tc>
        <w:tc>
          <w:tcPr>
            <w:tcW w:w="383" w:type="pct"/>
          </w:tcPr>
          <w:p w14:paraId="04664000" w14:textId="77777777" w:rsidR="00BC51C5" w:rsidRPr="008637AF" w:rsidRDefault="00BC51C5" w:rsidP="00BC51C5">
            <w:pPr>
              <w:spacing w:line="240" w:lineRule="auto"/>
              <w:jc w:val="both"/>
              <w:rPr>
                <w:sz w:val="24"/>
                <w:szCs w:val="24"/>
              </w:rPr>
            </w:pPr>
            <w:r w:rsidRPr="008637AF">
              <w:rPr>
                <w:sz w:val="24"/>
                <w:szCs w:val="24"/>
              </w:rPr>
              <w:t>3.4%</w:t>
            </w:r>
          </w:p>
        </w:tc>
        <w:tc>
          <w:tcPr>
            <w:tcW w:w="359" w:type="pct"/>
          </w:tcPr>
          <w:p w14:paraId="61B20382" w14:textId="77777777" w:rsidR="00BC51C5" w:rsidRPr="008637AF" w:rsidRDefault="00BC51C5" w:rsidP="00BC51C5">
            <w:pPr>
              <w:spacing w:line="240" w:lineRule="auto"/>
              <w:jc w:val="both"/>
              <w:rPr>
                <w:sz w:val="24"/>
                <w:szCs w:val="24"/>
              </w:rPr>
            </w:pPr>
            <w:r w:rsidRPr="008637AF">
              <w:rPr>
                <w:sz w:val="24"/>
                <w:szCs w:val="24"/>
              </w:rPr>
              <w:t>25.3%</w:t>
            </w:r>
          </w:p>
        </w:tc>
        <w:tc>
          <w:tcPr>
            <w:tcW w:w="262" w:type="pct"/>
          </w:tcPr>
          <w:p w14:paraId="053D8552" w14:textId="77777777" w:rsidR="00BC51C5" w:rsidRPr="008637AF" w:rsidRDefault="00BC51C5" w:rsidP="00BC51C5">
            <w:pPr>
              <w:spacing w:line="240" w:lineRule="auto"/>
              <w:jc w:val="both"/>
              <w:rPr>
                <w:sz w:val="24"/>
                <w:szCs w:val="24"/>
              </w:rPr>
            </w:pPr>
            <w:r w:rsidRPr="008637AF">
              <w:rPr>
                <w:sz w:val="24"/>
                <w:szCs w:val="24"/>
              </w:rPr>
              <w:t>22.7%</w:t>
            </w:r>
          </w:p>
        </w:tc>
        <w:tc>
          <w:tcPr>
            <w:tcW w:w="262" w:type="pct"/>
          </w:tcPr>
          <w:p w14:paraId="24304E44" w14:textId="77777777" w:rsidR="00BC51C5" w:rsidRPr="008637AF" w:rsidRDefault="00BC51C5" w:rsidP="00BC51C5">
            <w:pPr>
              <w:spacing w:line="240" w:lineRule="auto"/>
              <w:jc w:val="center"/>
              <w:rPr>
                <w:sz w:val="24"/>
                <w:szCs w:val="24"/>
              </w:rPr>
            </w:pPr>
            <w:r w:rsidRPr="008637AF">
              <w:rPr>
                <w:sz w:val="24"/>
                <w:szCs w:val="24"/>
              </w:rPr>
              <w:t>18.4%</w:t>
            </w:r>
          </w:p>
        </w:tc>
        <w:tc>
          <w:tcPr>
            <w:tcW w:w="262" w:type="pct"/>
          </w:tcPr>
          <w:p w14:paraId="6C37585F" w14:textId="77777777" w:rsidR="00BC51C5" w:rsidRPr="008637AF" w:rsidRDefault="00BC51C5" w:rsidP="00BC51C5">
            <w:pPr>
              <w:spacing w:line="240" w:lineRule="auto"/>
              <w:jc w:val="both"/>
              <w:rPr>
                <w:sz w:val="24"/>
                <w:szCs w:val="24"/>
              </w:rPr>
            </w:pPr>
            <w:r w:rsidRPr="008637AF">
              <w:rPr>
                <w:sz w:val="24"/>
                <w:szCs w:val="24"/>
              </w:rPr>
              <w:t>22.8%</w:t>
            </w:r>
          </w:p>
        </w:tc>
        <w:tc>
          <w:tcPr>
            <w:tcW w:w="266" w:type="pct"/>
          </w:tcPr>
          <w:p w14:paraId="22463444" w14:textId="77777777" w:rsidR="00BC51C5" w:rsidRPr="008637AF" w:rsidRDefault="00BC51C5" w:rsidP="00BC51C5">
            <w:pPr>
              <w:spacing w:line="240" w:lineRule="auto"/>
              <w:jc w:val="both"/>
              <w:rPr>
                <w:sz w:val="24"/>
                <w:szCs w:val="24"/>
              </w:rPr>
            </w:pPr>
            <w:r w:rsidRPr="008637AF">
              <w:rPr>
                <w:sz w:val="24"/>
                <w:szCs w:val="24"/>
              </w:rPr>
              <w:t>25.3%</w:t>
            </w:r>
          </w:p>
        </w:tc>
        <w:tc>
          <w:tcPr>
            <w:tcW w:w="262" w:type="pct"/>
          </w:tcPr>
          <w:p w14:paraId="7A4FE300" w14:textId="77777777" w:rsidR="00BC51C5" w:rsidRPr="008637AF" w:rsidRDefault="00BC51C5" w:rsidP="00BC51C5">
            <w:pPr>
              <w:spacing w:line="240" w:lineRule="auto"/>
              <w:jc w:val="both"/>
              <w:rPr>
                <w:sz w:val="24"/>
                <w:szCs w:val="24"/>
              </w:rPr>
            </w:pPr>
            <w:r w:rsidRPr="008637AF">
              <w:rPr>
                <w:sz w:val="24"/>
                <w:szCs w:val="24"/>
              </w:rPr>
              <w:t>33.0%</w:t>
            </w:r>
          </w:p>
        </w:tc>
        <w:tc>
          <w:tcPr>
            <w:tcW w:w="262" w:type="pct"/>
          </w:tcPr>
          <w:p w14:paraId="65C47015" w14:textId="77777777" w:rsidR="00BC51C5" w:rsidRPr="008637AF" w:rsidRDefault="00BC51C5" w:rsidP="00BC51C5">
            <w:pPr>
              <w:spacing w:line="240" w:lineRule="auto"/>
              <w:jc w:val="both"/>
              <w:rPr>
                <w:sz w:val="24"/>
                <w:szCs w:val="24"/>
              </w:rPr>
            </w:pPr>
            <w:r w:rsidRPr="008637AF">
              <w:rPr>
                <w:sz w:val="24"/>
                <w:szCs w:val="24"/>
              </w:rPr>
              <w:t>20.0%</w:t>
            </w:r>
          </w:p>
        </w:tc>
      </w:tr>
      <w:tr w:rsidR="00BC51C5" w:rsidRPr="008637AF" w14:paraId="29810CEE" w14:textId="77777777" w:rsidTr="00C15490">
        <w:trPr>
          <w:gridAfter w:val="8"/>
          <w:wAfter w:w="2098" w:type="pct"/>
        </w:trPr>
        <w:tc>
          <w:tcPr>
            <w:tcW w:w="583" w:type="pct"/>
          </w:tcPr>
          <w:p w14:paraId="50C23D17" w14:textId="77777777" w:rsidR="00BC51C5" w:rsidRPr="008637AF" w:rsidRDefault="00BC51C5" w:rsidP="00BC51C5">
            <w:pPr>
              <w:spacing w:line="240" w:lineRule="auto"/>
              <w:jc w:val="both"/>
              <w:rPr>
                <w:sz w:val="24"/>
                <w:szCs w:val="24"/>
              </w:rPr>
            </w:pPr>
            <w:r w:rsidRPr="008637AF">
              <w:rPr>
                <w:sz w:val="24"/>
                <w:szCs w:val="24"/>
              </w:rPr>
              <w:t>I strongly disagree</w:t>
            </w:r>
          </w:p>
        </w:tc>
        <w:tc>
          <w:tcPr>
            <w:tcW w:w="383" w:type="pct"/>
          </w:tcPr>
          <w:p w14:paraId="46AE6C5A" w14:textId="77777777" w:rsidR="00BC51C5" w:rsidRPr="008637AF" w:rsidRDefault="00BC51C5" w:rsidP="00BC51C5">
            <w:pPr>
              <w:spacing w:line="240" w:lineRule="auto"/>
              <w:jc w:val="both"/>
              <w:rPr>
                <w:sz w:val="24"/>
                <w:szCs w:val="24"/>
              </w:rPr>
            </w:pPr>
            <w:r w:rsidRPr="008637AF">
              <w:rPr>
                <w:sz w:val="24"/>
                <w:szCs w:val="24"/>
              </w:rPr>
              <w:t>1.2%</w:t>
            </w:r>
          </w:p>
        </w:tc>
        <w:tc>
          <w:tcPr>
            <w:tcW w:w="359" w:type="pct"/>
          </w:tcPr>
          <w:p w14:paraId="2C7FA019" w14:textId="77777777" w:rsidR="00BC51C5" w:rsidRPr="008637AF" w:rsidRDefault="00BC51C5" w:rsidP="00BC51C5">
            <w:pPr>
              <w:spacing w:line="240" w:lineRule="auto"/>
              <w:jc w:val="both"/>
              <w:rPr>
                <w:sz w:val="24"/>
                <w:szCs w:val="24"/>
              </w:rPr>
            </w:pPr>
            <w:r w:rsidRPr="008637AF">
              <w:rPr>
                <w:sz w:val="24"/>
                <w:szCs w:val="24"/>
              </w:rPr>
              <w:t>5.2%</w:t>
            </w:r>
          </w:p>
        </w:tc>
        <w:tc>
          <w:tcPr>
            <w:tcW w:w="262" w:type="pct"/>
          </w:tcPr>
          <w:p w14:paraId="372DAC09" w14:textId="77777777" w:rsidR="00BC51C5" w:rsidRPr="008637AF" w:rsidRDefault="00BC51C5" w:rsidP="00BC51C5">
            <w:pPr>
              <w:spacing w:line="240" w:lineRule="auto"/>
              <w:jc w:val="both"/>
              <w:rPr>
                <w:sz w:val="24"/>
                <w:szCs w:val="24"/>
              </w:rPr>
            </w:pPr>
            <w:r w:rsidRPr="008637AF">
              <w:rPr>
                <w:sz w:val="24"/>
                <w:szCs w:val="24"/>
              </w:rPr>
              <w:t>2.6%</w:t>
            </w:r>
          </w:p>
        </w:tc>
        <w:tc>
          <w:tcPr>
            <w:tcW w:w="262" w:type="pct"/>
          </w:tcPr>
          <w:p w14:paraId="6E2D9DA6" w14:textId="77777777" w:rsidR="00BC51C5" w:rsidRPr="008637AF" w:rsidRDefault="00BC51C5" w:rsidP="00BC51C5">
            <w:pPr>
              <w:spacing w:line="240" w:lineRule="auto"/>
              <w:jc w:val="both"/>
              <w:rPr>
                <w:sz w:val="24"/>
                <w:szCs w:val="24"/>
              </w:rPr>
            </w:pPr>
            <w:r w:rsidRPr="008637AF">
              <w:rPr>
                <w:sz w:val="24"/>
                <w:szCs w:val="24"/>
              </w:rPr>
              <w:t>5.2%</w:t>
            </w:r>
          </w:p>
        </w:tc>
        <w:tc>
          <w:tcPr>
            <w:tcW w:w="262" w:type="pct"/>
          </w:tcPr>
          <w:p w14:paraId="6705D4F9" w14:textId="77777777" w:rsidR="00BC51C5" w:rsidRPr="008637AF" w:rsidRDefault="00BC51C5" w:rsidP="00BC51C5">
            <w:pPr>
              <w:spacing w:line="240" w:lineRule="auto"/>
              <w:jc w:val="both"/>
              <w:rPr>
                <w:sz w:val="24"/>
                <w:szCs w:val="24"/>
              </w:rPr>
            </w:pPr>
            <w:r w:rsidRPr="008637AF">
              <w:rPr>
                <w:sz w:val="24"/>
                <w:szCs w:val="24"/>
              </w:rPr>
              <w:t>3.9%</w:t>
            </w:r>
          </w:p>
        </w:tc>
        <w:tc>
          <w:tcPr>
            <w:tcW w:w="266" w:type="pct"/>
          </w:tcPr>
          <w:p w14:paraId="65C85568" w14:textId="77777777" w:rsidR="00BC51C5" w:rsidRPr="008637AF" w:rsidRDefault="00BC51C5" w:rsidP="00BC51C5">
            <w:pPr>
              <w:spacing w:line="240" w:lineRule="auto"/>
              <w:jc w:val="both"/>
              <w:rPr>
                <w:sz w:val="24"/>
                <w:szCs w:val="24"/>
              </w:rPr>
            </w:pPr>
            <w:r w:rsidRPr="008637AF">
              <w:rPr>
                <w:sz w:val="24"/>
                <w:szCs w:val="24"/>
              </w:rPr>
              <w:t>5.1%</w:t>
            </w:r>
          </w:p>
        </w:tc>
        <w:tc>
          <w:tcPr>
            <w:tcW w:w="262" w:type="pct"/>
          </w:tcPr>
          <w:p w14:paraId="518167C6" w14:textId="77777777" w:rsidR="00BC51C5" w:rsidRPr="008637AF" w:rsidRDefault="00BC51C5" w:rsidP="00BC51C5">
            <w:pPr>
              <w:spacing w:line="240" w:lineRule="auto"/>
              <w:jc w:val="both"/>
              <w:rPr>
                <w:sz w:val="24"/>
                <w:szCs w:val="24"/>
              </w:rPr>
            </w:pPr>
            <w:r w:rsidRPr="008637AF">
              <w:rPr>
                <w:sz w:val="24"/>
                <w:szCs w:val="24"/>
              </w:rPr>
              <w:t>18.8%</w:t>
            </w:r>
          </w:p>
        </w:tc>
        <w:tc>
          <w:tcPr>
            <w:tcW w:w="262" w:type="pct"/>
          </w:tcPr>
          <w:p w14:paraId="6C76ED78" w14:textId="77777777" w:rsidR="00BC51C5" w:rsidRPr="008637AF" w:rsidRDefault="00BC51C5" w:rsidP="00BC51C5">
            <w:pPr>
              <w:keepNext/>
              <w:spacing w:line="240" w:lineRule="auto"/>
              <w:jc w:val="both"/>
              <w:rPr>
                <w:sz w:val="24"/>
                <w:szCs w:val="24"/>
              </w:rPr>
            </w:pPr>
            <w:r w:rsidRPr="008637AF">
              <w:rPr>
                <w:sz w:val="24"/>
                <w:szCs w:val="24"/>
              </w:rPr>
              <w:t>4.6%</w:t>
            </w:r>
          </w:p>
        </w:tc>
      </w:tr>
    </w:tbl>
    <w:p w14:paraId="56D9D582" w14:textId="77777777" w:rsidR="008637AF" w:rsidRPr="008637AF" w:rsidRDefault="008637AF" w:rsidP="008637AF">
      <w:pPr>
        <w:spacing w:after="200" w:line="240" w:lineRule="auto"/>
        <w:rPr>
          <w:i/>
          <w:iCs/>
          <w:color w:val="44546A" w:themeColor="text2"/>
          <w:sz w:val="24"/>
          <w:szCs w:val="24"/>
        </w:rPr>
      </w:pPr>
      <w:r w:rsidRPr="008637AF">
        <w:rPr>
          <w:i/>
          <w:iCs/>
          <w:color w:val="44546A" w:themeColor="text2"/>
          <w:sz w:val="18"/>
          <w:szCs w:val="18"/>
        </w:rPr>
        <w:t xml:space="preserve">Table </w:t>
      </w:r>
      <w:r w:rsidRPr="008637AF">
        <w:rPr>
          <w:i/>
          <w:iCs/>
          <w:color w:val="44546A" w:themeColor="text2"/>
          <w:sz w:val="18"/>
          <w:szCs w:val="18"/>
        </w:rPr>
        <w:fldChar w:fldCharType="begin"/>
      </w:r>
      <w:r w:rsidRPr="008637AF">
        <w:rPr>
          <w:i/>
          <w:iCs/>
          <w:color w:val="44546A" w:themeColor="text2"/>
          <w:sz w:val="18"/>
          <w:szCs w:val="18"/>
        </w:rPr>
        <w:instrText xml:space="preserve"> SEQ Table \* ARABIC </w:instrText>
      </w:r>
      <w:r w:rsidRPr="008637AF">
        <w:rPr>
          <w:i/>
          <w:iCs/>
          <w:color w:val="44546A" w:themeColor="text2"/>
          <w:sz w:val="18"/>
          <w:szCs w:val="18"/>
        </w:rPr>
        <w:fldChar w:fldCharType="separate"/>
      </w:r>
      <w:r w:rsidRPr="008637AF">
        <w:rPr>
          <w:i/>
          <w:iCs/>
          <w:noProof/>
          <w:color w:val="44546A" w:themeColor="text2"/>
          <w:sz w:val="18"/>
          <w:szCs w:val="18"/>
        </w:rPr>
        <w:t>6</w:t>
      </w:r>
      <w:r w:rsidRPr="008637AF">
        <w:rPr>
          <w:i/>
          <w:iCs/>
          <w:noProof/>
          <w:color w:val="44546A" w:themeColor="text2"/>
          <w:sz w:val="18"/>
          <w:szCs w:val="18"/>
        </w:rPr>
        <w:fldChar w:fldCharType="end"/>
      </w:r>
      <w:r w:rsidRPr="008637AF">
        <w:rPr>
          <w:i/>
          <w:iCs/>
          <w:color w:val="44546A" w:themeColor="text2"/>
          <w:sz w:val="18"/>
          <w:szCs w:val="18"/>
        </w:rPr>
        <w:t xml:space="preserve"> Women and men have equal employment and promotion opportunities (by states)</w:t>
      </w:r>
    </w:p>
    <w:p w14:paraId="7DE0CE44" w14:textId="77777777" w:rsidR="008637AF" w:rsidRPr="008637AF" w:rsidRDefault="008637AF" w:rsidP="008637AF">
      <w:pPr>
        <w:spacing w:line="240" w:lineRule="auto"/>
        <w:jc w:val="both"/>
        <w:rPr>
          <w:sz w:val="24"/>
          <w:szCs w:val="24"/>
        </w:rPr>
      </w:pPr>
      <w:r w:rsidRPr="008637AF">
        <w:rPr>
          <w:sz w:val="24"/>
          <w:szCs w:val="24"/>
        </w:rPr>
        <w:t>As summarised on Figure below, less than half of respondents 49.2% agree that women should be employed in jobs that are typically male jobs highlighting the crosscutting impact of gender norms.</w:t>
      </w:r>
    </w:p>
    <w:p w14:paraId="3455F214" w14:textId="77777777" w:rsidR="008637AF" w:rsidRPr="008637AF" w:rsidRDefault="008637AF" w:rsidP="008637AF">
      <w:pPr>
        <w:autoSpaceDE w:val="0"/>
        <w:autoSpaceDN w:val="0"/>
        <w:adjustRightInd w:val="0"/>
        <w:spacing w:after="0" w:line="240" w:lineRule="auto"/>
        <w:rPr>
          <w:rFonts w:ascii="Times New Roman" w:hAnsi="Times New Roman" w:cs="Times New Roman"/>
          <w:sz w:val="24"/>
          <w:szCs w:val="24"/>
        </w:rPr>
      </w:pPr>
    </w:p>
    <w:p w14:paraId="6034A7FB" w14:textId="77777777" w:rsidR="008637AF" w:rsidRPr="008637AF" w:rsidRDefault="008637AF" w:rsidP="008637AF">
      <w:pPr>
        <w:keepNext/>
        <w:autoSpaceDE w:val="0"/>
        <w:autoSpaceDN w:val="0"/>
        <w:adjustRightInd w:val="0"/>
        <w:spacing w:after="0" w:line="240" w:lineRule="auto"/>
      </w:pPr>
      <w:r w:rsidRPr="008637AF">
        <w:rPr>
          <w:noProof/>
          <w:lang w:val="en-IE" w:eastAsia="en-IE"/>
        </w:rPr>
        <w:drawing>
          <wp:inline distT="0" distB="0" distL="0" distR="0" wp14:anchorId="7D46E097" wp14:editId="23230DDF">
            <wp:extent cx="6496050" cy="2153920"/>
            <wp:effectExtent l="0" t="0" r="0" b="1778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5F1D234B" w14:textId="77777777" w:rsidR="008637AF" w:rsidRPr="008637AF" w:rsidRDefault="008637AF" w:rsidP="008637AF">
      <w:pPr>
        <w:spacing w:after="200" w:line="240" w:lineRule="auto"/>
        <w:rPr>
          <w:i/>
          <w:iCs/>
          <w:color w:val="44546A" w:themeColor="text2"/>
          <w:sz w:val="18"/>
          <w:szCs w:val="18"/>
        </w:rPr>
      </w:pPr>
      <w:r w:rsidRPr="008637AF">
        <w:rPr>
          <w:i/>
          <w:iCs/>
          <w:color w:val="44546A" w:themeColor="text2"/>
          <w:sz w:val="18"/>
          <w:szCs w:val="18"/>
        </w:rPr>
        <w:t xml:space="preserve">Figure </w:t>
      </w:r>
      <w:r w:rsidRPr="008637AF">
        <w:rPr>
          <w:i/>
          <w:iCs/>
          <w:color w:val="44546A" w:themeColor="text2"/>
          <w:sz w:val="18"/>
          <w:szCs w:val="18"/>
        </w:rPr>
        <w:fldChar w:fldCharType="begin"/>
      </w:r>
      <w:r w:rsidRPr="008637AF">
        <w:rPr>
          <w:i/>
          <w:iCs/>
          <w:color w:val="44546A" w:themeColor="text2"/>
          <w:sz w:val="18"/>
          <w:szCs w:val="18"/>
        </w:rPr>
        <w:instrText xml:space="preserve"> SEQ Figure \* ARABIC </w:instrText>
      </w:r>
      <w:r w:rsidRPr="008637AF">
        <w:rPr>
          <w:i/>
          <w:iCs/>
          <w:color w:val="44546A" w:themeColor="text2"/>
          <w:sz w:val="18"/>
          <w:szCs w:val="18"/>
        </w:rPr>
        <w:fldChar w:fldCharType="separate"/>
      </w:r>
      <w:r w:rsidR="00C15490">
        <w:rPr>
          <w:i/>
          <w:iCs/>
          <w:noProof/>
          <w:color w:val="44546A" w:themeColor="text2"/>
          <w:sz w:val="18"/>
          <w:szCs w:val="18"/>
        </w:rPr>
        <w:t>6</w:t>
      </w:r>
      <w:r w:rsidRPr="008637AF">
        <w:rPr>
          <w:i/>
          <w:iCs/>
          <w:noProof/>
          <w:color w:val="44546A" w:themeColor="text2"/>
          <w:sz w:val="18"/>
          <w:szCs w:val="18"/>
        </w:rPr>
        <w:fldChar w:fldCharType="end"/>
      </w:r>
      <w:r w:rsidRPr="008637AF">
        <w:rPr>
          <w:i/>
          <w:iCs/>
          <w:color w:val="44546A" w:themeColor="text2"/>
          <w:sz w:val="18"/>
          <w:szCs w:val="18"/>
        </w:rPr>
        <w:t xml:space="preserve"> Women should be employed in jobs that are usually considered male jobs by states</w:t>
      </w:r>
    </w:p>
    <w:p w14:paraId="7BDFEFA6" w14:textId="77777777" w:rsidR="008637AF" w:rsidRDefault="008637AF" w:rsidP="008637AF">
      <w:pPr>
        <w:spacing w:line="240" w:lineRule="auto"/>
        <w:jc w:val="both"/>
        <w:rPr>
          <w:sz w:val="24"/>
          <w:szCs w:val="24"/>
        </w:rPr>
      </w:pPr>
      <w:r w:rsidRPr="008637AF">
        <w:rPr>
          <w:sz w:val="24"/>
          <w:szCs w:val="24"/>
        </w:rPr>
        <w:t xml:space="preserve">The figure below shows that more than half (65.9%) of the respondents agree that women are paid the same amount for doing the same job as men. Only 23.2% of the total respondents (those who indicated they disagree and strongly disagree) </w:t>
      </w:r>
      <w:r w:rsidR="00BC51C5">
        <w:rPr>
          <w:sz w:val="24"/>
          <w:szCs w:val="24"/>
        </w:rPr>
        <w:t>are of the view</w:t>
      </w:r>
      <w:r w:rsidRPr="008637AF">
        <w:rPr>
          <w:sz w:val="24"/>
          <w:szCs w:val="24"/>
        </w:rPr>
        <w:t xml:space="preserve"> that women should not be paid the same amount for doing the same job as men. </w:t>
      </w:r>
    </w:p>
    <w:p w14:paraId="58F9B9BA" w14:textId="77777777" w:rsidR="00463745" w:rsidRDefault="00463745" w:rsidP="00463745"/>
    <w:tbl>
      <w:tblPr>
        <w:tblStyle w:val="TableGrid"/>
        <w:tblW w:w="8671" w:type="dxa"/>
        <w:tblLayout w:type="fixed"/>
        <w:tblLook w:val="0000" w:firstRow="0" w:lastRow="0" w:firstColumn="0" w:lastColumn="0" w:noHBand="0" w:noVBand="0"/>
      </w:tblPr>
      <w:tblGrid>
        <w:gridCol w:w="2515"/>
        <w:gridCol w:w="1133"/>
        <w:gridCol w:w="1133"/>
        <w:gridCol w:w="1133"/>
        <w:gridCol w:w="1624"/>
        <w:gridCol w:w="1133"/>
      </w:tblGrid>
      <w:tr w:rsidR="00463745" w:rsidRPr="00FF45D5" w14:paraId="215144BD" w14:textId="77777777" w:rsidTr="009024DA">
        <w:tc>
          <w:tcPr>
            <w:tcW w:w="2515" w:type="dxa"/>
          </w:tcPr>
          <w:p w14:paraId="7F56E950" w14:textId="77777777" w:rsidR="00463745" w:rsidRPr="00FF45D5" w:rsidRDefault="00463745" w:rsidP="009024DA">
            <w:pPr>
              <w:autoSpaceDE w:val="0"/>
              <w:autoSpaceDN w:val="0"/>
              <w:adjustRightInd w:val="0"/>
              <w:spacing w:line="320" w:lineRule="atLeast"/>
              <w:ind w:left="60" w:right="60"/>
              <w:jc w:val="center"/>
              <w:rPr>
                <w:rFonts w:ascii="Arial" w:hAnsi="Arial" w:cs="Arial"/>
                <w:color w:val="264A60"/>
                <w:sz w:val="18"/>
                <w:szCs w:val="18"/>
              </w:rPr>
            </w:pPr>
          </w:p>
        </w:tc>
        <w:tc>
          <w:tcPr>
            <w:tcW w:w="1133" w:type="dxa"/>
          </w:tcPr>
          <w:p w14:paraId="44418C9C" w14:textId="77777777" w:rsidR="00463745" w:rsidRPr="00FF45D5" w:rsidRDefault="00463745" w:rsidP="009024DA">
            <w:pPr>
              <w:autoSpaceDE w:val="0"/>
              <w:autoSpaceDN w:val="0"/>
              <w:adjustRightInd w:val="0"/>
              <w:spacing w:line="320" w:lineRule="atLeast"/>
              <w:ind w:left="60" w:right="60"/>
              <w:jc w:val="center"/>
              <w:rPr>
                <w:rFonts w:ascii="Arial" w:hAnsi="Arial" w:cs="Arial"/>
                <w:color w:val="264A60"/>
                <w:sz w:val="18"/>
                <w:szCs w:val="18"/>
              </w:rPr>
            </w:pPr>
            <w:r w:rsidRPr="00FF45D5">
              <w:rPr>
                <w:rFonts w:ascii="Arial" w:hAnsi="Arial" w:cs="Arial"/>
                <w:color w:val="264A60"/>
                <w:sz w:val="18"/>
                <w:szCs w:val="18"/>
              </w:rPr>
              <w:t>Female</w:t>
            </w:r>
          </w:p>
        </w:tc>
        <w:tc>
          <w:tcPr>
            <w:tcW w:w="1133" w:type="dxa"/>
          </w:tcPr>
          <w:p w14:paraId="21BC21E7" w14:textId="77777777" w:rsidR="00463745" w:rsidRPr="00FF45D5" w:rsidRDefault="00463745" w:rsidP="009024DA">
            <w:pPr>
              <w:autoSpaceDE w:val="0"/>
              <w:autoSpaceDN w:val="0"/>
              <w:adjustRightInd w:val="0"/>
              <w:spacing w:line="320" w:lineRule="atLeast"/>
              <w:ind w:left="60" w:right="60"/>
              <w:jc w:val="center"/>
              <w:rPr>
                <w:rFonts w:ascii="Arial" w:hAnsi="Arial" w:cs="Arial"/>
                <w:color w:val="264A60"/>
                <w:sz w:val="18"/>
                <w:szCs w:val="18"/>
              </w:rPr>
            </w:pPr>
            <w:r w:rsidRPr="00FF45D5">
              <w:rPr>
                <w:rFonts w:ascii="Arial" w:hAnsi="Arial" w:cs="Arial"/>
                <w:color w:val="264A60"/>
                <w:sz w:val="18"/>
                <w:szCs w:val="18"/>
              </w:rPr>
              <w:t>Male</w:t>
            </w:r>
          </w:p>
        </w:tc>
        <w:tc>
          <w:tcPr>
            <w:tcW w:w="1133" w:type="dxa"/>
          </w:tcPr>
          <w:p w14:paraId="496D5D9B" w14:textId="77777777" w:rsidR="00463745" w:rsidRPr="00FF45D5" w:rsidRDefault="00463745" w:rsidP="009024DA">
            <w:pPr>
              <w:autoSpaceDE w:val="0"/>
              <w:autoSpaceDN w:val="0"/>
              <w:adjustRightInd w:val="0"/>
              <w:spacing w:line="320" w:lineRule="atLeast"/>
              <w:ind w:left="60" w:right="60"/>
              <w:jc w:val="center"/>
              <w:rPr>
                <w:rFonts w:ascii="Arial" w:hAnsi="Arial" w:cs="Arial"/>
                <w:color w:val="264A60"/>
                <w:sz w:val="18"/>
                <w:szCs w:val="18"/>
              </w:rPr>
            </w:pPr>
            <w:r w:rsidRPr="00FF45D5">
              <w:rPr>
                <w:rFonts w:ascii="Arial" w:hAnsi="Arial" w:cs="Arial"/>
                <w:color w:val="264A60"/>
                <w:sz w:val="18"/>
                <w:szCs w:val="18"/>
              </w:rPr>
              <w:t>Other</w:t>
            </w:r>
          </w:p>
        </w:tc>
        <w:tc>
          <w:tcPr>
            <w:tcW w:w="1624" w:type="dxa"/>
          </w:tcPr>
          <w:p w14:paraId="03ACD01D" w14:textId="77777777" w:rsidR="00463745" w:rsidRPr="00FF45D5" w:rsidRDefault="00463745" w:rsidP="009024DA">
            <w:pPr>
              <w:autoSpaceDE w:val="0"/>
              <w:autoSpaceDN w:val="0"/>
              <w:adjustRightInd w:val="0"/>
              <w:spacing w:line="320" w:lineRule="atLeast"/>
              <w:ind w:left="60" w:right="60"/>
              <w:jc w:val="center"/>
              <w:rPr>
                <w:rFonts w:ascii="Arial" w:hAnsi="Arial" w:cs="Arial"/>
                <w:color w:val="264A60"/>
                <w:sz w:val="18"/>
                <w:szCs w:val="18"/>
              </w:rPr>
            </w:pPr>
            <w:r w:rsidRPr="00FF45D5">
              <w:rPr>
                <w:rFonts w:ascii="Arial" w:hAnsi="Arial" w:cs="Arial"/>
                <w:color w:val="264A60"/>
                <w:sz w:val="18"/>
                <w:szCs w:val="18"/>
              </w:rPr>
              <w:t>Prefers not to say</w:t>
            </w:r>
          </w:p>
        </w:tc>
        <w:tc>
          <w:tcPr>
            <w:tcW w:w="1133" w:type="dxa"/>
          </w:tcPr>
          <w:p w14:paraId="17B8A2FB" w14:textId="77777777" w:rsidR="00463745" w:rsidRPr="00FF45D5" w:rsidRDefault="00463745" w:rsidP="009024DA">
            <w:pPr>
              <w:autoSpaceDE w:val="0"/>
              <w:autoSpaceDN w:val="0"/>
              <w:adjustRightInd w:val="0"/>
              <w:rPr>
                <w:rFonts w:ascii="Arial" w:hAnsi="Arial" w:cs="Arial"/>
                <w:color w:val="264A60"/>
                <w:sz w:val="18"/>
                <w:szCs w:val="18"/>
              </w:rPr>
            </w:pPr>
            <w:r>
              <w:rPr>
                <w:rFonts w:ascii="Arial" w:hAnsi="Arial" w:cs="Arial"/>
                <w:color w:val="264A60"/>
                <w:sz w:val="18"/>
                <w:szCs w:val="18"/>
              </w:rPr>
              <w:t>Total</w:t>
            </w:r>
          </w:p>
        </w:tc>
      </w:tr>
      <w:tr w:rsidR="00463745" w:rsidRPr="00FF45D5" w14:paraId="7ED85D08" w14:textId="77777777" w:rsidTr="009024DA">
        <w:tc>
          <w:tcPr>
            <w:tcW w:w="2515" w:type="dxa"/>
          </w:tcPr>
          <w:p w14:paraId="45C6BA10" w14:textId="77777777" w:rsidR="00463745" w:rsidRPr="00FF45D5" w:rsidRDefault="00463745" w:rsidP="009024DA">
            <w:pPr>
              <w:autoSpaceDE w:val="0"/>
              <w:autoSpaceDN w:val="0"/>
              <w:adjustRightInd w:val="0"/>
              <w:spacing w:line="320" w:lineRule="atLeast"/>
              <w:ind w:left="60" w:right="60"/>
              <w:jc w:val="right"/>
              <w:rPr>
                <w:rFonts w:ascii="Arial" w:hAnsi="Arial" w:cs="Arial"/>
                <w:color w:val="010205"/>
                <w:sz w:val="18"/>
                <w:szCs w:val="18"/>
              </w:rPr>
            </w:pPr>
            <w:r w:rsidRPr="00FF45D5">
              <w:rPr>
                <w:rFonts w:ascii="Arial" w:hAnsi="Arial" w:cs="Arial"/>
                <w:color w:val="264A60"/>
                <w:sz w:val="18"/>
                <w:szCs w:val="18"/>
              </w:rPr>
              <w:t>I agree</w:t>
            </w:r>
          </w:p>
        </w:tc>
        <w:tc>
          <w:tcPr>
            <w:tcW w:w="1133" w:type="dxa"/>
          </w:tcPr>
          <w:p w14:paraId="73DCC283" w14:textId="77777777" w:rsidR="00463745" w:rsidRPr="00FF45D5" w:rsidRDefault="00463745" w:rsidP="009024DA">
            <w:pPr>
              <w:autoSpaceDE w:val="0"/>
              <w:autoSpaceDN w:val="0"/>
              <w:adjustRightInd w:val="0"/>
              <w:spacing w:line="320" w:lineRule="atLeast"/>
              <w:ind w:left="60" w:right="60"/>
              <w:jc w:val="right"/>
              <w:rPr>
                <w:rFonts w:ascii="Arial" w:hAnsi="Arial" w:cs="Arial"/>
                <w:color w:val="010205"/>
                <w:sz w:val="18"/>
                <w:szCs w:val="18"/>
              </w:rPr>
            </w:pPr>
            <w:r w:rsidRPr="00FF45D5">
              <w:rPr>
                <w:rFonts w:ascii="Arial" w:hAnsi="Arial" w:cs="Arial"/>
                <w:color w:val="010205"/>
                <w:sz w:val="18"/>
                <w:szCs w:val="18"/>
              </w:rPr>
              <w:t>52.0%</w:t>
            </w:r>
          </w:p>
        </w:tc>
        <w:tc>
          <w:tcPr>
            <w:tcW w:w="1133" w:type="dxa"/>
          </w:tcPr>
          <w:p w14:paraId="771F1F76" w14:textId="77777777" w:rsidR="00463745" w:rsidRPr="00FF45D5" w:rsidRDefault="00463745" w:rsidP="009024DA">
            <w:pPr>
              <w:autoSpaceDE w:val="0"/>
              <w:autoSpaceDN w:val="0"/>
              <w:adjustRightInd w:val="0"/>
              <w:spacing w:line="320" w:lineRule="atLeast"/>
              <w:ind w:left="60" w:right="60"/>
              <w:jc w:val="right"/>
              <w:rPr>
                <w:rFonts w:ascii="Arial" w:hAnsi="Arial" w:cs="Arial"/>
                <w:color w:val="010205"/>
                <w:sz w:val="18"/>
                <w:szCs w:val="18"/>
              </w:rPr>
            </w:pPr>
            <w:r w:rsidRPr="00FF45D5">
              <w:rPr>
                <w:rFonts w:ascii="Arial" w:hAnsi="Arial" w:cs="Arial"/>
                <w:color w:val="010205"/>
                <w:sz w:val="18"/>
                <w:szCs w:val="18"/>
              </w:rPr>
              <w:t>46.4%</w:t>
            </w:r>
          </w:p>
        </w:tc>
        <w:tc>
          <w:tcPr>
            <w:tcW w:w="1133" w:type="dxa"/>
          </w:tcPr>
          <w:p w14:paraId="0006E616" w14:textId="77777777" w:rsidR="00463745" w:rsidRPr="00FF45D5" w:rsidRDefault="00463745" w:rsidP="009024DA">
            <w:pPr>
              <w:autoSpaceDE w:val="0"/>
              <w:autoSpaceDN w:val="0"/>
              <w:adjustRightInd w:val="0"/>
              <w:spacing w:line="320" w:lineRule="atLeast"/>
              <w:ind w:left="60" w:right="60"/>
              <w:jc w:val="right"/>
              <w:rPr>
                <w:rFonts w:ascii="Arial" w:hAnsi="Arial" w:cs="Arial"/>
                <w:color w:val="010205"/>
                <w:sz w:val="18"/>
                <w:szCs w:val="18"/>
              </w:rPr>
            </w:pPr>
            <w:r w:rsidRPr="00FF45D5">
              <w:rPr>
                <w:rFonts w:ascii="Arial" w:hAnsi="Arial" w:cs="Arial"/>
                <w:color w:val="010205"/>
                <w:sz w:val="18"/>
                <w:szCs w:val="18"/>
              </w:rPr>
              <w:t>41.7%</w:t>
            </w:r>
          </w:p>
        </w:tc>
        <w:tc>
          <w:tcPr>
            <w:tcW w:w="1624" w:type="dxa"/>
          </w:tcPr>
          <w:p w14:paraId="23B582FB" w14:textId="77777777" w:rsidR="00463745" w:rsidRPr="00FF45D5" w:rsidRDefault="00463745" w:rsidP="009024DA">
            <w:pPr>
              <w:autoSpaceDE w:val="0"/>
              <w:autoSpaceDN w:val="0"/>
              <w:adjustRightInd w:val="0"/>
              <w:spacing w:line="320" w:lineRule="atLeast"/>
              <w:ind w:left="60" w:right="60"/>
              <w:jc w:val="right"/>
              <w:rPr>
                <w:rFonts w:ascii="Arial" w:hAnsi="Arial" w:cs="Arial"/>
                <w:color w:val="010205"/>
                <w:sz w:val="18"/>
                <w:szCs w:val="18"/>
              </w:rPr>
            </w:pPr>
            <w:r w:rsidRPr="00FF45D5">
              <w:rPr>
                <w:rFonts w:ascii="Arial" w:hAnsi="Arial" w:cs="Arial"/>
                <w:color w:val="010205"/>
                <w:sz w:val="18"/>
                <w:szCs w:val="18"/>
              </w:rPr>
              <w:t>42.3%</w:t>
            </w:r>
          </w:p>
        </w:tc>
        <w:tc>
          <w:tcPr>
            <w:tcW w:w="1133" w:type="dxa"/>
          </w:tcPr>
          <w:p w14:paraId="056E9860" w14:textId="77777777" w:rsidR="00463745" w:rsidRPr="00FF45D5" w:rsidRDefault="00463745" w:rsidP="009024DA">
            <w:pPr>
              <w:autoSpaceDE w:val="0"/>
              <w:autoSpaceDN w:val="0"/>
              <w:adjustRightInd w:val="0"/>
              <w:spacing w:line="320" w:lineRule="atLeast"/>
              <w:ind w:left="60" w:right="60"/>
              <w:jc w:val="right"/>
              <w:rPr>
                <w:rFonts w:ascii="Arial" w:hAnsi="Arial" w:cs="Arial"/>
                <w:color w:val="010205"/>
                <w:sz w:val="18"/>
                <w:szCs w:val="18"/>
              </w:rPr>
            </w:pPr>
            <w:r w:rsidRPr="00FF45D5">
              <w:rPr>
                <w:rFonts w:ascii="Arial" w:hAnsi="Arial" w:cs="Arial"/>
                <w:color w:val="010205"/>
                <w:sz w:val="18"/>
                <w:szCs w:val="18"/>
              </w:rPr>
              <w:t>49.2%</w:t>
            </w:r>
          </w:p>
        </w:tc>
      </w:tr>
      <w:tr w:rsidR="005744C3" w:rsidRPr="00FF45D5" w14:paraId="21A94B88" w14:textId="77777777" w:rsidTr="009024DA">
        <w:tc>
          <w:tcPr>
            <w:tcW w:w="2515" w:type="dxa"/>
          </w:tcPr>
          <w:p w14:paraId="4D760B05" w14:textId="77777777" w:rsidR="005744C3" w:rsidRPr="00FF45D5" w:rsidRDefault="005744C3" w:rsidP="009024DA">
            <w:pPr>
              <w:autoSpaceDE w:val="0"/>
              <w:autoSpaceDN w:val="0"/>
              <w:adjustRightInd w:val="0"/>
              <w:spacing w:line="320" w:lineRule="atLeast"/>
              <w:ind w:left="60" w:right="60"/>
              <w:jc w:val="right"/>
              <w:rPr>
                <w:rFonts w:ascii="Arial" w:hAnsi="Arial" w:cs="Arial"/>
                <w:color w:val="010205"/>
                <w:sz w:val="18"/>
                <w:szCs w:val="18"/>
              </w:rPr>
            </w:pPr>
            <w:r w:rsidRPr="00FF45D5">
              <w:rPr>
                <w:rFonts w:ascii="Arial" w:hAnsi="Arial" w:cs="Arial"/>
                <w:color w:val="264A60"/>
                <w:sz w:val="18"/>
                <w:szCs w:val="18"/>
              </w:rPr>
              <w:t>I strongly agree</w:t>
            </w:r>
          </w:p>
        </w:tc>
        <w:tc>
          <w:tcPr>
            <w:tcW w:w="1133" w:type="dxa"/>
          </w:tcPr>
          <w:p w14:paraId="44919642" w14:textId="77777777" w:rsidR="005744C3" w:rsidRPr="00FF45D5" w:rsidRDefault="005744C3" w:rsidP="009024DA">
            <w:pPr>
              <w:autoSpaceDE w:val="0"/>
              <w:autoSpaceDN w:val="0"/>
              <w:adjustRightInd w:val="0"/>
              <w:spacing w:line="320" w:lineRule="atLeast"/>
              <w:ind w:left="60" w:right="60"/>
              <w:jc w:val="right"/>
              <w:rPr>
                <w:rFonts w:ascii="Arial" w:hAnsi="Arial" w:cs="Arial"/>
                <w:color w:val="010205"/>
                <w:sz w:val="18"/>
                <w:szCs w:val="18"/>
              </w:rPr>
            </w:pPr>
            <w:r w:rsidRPr="00FF45D5">
              <w:rPr>
                <w:rFonts w:ascii="Arial" w:hAnsi="Arial" w:cs="Arial"/>
                <w:color w:val="010205"/>
                <w:sz w:val="18"/>
                <w:szCs w:val="18"/>
              </w:rPr>
              <w:t>20.2%</w:t>
            </w:r>
          </w:p>
        </w:tc>
        <w:tc>
          <w:tcPr>
            <w:tcW w:w="1133" w:type="dxa"/>
          </w:tcPr>
          <w:p w14:paraId="203E3AD8" w14:textId="77777777" w:rsidR="005744C3" w:rsidRPr="00FF45D5" w:rsidRDefault="005744C3" w:rsidP="009024DA">
            <w:pPr>
              <w:autoSpaceDE w:val="0"/>
              <w:autoSpaceDN w:val="0"/>
              <w:adjustRightInd w:val="0"/>
              <w:spacing w:line="320" w:lineRule="atLeast"/>
              <w:ind w:left="60" w:right="60"/>
              <w:jc w:val="right"/>
              <w:rPr>
                <w:rFonts w:ascii="Arial" w:hAnsi="Arial" w:cs="Arial"/>
                <w:color w:val="010205"/>
                <w:sz w:val="18"/>
                <w:szCs w:val="18"/>
              </w:rPr>
            </w:pPr>
            <w:r w:rsidRPr="00FF45D5">
              <w:rPr>
                <w:rFonts w:ascii="Arial" w:hAnsi="Arial" w:cs="Arial"/>
                <w:color w:val="010205"/>
                <w:sz w:val="18"/>
                <w:szCs w:val="18"/>
              </w:rPr>
              <w:t>15.9%</w:t>
            </w:r>
          </w:p>
        </w:tc>
        <w:tc>
          <w:tcPr>
            <w:tcW w:w="1133" w:type="dxa"/>
          </w:tcPr>
          <w:p w14:paraId="0E643448" w14:textId="77777777" w:rsidR="005744C3" w:rsidRPr="00FF45D5" w:rsidRDefault="005744C3" w:rsidP="009024DA">
            <w:pPr>
              <w:autoSpaceDE w:val="0"/>
              <w:autoSpaceDN w:val="0"/>
              <w:adjustRightInd w:val="0"/>
              <w:spacing w:line="320" w:lineRule="atLeast"/>
              <w:ind w:left="60" w:right="60"/>
              <w:jc w:val="right"/>
              <w:rPr>
                <w:rFonts w:ascii="Arial" w:hAnsi="Arial" w:cs="Arial"/>
                <w:color w:val="010205"/>
                <w:sz w:val="18"/>
                <w:szCs w:val="18"/>
              </w:rPr>
            </w:pPr>
            <w:r w:rsidRPr="00FF45D5">
              <w:rPr>
                <w:rFonts w:ascii="Arial" w:hAnsi="Arial" w:cs="Arial"/>
                <w:color w:val="010205"/>
                <w:sz w:val="18"/>
                <w:szCs w:val="18"/>
              </w:rPr>
              <w:t>16.7%</w:t>
            </w:r>
          </w:p>
        </w:tc>
        <w:tc>
          <w:tcPr>
            <w:tcW w:w="1624" w:type="dxa"/>
          </w:tcPr>
          <w:p w14:paraId="35367065" w14:textId="77777777" w:rsidR="005744C3" w:rsidRPr="00FF45D5" w:rsidRDefault="005744C3" w:rsidP="009024DA">
            <w:pPr>
              <w:autoSpaceDE w:val="0"/>
              <w:autoSpaceDN w:val="0"/>
              <w:adjustRightInd w:val="0"/>
              <w:spacing w:line="320" w:lineRule="atLeast"/>
              <w:ind w:left="60" w:right="60"/>
              <w:jc w:val="right"/>
              <w:rPr>
                <w:rFonts w:ascii="Arial" w:hAnsi="Arial" w:cs="Arial"/>
                <w:color w:val="010205"/>
                <w:sz w:val="18"/>
                <w:szCs w:val="18"/>
              </w:rPr>
            </w:pPr>
            <w:r w:rsidRPr="00FF45D5">
              <w:rPr>
                <w:rFonts w:ascii="Arial" w:hAnsi="Arial" w:cs="Arial"/>
                <w:color w:val="010205"/>
                <w:sz w:val="18"/>
                <w:szCs w:val="18"/>
              </w:rPr>
              <w:t>15.4%</w:t>
            </w:r>
          </w:p>
        </w:tc>
        <w:tc>
          <w:tcPr>
            <w:tcW w:w="1133" w:type="dxa"/>
          </w:tcPr>
          <w:p w14:paraId="04829C0D" w14:textId="77777777" w:rsidR="005744C3" w:rsidRPr="00FF45D5" w:rsidRDefault="005744C3" w:rsidP="009024DA">
            <w:pPr>
              <w:autoSpaceDE w:val="0"/>
              <w:autoSpaceDN w:val="0"/>
              <w:adjustRightInd w:val="0"/>
              <w:spacing w:line="320" w:lineRule="atLeast"/>
              <w:ind w:left="60" w:right="60"/>
              <w:jc w:val="right"/>
              <w:rPr>
                <w:rFonts w:ascii="Arial" w:hAnsi="Arial" w:cs="Arial"/>
                <w:color w:val="010205"/>
                <w:sz w:val="18"/>
                <w:szCs w:val="18"/>
              </w:rPr>
            </w:pPr>
            <w:r w:rsidRPr="00FF45D5">
              <w:rPr>
                <w:rFonts w:ascii="Arial" w:hAnsi="Arial" w:cs="Arial"/>
                <w:color w:val="010205"/>
                <w:sz w:val="18"/>
                <w:szCs w:val="18"/>
              </w:rPr>
              <w:t>18.1%</w:t>
            </w:r>
          </w:p>
        </w:tc>
      </w:tr>
      <w:tr w:rsidR="00463745" w:rsidRPr="00FF45D5" w14:paraId="093E8A70" w14:textId="77777777" w:rsidTr="009024DA">
        <w:tc>
          <w:tcPr>
            <w:tcW w:w="2515" w:type="dxa"/>
          </w:tcPr>
          <w:p w14:paraId="76C36BB5" w14:textId="77777777" w:rsidR="00463745" w:rsidRPr="00FF45D5" w:rsidRDefault="00463745" w:rsidP="009024DA">
            <w:pPr>
              <w:autoSpaceDE w:val="0"/>
              <w:autoSpaceDN w:val="0"/>
              <w:adjustRightInd w:val="0"/>
              <w:spacing w:line="320" w:lineRule="atLeast"/>
              <w:ind w:left="60" w:right="60"/>
              <w:jc w:val="right"/>
              <w:rPr>
                <w:rFonts w:ascii="Arial" w:hAnsi="Arial" w:cs="Arial"/>
                <w:color w:val="010205"/>
                <w:sz w:val="18"/>
                <w:szCs w:val="18"/>
              </w:rPr>
            </w:pPr>
            <w:r w:rsidRPr="00FF45D5">
              <w:rPr>
                <w:rFonts w:ascii="Arial" w:hAnsi="Arial" w:cs="Arial"/>
                <w:color w:val="264A60"/>
                <w:sz w:val="18"/>
                <w:szCs w:val="18"/>
              </w:rPr>
              <w:t>I neither agree or disagree</w:t>
            </w:r>
          </w:p>
        </w:tc>
        <w:tc>
          <w:tcPr>
            <w:tcW w:w="1133" w:type="dxa"/>
          </w:tcPr>
          <w:p w14:paraId="4207EDA6" w14:textId="77777777" w:rsidR="00463745" w:rsidRPr="00FF45D5" w:rsidRDefault="00463745" w:rsidP="009024DA">
            <w:pPr>
              <w:autoSpaceDE w:val="0"/>
              <w:autoSpaceDN w:val="0"/>
              <w:adjustRightInd w:val="0"/>
              <w:spacing w:line="320" w:lineRule="atLeast"/>
              <w:ind w:left="60" w:right="60"/>
              <w:jc w:val="right"/>
              <w:rPr>
                <w:rFonts w:ascii="Arial" w:hAnsi="Arial" w:cs="Arial"/>
                <w:color w:val="010205"/>
                <w:sz w:val="18"/>
                <w:szCs w:val="18"/>
              </w:rPr>
            </w:pPr>
            <w:r w:rsidRPr="00FF45D5">
              <w:rPr>
                <w:rFonts w:ascii="Arial" w:hAnsi="Arial" w:cs="Arial"/>
                <w:color w:val="010205"/>
                <w:sz w:val="18"/>
                <w:szCs w:val="18"/>
              </w:rPr>
              <w:t>10.6%</w:t>
            </w:r>
          </w:p>
        </w:tc>
        <w:tc>
          <w:tcPr>
            <w:tcW w:w="1133" w:type="dxa"/>
          </w:tcPr>
          <w:p w14:paraId="4534CC8D" w14:textId="77777777" w:rsidR="00463745" w:rsidRPr="00FF45D5" w:rsidRDefault="00463745" w:rsidP="009024DA">
            <w:pPr>
              <w:autoSpaceDE w:val="0"/>
              <w:autoSpaceDN w:val="0"/>
              <w:adjustRightInd w:val="0"/>
              <w:spacing w:line="320" w:lineRule="atLeast"/>
              <w:ind w:left="60" w:right="60"/>
              <w:jc w:val="right"/>
              <w:rPr>
                <w:rFonts w:ascii="Arial" w:hAnsi="Arial" w:cs="Arial"/>
                <w:color w:val="010205"/>
                <w:sz w:val="18"/>
                <w:szCs w:val="18"/>
              </w:rPr>
            </w:pPr>
            <w:r w:rsidRPr="00FF45D5">
              <w:rPr>
                <w:rFonts w:ascii="Arial" w:hAnsi="Arial" w:cs="Arial"/>
                <w:color w:val="010205"/>
                <w:sz w:val="18"/>
                <w:szCs w:val="18"/>
              </w:rPr>
              <w:t>12.8%</w:t>
            </w:r>
          </w:p>
        </w:tc>
        <w:tc>
          <w:tcPr>
            <w:tcW w:w="1133" w:type="dxa"/>
          </w:tcPr>
          <w:p w14:paraId="15980F7F" w14:textId="77777777" w:rsidR="00463745" w:rsidRPr="00FF45D5" w:rsidRDefault="00463745" w:rsidP="009024DA">
            <w:pPr>
              <w:autoSpaceDE w:val="0"/>
              <w:autoSpaceDN w:val="0"/>
              <w:adjustRightInd w:val="0"/>
              <w:spacing w:line="320" w:lineRule="atLeast"/>
              <w:ind w:left="60" w:right="60"/>
              <w:jc w:val="right"/>
              <w:rPr>
                <w:rFonts w:ascii="Arial" w:hAnsi="Arial" w:cs="Arial"/>
                <w:color w:val="010205"/>
                <w:sz w:val="18"/>
                <w:szCs w:val="18"/>
              </w:rPr>
            </w:pPr>
            <w:r w:rsidRPr="00FF45D5">
              <w:rPr>
                <w:rFonts w:ascii="Arial" w:hAnsi="Arial" w:cs="Arial"/>
                <w:color w:val="010205"/>
                <w:sz w:val="18"/>
                <w:szCs w:val="18"/>
              </w:rPr>
              <w:t>25.0%</w:t>
            </w:r>
          </w:p>
        </w:tc>
        <w:tc>
          <w:tcPr>
            <w:tcW w:w="1624" w:type="dxa"/>
          </w:tcPr>
          <w:p w14:paraId="05973F8D" w14:textId="77777777" w:rsidR="00463745" w:rsidRPr="00FF45D5" w:rsidRDefault="00463745" w:rsidP="009024DA">
            <w:pPr>
              <w:autoSpaceDE w:val="0"/>
              <w:autoSpaceDN w:val="0"/>
              <w:adjustRightInd w:val="0"/>
              <w:spacing w:line="320" w:lineRule="atLeast"/>
              <w:ind w:left="60" w:right="60"/>
              <w:jc w:val="right"/>
              <w:rPr>
                <w:rFonts w:ascii="Arial" w:hAnsi="Arial" w:cs="Arial"/>
                <w:color w:val="010205"/>
                <w:sz w:val="18"/>
                <w:szCs w:val="18"/>
              </w:rPr>
            </w:pPr>
            <w:r w:rsidRPr="00FF45D5">
              <w:rPr>
                <w:rFonts w:ascii="Arial" w:hAnsi="Arial" w:cs="Arial"/>
                <w:color w:val="010205"/>
                <w:sz w:val="18"/>
                <w:szCs w:val="18"/>
              </w:rPr>
              <w:t>7.7%</w:t>
            </w:r>
          </w:p>
        </w:tc>
        <w:tc>
          <w:tcPr>
            <w:tcW w:w="1133" w:type="dxa"/>
          </w:tcPr>
          <w:p w14:paraId="166DB17B" w14:textId="77777777" w:rsidR="00463745" w:rsidRPr="00FF45D5" w:rsidRDefault="00463745" w:rsidP="009024DA">
            <w:pPr>
              <w:autoSpaceDE w:val="0"/>
              <w:autoSpaceDN w:val="0"/>
              <w:adjustRightInd w:val="0"/>
              <w:spacing w:line="320" w:lineRule="atLeast"/>
              <w:ind w:left="60" w:right="60"/>
              <w:jc w:val="right"/>
              <w:rPr>
                <w:rFonts w:ascii="Arial" w:hAnsi="Arial" w:cs="Arial"/>
                <w:color w:val="010205"/>
                <w:sz w:val="18"/>
                <w:szCs w:val="18"/>
              </w:rPr>
            </w:pPr>
            <w:r w:rsidRPr="00FF45D5">
              <w:rPr>
                <w:rFonts w:ascii="Arial" w:hAnsi="Arial" w:cs="Arial"/>
                <w:color w:val="010205"/>
                <w:sz w:val="18"/>
                <w:szCs w:val="18"/>
              </w:rPr>
              <w:t>11.7%</w:t>
            </w:r>
          </w:p>
        </w:tc>
      </w:tr>
      <w:tr w:rsidR="00F37421" w:rsidRPr="00FF45D5" w14:paraId="4026D2C7" w14:textId="77777777" w:rsidTr="009024DA">
        <w:tc>
          <w:tcPr>
            <w:tcW w:w="2515" w:type="dxa"/>
          </w:tcPr>
          <w:p w14:paraId="3F519A7E" w14:textId="77777777" w:rsidR="00F37421" w:rsidRPr="00FF45D5" w:rsidRDefault="00F37421" w:rsidP="009024DA">
            <w:pPr>
              <w:autoSpaceDE w:val="0"/>
              <w:autoSpaceDN w:val="0"/>
              <w:adjustRightInd w:val="0"/>
              <w:spacing w:line="320" w:lineRule="atLeast"/>
              <w:ind w:left="60" w:right="60"/>
              <w:jc w:val="right"/>
              <w:rPr>
                <w:rFonts w:ascii="Arial" w:hAnsi="Arial" w:cs="Arial"/>
                <w:color w:val="010205"/>
                <w:sz w:val="18"/>
                <w:szCs w:val="18"/>
              </w:rPr>
            </w:pPr>
            <w:r w:rsidRPr="00FF45D5">
              <w:rPr>
                <w:rFonts w:ascii="Arial" w:hAnsi="Arial" w:cs="Arial"/>
                <w:color w:val="264A60"/>
                <w:sz w:val="18"/>
                <w:szCs w:val="18"/>
              </w:rPr>
              <w:t>I disagree</w:t>
            </w:r>
          </w:p>
        </w:tc>
        <w:tc>
          <w:tcPr>
            <w:tcW w:w="1133" w:type="dxa"/>
          </w:tcPr>
          <w:p w14:paraId="38A0A944" w14:textId="77777777" w:rsidR="00F37421" w:rsidRPr="00FF45D5" w:rsidRDefault="00F37421" w:rsidP="009024DA">
            <w:pPr>
              <w:autoSpaceDE w:val="0"/>
              <w:autoSpaceDN w:val="0"/>
              <w:adjustRightInd w:val="0"/>
              <w:spacing w:line="320" w:lineRule="atLeast"/>
              <w:ind w:left="60" w:right="60"/>
              <w:jc w:val="right"/>
              <w:rPr>
                <w:rFonts w:ascii="Arial" w:hAnsi="Arial" w:cs="Arial"/>
                <w:color w:val="010205"/>
                <w:sz w:val="18"/>
                <w:szCs w:val="18"/>
              </w:rPr>
            </w:pPr>
            <w:r w:rsidRPr="00FF45D5">
              <w:rPr>
                <w:rFonts w:ascii="Arial" w:hAnsi="Arial" w:cs="Arial"/>
                <w:color w:val="010205"/>
                <w:sz w:val="18"/>
                <w:szCs w:val="18"/>
              </w:rPr>
              <w:t>14.2%</w:t>
            </w:r>
          </w:p>
        </w:tc>
        <w:tc>
          <w:tcPr>
            <w:tcW w:w="1133" w:type="dxa"/>
          </w:tcPr>
          <w:p w14:paraId="068A7936" w14:textId="77777777" w:rsidR="00F37421" w:rsidRPr="00FF45D5" w:rsidRDefault="00F37421" w:rsidP="009024DA">
            <w:pPr>
              <w:autoSpaceDE w:val="0"/>
              <w:autoSpaceDN w:val="0"/>
              <w:adjustRightInd w:val="0"/>
              <w:spacing w:line="320" w:lineRule="atLeast"/>
              <w:ind w:left="60" w:right="60"/>
              <w:jc w:val="right"/>
              <w:rPr>
                <w:rFonts w:ascii="Arial" w:hAnsi="Arial" w:cs="Arial"/>
                <w:color w:val="010205"/>
                <w:sz w:val="18"/>
                <w:szCs w:val="18"/>
              </w:rPr>
            </w:pPr>
            <w:r w:rsidRPr="00FF45D5">
              <w:rPr>
                <w:rFonts w:ascii="Arial" w:hAnsi="Arial" w:cs="Arial"/>
                <w:color w:val="010205"/>
                <w:sz w:val="18"/>
                <w:szCs w:val="18"/>
              </w:rPr>
              <w:t>20.3%</w:t>
            </w:r>
          </w:p>
        </w:tc>
        <w:tc>
          <w:tcPr>
            <w:tcW w:w="1133" w:type="dxa"/>
          </w:tcPr>
          <w:p w14:paraId="0958C87D" w14:textId="77777777" w:rsidR="00F37421" w:rsidRPr="00FF45D5" w:rsidRDefault="00F37421" w:rsidP="009024DA">
            <w:pPr>
              <w:autoSpaceDE w:val="0"/>
              <w:autoSpaceDN w:val="0"/>
              <w:adjustRightInd w:val="0"/>
              <w:spacing w:line="320" w:lineRule="atLeast"/>
              <w:ind w:left="60" w:right="60"/>
              <w:jc w:val="right"/>
              <w:rPr>
                <w:rFonts w:ascii="Arial" w:hAnsi="Arial" w:cs="Arial"/>
                <w:color w:val="010205"/>
                <w:sz w:val="18"/>
                <w:szCs w:val="18"/>
              </w:rPr>
            </w:pPr>
            <w:r w:rsidRPr="00FF45D5">
              <w:rPr>
                <w:rFonts w:ascii="Arial" w:hAnsi="Arial" w:cs="Arial"/>
                <w:color w:val="010205"/>
                <w:sz w:val="18"/>
                <w:szCs w:val="18"/>
              </w:rPr>
              <w:t>16.7%</w:t>
            </w:r>
          </w:p>
        </w:tc>
        <w:tc>
          <w:tcPr>
            <w:tcW w:w="1624" w:type="dxa"/>
          </w:tcPr>
          <w:p w14:paraId="2E101BE8" w14:textId="77777777" w:rsidR="00F37421" w:rsidRPr="00FF45D5" w:rsidRDefault="00F37421" w:rsidP="009024DA">
            <w:pPr>
              <w:autoSpaceDE w:val="0"/>
              <w:autoSpaceDN w:val="0"/>
              <w:adjustRightInd w:val="0"/>
              <w:spacing w:line="320" w:lineRule="atLeast"/>
              <w:ind w:left="60" w:right="60"/>
              <w:jc w:val="right"/>
              <w:rPr>
                <w:rFonts w:ascii="Arial" w:hAnsi="Arial" w:cs="Arial"/>
                <w:color w:val="010205"/>
                <w:sz w:val="18"/>
                <w:szCs w:val="18"/>
              </w:rPr>
            </w:pPr>
            <w:r w:rsidRPr="00FF45D5">
              <w:rPr>
                <w:rFonts w:ascii="Arial" w:hAnsi="Arial" w:cs="Arial"/>
                <w:color w:val="010205"/>
                <w:sz w:val="18"/>
                <w:szCs w:val="18"/>
              </w:rPr>
              <w:t>15.4%</w:t>
            </w:r>
          </w:p>
        </w:tc>
        <w:tc>
          <w:tcPr>
            <w:tcW w:w="1133" w:type="dxa"/>
          </w:tcPr>
          <w:p w14:paraId="3B0B6B79" w14:textId="77777777" w:rsidR="00F37421" w:rsidRPr="00FF45D5" w:rsidRDefault="00F37421" w:rsidP="009024DA">
            <w:pPr>
              <w:autoSpaceDE w:val="0"/>
              <w:autoSpaceDN w:val="0"/>
              <w:adjustRightInd w:val="0"/>
              <w:spacing w:line="320" w:lineRule="atLeast"/>
              <w:ind w:left="60" w:right="60"/>
              <w:jc w:val="right"/>
              <w:rPr>
                <w:rFonts w:ascii="Arial" w:hAnsi="Arial" w:cs="Arial"/>
                <w:color w:val="010205"/>
                <w:sz w:val="18"/>
                <w:szCs w:val="18"/>
              </w:rPr>
            </w:pPr>
            <w:r w:rsidRPr="00FF45D5">
              <w:rPr>
                <w:rFonts w:ascii="Arial" w:hAnsi="Arial" w:cs="Arial"/>
                <w:color w:val="010205"/>
                <w:sz w:val="18"/>
                <w:szCs w:val="18"/>
              </w:rPr>
              <w:t>17.0%</w:t>
            </w:r>
          </w:p>
        </w:tc>
      </w:tr>
      <w:tr w:rsidR="00463745" w:rsidRPr="00FF45D5" w14:paraId="4D17CD5E" w14:textId="77777777" w:rsidTr="009024DA">
        <w:tc>
          <w:tcPr>
            <w:tcW w:w="2515" w:type="dxa"/>
          </w:tcPr>
          <w:p w14:paraId="2C71039F" w14:textId="77777777" w:rsidR="00463745" w:rsidRPr="00FF45D5" w:rsidRDefault="00463745" w:rsidP="009024DA">
            <w:pPr>
              <w:autoSpaceDE w:val="0"/>
              <w:autoSpaceDN w:val="0"/>
              <w:adjustRightInd w:val="0"/>
              <w:spacing w:line="320" w:lineRule="atLeast"/>
              <w:ind w:left="60" w:right="60"/>
              <w:jc w:val="right"/>
              <w:rPr>
                <w:rFonts w:ascii="Arial" w:hAnsi="Arial" w:cs="Arial"/>
                <w:color w:val="010205"/>
                <w:sz w:val="18"/>
                <w:szCs w:val="18"/>
              </w:rPr>
            </w:pPr>
            <w:r w:rsidRPr="00FF45D5">
              <w:rPr>
                <w:rFonts w:ascii="Arial" w:hAnsi="Arial" w:cs="Arial"/>
                <w:color w:val="264A60"/>
                <w:sz w:val="18"/>
                <w:szCs w:val="18"/>
              </w:rPr>
              <w:lastRenderedPageBreak/>
              <w:t>I strongly disagree</w:t>
            </w:r>
          </w:p>
        </w:tc>
        <w:tc>
          <w:tcPr>
            <w:tcW w:w="1133" w:type="dxa"/>
          </w:tcPr>
          <w:p w14:paraId="06A4B0C0" w14:textId="77777777" w:rsidR="00463745" w:rsidRPr="00FF45D5" w:rsidRDefault="00463745" w:rsidP="009024DA">
            <w:pPr>
              <w:autoSpaceDE w:val="0"/>
              <w:autoSpaceDN w:val="0"/>
              <w:adjustRightInd w:val="0"/>
              <w:spacing w:line="320" w:lineRule="atLeast"/>
              <w:ind w:left="60" w:right="60"/>
              <w:jc w:val="right"/>
              <w:rPr>
                <w:rFonts w:ascii="Arial" w:hAnsi="Arial" w:cs="Arial"/>
                <w:color w:val="010205"/>
                <w:sz w:val="18"/>
                <w:szCs w:val="18"/>
              </w:rPr>
            </w:pPr>
            <w:r w:rsidRPr="00FF45D5">
              <w:rPr>
                <w:rFonts w:ascii="Arial" w:hAnsi="Arial" w:cs="Arial"/>
                <w:color w:val="010205"/>
                <w:sz w:val="18"/>
                <w:szCs w:val="18"/>
              </w:rPr>
              <w:t>3.0%</w:t>
            </w:r>
          </w:p>
        </w:tc>
        <w:tc>
          <w:tcPr>
            <w:tcW w:w="1133" w:type="dxa"/>
          </w:tcPr>
          <w:p w14:paraId="771D5BE3" w14:textId="77777777" w:rsidR="00463745" w:rsidRPr="00FF45D5" w:rsidRDefault="00463745" w:rsidP="009024DA">
            <w:pPr>
              <w:autoSpaceDE w:val="0"/>
              <w:autoSpaceDN w:val="0"/>
              <w:adjustRightInd w:val="0"/>
              <w:spacing w:line="320" w:lineRule="atLeast"/>
              <w:ind w:left="60" w:right="60"/>
              <w:jc w:val="right"/>
              <w:rPr>
                <w:rFonts w:ascii="Arial" w:hAnsi="Arial" w:cs="Arial"/>
                <w:color w:val="010205"/>
                <w:sz w:val="18"/>
                <w:szCs w:val="18"/>
              </w:rPr>
            </w:pPr>
            <w:r w:rsidRPr="00FF45D5">
              <w:rPr>
                <w:rFonts w:ascii="Arial" w:hAnsi="Arial" w:cs="Arial"/>
                <w:color w:val="010205"/>
                <w:sz w:val="18"/>
                <w:szCs w:val="18"/>
              </w:rPr>
              <w:t>4.6%</w:t>
            </w:r>
          </w:p>
        </w:tc>
        <w:tc>
          <w:tcPr>
            <w:tcW w:w="1133" w:type="dxa"/>
          </w:tcPr>
          <w:p w14:paraId="3C5AFEC3" w14:textId="77777777" w:rsidR="00463745" w:rsidRPr="00FF45D5" w:rsidRDefault="00463745" w:rsidP="009024DA">
            <w:pPr>
              <w:autoSpaceDE w:val="0"/>
              <w:autoSpaceDN w:val="0"/>
              <w:adjustRightInd w:val="0"/>
              <w:rPr>
                <w:rFonts w:ascii="Times New Roman" w:hAnsi="Times New Roman" w:cs="Times New Roman"/>
                <w:sz w:val="24"/>
                <w:szCs w:val="24"/>
              </w:rPr>
            </w:pPr>
          </w:p>
        </w:tc>
        <w:tc>
          <w:tcPr>
            <w:tcW w:w="1624" w:type="dxa"/>
          </w:tcPr>
          <w:p w14:paraId="09EC5CE1" w14:textId="77777777" w:rsidR="00463745" w:rsidRPr="00FF45D5" w:rsidRDefault="00463745" w:rsidP="009024DA">
            <w:pPr>
              <w:autoSpaceDE w:val="0"/>
              <w:autoSpaceDN w:val="0"/>
              <w:adjustRightInd w:val="0"/>
              <w:spacing w:line="320" w:lineRule="atLeast"/>
              <w:ind w:left="60" w:right="60"/>
              <w:jc w:val="right"/>
              <w:rPr>
                <w:rFonts w:ascii="Arial" w:hAnsi="Arial" w:cs="Arial"/>
                <w:color w:val="010205"/>
                <w:sz w:val="18"/>
                <w:szCs w:val="18"/>
              </w:rPr>
            </w:pPr>
            <w:r w:rsidRPr="00FF45D5">
              <w:rPr>
                <w:rFonts w:ascii="Arial" w:hAnsi="Arial" w:cs="Arial"/>
                <w:color w:val="010205"/>
                <w:sz w:val="18"/>
                <w:szCs w:val="18"/>
              </w:rPr>
              <w:t>19.2%</w:t>
            </w:r>
          </w:p>
        </w:tc>
        <w:tc>
          <w:tcPr>
            <w:tcW w:w="1133" w:type="dxa"/>
          </w:tcPr>
          <w:p w14:paraId="4BB3D5A4" w14:textId="77777777" w:rsidR="00463745" w:rsidRPr="00FF45D5" w:rsidRDefault="00463745" w:rsidP="009024DA">
            <w:pPr>
              <w:autoSpaceDE w:val="0"/>
              <w:autoSpaceDN w:val="0"/>
              <w:adjustRightInd w:val="0"/>
              <w:spacing w:line="320" w:lineRule="atLeast"/>
              <w:ind w:left="60" w:right="60"/>
              <w:jc w:val="right"/>
              <w:rPr>
                <w:rFonts w:ascii="Arial" w:hAnsi="Arial" w:cs="Arial"/>
                <w:color w:val="010205"/>
                <w:sz w:val="18"/>
                <w:szCs w:val="18"/>
              </w:rPr>
            </w:pPr>
            <w:r w:rsidRPr="00FF45D5">
              <w:rPr>
                <w:rFonts w:ascii="Arial" w:hAnsi="Arial" w:cs="Arial"/>
                <w:color w:val="010205"/>
                <w:sz w:val="18"/>
                <w:szCs w:val="18"/>
              </w:rPr>
              <w:t>3.9%</w:t>
            </w:r>
          </w:p>
        </w:tc>
      </w:tr>
    </w:tbl>
    <w:p w14:paraId="252E725B" w14:textId="77777777" w:rsidR="00463745" w:rsidRDefault="00463745" w:rsidP="00463745">
      <w:r>
        <w:rPr>
          <w:rFonts w:ascii="Arial" w:hAnsi="Arial" w:cs="Arial"/>
          <w:color w:val="264A60"/>
          <w:sz w:val="18"/>
          <w:szCs w:val="18"/>
        </w:rPr>
        <w:t xml:space="preserve">Table7: </w:t>
      </w:r>
      <w:r w:rsidRPr="00FF45D5">
        <w:rPr>
          <w:rFonts w:ascii="Arial" w:hAnsi="Arial" w:cs="Arial"/>
          <w:color w:val="264A60"/>
          <w:sz w:val="18"/>
          <w:szCs w:val="18"/>
        </w:rPr>
        <w:t>Women should be employed in jobs that are usually considered male jobs</w:t>
      </w:r>
      <w:r>
        <w:rPr>
          <w:rFonts w:ascii="Arial" w:hAnsi="Arial" w:cs="Arial"/>
          <w:color w:val="264A60"/>
          <w:sz w:val="18"/>
          <w:szCs w:val="18"/>
        </w:rPr>
        <w:t xml:space="preserve"> by gender</w:t>
      </w:r>
    </w:p>
    <w:p w14:paraId="01E5D36C" w14:textId="77777777" w:rsidR="00463745" w:rsidRPr="008637AF" w:rsidRDefault="00463745" w:rsidP="008637AF">
      <w:pPr>
        <w:spacing w:line="240" w:lineRule="auto"/>
        <w:jc w:val="both"/>
        <w:rPr>
          <w:rFonts w:ascii="Times New Roman" w:hAnsi="Times New Roman" w:cs="Times New Roman"/>
          <w:sz w:val="24"/>
          <w:szCs w:val="24"/>
        </w:rPr>
      </w:pPr>
    </w:p>
    <w:p w14:paraId="68EC78D9" w14:textId="77777777" w:rsidR="008637AF" w:rsidRPr="008637AF" w:rsidRDefault="008637AF" w:rsidP="008637AF">
      <w:pPr>
        <w:keepNext/>
        <w:autoSpaceDE w:val="0"/>
        <w:autoSpaceDN w:val="0"/>
        <w:adjustRightInd w:val="0"/>
        <w:spacing w:after="0" w:line="240" w:lineRule="auto"/>
      </w:pPr>
      <w:r w:rsidRPr="008637AF">
        <w:rPr>
          <w:noProof/>
          <w:lang w:val="en-IE" w:eastAsia="en-IE"/>
        </w:rPr>
        <w:drawing>
          <wp:inline distT="0" distB="0" distL="0" distR="0" wp14:anchorId="12D7F829" wp14:editId="0257EFB3">
            <wp:extent cx="5886450" cy="2865120"/>
            <wp:effectExtent l="0" t="0" r="0" b="1143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2E519E4" w14:textId="77777777" w:rsidR="008637AF" w:rsidRPr="008637AF" w:rsidRDefault="008637AF" w:rsidP="008637AF">
      <w:pPr>
        <w:spacing w:after="200" w:line="240" w:lineRule="auto"/>
        <w:rPr>
          <w:rFonts w:ascii="Georgia" w:hAnsi="Georgia"/>
          <w:i/>
          <w:iCs/>
          <w:color w:val="000000"/>
          <w:sz w:val="18"/>
          <w:szCs w:val="18"/>
          <w:shd w:val="clear" w:color="auto" w:fill="FFFFFF"/>
        </w:rPr>
      </w:pPr>
      <w:r w:rsidRPr="008637AF">
        <w:rPr>
          <w:i/>
          <w:iCs/>
          <w:color w:val="44546A" w:themeColor="text2"/>
          <w:sz w:val="18"/>
          <w:szCs w:val="18"/>
        </w:rPr>
        <w:t xml:space="preserve">Figure </w:t>
      </w:r>
      <w:r w:rsidRPr="008637AF">
        <w:rPr>
          <w:i/>
          <w:iCs/>
          <w:color w:val="44546A" w:themeColor="text2"/>
          <w:sz w:val="18"/>
          <w:szCs w:val="18"/>
        </w:rPr>
        <w:fldChar w:fldCharType="begin"/>
      </w:r>
      <w:r w:rsidRPr="008637AF">
        <w:rPr>
          <w:i/>
          <w:iCs/>
          <w:color w:val="44546A" w:themeColor="text2"/>
          <w:sz w:val="18"/>
          <w:szCs w:val="18"/>
        </w:rPr>
        <w:instrText xml:space="preserve"> SEQ Figure \* ARABIC </w:instrText>
      </w:r>
      <w:r w:rsidRPr="008637AF">
        <w:rPr>
          <w:i/>
          <w:iCs/>
          <w:color w:val="44546A" w:themeColor="text2"/>
          <w:sz w:val="18"/>
          <w:szCs w:val="18"/>
        </w:rPr>
        <w:fldChar w:fldCharType="separate"/>
      </w:r>
      <w:r w:rsidR="00C15490">
        <w:rPr>
          <w:i/>
          <w:iCs/>
          <w:noProof/>
          <w:color w:val="44546A" w:themeColor="text2"/>
          <w:sz w:val="18"/>
          <w:szCs w:val="18"/>
        </w:rPr>
        <w:t>7</w:t>
      </w:r>
      <w:r w:rsidRPr="008637AF">
        <w:rPr>
          <w:i/>
          <w:iCs/>
          <w:noProof/>
          <w:color w:val="44546A" w:themeColor="text2"/>
          <w:sz w:val="18"/>
          <w:szCs w:val="18"/>
        </w:rPr>
        <w:fldChar w:fldCharType="end"/>
      </w:r>
      <w:r w:rsidRPr="008637AF">
        <w:rPr>
          <w:i/>
          <w:iCs/>
          <w:color w:val="44546A" w:themeColor="text2"/>
          <w:sz w:val="18"/>
          <w:szCs w:val="18"/>
        </w:rPr>
        <w:t xml:space="preserve"> Women are paid the same amount for doing the same jobs as men by state</w:t>
      </w:r>
    </w:p>
    <w:p w14:paraId="3A1F1060" w14:textId="77777777" w:rsidR="00841ACE" w:rsidRPr="00EB6159" w:rsidRDefault="00841ACE" w:rsidP="00EB6159">
      <w:pPr>
        <w:rPr>
          <w:rStyle w:val="IntenseEmphasis"/>
        </w:rPr>
      </w:pPr>
      <w:r w:rsidRPr="00EB6159">
        <w:rPr>
          <w:rStyle w:val="IntenseEmphasis"/>
        </w:rPr>
        <w:t>Discrimination in Employment</w:t>
      </w:r>
    </w:p>
    <w:p w14:paraId="54C416D4" w14:textId="77777777" w:rsidR="00C6536D" w:rsidRDefault="00BF30B7" w:rsidP="00E75191">
      <w:pPr>
        <w:spacing w:line="240" w:lineRule="auto"/>
        <w:jc w:val="both"/>
        <w:rPr>
          <w:sz w:val="24"/>
          <w:szCs w:val="24"/>
        </w:rPr>
      </w:pPr>
      <w:r>
        <w:rPr>
          <w:sz w:val="24"/>
          <w:szCs w:val="24"/>
        </w:rPr>
        <w:t xml:space="preserve">The Constitution </w:t>
      </w:r>
      <w:r w:rsidR="00C6536D" w:rsidRPr="00C6536D">
        <w:rPr>
          <w:sz w:val="24"/>
          <w:szCs w:val="24"/>
        </w:rPr>
        <w:t>prohibit</w:t>
      </w:r>
      <w:r>
        <w:rPr>
          <w:sz w:val="24"/>
          <w:szCs w:val="24"/>
        </w:rPr>
        <w:t>s</w:t>
      </w:r>
      <w:r w:rsidR="00C6536D" w:rsidRPr="00C6536D">
        <w:rPr>
          <w:sz w:val="24"/>
          <w:szCs w:val="24"/>
        </w:rPr>
        <w:t xml:space="preserve"> discrimination amongst all citizens based on </w:t>
      </w:r>
      <w:r>
        <w:rPr>
          <w:sz w:val="24"/>
          <w:szCs w:val="24"/>
        </w:rPr>
        <w:t>sex, ethnicity, religion amongst other grounds</w:t>
      </w:r>
      <w:r w:rsidR="00C6536D" w:rsidRPr="00C6536D">
        <w:rPr>
          <w:sz w:val="24"/>
          <w:szCs w:val="24"/>
        </w:rPr>
        <w:t>.</w:t>
      </w:r>
      <w:r w:rsidR="00C6536D" w:rsidRPr="00C6536D">
        <w:rPr>
          <w:rStyle w:val="FootnoteReference"/>
          <w:sz w:val="24"/>
          <w:szCs w:val="24"/>
        </w:rPr>
        <w:footnoteReference w:id="72"/>
      </w:r>
      <w:r w:rsidR="00C6536D" w:rsidRPr="00C6536D">
        <w:rPr>
          <w:sz w:val="24"/>
          <w:szCs w:val="24"/>
        </w:rPr>
        <w:t xml:space="preserve"> </w:t>
      </w:r>
      <w:r w:rsidRPr="00C6536D">
        <w:rPr>
          <w:sz w:val="24"/>
          <w:szCs w:val="24"/>
        </w:rPr>
        <w:t xml:space="preserve">The National Gender Policy, 2006 was established to address gender gaps across different areas, including </w:t>
      </w:r>
      <w:r w:rsidR="00194737">
        <w:rPr>
          <w:sz w:val="24"/>
          <w:szCs w:val="24"/>
        </w:rPr>
        <w:t xml:space="preserve">in </w:t>
      </w:r>
      <w:r w:rsidRPr="00C6536D">
        <w:rPr>
          <w:sz w:val="24"/>
          <w:szCs w:val="24"/>
        </w:rPr>
        <w:t>the Nigerian labour market</w:t>
      </w:r>
      <w:r>
        <w:rPr>
          <w:sz w:val="24"/>
          <w:szCs w:val="24"/>
        </w:rPr>
        <w:t xml:space="preserve"> </w:t>
      </w:r>
      <w:r w:rsidRPr="00C6536D">
        <w:rPr>
          <w:sz w:val="24"/>
          <w:szCs w:val="24"/>
        </w:rPr>
        <w:t>. One of the goals which the Policy is set to achieve is “the equality and equity in employment opportunities</w:t>
      </w:r>
      <w:r w:rsidRPr="00C6536D">
        <w:rPr>
          <w:i/>
          <w:sz w:val="24"/>
          <w:szCs w:val="24"/>
        </w:rPr>
        <w:t xml:space="preserve">” </w:t>
      </w:r>
      <w:r w:rsidRPr="00C6536D">
        <w:rPr>
          <w:sz w:val="24"/>
          <w:szCs w:val="24"/>
        </w:rPr>
        <w:t>and the elimination of</w:t>
      </w:r>
      <w:r w:rsidRPr="00C6536D">
        <w:rPr>
          <w:i/>
          <w:sz w:val="24"/>
          <w:szCs w:val="24"/>
        </w:rPr>
        <w:t xml:space="preserve"> </w:t>
      </w:r>
      <w:r w:rsidRPr="00C6536D">
        <w:rPr>
          <w:sz w:val="24"/>
          <w:szCs w:val="24"/>
        </w:rPr>
        <w:t>“all discriminatory and abusive practices (on the grounds of sex, race, ethnicity, class, religion, age, disability, or marital status) against the employment of women in the public and private sectors of the economy”.</w:t>
      </w:r>
      <w:r w:rsidRPr="00C6536D">
        <w:rPr>
          <w:rStyle w:val="FootnoteReference"/>
          <w:sz w:val="24"/>
          <w:szCs w:val="24"/>
        </w:rPr>
        <w:footnoteReference w:id="73"/>
      </w:r>
    </w:p>
    <w:p w14:paraId="7403BE8C" w14:textId="77777777" w:rsidR="00BF30B7" w:rsidRDefault="00BF30B7" w:rsidP="00E75191">
      <w:pPr>
        <w:spacing w:line="240" w:lineRule="auto"/>
        <w:jc w:val="both"/>
        <w:rPr>
          <w:sz w:val="24"/>
          <w:szCs w:val="24"/>
        </w:rPr>
      </w:pPr>
      <w:r>
        <w:rPr>
          <w:sz w:val="24"/>
          <w:szCs w:val="24"/>
        </w:rPr>
        <w:t>However, the</w:t>
      </w:r>
      <w:r w:rsidRPr="00C6536D">
        <w:rPr>
          <w:sz w:val="24"/>
          <w:szCs w:val="24"/>
        </w:rPr>
        <w:t xml:space="preserve"> Nigerian labour force</w:t>
      </w:r>
      <w:r w:rsidR="00194737">
        <w:rPr>
          <w:sz w:val="24"/>
          <w:szCs w:val="24"/>
        </w:rPr>
        <w:t xml:space="preserve"> and especially the formal sector,</w:t>
      </w:r>
      <w:r w:rsidRPr="00C6536D">
        <w:rPr>
          <w:sz w:val="24"/>
          <w:szCs w:val="24"/>
        </w:rPr>
        <w:t xml:space="preserve"> is far from reflective of the provisions of the Constitution on the equality of access to gainful employment across genders</w:t>
      </w:r>
      <w:r>
        <w:rPr>
          <w:sz w:val="24"/>
          <w:szCs w:val="24"/>
        </w:rPr>
        <w:t>.</w:t>
      </w:r>
      <w:r>
        <w:rPr>
          <w:rStyle w:val="FootnoteReference"/>
          <w:sz w:val="24"/>
          <w:szCs w:val="24"/>
        </w:rPr>
        <w:footnoteReference w:id="74"/>
      </w:r>
      <w:r>
        <w:rPr>
          <w:sz w:val="24"/>
          <w:szCs w:val="24"/>
        </w:rPr>
        <w:t xml:space="preserve"> </w:t>
      </w:r>
      <w:r w:rsidRPr="00C6536D">
        <w:rPr>
          <w:sz w:val="24"/>
          <w:szCs w:val="24"/>
        </w:rPr>
        <w:t xml:space="preserve">Segregation of genders to specific occupations, unfriendly work environment towards women of childbearing age and gender-based discriminatory laws </w:t>
      </w:r>
      <w:r w:rsidR="00194737">
        <w:rPr>
          <w:sz w:val="24"/>
          <w:szCs w:val="24"/>
        </w:rPr>
        <w:t>remain widespread in</w:t>
      </w:r>
      <w:r w:rsidRPr="00C6536D">
        <w:rPr>
          <w:sz w:val="24"/>
          <w:szCs w:val="24"/>
        </w:rPr>
        <w:t xml:space="preserve"> the Nigerian labour market.</w:t>
      </w:r>
      <w:r w:rsidRPr="00C6536D">
        <w:rPr>
          <w:rStyle w:val="FootnoteReference"/>
          <w:sz w:val="24"/>
          <w:szCs w:val="24"/>
        </w:rPr>
        <w:footnoteReference w:id="75"/>
      </w:r>
      <w:r w:rsidRPr="00C6536D">
        <w:rPr>
          <w:sz w:val="24"/>
          <w:szCs w:val="24"/>
        </w:rPr>
        <w:t xml:space="preserve"> </w:t>
      </w:r>
      <w:r>
        <w:rPr>
          <w:sz w:val="24"/>
          <w:szCs w:val="24"/>
        </w:rPr>
        <w:t>Although Nigeria has committed to tackle discrimination against women in the field of employment and to ensure equal access to employment opportunities under various international and regional instruments</w:t>
      </w:r>
      <w:r>
        <w:rPr>
          <w:rStyle w:val="FootnoteReference"/>
          <w:sz w:val="24"/>
          <w:szCs w:val="24"/>
        </w:rPr>
        <w:footnoteReference w:id="76"/>
      </w:r>
      <w:r>
        <w:rPr>
          <w:sz w:val="24"/>
          <w:szCs w:val="24"/>
        </w:rPr>
        <w:t>, several gender-discriminatory laws continue to regulate the workplace.</w:t>
      </w:r>
    </w:p>
    <w:p w14:paraId="70807A2C" w14:textId="77777777" w:rsidR="00444CF0" w:rsidRDefault="00FE327B" w:rsidP="00E75191">
      <w:pPr>
        <w:spacing w:line="240" w:lineRule="auto"/>
        <w:jc w:val="both"/>
        <w:rPr>
          <w:sz w:val="24"/>
          <w:szCs w:val="24"/>
        </w:rPr>
      </w:pPr>
      <w:r>
        <w:rPr>
          <w:sz w:val="24"/>
          <w:szCs w:val="24"/>
        </w:rPr>
        <w:lastRenderedPageBreak/>
        <w:t>The</w:t>
      </w:r>
      <w:r w:rsidRPr="00C6536D">
        <w:rPr>
          <w:sz w:val="24"/>
          <w:szCs w:val="24"/>
        </w:rPr>
        <w:t xml:space="preserve"> provisions of the Labour Act</w:t>
      </w:r>
      <w:r>
        <w:rPr>
          <w:sz w:val="24"/>
          <w:szCs w:val="24"/>
        </w:rPr>
        <w:t xml:space="preserve"> </w:t>
      </w:r>
      <w:r w:rsidRPr="00C6536D">
        <w:rPr>
          <w:sz w:val="24"/>
          <w:szCs w:val="24"/>
        </w:rPr>
        <w:t>on the leave of absence from work for the performance of reprodu</w:t>
      </w:r>
      <w:r>
        <w:rPr>
          <w:sz w:val="24"/>
          <w:szCs w:val="24"/>
        </w:rPr>
        <w:t>ctive roles only apply to women;</w:t>
      </w:r>
      <w:r w:rsidRPr="00C6536D">
        <w:rPr>
          <w:sz w:val="24"/>
          <w:szCs w:val="24"/>
        </w:rPr>
        <w:t xml:space="preserve"> similar provisions are not made in relation to men.</w:t>
      </w:r>
      <w:r w:rsidRPr="00C6536D">
        <w:rPr>
          <w:rStyle w:val="FootnoteReference"/>
          <w:sz w:val="24"/>
          <w:szCs w:val="24"/>
        </w:rPr>
        <w:footnoteReference w:id="77"/>
      </w:r>
      <w:r w:rsidRPr="00C6536D">
        <w:rPr>
          <w:sz w:val="24"/>
          <w:szCs w:val="24"/>
        </w:rPr>
        <w:t xml:space="preserve"> This often leads to women taking lesser paid roles and part-time jobs with little or job security so as to make time for reproductive roles.</w:t>
      </w:r>
      <w:r w:rsidRPr="00C6536D">
        <w:rPr>
          <w:rStyle w:val="FootnoteReference"/>
          <w:sz w:val="24"/>
          <w:szCs w:val="24"/>
        </w:rPr>
        <w:footnoteReference w:id="78"/>
      </w:r>
      <w:r w:rsidRPr="00C6536D">
        <w:rPr>
          <w:sz w:val="24"/>
          <w:szCs w:val="24"/>
        </w:rPr>
        <w:t xml:space="preserve"> Further, the provisions of the Labour Act prohibit women from being employed </w:t>
      </w:r>
      <w:r w:rsidR="00194737">
        <w:rPr>
          <w:sz w:val="24"/>
          <w:szCs w:val="24"/>
        </w:rPr>
        <w:t xml:space="preserve">in </w:t>
      </w:r>
      <w:r w:rsidRPr="00C6536D">
        <w:rPr>
          <w:sz w:val="24"/>
          <w:szCs w:val="24"/>
        </w:rPr>
        <w:t>specific jobs. These are jobs that entail working at night time in an industrial or agricultural setting or jobs that involve underground mining activities.</w:t>
      </w:r>
      <w:r w:rsidRPr="00C6536D">
        <w:rPr>
          <w:rStyle w:val="FootnoteReference"/>
          <w:sz w:val="24"/>
          <w:szCs w:val="24"/>
        </w:rPr>
        <w:footnoteReference w:id="79"/>
      </w:r>
      <w:r>
        <w:rPr>
          <w:sz w:val="24"/>
          <w:szCs w:val="24"/>
        </w:rPr>
        <w:t xml:space="preserve">  </w:t>
      </w:r>
      <w:r w:rsidRPr="00C6536D">
        <w:rPr>
          <w:sz w:val="24"/>
          <w:szCs w:val="24"/>
        </w:rPr>
        <w:t>In addition to the Labour Act, the National Drug Law Enforcement Agency (NDLEA) Order 2002 also makes provisions that are considered discriminatory towards women. Under the NDLEA Order, married women are prohibited from joining the NDLEA and female officers must remain unmarried for a period of two years after enlisting.</w:t>
      </w:r>
      <w:r w:rsidRPr="00C6536D">
        <w:rPr>
          <w:rStyle w:val="FootnoteReference"/>
          <w:sz w:val="24"/>
          <w:szCs w:val="24"/>
        </w:rPr>
        <w:footnoteReference w:id="80"/>
      </w:r>
      <w:r w:rsidRPr="00C6536D">
        <w:rPr>
          <w:sz w:val="24"/>
          <w:szCs w:val="24"/>
        </w:rPr>
        <w:t xml:space="preserve"> These laws put women at a disadvantage and significantly limit their representation in the workplace. </w:t>
      </w:r>
      <w:r>
        <w:rPr>
          <w:sz w:val="24"/>
          <w:szCs w:val="24"/>
        </w:rPr>
        <w:t xml:space="preserve"> Even where the laws containing discriminatory provisions have been repealed such as the Police Act, there is a resistance to implementing new provisions.</w:t>
      </w:r>
      <w:r>
        <w:rPr>
          <w:rStyle w:val="FootnoteReference"/>
          <w:sz w:val="24"/>
          <w:szCs w:val="24"/>
        </w:rPr>
        <w:footnoteReference w:id="81"/>
      </w:r>
      <w:r>
        <w:rPr>
          <w:sz w:val="24"/>
          <w:szCs w:val="24"/>
        </w:rPr>
        <w:t xml:space="preserve"> </w:t>
      </w:r>
    </w:p>
    <w:p w14:paraId="5C916F0A" w14:textId="77777777" w:rsidR="00E75191" w:rsidRDefault="00AC3F29" w:rsidP="00E75191">
      <w:pPr>
        <w:spacing w:line="240" w:lineRule="auto"/>
        <w:jc w:val="both"/>
        <w:rPr>
          <w:i/>
          <w:sz w:val="24"/>
          <w:szCs w:val="24"/>
        </w:rPr>
      </w:pPr>
      <w:r>
        <w:rPr>
          <w:noProof/>
          <w:sz w:val="24"/>
          <w:szCs w:val="24"/>
          <w:lang w:val="en-IE" w:eastAsia="en-IE"/>
        </w:rPr>
        <mc:AlternateContent>
          <mc:Choice Requires="wps">
            <w:drawing>
              <wp:anchor distT="0" distB="0" distL="114300" distR="114300" simplePos="0" relativeHeight="251721728" behindDoc="0" locked="0" layoutInCell="1" allowOverlap="1" wp14:anchorId="48D0F2A3" wp14:editId="12F92585">
                <wp:simplePos x="0" y="0"/>
                <wp:positionH relativeFrom="margin">
                  <wp:align>right</wp:align>
                </wp:positionH>
                <wp:positionV relativeFrom="paragraph">
                  <wp:posOffset>865505</wp:posOffset>
                </wp:positionV>
                <wp:extent cx="5753100" cy="436245"/>
                <wp:effectExtent l="0" t="0" r="19050" b="20955"/>
                <wp:wrapSquare wrapText="bothSides"/>
                <wp:docPr id="452" name="Rectangle 452"/>
                <wp:cNvGraphicFramePr/>
                <a:graphic xmlns:a="http://schemas.openxmlformats.org/drawingml/2006/main">
                  <a:graphicData uri="http://schemas.microsoft.com/office/word/2010/wordprocessingShape">
                    <wps:wsp>
                      <wps:cNvSpPr/>
                      <wps:spPr>
                        <a:xfrm>
                          <a:off x="0" y="0"/>
                          <a:ext cx="5753100" cy="436245"/>
                        </a:xfrm>
                        <a:prstGeom prst="rec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txbx>
                        <w:txbxContent>
                          <w:p w14:paraId="779968C2" w14:textId="77777777" w:rsidR="006D6A0C" w:rsidRDefault="006D6A0C" w:rsidP="00681F77">
                            <w:pPr>
                              <w:spacing w:line="276" w:lineRule="auto"/>
                              <w:jc w:val="center"/>
                              <w:rPr>
                                <w:i/>
                              </w:rPr>
                            </w:pPr>
                            <w:r w:rsidRPr="00EC6BA0">
                              <w:rPr>
                                <w:i/>
                              </w:rPr>
                              <w:t>Women are seen as weaker vessels because they can't do certain men's job</w:t>
                            </w:r>
                            <w:r>
                              <w:rPr>
                                <w:i/>
                              </w:rPr>
                              <w:t xml:space="preserve"> – Female FGD participant Edo</w:t>
                            </w:r>
                          </w:p>
                          <w:p w14:paraId="5354C759" w14:textId="77777777" w:rsidR="006D6A0C" w:rsidRDefault="006D6A0C" w:rsidP="00681F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D0F2A3" id="Rectangle 452" o:spid="_x0000_s1040" style="position:absolute;left:0;text-align:left;margin-left:401.8pt;margin-top:68.15pt;width:453pt;height:34.35pt;z-index:251721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" fillcolor="#002060" strokecolor="#1f4d78 [1604]" strokeweight="1pt">
                <v:textbox>
                  <w:txbxContent>
                    <w:p w:rsidR="006D6A0C" w:rsidRDefault="006D6A0C" w:rsidP="00681F77">
                      <w:pPr>
                        <w:spacing w:line="276" w:lineRule="auto"/>
                        <w:jc w:val="center"/>
                        <w:rPr>
                          <w:i/>
                        </w:rPr>
                      </w:pPr>
                      <w:r w:rsidRPr="00EC6BA0">
                        <w:rPr>
                          <w:i/>
                        </w:rPr>
                        <w:t>Women are seen as weaker vessels because they can't do certain men's job</w:t>
                      </w:r>
                      <w:r>
                        <w:rPr>
                          <w:i/>
                        </w:rPr>
                        <w:t xml:space="preserve"> – Female FGD participant Edo</w:t>
                      </w:r>
                    </w:p>
                    <w:p w:rsidR="006D6A0C" w:rsidRDefault="006D6A0C" w:rsidP="00681F77">
                      <w:pPr>
                        <w:jc w:val="center"/>
                      </w:pPr>
                    </w:p>
                  </w:txbxContent>
                </v:textbox>
                <w10:wrap type="square" anchorx="margin"/>
              </v:rect>
            </w:pict>
          </mc:Fallback>
        </mc:AlternateContent>
      </w:r>
      <w:r w:rsidR="00444CF0">
        <w:rPr>
          <w:sz w:val="24"/>
          <w:szCs w:val="24"/>
        </w:rPr>
        <w:t>These laws reflect gender norms that have limited women’s participation in work.  A few respondents noted that women are not able to do jobs usually considered men’s jobs.</w:t>
      </w:r>
    </w:p>
    <w:p w14:paraId="76707852" w14:textId="77777777" w:rsidR="00444CF0" w:rsidRDefault="00444CF0" w:rsidP="00E75191">
      <w:pPr>
        <w:spacing w:line="240" w:lineRule="auto"/>
        <w:jc w:val="both"/>
        <w:rPr>
          <w:sz w:val="24"/>
          <w:szCs w:val="24"/>
        </w:rPr>
      </w:pPr>
      <w:r w:rsidRPr="00E75191">
        <w:rPr>
          <w:sz w:val="24"/>
          <w:szCs w:val="24"/>
        </w:rPr>
        <w:t>Yet these norms do not reflect the views of many.</w:t>
      </w:r>
      <w:r w:rsidR="00681F77">
        <w:rPr>
          <w:sz w:val="24"/>
          <w:szCs w:val="24"/>
        </w:rPr>
        <w:t xml:space="preserve"> R</w:t>
      </w:r>
      <w:r w:rsidRPr="00E75191">
        <w:rPr>
          <w:sz w:val="24"/>
          <w:szCs w:val="24"/>
        </w:rPr>
        <w:t>espondent</w:t>
      </w:r>
      <w:r w:rsidR="00681F77">
        <w:rPr>
          <w:sz w:val="24"/>
          <w:szCs w:val="24"/>
        </w:rPr>
        <w:t>s</w:t>
      </w:r>
      <w:r w:rsidRPr="00E75191">
        <w:rPr>
          <w:sz w:val="24"/>
          <w:szCs w:val="24"/>
        </w:rPr>
        <w:t xml:space="preserve"> in an FGD for instance noted</w:t>
      </w:r>
      <w:r w:rsidR="0023781B">
        <w:rPr>
          <w:sz w:val="24"/>
          <w:szCs w:val="24"/>
        </w:rPr>
        <w:t>:</w:t>
      </w:r>
    </w:p>
    <w:p w14:paraId="53C4DD92" w14:textId="77777777" w:rsidR="00681F77" w:rsidRPr="00681F77" w:rsidRDefault="008D2F5D" w:rsidP="00E75191">
      <w:pPr>
        <w:spacing w:line="240" w:lineRule="auto"/>
        <w:jc w:val="both"/>
        <w:rPr>
          <w:sz w:val="24"/>
          <w:szCs w:val="24"/>
        </w:rPr>
      </w:pPr>
      <w:r>
        <w:rPr>
          <w:i/>
          <w:noProof/>
          <w:sz w:val="24"/>
          <w:szCs w:val="24"/>
          <w:lang w:val="en-IE" w:eastAsia="en-IE"/>
        </w:rPr>
        <mc:AlternateContent>
          <mc:Choice Requires="wps">
            <w:drawing>
              <wp:anchor distT="0" distB="0" distL="114300" distR="114300" simplePos="0" relativeHeight="251722752" behindDoc="0" locked="0" layoutInCell="1" allowOverlap="1" wp14:anchorId="7B210BAC" wp14:editId="228B9B47">
                <wp:simplePos x="0" y="0"/>
                <wp:positionH relativeFrom="column">
                  <wp:posOffset>2346325</wp:posOffset>
                </wp:positionH>
                <wp:positionV relativeFrom="paragraph">
                  <wp:posOffset>558800</wp:posOffset>
                </wp:positionV>
                <wp:extent cx="3378200" cy="2603500"/>
                <wp:effectExtent l="0" t="0" r="12700" b="25400"/>
                <wp:wrapNone/>
                <wp:docPr id="455" name="Rectangle 455"/>
                <wp:cNvGraphicFramePr/>
                <a:graphic xmlns:a="http://schemas.openxmlformats.org/drawingml/2006/main">
                  <a:graphicData uri="http://schemas.microsoft.com/office/word/2010/wordprocessingShape">
                    <wps:wsp>
                      <wps:cNvSpPr/>
                      <wps:spPr>
                        <a:xfrm>
                          <a:off x="0" y="0"/>
                          <a:ext cx="3378200" cy="260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3579999" w14:textId="77777777" w:rsidR="006D6A0C" w:rsidRDefault="006D6A0C" w:rsidP="00E75191">
                            <w:pPr>
                              <w:jc w:val="both"/>
                              <w:rPr>
                                <w:i/>
                                <w:sz w:val="20"/>
                                <w:szCs w:val="20"/>
                              </w:rPr>
                            </w:pPr>
                            <w:r w:rsidRPr="00E75191">
                              <w:rPr>
                                <w:i/>
                                <w:sz w:val="20"/>
                                <w:szCs w:val="20"/>
                              </w:rPr>
                              <w:t xml:space="preserve">Even though in the origin it seems </w:t>
                            </w:r>
                            <w:r>
                              <w:rPr>
                                <w:i/>
                                <w:sz w:val="20"/>
                                <w:szCs w:val="20"/>
                              </w:rPr>
                              <w:t xml:space="preserve">a </w:t>
                            </w:r>
                            <w:r w:rsidRPr="00E75191">
                              <w:rPr>
                                <w:i/>
                                <w:sz w:val="20"/>
                                <w:szCs w:val="20"/>
                              </w:rPr>
                              <w:t xml:space="preserve">woman was meant to assist the man, but from keen observation, women are stronger than men. </w:t>
                            </w:r>
                            <w:r>
                              <w:rPr>
                                <w:i/>
                                <w:sz w:val="20"/>
                                <w:szCs w:val="20"/>
                              </w:rPr>
                              <w:t xml:space="preserve">I am </w:t>
                            </w:r>
                            <w:r w:rsidRPr="00E75191">
                              <w:rPr>
                                <w:i/>
                                <w:sz w:val="20"/>
                                <w:szCs w:val="20"/>
                              </w:rPr>
                              <w:t xml:space="preserve"> a sojourner here in Benin bush, living with my father, mother and siblings. All that my father does is to clear the bush and my mother takes it from there for the maintenance, cultivation and everything required to finish. So in essence, the women are stronger in everything than the men…, they have the power and the stamina to work.  Men easily get tired unlike the women. The women will follow the men to the farm</w:t>
                            </w:r>
                            <w:r>
                              <w:rPr>
                                <w:i/>
                                <w:sz w:val="20"/>
                                <w:szCs w:val="20"/>
                              </w:rPr>
                              <w:t>,</w:t>
                            </w:r>
                            <w:r w:rsidRPr="00E75191">
                              <w:rPr>
                                <w:i/>
                                <w:sz w:val="20"/>
                                <w:szCs w:val="20"/>
                              </w:rPr>
                              <w:t xml:space="preserve"> come back, fr</w:t>
                            </w:r>
                            <w:r>
                              <w:rPr>
                                <w:i/>
                                <w:sz w:val="20"/>
                                <w:szCs w:val="20"/>
                              </w:rPr>
                              <w:t>y</w:t>
                            </w:r>
                            <w:r w:rsidRPr="00E75191">
                              <w:rPr>
                                <w:i/>
                                <w:sz w:val="20"/>
                                <w:szCs w:val="20"/>
                              </w:rPr>
                              <w:t xml:space="preserve"> garri, cook the food, clean the house, take care of the children while the man is resting and in the night visit</w:t>
                            </w:r>
                            <w:r>
                              <w:rPr>
                                <w:i/>
                                <w:sz w:val="20"/>
                                <w:szCs w:val="20"/>
                              </w:rPr>
                              <w:t>s</w:t>
                            </w:r>
                            <w:r w:rsidRPr="00E75191">
                              <w:rPr>
                                <w:i/>
                                <w:sz w:val="20"/>
                                <w:szCs w:val="20"/>
                              </w:rPr>
                              <w:t xml:space="preserve"> the holy temple with the man.</w:t>
                            </w:r>
                          </w:p>
                          <w:p w14:paraId="42AC5E4B" w14:textId="77777777" w:rsidR="006D6A0C" w:rsidRPr="006E3C5B" w:rsidRDefault="006D6A0C" w:rsidP="006E3C5B">
                            <w:pPr>
                              <w:pStyle w:val="ListParagraph"/>
                              <w:numPr>
                                <w:ilvl w:val="0"/>
                                <w:numId w:val="21"/>
                              </w:numPr>
                              <w:jc w:val="both"/>
                              <w:rPr>
                                <w:i/>
                                <w:sz w:val="20"/>
                                <w:szCs w:val="20"/>
                              </w:rPr>
                            </w:pPr>
                            <w:r>
                              <w:rPr>
                                <w:i/>
                                <w:sz w:val="20"/>
                                <w:szCs w:val="20"/>
                                <w:lang w:val="en-US"/>
                              </w:rPr>
                              <w:t>Female FGD participant, Edo</w:t>
                            </w:r>
                          </w:p>
                          <w:p w14:paraId="69AA49AC" w14:textId="77777777" w:rsidR="006D6A0C" w:rsidRDefault="006D6A0C" w:rsidP="00681F77">
                            <w:pPr>
                              <w:spacing w:line="276" w:lineRule="auto"/>
                              <w:jc w:val="both"/>
                              <w:rPr>
                                <w:sz w:val="24"/>
                                <w:szCs w:val="24"/>
                              </w:rPr>
                            </w:pPr>
                          </w:p>
                          <w:p w14:paraId="44D930F0" w14:textId="77777777" w:rsidR="006D6A0C" w:rsidRDefault="006D6A0C" w:rsidP="00681F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B210BAC" id="Rectangle 455" o:spid="_x0000_s1041" style="position:absolute;left:0;text-align:left;margin-left:184.75pt;margin-top:44pt;width:266pt;height:205pt;z-index:251722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" fillcolor="#5b9bd5 [3204]" strokecolor="#1f4d78 [1604]" strokeweight="1pt">
                <v:textbox>
                  <w:txbxContent>
                    <w:p w:rsidR="006D6A0C" w:rsidRDefault="006D6A0C" w:rsidP="00E75191">
                      <w:pPr>
                        <w:jc w:val="both"/>
                        <w:rPr>
                          <w:i/>
                          <w:sz w:val="20"/>
                          <w:szCs w:val="20"/>
                        </w:rPr>
                      </w:pPr>
                      <w:r w:rsidRPr="00E75191">
                        <w:rPr>
                          <w:i/>
                          <w:sz w:val="20"/>
                          <w:szCs w:val="20"/>
                        </w:rPr>
                        <w:t xml:space="preserve">Even though in the origin it seems </w:t>
                      </w:r>
                      <w:r>
                        <w:rPr>
                          <w:i/>
                          <w:sz w:val="20"/>
                          <w:szCs w:val="20"/>
                        </w:rPr>
                        <w:t xml:space="preserve">a </w:t>
                      </w:r>
                      <w:r w:rsidRPr="00E75191">
                        <w:rPr>
                          <w:i/>
                          <w:sz w:val="20"/>
                          <w:szCs w:val="20"/>
                        </w:rPr>
                        <w:t xml:space="preserve">woman was meant to assist the man, but from keen observation, women are stronger than men. </w:t>
                      </w:r>
                      <w:r>
                        <w:rPr>
                          <w:i/>
                          <w:sz w:val="20"/>
                          <w:szCs w:val="20"/>
                        </w:rPr>
                        <w:t xml:space="preserve">I am </w:t>
                      </w:r>
                      <w:r w:rsidRPr="00E75191">
                        <w:rPr>
                          <w:i/>
                          <w:sz w:val="20"/>
                          <w:szCs w:val="20"/>
                        </w:rPr>
                        <w:t xml:space="preserve"> a sojourner here in Benin bush, living with my father, mother and siblings. All that my father does is to clear the bush and my mother takes it from there for the maintenance, cultivation and everything required to finish. So in essence, the women are stronger in everything than the men…, they have the power and the stamina to work.  Men easily get tired unlike the women. The women will follow the men to the farm</w:t>
                      </w:r>
                      <w:r>
                        <w:rPr>
                          <w:i/>
                          <w:sz w:val="20"/>
                          <w:szCs w:val="20"/>
                        </w:rPr>
                        <w:t>,</w:t>
                      </w:r>
                      <w:r w:rsidRPr="00E75191">
                        <w:rPr>
                          <w:i/>
                          <w:sz w:val="20"/>
                          <w:szCs w:val="20"/>
                        </w:rPr>
                        <w:t xml:space="preserve"> come back, fr</w:t>
                      </w:r>
                      <w:r>
                        <w:rPr>
                          <w:i/>
                          <w:sz w:val="20"/>
                          <w:szCs w:val="20"/>
                        </w:rPr>
                        <w:t>y</w:t>
                      </w:r>
                      <w:r w:rsidRPr="00E75191">
                        <w:rPr>
                          <w:i/>
                          <w:sz w:val="20"/>
                          <w:szCs w:val="20"/>
                        </w:rPr>
                        <w:t xml:space="preserve"> garri, cook the food, clean the house, take care of the children while the man is resting and in the night visit</w:t>
                      </w:r>
                      <w:r>
                        <w:rPr>
                          <w:i/>
                          <w:sz w:val="20"/>
                          <w:szCs w:val="20"/>
                        </w:rPr>
                        <w:t>s</w:t>
                      </w:r>
                      <w:r w:rsidRPr="00E75191">
                        <w:rPr>
                          <w:i/>
                          <w:sz w:val="20"/>
                          <w:szCs w:val="20"/>
                        </w:rPr>
                        <w:t xml:space="preserve"> the holy temple with the man.</w:t>
                      </w:r>
                    </w:p>
                    <w:p w:rsidR="006D6A0C" w:rsidRPr="006E3C5B" w:rsidRDefault="006D6A0C" w:rsidP="006E3C5B">
                      <w:pPr>
                        <w:pStyle w:val="ListParagraph"/>
                        <w:numPr>
                          <w:ilvl w:val="0"/>
                          <w:numId w:val="21"/>
                        </w:numPr>
                        <w:jc w:val="both"/>
                        <w:rPr>
                          <w:i/>
                          <w:sz w:val="20"/>
                          <w:szCs w:val="20"/>
                        </w:rPr>
                      </w:pPr>
                      <w:r>
                        <w:rPr>
                          <w:i/>
                          <w:sz w:val="20"/>
                          <w:szCs w:val="20"/>
                          <w:lang w:val="en-US"/>
                        </w:rPr>
                        <w:t>Female FGD participant, Edo</w:t>
                      </w:r>
                    </w:p>
                    <w:p w:rsidR="006D6A0C" w:rsidRDefault="006D6A0C" w:rsidP="00681F77">
                      <w:pPr>
                        <w:spacing w:line="276" w:lineRule="auto"/>
                        <w:jc w:val="both"/>
                        <w:rPr>
                          <w:sz w:val="24"/>
                          <w:szCs w:val="24"/>
                        </w:rPr>
                      </w:pPr>
                    </w:p>
                    <w:p w:rsidR="006D6A0C" w:rsidRDefault="006D6A0C" w:rsidP="00681F77">
                      <w:pPr>
                        <w:jc w:val="center"/>
                      </w:pPr>
                    </w:p>
                  </w:txbxContent>
                </v:textbox>
              </v:rect>
            </w:pict>
          </mc:Fallback>
        </mc:AlternateContent>
      </w:r>
      <w:r w:rsidR="00681F77">
        <w:rPr>
          <w:i/>
          <w:noProof/>
          <w:sz w:val="24"/>
          <w:szCs w:val="24"/>
          <w:lang w:val="en-IE" w:eastAsia="en-IE"/>
        </w:rPr>
        <mc:AlternateContent>
          <mc:Choice Requires="wps">
            <w:drawing>
              <wp:inline distT="0" distB="0" distL="0" distR="0" wp14:anchorId="7DFFE1B8" wp14:editId="5C834E2C">
                <wp:extent cx="2292350" cy="2603500"/>
                <wp:effectExtent l="0" t="0" r="12700" b="25400"/>
                <wp:docPr id="454" name="Rectangle 454"/>
                <wp:cNvGraphicFramePr/>
                <a:graphic xmlns:a="http://schemas.openxmlformats.org/drawingml/2006/main">
                  <a:graphicData uri="http://schemas.microsoft.com/office/word/2010/wordprocessingShape">
                    <wps:wsp>
                      <wps:cNvSpPr/>
                      <wps:spPr>
                        <a:xfrm>
                          <a:off x="0" y="0"/>
                          <a:ext cx="2292350" cy="260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A315DA6" w14:textId="77777777" w:rsidR="006D6A0C" w:rsidRDefault="006D6A0C" w:rsidP="00E75191">
                            <w:pPr>
                              <w:spacing w:line="276" w:lineRule="auto"/>
                              <w:ind w:right="386"/>
                              <w:jc w:val="both"/>
                              <w:rPr>
                                <w:i/>
                                <w:sz w:val="21"/>
                                <w:szCs w:val="21"/>
                              </w:rPr>
                            </w:pPr>
                            <w:r w:rsidRPr="00D109B3">
                              <w:rPr>
                                <w:i/>
                                <w:sz w:val="21"/>
                                <w:szCs w:val="21"/>
                              </w:rPr>
                              <w:t>I know of a young girl who join</w:t>
                            </w:r>
                            <w:r>
                              <w:rPr>
                                <w:i/>
                                <w:sz w:val="21"/>
                                <w:szCs w:val="21"/>
                              </w:rPr>
                              <w:t>s</w:t>
                            </w:r>
                            <w:r w:rsidRPr="00D109B3">
                              <w:rPr>
                                <w:i/>
                                <w:sz w:val="21"/>
                                <w:szCs w:val="21"/>
                              </w:rPr>
                              <w:t xml:space="preserve"> the father to do carpentry jobs. She is an undergraduate in the Polytechnic now. She do</w:t>
                            </w:r>
                            <w:r>
                              <w:rPr>
                                <w:i/>
                                <w:sz w:val="21"/>
                                <w:szCs w:val="21"/>
                              </w:rPr>
                              <w:t>es</w:t>
                            </w:r>
                            <w:r w:rsidRPr="00D109B3">
                              <w:rPr>
                                <w:i/>
                                <w:sz w:val="21"/>
                                <w:szCs w:val="21"/>
                              </w:rPr>
                              <w:t xml:space="preserve"> it better </w:t>
                            </w:r>
                            <w:r>
                              <w:rPr>
                                <w:i/>
                                <w:sz w:val="21"/>
                                <w:szCs w:val="21"/>
                              </w:rPr>
                              <w:t xml:space="preserve">and more efficient </w:t>
                            </w:r>
                            <w:r w:rsidRPr="00D109B3">
                              <w:rPr>
                                <w:i/>
                                <w:sz w:val="21"/>
                                <w:szCs w:val="21"/>
                              </w:rPr>
                              <w:t>than the father. She takes contracts, do</w:t>
                            </w:r>
                            <w:r>
                              <w:rPr>
                                <w:i/>
                                <w:sz w:val="21"/>
                                <w:szCs w:val="21"/>
                              </w:rPr>
                              <w:t>es</w:t>
                            </w:r>
                            <w:r w:rsidRPr="00D109B3">
                              <w:rPr>
                                <w:i/>
                                <w:sz w:val="21"/>
                                <w:szCs w:val="21"/>
                              </w:rPr>
                              <w:t xml:space="preserve"> roofing works and have work for me several times.</w:t>
                            </w:r>
                            <w:r>
                              <w:rPr>
                                <w:i/>
                                <w:sz w:val="21"/>
                                <w:szCs w:val="21"/>
                              </w:rPr>
                              <w:t xml:space="preserve"> </w:t>
                            </w:r>
                          </w:p>
                          <w:p w14:paraId="52E292BA" w14:textId="77777777" w:rsidR="006D6A0C" w:rsidRPr="006E3C5B" w:rsidRDefault="006D6A0C" w:rsidP="006E3C5B">
                            <w:pPr>
                              <w:pStyle w:val="ListParagraph"/>
                              <w:numPr>
                                <w:ilvl w:val="0"/>
                                <w:numId w:val="22"/>
                              </w:numPr>
                              <w:spacing w:line="276" w:lineRule="auto"/>
                              <w:ind w:right="386"/>
                              <w:jc w:val="both"/>
                              <w:rPr>
                                <w:i/>
                                <w:sz w:val="21"/>
                                <w:szCs w:val="21"/>
                              </w:rPr>
                            </w:pPr>
                            <w:r>
                              <w:rPr>
                                <w:i/>
                                <w:sz w:val="21"/>
                                <w:szCs w:val="21"/>
                                <w:lang w:val="en-US"/>
                              </w:rPr>
                              <w:t>Male FGD Participant, Kwara</w:t>
                            </w:r>
                          </w:p>
                          <w:p w14:paraId="5923D94A" w14:textId="77777777" w:rsidR="006D6A0C" w:rsidRPr="00E75191" w:rsidRDefault="006D6A0C" w:rsidP="00681F77">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DFFE1B8" id="Rectangle 454" o:spid="_x0000_s1042" style="width:180.5pt;height:2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" fillcolor="#5b9bd5 [3204]" strokecolor="#1f4d78 [1604]" strokeweight="1pt">
                <v:textbox>
                  <w:txbxContent>
                    <w:p w:rsidR="006D6A0C" w:rsidRDefault="006D6A0C" w:rsidP="00E75191">
                      <w:pPr>
                        <w:spacing w:line="276" w:lineRule="auto"/>
                        <w:ind w:right="386"/>
                        <w:jc w:val="both"/>
                        <w:rPr>
                          <w:i/>
                          <w:sz w:val="21"/>
                          <w:szCs w:val="21"/>
                        </w:rPr>
                      </w:pPr>
                      <w:r w:rsidRPr="00D109B3">
                        <w:rPr>
                          <w:i/>
                          <w:sz w:val="21"/>
                          <w:szCs w:val="21"/>
                        </w:rPr>
                        <w:t>I know of a young girl who join</w:t>
                      </w:r>
                      <w:r>
                        <w:rPr>
                          <w:i/>
                          <w:sz w:val="21"/>
                          <w:szCs w:val="21"/>
                        </w:rPr>
                        <w:t>s</w:t>
                      </w:r>
                      <w:r w:rsidRPr="00D109B3">
                        <w:rPr>
                          <w:i/>
                          <w:sz w:val="21"/>
                          <w:szCs w:val="21"/>
                        </w:rPr>
                        <w:t xml:space="preserve"> the father to do carpentry jobs. She is an undergraduate in the Polytechnic now. She do</w:t>
                      </w:r>
                      <w:r>
                        <w:rPr>
                          <w:i/>
                          <w:sz w:val="21"/>
                          <w:szCs w:val="21"/>
                        </w:rPr>
                        <w:t>es</w:t>
                      </w:r>
                      <w:r w:rsidRPr="00D109B3">
                        <w:rPr>
                          <w:i/>
                          <w:sz w:val="21"/>
                          <w:szCs w:val="21"/>
                        </w:rPr>
                        <w:t xml:space="preserve"> it better </w:t>
                      </w:r>
                      <w:r>
                        <w:rPr>
                          <w:i/>
                          <w:sz w:val="21"/>
                          <w:szCs w:val="21"/>
                        </w:rPr>
                        <w:t xml:space="preserve">and more efficient </w:t>
                      </w:r>
                      <w:r w:rsidRPr="00D109B3">
                        <w:rPr>
                          <w:i/>
                          <w:sz w:val="21"/>
                          <w:szCs w:val="21"/>
                        </w:rPr>
                        <w:t>than the father. She takes contracts, do</w:t>
                      </w:r>
                      <w:r>
                        <w:rPr>
                          <w:i/>
                          <w:sz w:val="21"/>
                          <w:szCs w:val="21"/>
                        </w:rPr>
                        <w:t>es</w:t>
                      </w:r>
                      <w:r w:rsidRPr="00D109B3">
                        <w:rPr>
                          <w:i/>
                          <w:sz w:val="21"/>
                          <w:szCs w:val="21"/>
                        </w:rPr>
                        <w:t xml:space="preserve"> roofing works and have work for me several times.</w:t>
                      </w:r>
                      <w:r>
                        <w:rPr>
                          <w:i/>
                          <w:sz w:val="21"/>
                          <w:szCs w:val="21"/>
                        </w:rPr>
                        <w:t xml:space="preserve"> </w:t>
                      </w:r>
                    </w:p>
                    <w:p w:rsidR="006D6A0C" w:rsidRPr="006E3C5B" w:rsidRDefault="006D6A0C" w:rsidP="006E3C5B">
                      <w:pPr>
                        <w:pStyle w:val="ListParagraph"/>
                        <w:numPr>
                          <w:ilvl w:val="0"/>
                          <w:numId w:val="22"/>
                        </w:numPr>
                        <w:spacing w:line="276" w:lineRule="auto"/>
                        <w:ind w:right="386"/>
                        <w:jc w:val="both"/>
                        <w:rPr>
                          <w:i/>
                          <w:sz w:val="21"/>
                          <w:szCs w:val="21"/>
                        </w:rPr>
                      </w:pPr>
                      <w:r>
                        <w:rPr>
                          <w:i/>
                          <w:sz w:val="21"/>
                          <w:szCs w:val="21"/>
                          <w:lang w:val="en-US"/>
                        </w:rPr>
                        <w:t>Male FGD Participant, Kwara</w:t>
                      </w:r>
                    </w:p>
                    <w:p w:rsidR="006D6A0C" w:rsidRPr="00E75191" w:rsidRDefault="006D6A0C" w:rsidP="00681F77">
                      <w:pPr>
                        <w:jc w:val="center"/>
                        <w:rPr>
                          <w:sz w:val="20"/>
                          <w:szCs w:val="20"/>
                        </w:rPr>
                      </w:pPr>
                    </w:p>
                  </w:txbxContent>
                </v:textbox>
                <w10:anchorlock/>
              </v:rect>
            </w:pict>
          </mc:Fallback>
        </mc:AlternateContent>
      </w:r>
    </w:p>
    <w:p w14:paraId="4F53BF0D" w14:textId="77777777" w:rsidR="00E545F5" w:rsidRDefault="00BA62E5" w:rsidP="00E75191">
      <w:pPr>
        <w:spacing w:line="240" w:lineRule="auto"/>
        <w:jc w:val="both"/>
        <w:rPr>
          <w:sz w:val="24"/>
          <w:szCs w:val="24"/>
        </w:rPr>
      </w:pPr>
      <w:r>
        <w:rPr>
          <w:sz w:val="24"/>
          <w:szCs w:val="24"/>
        </w:rPr>
        <w:t>Although discrimination is prohibited by the Constitution and several other policies, discriminatory practices are pervasive in the workplace</w:t>
      </w:r>
      <w:r w:rsidR="00D51B1F">
        <w:rPr>
          <w:sz w:val="24"/>
          <w:szCs w:val="24"/>
        </w:rPr>
        <w:t xml:space="preserve"> an</w:t>
      </w:r>
      <w:r w:rsidR="0023781B">
        <w:rPr>
          <w:sz w:val="24"/>
          <w:szCs w:val="24"/>
        </w:rPr>
        <w:t>d</w:t>
      </w:r>
      <w:r w:rsidR="00D51B1F">
        <w:rPr>
          <w:sz w:val="24"/>
          <w:szCs w:val="24"/>
        </w:rPr>
        <w:t xml:space="preserve"> affect both men and women adversely</w:t>
      </w:r>
      <w:r>
        <w:rPr>
          <w:sz w:val="24"/>
          <w:szCs w:val="24"/>
        </w:rPr>
        <w:t xml:space="preserve">. </w:t>
      </w:r>
      <w:r w:rsidR="00D51B1F">
        <w:rPr>
          <w:sz w:val="24"/>
          <w:szCs w:val="24"/>
        </w:rPr>
        <w:t xml:space="preserve">As some reports have noted, even when there are policies in workplaces against </w:t>
      </w:r>
      <w:r w:rsidR="00D51B1F">
        <w:rPr>
          <w:sz w:val="24"/>
          <w:szCs w:val="24"/>
        </w:rPr>
        <w:lastRenderedPageBreak/>
        <w:t>discriminatory practices, they are not often fully implemented and reporting mechanisms and penalties are not always clear.</w:t>
      </w:r>
      <w:r w:rsidR="00D51B1F">
        <w:rPr>
          <w:rStyle w:val="FootnoteReference"/>
          <w:sz w:val="24"/>
          <w:szCs w:val="24"/>
        </w:rPr>
        <w:footnoteReference w:id="82"/>
      </w:r>
      <w:r w:rsidR="002B46FB">
        <w:rPr>
          <w:sz w:val="24"/>
          <w:szCs w:val="24"/>
        </w:rPr>
        <w:t xml:space="preserve"> Even so, there are various nuances that must be taken into consideration. The existence of non-discriminatory policies often vary depending on the size of the organisation (big, medium, small or micro). The qualitative study indicated that big and medium organisations are more likely to have the requisite </w:t>
      </w:r>
      <w:r w:rsidR="00351A65">
        <w:rPr>
          <w:sz w:val="24"/>
          <w:szCs w:val="24"/>
        </w:rPr>
        <w:t xml:space="preserve">gender related </w:t>
      </w:r>
      <w:r w:rsidR="002B46FB">
        <w:rPr>
          <w:sz w:val="24"/>
          <w:szCs w:val="24"/>
        </w:rPr>
        <w:t>policies</w:t>
      </w:r>
      <w:r w:rsidR="00351A65">
        <w:rPr>
          <w:sz w:val="24"/>
          <w:szCs w:val="24"/>
        </w:rPr>
        <w:t xml:space="preserve"> in place,</w:t>
      </w:r>
      <w:r w:rsidR="002B46FB">
        <w:rPr>
          <w:sz w:val="24"/>
          <w:szCs w:val="24"/>
        </w:rPr>
        <w:t xml:space="preserve"> including policies on recruitment</w:t>
      </w:r>
      <w:r w:rsidR="00351A65">
        <w:rPr>
          <w:sz w:val="24"/>
          <w:szCs w:val="24"/>
        </w:rPr>
        <w:t xml:space="preserve">, pre-employment testing, maternity leave, </w:t>
      </w:r>
      <w:r w:rsidR="0023781B">
        <w:rPr>
          <w:sz w:val="24"/>
          <w:szCs w:val="24"/>
        </w:rPr>
        <w:t xml:space="preserve">and </w:t>
      </w:r>
      <w:r w:rsidR="00351A65">
        <w:rPr>
          <w:sz w:val="24"/>
          <w:szCs w:val="24"/>
        </w:rPr>
        <w:t xml:space="preserve">sexual harassment while small or micro organisations are less likely to have them in place.  This may also vary depending on whether or not an organisation works in a regulated sector or not. Those working in regulated industries are more likely to have </w:t>
      </w:r>
      <w:r w:rsidR="00444CF0">
        <w:rPr>
          <w:sz w:val="24"/>
          <w:szCs w:val="24"/>
        </w:rPr>
        <w:t xml:space="preserve">the </w:t>
      </w:r>
      <w:r w:rsidR="00351A65">
        <w:rPr>
          <w:sz w:val="24"/>
          <w:szCs w:val="24"/>
        </w:rPr>
        <w:t>requisite</w:t>
      </w:r>
      <w:r w:rsidR="00444CF0">
        <w:rPr>
          <w:sz w:val="24"/>
          <w:szCs w:val="24"/>
        </w:rPr>
        <w:t xml:space="preserve"> policies</w:t>
      </w:r>
      <w:r w:rsidR="00351A65">
        <w:rPr>
          <w:sz w:val="24"/>
          <w:szCs w:val="24"/>
        </w:rPr>
        <w:t xml:space="preserve"> in place. Implementation also tends to vary along these lines.   </w:t>
      </w:r>
    </w:p>
    <w:p w14:paraId="43208FDC" w14:textId="77777777" w:rsidR="00E545F5" w:rsidRDefault="00E545F5" w:rsidP="00E75191">
      <w:pPr>
        <w:spacing w:line="240" w:lineRule="auto"/>
        <w:jc w:val="both"/>
        <w:rPr>
          <w:sz w:val="24"/>
          <w:szCs w:val="24"/>
        </w:rPr>
      </w:pPr>
      <w:r>
        <w:rPr>
          <w:sz w:val="24"/>
          <w:szCs w:val="24"/>
        </w:rPr>
        <w:t>Although several respondents, especially in the big and regulated industries, noted that policies were designed to eliminate discrimination and discriminatory practices in recruitment, it was generally agreed that discriminatory pr</w:t>
      </w:r>
      <w:r w:rsidR="00C320B5">
        <w:rPr>
          <w:sz w:val="24"/>
          <w:szCs w:val="24"/>
        </w:rPr>
        <w:t>actices persist.  At the micro organisation</w:t>
      </w:r>
      <w:r>
        <w:rPr>
          <w:sz w:val="24"/>
          <w:szCs w:val="24"/>
        </w:rPr>
        <w:t xml:space="preserve"> levels, there are many instances where a particular gender is favoured</w:t>
      </w:r>
      <w:r w:rsidR="0023781B">
        <w:rPr>
          <w:sz w:val="24"/>
          <w:szCs w:val="24"/>
        </w:rPr>
        <w:t>. F</w:t>
      </w:r>
      <w:r>
        <w:rPr>
          <w:sz w:val="24"/>
          <w:szCs w:val="24"/>
        </w:rPr>
        <w:t>or instance,</w:t>
      </w:r>
      <w:r w:rsidR="0099671B">
        <w:rPr>
          <w:sz w:val="24"/>
          <w:szCs w:val="24"/>
        </w:rPr>
        <w:t xml:space="preserve"> women are more likely to be engaged in </w:t>
      </w:r>
      <w:r>
        <w:rPr>
          <w:sz w:val="24"/>
          <w:szCs w:val="24"/>
        </w:rPr>
        <w:t xml:space="preserve">accountancy positions on the grounds that </w:t>
      </w:r>
      <w:r w:rsidR="0099671B">
        <w:rPr>
          <w:sz w:val="24"/>
          <w:szCs w:val="24"/>
        </w:rPr>
        <w:t>they</w:t>
      </w:r>
      <w:r>
        <w:rPr>
          <w:sz w:val="24"/>
          <w:szCs w:val="24"/>
        </w:rPr>
        <w:t xml:space="preserve"> are more honest or less likely to be audacious in engaging in fraud, </w:t>
      </w:r>
      <w:r w:rsidR="00A77CEE">
        <w:rPr>
          <w:sz w:val="24"/>
          <w:szCs w:val="24"/>
        </w:rPr>
        <w:t xml:space="preserve">or in nursing </w:t>
      </w:r>
      <w:r w:rsidR="0099671B">
        <w:rPr>
          <w:sz w:val="24"/>
          <w:szCs w:val="24"/>
        </w:rPr>
        <w:t>as a</w:t>
      </w:r>
      <w:r w:rsidR="00A77CEE">
        <w:rPr>
          <w:sz w:val="24"/>
          <w:szCs w:val="24"/>
        </w:rPr>
        <w:t xml:space="preserve"> female-dominated</w:t>
      </w:r>
      <w:r w:rsidR="0099671B">
        <w:rPr>
          <w:sz w:val="24"/>
          <w:szCs w:val="24"/>
        </w:rPr>
        <w:t xml:space="preserve"> sector.</w:t>
      </w:r>
      <w:r w:rsidR="00A77CEE">
        <w:rPr>
          <w:sz w:val="24"/>
          <w:szCs w:val="24"/>
        </w:rPr>
        <w:t xml:space="preserve"> </w:t>
      </w:r>
      <w:r w:rsidR="0099671B">
        <w:rPr>
          <w:sz w:val="24"/>
          <w:szCs w:val="24"/>
        </w:rPr>
        <w:t xml:space="preserve"> In </w:t>
      </w:r>
      <w:r>
        <w:rPr>
          <w:sz w:val="24"/>
          <w:szCs w:val="24"/>
        </w:rPr>
        <w:t>other industries</w:t>
      </w:r>
      <w:r w:rsidR="0099671B">
        <w:rPr>
          <w:sz w:val="24"/>
          <w:szCs w:val="24"/>
        </w:rPr>
        <w:t>,</w:t>
      </w:r>
      <w:r>
        <w:rPr>
          <w:sz w:val="24"/>
          <w:szCs w:val="24"/>
        </w:rPr>
        <w:t xml:space="preserve"> men are undul</w:t>
      </w:r>
      <w:r w:rsidR="00C320B5">
        <w:rPr>
          <w:sz w:val="24"/>
          <w:szCs w:val="24"/>
        </w:rPr>
        <w:t xml:space="preserve">y favoured on the grounds </w:t>
      </w:r>
      <w:r w:rsidR="0099671B">
        <w:rPr>
          <w:sz w:val="24"/>
          <w:szCs w:val="24"/>
        </w:rPr>
        <w:t xml:space="preserve">of </w:t>
      </w:r>
      <w:r w:rsidR="00C320B5">
        <w:rPr>
          <w:sz w:val="24"/>
          <w:szCs w:val="24"/>
        </w:rPr>
        <w:t>being manly</w:t>
      </w:r>
      <w:r w:rsidR="0099671B">
        <w:rPr>
          <w:sz w:val="24"/>
          <w:szCs w:val="24"/>
        </w:rPr>
        <w:t xml:space="preserve"> or for paternalistic reasons</w:t>
      </w:r>
      <w:r w:rsidR="00C320B5">
        <w:rPr>
          <w:sz w:val="24"/>
          <w:szCs w:val="24"/>
        </w:rPr>
        <w:t xml:space="preserve"> such as in manufacturing industries</w:t>
      </w:r>
      <w:r w:rsidR="0099671B">
        <w:rPr>
          <w:sz w:val="24"/>
          <w:szCs w:val="24"/>
        </w:rPr>
        <w:t>, in</w:t>
      </w:r>
      <w:r w:rsidR="00A77CEE">
        <w:rPr>
          <w:sz w:val="24"/>
          <w:szCs w:val="24"/>
        </w:rPr>
        <w:t xml:space="preserve"> </w:t>
      </w:r>
      <w:r w:rsidR="00A77CEE" w:rsidRPr="00A77CEE">
        <w:rPr>
          <w:sz w:val="24"/>
          <w:szCs w:val="24"/>
        </w:rPr>
        <w:t>airport</w:t>
      </w:r>
      <w:r w:rsidR="0099671B">
        <w:rPr>
          <w:sz w:val="24"/>
          <w:szCs w:val="24"/>
        </w:rPr>
        <w:t>s</w:t>
      </w:r>
      <w:r w:rsidR="00A77CEE" w:rsidRPr="00A77CEE">
        <w:rPr>
          <w:sz w:val="24"/>
          <w:szCs w:val="24"/>
        </w:rPr>
        <w:t>, protocol office</w:t>
      </w:r>
      <w:r w:rsidR="0099671B">
        <w:rPr>
          <w:sz w:val="24"/>
          <w:szCs w:val="24"/>
        </w:rPr>
        <w:t>s</w:t>
      </w:r>
      <w:r w:rsidR="00A77CEE" w:rsidRPr="00A77CEE">
        <w:rPr>
          <w:sz w:val="24"/>
          <w:szCs w:val="24"/>
        </w:rPr>
        <w:t>,</w:t>
      </w:r>
      <w:r w:rsidR="0099671B">
        <w:rPr>
          <w:sz w:val="24"/>
          <w:szCs w:val="24"/>
        </w:rPr>
        <w:t xml:space="preserve"> and</w:t>
      </w:r>
      <w:r w:rsidR="00A77CEE" w:rsidRPr="00A77CEE">
        <w:rPr>
          <w:sz w:val="24"/>
          <w:szCs w:val="24"/>
        </w:rPr>
        <w:t xml:space="preserve"> logistics</w:t>
      </w:r>
      <w:r w:rsidR="0099671B">
        <w:rPr>
          <w:sz w:val="24"/>
          <w:szCs w:val="24"/>
        </w:rPr>
        <w:t>. I</w:t>
      </w:r>
      <w:r w:rsidR="00A77CEE">
        <w:rPr>
          <w:sz w:val="24"/>
          <w:szCs w:val="24"/>
        </w:rPr>
        <w:t>n some cases,</w:t>
      </w:r>
      <w:r w:rsidR="00A77CEE" w:rsidRPr="00A77CEE">
        <w:rPr>
          <w:sz w:val="24"/>
          <w:szCs w:val="24"/>
        </w:rPr>
        <w:t xml:space="preserve"> </w:t>
      </w:r>
      <w:r w:rsidR="00A77CEE">
        <w:rPr>
          <w:sz w:val="24"/>
          <w:szCs w:val="24"/>
        </w:rPr>
        <w:t xml:space="preserve">roles may be assigned </w:t>
      </w:r>
      <w:r w:rsidR="0099671B">
        <w:rPr>
          <w:sz w:val="24"/>
          <w:szCs w:val="24"/>
        </w:rPr>
        <w:t xml:space="preserve">to men </w:t>
      </w:r>
      <w:r w:rsidR="00A77CEE">
        <w:rPr>
          <w:sz w:val="24"/>
          <w:szCs w:val="24"/>
        </w:rPr>
        <w:t xml:space="preserve">on the basis that </w:t>
      </w:r>
      <w:r w:rsidR="00A77CEE" w:rsidRPr="00A77CEE">
        <w:rPr>
          <w:sz w:val="24"/>
          <w:szCs w:val="24"/>
        </w:rPr>
        <w:t>women are not safe outside the home</w:t>
      </w:r>
      <w:r w:rsidR="00A77CEE">
        <w:rPr>
          <w:sz w:val="24"/>
          <w:szCs w:val="24"/>
        </w:rPr>
        <w:t xml:space="preserve"> at certain times</w:t>
      </w:r>
      <w:r w:rsidR="00A77CEE" w:rsidRPr="00A77CEE">
        <w:rPr>
          <w:sz w:val="24"/>
          <w:szCs w:val="24"/>
        </w:rPr>
        <w:t>.</w:t>
      </w:r>
      <w:r w:rsidR="0099671B">
        <w:rPr>
          <w:sz w:val="24"/>
          <w:szCs w:val="24"/>
        </w:rPr>
        <w:t xml:space="preserve"> </w:t>
      </w:r>
    </w:p>
    <w:p w14:paraId="533BBE2B" w14:textId="77777777" w:rsidR="00681F77" w:rsidRPr="00EB6159" w:rsidRDefault="00E75191" w:rsidP="00EB6159">
      <w:pPr>
        <w:rPr>
          <w:rStyle w:val="IntenseEmphasis"/>
        </w:rPr>
      </w:pPr>
      <w:r w:rsidRPr="00EB6159">
        <w:rPr>
          <w:rStyle w:val="IntenseEmphasis"/>
        </w:rPr>
        <w:t>Illustrative Finding</w:t>
      </w:r>
      <w:r w:rsidR="00681F77" w:rsidRPr="00EB6159">
        <w:rPr>
          <w:rStyle w:val="IntenseEmphasis"/>
        </w:rPr>
        <w:t>: Gender discrimination</w:t>
      </w:r>
    </w:p>
    <w:p w14:paraId="35FB49E5" w14:textId="77777777" w:rsidR="00681F77" w:rsidRDefault="00681F77" w:rsidP="00E75191">
      <w:pPr>
        <w:spacing w:after="0" w:line="240" w:lineRule="auto"/>
        <w:jc w:val="both"/>
        <w:rPr>
          <w:rFonts w:cstheme="minorHAnsi"/>
          <w:sz w:val="24"/>
          <w:szCs w:val="24"/>
        </w:rPr>
      </w:pPr>
      <w:r w:rsidRPr="00DD1222">
        <w:rPr>
          <w:rFonts w:cstheme="minorHAnsi"/>
          <w:sz w:val="24"/>
          <w:szCs w:val="24"/>
        </w:rPr>
        <w:t xml:space="preserve">As summarised in </w:t>
      </w:r>
      <w:r>
        <w:rPr>
          <w:rFonts w:cstheme="minorHAnsi"/>
          <w:sz w:val="24"/>
          <w:szCs w:val="24"/>
        </w:rPr>
        <w:t>the figure below,</w:t>
      </w:r>
      <w:r w:rsidRPr="00DD1222">
        <w:rPr>
          <w:rFonts w:cstheme="minorHAnsi"/>
          <w:sz w:val="24"/>
          <w:szCs w:val="24"/>
        </w:rPr>
        <w:t xml:space="preserve"> more than half of a</w:t>
      </w:r>
      <w:r>
        <w:rPr>
          <w:rFonts w:cstheme="minorHAnsi"/>
          <w:sz w:val="24"/>
          <w:szCs w:val="24"/>
        </w:rPr>
        <w:t>ll respondents (51.2%) i</w:t>
      </w:r>
      <w:r w:rsidR="00E75191">
        <w:rPr>
          <w:rFonts w:cstheme="minorHAnsi"/>
          <w:sz w:val="24"/>
          <w:szCs w:val="24"/>
        </w:rPr>
        <w:t>n</w:t>
      </w:r>
      <w:r>
        <w:rPr>
          <w:rFonts w:cstheme="minorHAnsi"/>
          <w:sz w:val="24"/>
          <w:szCs w:val="24"/>
        </w:rPr>
        <w:t xml:space="preserve">dicated personal experience of </w:t>
      </w:r>
      <w:r w:rsidRPr="00DD1222">
        <w:rPr>
          <w:rFonts w:cstheme="minorHAnsi"/>
          <w:sz w:val="24"/>
          <w:szCs w:val="24"/>
        </w:rPr>
        <w:t>gender discrimination. Lagos (</w:t>
      </w:r>
      <w:r w:rsidRPr="00DD1222">
        <w:rPr>
          <w:rFonts w:cstheme="minorHAnsi"/>
          <w:color w:val="010205"/>
          <w:sz w:val="24"/>
          <w:szCs w:val="24"/>
        </w:rPr>
        <w:t>59.8%</w:t>
      </w:r>
      <w:r w:rsidRPr="00DD1222">
        <w:rPr>
          <w:rFonts w:cstheme="minorHAnsi"/>
          <w:sz w:val="24"/>
          <w:szCs w:val="24"/>
        </w:rPr>
        <w:t>) followed by Anambra (</w:t>
      </w:r>
      <w:r w:rsidRPr="00DD1222">
        <w:rPr>
          <w:rFonts w:cstheme="minorHAnsi"/>
          <w:color w:val="010205"/>
          <w:sz w:val="24"/>
          <w:szCs w:val="24"/>
        </w:rPr>
        <w:t>54.5%</w:t>
      </w:r>
      <w:r w:rsidRPr="00DD1222">
        <w:rPr>
          <w:rFonts w:cstheme="minorHAnsi"/>
          <w:sz w:val="24"/>
          <w:szCs w:val="24"/>
        </w:rPr>
        <w:t>), FCT (52.1%) and Edo recorded (</w:t>
      </w:r>
      <w:r w:rsidRPr="00DD1222">
        <w:rPr>
          <w:rFonts w:cstheme="minorHAnsi"/>
          <w:color w:val="010205"/>
          <w:sz w:val="24"/>
          <w:szCs w:val="24"/>
        </w:rPr>
        <w:t>51.8%</w:t>
      </w:r>
      <w:r w:rsidRPr="00DD1222">
        <w:rPr>
          <w:rFonts w:cstheme="minorHAnsi"/>
          <w:sz w:val="24"/>
          <w:szCs w:val="24"/>
        </w:rPr>
        <w:t xml:space="preserve">) recorded </w:t>
      </w:r>
      <w:r w:rsidR="009A5CF1">
        <w:rPr>
          <w:rFonts w:cstheme="minorHAnsi"/>
          <w:sz w:val="24"/>
          <w:szCs w:val="24"/>
        </w:rPr>
        <w:t xml:space="preserve">the </w:t>
      </w:r>
      <w:r w:rsidRPr="00DD1222">
        <w:rPr>
          <w:rFonts w:cstheme="minorHAnsi"/>
          <w:sz w:val="24"/>
          <w:szCs w:val="24"/>
        </w:rPr>
        <w:t xml:space="preserve">highest percentage of respondents </w:t>
      </w:r>
      <w:r w:rsidR="009A5CF1">
        <w:rPr>
          <w:rFonts w:cstheme="minorHAnsi"/>
          <w:sz w:val="24"/>
          <w:szCs w:val="24"/>
        </w:rPr>
        <w:t>who experienced gender discrimination</w:t>
      </w:r>
      <w:r w:rsidRPr="00DD1222">
        <w:rPr>
          <w:rFonts w:cstheme="minorHAnsi"/>
          <w:sz w:val="24"/>
          <w:szCs w:val="24"/>
        </w:rPr>
        <w:t xml:space="preserve">, while Kano and Adamawa recorded lowest: </w:t>
      </w:r>
      <w:r w:rsidRPr="00DD1222">
        <w:rPr>
          <w:rFonts w:cstheme="minorHAnsi"/>
          <w:color w:val="010205"/>
          <w:sz w:val="24"/>
          <w:szCs w:val="24"/>
        </w:rPr>
        <w:t>46.6% and 46.9%</w:t>
      </w:r>
      <w:r w:rsidRPr="00DD1222">
        <w:rPr>
          <w:rFonts w:cstheme="minorHAnsi"/>
          <w:sz w:val="24"/>
          <w:szCs w:val="24"/>
        </w:rPr>
        <w:t xml:space="preserve"> respectively. </w:t>
      </w:r>
      <w:r w:rsidR="009A5CF1">
        <w:rPr>
          <w:rFonts w:cstheme="minorHAnsi"/>
          <w:sz w:val="24"/>
          <w:szCs w:val="24"/>
        </w:rPr>
        <w:t>Interestingly, i</w:t>
      </w:r>
      <w:r w:rsidRPr="00DD1222">
        <w:rPr>
          <w:rFonts w:cstheme="minorHAnsi"/>
          <w:sz w:val="24"/>
          <w:szCs w:val="24"/>
        </w:rPr>
        <w:t>gnorance of gender</w:t>
      </w:r>
      <w:r w:rsidR="009A5CF1">
        <w:rPr>
          <w:rFonts w:cstheme="minorHAnsi"/>
          <w:sz w:val="24"/>
          <w:szCs w:val="24"/>
        </w:rPr>
        <w:t>-</w:t>
      </w:r>
      <w:r w:rsidRPr="00DD1222">
        <w:rPr>
          <w:rFonts w:cstheme="minorHAnsi"/>
          <w:sz w:val="24"/>
          <w:szCs w:val="24"/>
        </w:rPr>
        <w:t xml:space="preserve">based discrimination </w:t>
      </w:r>
      <w:r w:rsidR="009A5CF1">
        <w:rPr>
          <w:rFonts w:cstheme="minorHAnsi"/>
          <w:sz w:val="24"/>
          <w:szCs w:val="24"/>
        </w:rPr>
        <w:t xml:space="preserve">was </w:t>
      </w:r>
      <w:r w:rsidRPr="00DD1222">
        <w:rPr>
          <w:rFonts w:cstheme="minorHAnsi"/>
          <w:sz w:val="24"/>
          <w:szCs w:val="24"/>
        </w:rPr>
        <w:t xml:space="preserve">minimal </w:t>
      </w:r>
      <w:r w:rsidR="009A5CF1">
        <w:rPr>
          <w:rFonts w:cstheme="minorHAnsi"/>
          <w:sz w:val="24"/>
          <w:szCs w:val="24"/>
        </w:rPr>
        <w:t xml:space="preserve">across the study sides </w:t>
      </w:r>
      <w:r w:rsidRPr="00DD1222">
        <w:rPr>
          <w:rFonts w:cstheme="minorHAnsi"/>
          <w:sz w:val="24"/>
          <w:szCs w:val="24"/>
        </w:rPr>
        <w:t xml:space="preserve">as indicated by 6.8% </w:t>
      </w:r>
      <w:r w:rsidR="009A5CF1">
        <w:rPr>
          <w:rFonts w:cstheme="minorHAnsi"/>
          <w:sz w:val="24"/>
          <w:szCs w:val="24"/>
        </w:rPr>
        <w:t>of the respondents who indicated ‘</w:t>
      </w:r>
      <w:r w:rsidRPr="00DD1222">
        <w:rPr>
          <w:rFonts w:cstheme="minorHAnsi"/>
          <w:sz w:val="24"/>
          <w:szCs w:val="24"/>
        </w:rPr>
        <w:t>I don’t know</w:t>
      </w:r>
      <w:r w:rsidR="009A5CF1">
        <w:rPr>
          <w:rFonts w:cstheme="minorHAnsi"/>
          <w:sz w:val="24"/>
          <w:szCs w:val="24"/>
        </w:rPr>
        <w:t>’</w:t>
      </w:r>
      <w:r w:rsidRPr="00DD1222">
        <w:rPr>
          <w:rFonts w:cstheme="minorHAnsi"/>
          <w:sz w:val="24"/>
          <w:szCs w:val="24"/>
        </w:rPr>
        <w:t xml:space="preserve"> and 10.0% </w:t>
      </w:r>
      <w:r w:rsidR="009A5CF1">
        <w:rPr>
          <w:rFonts w:cstheme="minorHAnsi"/>
          <w:sz w:val="24"/>
          <w:szCs w:val="24"/>
        </w:rPr>
        <w:t>‘</w:t>
      </w:r>
      <w:r w:rsidRPr="00DD1222">
        <w:rPr>
          <w:rFonts w:cstheme="minorHAnsi"/>
          <w:sz w:val="24"/>
          <w:szCs w:val="24"/>
        </w:rPr>
        <w:t>Maybe</w:t>
      </w:r>
      <w:r w:rsidR="009A5CF1">
        <w:rPr>
          <w:rFonts w:cstheme="minorHAnsi"/>
          <w:sz w:val="24"/>
          <w:szCs w:val="24"/>
        </w:rPr>
        <w:t>’</w:t>
      </w:r>
      <w:r w:rsidRPr="00DD1222">
        <w:rPr>
          <w:rFonts w:cstheme="minorHAnsi"/>
          <w:sz w:val="24"/>
          <w:szCs w:val="24"/>
        </w:rPr>
        <w:t>.</w:t>
      </w:r>
      <w:r w:rsidR="00531E6A">
        <w:rPr>
          <w:rFonts w:cstheme="minorHAnsi"/>
          <w:sz w:val="24"/>
          <w:szCs w:val="24"/>
        </w:rPr>
        <w:t xml:space="preserve"> The table below indicates the percentage of male and female respondents that</w:t>
      </w:r>
      <w:r w:rsidR="00824791">
        <w:rPr>
          <w:rFonts w:cstheme="minorHAnsi"/>
          <w:sz w:val="24"/>
          <w:szCs w:val="24"/>
        </w:rPr>
        <w:t xml:space="preserve"> indicate they</w:t>
      </w:r>
      <w:r w:rsidR="00531E6A">
        <w:rPr>
          <w:rFonts w:cstheme="minorHAnsi"/>
          <w:sz w:val="24"/>
          <w:szCs w:val="24"/>
        </w:rPr>
        <w:t xml:space="preserve"> have experienced inequality by gender. </w:t>
      </w:r>
    </w:p>
    <w:p w14:paraId="044E9A9B" w14:textId="77777777" w:rsidR="00531E6A" w:rsidRDefault="00531E6A" w:rsidP="00E75191">
      <w:pPr>
        <w:spacing w:after="0" w:line="240" w:lineRule="auto"/>
        <w:jc w:val="both"/>
        <w:rPr>
          <w:rFonts w:cstheme="minorHAnsi"/>
          <w:sz w:val="24"/>
          <w:szCs w:val="24"/>
        </w:rPr>
      </w:pPr>
    </w:p>
    <w:p w14:paraId="568DD990" w14:textId="77777777" w:rsidR="00531E6A" w:rsidRDefault="00531E6A" w:rsidP="00E75191">
      <w:pPr>
        <w:spacing w:after="0" w:line="240" w:lineRule="auto"/>
        <w:jc w:val="both"/>
        <w:rPr>
          <w:rFonts w:cstheme="minorHAnsi"/>
          <w:sz w:val="24"/>
          <w:szCs w:val="24"/>
        </w:rPr>
      </w:pPr>
    </w:p>
    <w:tbl>
      <w:tblPr>
        <w:tblStyle w:val="TableGrid"/>
        <w:tblW w:w="8993" w:type="dxa"/>
        <w:tblLayout w:type="fixed"/>
        <w:tblLook w:val="0000" w:firstRow="0" w:lastRow="0" w:firstColumn="0" w:lastColumn="0" w:noHBand="0" w:noVBand="0"/>
      </w:tblPr>
      <w:tblGrid>
        <w:gridCol w:w="1398"/>
        <w:gridCol w:w="1398"/>
        <w:gridCol w:w="1398"/>
        <w:gridCol w:w="1398"/>
        <w:gridCol w:w="2003"/>
        <w:gridCol w:w="1398"/>
      </w:tblGrid>
      <w:tr w:rsidR="00531E6A" w:rsidRPr="00FF45D5" w14:paraId="7B105F25" w14:textId="77777777" w:rsidTr="009024DA">
        <w:trPr>
          <w:trHeight w:val="611"/>
        </w:trPr>
        <w:tc>
          <w:tcPr>
            <w:tcW w:w="1398" w:type="dxa"/>
          </w:tcPr>
          <w:p w14:paraId="1AE05E6E" w14:textId="77777777" w:rsidR="00531E6A" w:rsidRPr="00FF45D5" w:rsidRDefault="00531E6A" w:rsidP="009024DA">
            <w:pPr>
              <w:autoSpaceDE w:val="0"/>
              <w:autoSpaceDN w:val="0"/>
              <w:adjustRightInd w:val="0"/>
              <w:spacing w:line="320" w:lineRule="atLeast"/>
              <w:ind w:left="60" w:right="60"/>
              <w:jc w:val="center"/>
              <w:rPr>
                <w:rFonts w:ascii="Arial" w:hAnsi="Arial" w:cs="Arial"/>
                <w:color w:val="264A60"/>
                <w:sz w:val="18"/>
                <w:szCs w:val="18"/>
              </w:rPr>
            </w:pPr>
          </w:p>
        </w:tc>
        <w:tc>
          <w:tcPr>
            <w:tcW w:w="1398" w:type="dxa"/>
          </w:tcPr>
          <w:p w14:paraId="2C9351C4" w14:textId="77777777" w:rsidR="00531E6A" w:rsidRPr="00FF45D5" w:rsidRDefault="00531E6A" w:rsidP="009024DA">
            <w:pPr>
              <w:autoSpaceDE w:val="0"/>
              <w:autoSpaceDN w:val="0"/>
              <w:adjustRightInd w:val="0"/>
              <w:spacing w:line="320" w:lineRule="atLeast"/>
              <w:ind w:left="60" w:right="60"/>
              <w:jc w:val="center"/>
              <w:rPr>
                <w:rFonts w:ascii="Arial" w:hAnsi="Arial" w:cs="Arial"/>
                <w:color w:val="264A60"/>
                <w:sz w:val="18"/>
                <w:szCs w:val="18"/>
              </w:rPr>
            </w:pPr>
            <w:r w:rsidRPr="00FF45D5">
              <w:rPr>
                <w:rFonts w:ascii="Arial" w:hAnsi="Arial" w:cs="Arial"/>
                <w:color w:val="264A60"/>
                <w:sz w:val="18"/>
                <w:szCs w:val="18"/>
              </w:rPr>
              <w:t>Female</w:t>
            </w:r>
          </w:p>
        </w:tc>
        <w:tc>
          <w:tcPr>
            <w:tcW w:w="1398" w:type="dxa"/>
          </w:tcPr>
          <w:p w14:paraId="2AB4A1B3" w14:textId="77777777" w:rsidR="00531E6A" w:rsidRPr="00FF45D5" w:rsidRDefault="00531E6A" w:rsidP="009024DA">
            <w:pPr>
              <w:autoSpaceDE w:val="0"/>
              <w:autoSpaceDN w:val="0"/>
              <w:adjustRightInd w:val="0"/>
              <w:spacing w:line="320" w:lineRule="atLeast"/>
              <w:ind w:left="60" w:right="60"/>
              <w:jc w:val="center"/>
              <w:rPr>
                <w:rFonts w:ascii="Arial" w:hAnsi="Arial" w:cs="Arial"/>
                <w:color w:val="264A60"/>
                <w:sz w:val="18"/>
                <w:szCs w:val="18"/>
              </w:rPr>
            </w:pPr>
            <w:r w:rsidRPr="00FF45D5">
              <w:rPr>
                <w:rFonts w:ascii="Arial" w:hAnsi="Arial" w:cs="Arial"/>
                <w:color w:val="264A60"/>
                <w:sz w:val="18"/>
                <w:szCs w:val="18"/>
              </w:rPr>
              <w:t>Male</w:t>
            </w:r>
          </w:p>
        </w:tc>
        <w:tc>
          <w:tcPr>
            <w:tcW w:w="1398" w:type="dxa"/>
          </w:tcPr>
          <w:p w14:paraId="6EAC0D2B" w14:textId="77777777" w:rsidR="00531E6A" w:rsidRPr="00FF45D5" w:rsidRDefault="00531E6A" w:rsidP="009024DA">
            <w:pPr>
              <w:autoSpaceDE w:val="0"/>
              <w:autoSpaceDN w:val="0"/>
              <w:adjustRightInd w:val="0"/>
              <w:spacing w:line="320" w:lineRule="atLeast"/>
              <w:ind w:left="60" w:right="60"/>
              <w:jc w:val="center"/>
              <w:rPr>
                <w:rFonts w:ascii="Arial" w:hAnsi="Arial" w:cs="Arial"/>
                <w:color w:val="264A60"/>
                <w:sz w:val="18"/>
                <w:szCs w:val="18"/>
              </w:rPr>
            </w:pPr>
            <w:r w:rsidRPr="00FF45D5">
              <w:rPr>
                <w:rFonts w:ascii="Arial" w:hAnsi="Arial" w:cs="Arial"/>
                <w:color w:val="264A60"/>
                <w:sz w:val="18"/>
                <w:szCs w:val="18"/>
              </w:rPr>
              <w:t>Other</w:t>
            </w:r>
          </w:p>
        </w:tc>
        <w:tc>
          <w:tcPr>
            <w:tcW w:w="2003" w:type="dxa"/>
          </w:tcPr>
          <w:p w14:paraId="59820CDA" w14:textId="77777777" w:rsidR="00531E6A" w:rsidRPr="00FF45D5" w:rsidRDefault="00531E6A" w:rsidP="009024DA">
            <w:pPr>
              <w:autoSpaceDE w:val="0"/>
              <w:autoSpaceDN w:val="0"/>
              <w:adjustRightInd w:val="0"/>
              <w:spacing w:line="320" w:lineRule="atLeast"/>
              <w:ind w:left="60" w:right="60"/>
              <w:jc w:val="center"/>
              <w:rPr>
                <w:rFonts w:ascii="Arial" w:hAnsi="Arial" w:cs="Arial"/>
                <w:color w:val="264A60"/>
                <w:sz w:val="18"/>
                <w:szCs w:val="18"/>
              </w:rPr>
            </w:pPr>
            <w:r w:rsidRPr="00FF45D5">
              <w:rPr>
                <w:rFonts w:ascii="Arial" w:hAnsi="Arial" w:cs="Arial"/>
                <w:color w:val="264A60"/>
                <w:sz w:val="18"/>
                <w:szCs w:val="18"/>
              </w:rPr>
              <w:t>Prefers not to say</w:t>
            </w:r>
          </w:p>
        </w:tc>
        <w:tc>
          <w:tcPr>
            <w:tcW w:w="1398" w:type="dxa"/>
          </w:tcPr>
          <w:p w14:paraId="6D33E621" w14:textId="77777777" w:rsidR="00531E6A" w:rsidRPr="00FF45D5" w:rsidRDefault="00531E6A" w:rsidP="009024DA">
            <w:pPr>
              <w:autoSpaceDE w:val="0"/>
              <w:autoSpaceDN w:val="0"/>
              <w:adjustRightInd w:val="0"/>
              <w:rPr>
                <w:rFonts w:ascii="Arial" w:hAnsi="Arial" w:cs="Arial"/>
                <w:color w:val="264A60"/>
                <w:sz w:val="18"/>
                <w:szCs w:val="18"/>
              </w:rPr>
            </w:pPr>
            <w:r>
              <w:rPr>
                <w:rFonts w:ascii="Arial" w:hAnsi="Arial" w:cs="Arial"/>
                <w:color w:val="264A60"/>
                <w:sz w:val="18"/>
                <w:szCs w:val="18"/>
              </w:rPr>
              <w:t>Total</w:t>
            </w:r>
          </w:p>
        </w:tc>
      </w:tr>
      <w:tr w:rsidR="00F37421" w:rsidRPr="00FF45D5" w14:paraId="6BE8B08D" w14:textId="77777777" w:rsidTr="009024DA">
        <w:trPr>
          <w:trHeight w:val="305"/>
        </w:trPr>
        <w:tc>
          <w:tcPr>
            <w:tcW w:w="1398" w:type="dxa"/>
          </w:tcPr>
          <w:p w14:paraId="3E1F02A8" w14:textId="77777777" w:rsidR="00F37421" w:rsidRPr="00FF45D5" w:rsidRDefault="00F37421" w:rsidP="009024DA">
            <w:pPr>
              <w:autoSpaceDE w:val="0"/>
              <w:autoSpaceDN w:val="0"/>
              <w:adjustRightInd w:val="0"/>
              <w:spacing w:line="320" w:lineRule="atLeast"/>
              <w:ind w:left="60" w:right="60"/>
              <w:jc w:val="right"/>
              <w:rPr>
                <w:rFonts w:ascii="Arial" w:hAnsi="Arial" w:cs="Arial"/>
                <w:color w:val="010205"/>
                <w:sz w:val="18"/>
                <w:szCs w:val="18"/>
              </w:rPr>
            </w:pPr>
            <w:r w:rsidRPr="00FF45D5">
              <w:rPr>
                <w:rFonts w:ascii="Arial" w:hAnsi="Arial" w:cs="Arial"/>
                <w:color w:val="264A60"/>
                <w:sz w:val="18"/>
                <w:szCs w:val="18"/>
              </w:rPr>
              <w:t>Yes</w:t>
            </w:r>
          </w:p>
        </w:tc>
        <w:tc>
          <w:tcPr>
            <w:tcW w:w="1398" w:type="dxa"/>
          </w:tcPr>
          <w:p w14:paraId="46B5B661" w14:textId="77777777" w:rsidR="00F37421" w:rsidRPr="00FF45D5" w:rsidRDefault="00F37421" w:rsidP="009024DA">
            <w:pPr>
              <w:autoSpaceDE w:val="0"/>
              <w:autoSpaceDN w:val="0"/>
              <w:adjustRightInd w:val="0"/>
              <w:spacing w:line="320" w:lineRule="atLeast"/>
              <w:ind w:left="60" w:right="60"/>
              <w:jc w:val="right"/>
              <w:rPr>
                <w:rFonts w:ascii="Arial" w:hAnsi="Arial" w:cs="Arial"/>
                <w:color w:val="010205"/>
                <w:sz w:val="18"/>
                <w:szCs w:val="18"/>
              </w:rPr>
            </w:pPr>
            <w:r w:rsidRPr="00FF45D5">
              <w:rPr>
                <w:rFonts w:ascii="Arial" w:hAnsi="Arial" w:cs="Arial"/>
                <w:color w:val="010205"/>
                <w:sz w:val="18"/>
                <w:szCs w:val="18"/>
              </w:rPr>
              <w:t>57.1%</w:t>
            </w:r>
          </w:p>
        </w:tc>
        <w:tc>
          <w:tcPr>
            <w:tcW w:w="1398" w:type="dxa"/>
          </w:tcPr>
          <w:p w14:paraId="44228ECA" w14:textId="77777777" w:rsidR="00F37421" w:rsidRPr="00FF45D5" w:rsidRDefault="00F37421" w:rsidP="009024DA">
            <w:pPr>
              <w:autoSpaceDE w:val="0"/>
              <w:autoSpaceDN w:val="0"/>
              <w:adjustRightInd w:val="0"/>
              <w:spacing w:line="320" w:lineRule="atLeast"/>
              <w:ind w:left="60" w:right="60"/>
              <w:jc w:val="right"/>
              <w:rPr>
                <w:rFonts w:ascii="Arial" w:hAnsi="Arial" w:cs="Arial"/>
                <w:color w:val="010205"/>
                <w:sz w:val="18"/>
                <w:szCs w:val="18"/>
              </w:rPr>
            </w:pPr>
            <w:r w:rsidRPr="00FF45D5">
              <w:rPr>
                <w:rFonts w:ascii="Arial" w:hAnsi="Arial" w:cs="Arial"/>
                <w:color w:val="010205"/>
                <w:sz w:val="18"/>
                <w:szCs w:val="18"/>
              </w:rPr>
              <w:t>45.2%</w:t>
            </w:r>
          </w:p>
        </w:tc>
        <w:tc>
          <w:tcPr>
            <w:tcW w:w="1398" w:type="dxa"/>
          </w:tcPr>
          <w:p w14:paraId="7CCCB644" w14:textId="77777777" w:rsidR="00F37421" w:rsidRPr="00FF45D5" w:rsidRDefault="00F37421" w:rsidP="009024DA">
            <w:pPr>
              <w:autoSpaceDE w:val="0"/>
              <w:autoSpaceDN w:val="0"/>
              <w:adjustRightInd w:val="0"/>
              <w:spacing w:line="320" w:lineRule="atLeast"/>
              <w:ind w:left="60" w:right="60"/>
              <w:jc w:val="right"/>
              <w:rPr>
                <w:rFonts w:ascii="Arial" w:hAnsi="Arial" w:cs="Arial"/>
                <w:color w:val="010205"/>
                <w:sz w:val="18"/>
                <w:szCs w:val="18"/>
              </w:rPr>
            </w:pPr>
            <w:r w:rsidRPr="00FF45D5">
              <w:rPr>
                <w:rFonts w:ascii="Arial" w:hAnsi="Arial" w:cs="Arial"/>
                <w:color w:val="010205"/>
                <w:sz w:val="18"/>
                <w:szCs w:val="18"/>
              </w:rPr>
              <w:t>25.0%</w:t>
            </w:r>
          </w:p>
        </w:tc>
        <w:tc>
          <w:tcPr>
            <w:tcW w:w="2003" w:type="dxa"/>
          </w:tcPr>
          <w:p w14:paraId="54795B91" w14:textId="77777777" w:rsidR="00F37421" w:rsidRPr="00FF45D5" w:rsidRDefault="00F37421" w:rsidP="009024DA">
            <w:pPr>
              <w:autoSpaceDE w:val="0"/>
              <w:autoSpaceDN w:val="0"/>
              <w:adjustRightInd w:val="0"/>
              <w:spacing w:line="320" w:lineRule="atLeast"/>
              <w:ind w:left="60" w:right="60"/>
              <w:jc w:val="right"/>
              <w:rPr>
                <w:rFonts w:ascii="Arial" w:hAnsi="Arial" w:cs="Arial"/>
                <w:color w:val="010205"/>
                <w:sz w:val="18"/>
                <w:szCs w:val="18"/>
              </w:rPr>
            </w:pPr>
            <w:r w:rsidRPr="00FF45D5">
              <w:rPr>
                <w:rFonts w:ascii="Arial" w:hAnsi="Arial" w:cs="Arial"/>
                <w:color w:val="010205"/>
                <w:sz w:val="18"/>
                <w:szCs w:val="18"/>
              </w:rPr>
              <w:t>34.6%</w:t>
            </w:r>
          </w:p>
        </w:tc>
        <w:tc>
          <w:tcPr>
            <w:tcW w:w="1398" w:type="dxa"/>
          </w:tcPr>
          <w:p w14:paraId="4EBAB619" w14:textId="77777777" w:rsidR="00F37421" w:rsidRPr="00FF45D5" w:rsidRDefault="00F37421" w:rsidP="009024DA">
            <w:pPr>
              <w:autoSpaceDE w:val="0"/>
              <w:autoSpaceDN w:val="0"/>
              <w:adjustRightInd w:val="0"/>
              <w:spacing w:line="320" w:lineRule="atLeast"/>
              <w:ind w:left="60" w:right="60"/>
              <w:jc w:val="right"/>
              <w:rPr>
                <w:rFonts w:ascii="Arial" w:hAnsi="Arial" w:cs="Arial"/>
                <w:color w:val="010205"/>
                <w:sz w:val="18"/>
                <w:szCs w:val="18"/>
              </w:rPr>
            </w:pPr>
            <w:r w:rsidRPr="00FF45D5">
              <w:rPr>
                <w:rFonts w:ascii="Arial" w:hAnsi="Arial" w:cs="Arial"/>
                <w:color w:val="010205"/>
                <w:sz w:val="18"/>
                <w:szCs w:val="18"/>
              </w:rPr>
              <w:t>51.2%</w:t>
            </w:r>
          </w:p>
        </w:tc>
      </w:tr>
      <w:tr w:rsidR="00F37421" w:rsidRPr="00FF45D5" w14:paraId="10F2451A" w14:textId="77777777" w:rsidTr="009024DA">
        <w:trPr>
          <w:trHeight w:val="305"/>
        </w:trPr>
        <w:tc>
          <w:tcPr>
            <w:tcW w:w="1398" w:type="dxa"/>
          </w:tcPr>
          <w:p w14:paraId="58C9F866" w14:textId="77777777" w:rsidR="00F37421" w:rsidRPr="00FF45D5" w:rsidRDefault="00F37421" w:rsidP="009024DA">
            <w:pPr>
              <w:autoSpaceDE w:val="0"/>
              <w:autoSpaceDN w:val="0"/>
              <w:adjustRightInd w:val="0"/>
              <w:spacing w:line="320" w:lineRule="atLeast"/>
              <w:ind w:left="60" w:right="60"/>
              <w:jc w:val="right"/>
              <w:rPr>
                <w:rFonts w:ascii="Arial" w:hAnsi="Arial" w:cs="Arial"/>
                <w:color w:val="010205"/>
                <w:sz w:val="18"/>
                <w:szCs w:val="18"/>
              </w:rPr>
            </w:pPr>
            <w:r w:rsidRPr="00FF45D5">
              <w:rPr>
                <w:rFonts w:ascii="Arial" w:hAnsi="Arial" w:cs="Arial"/>
                <w:color w:val="264A60"/>
                <w:sz w:val="18"/>
                <w:szCs w:val="18"/>
              </w:rPr>
              <w:t>No</w:t>
            </w:r>
          </w:p>
        </w:tc>
        <w:tc>
          <w:tcPr>
            <w:tcW w:w="1398" w:type="dxa"/>
          </w:tcPr>
          <w:p w14:paraId="574B3F8A" w14:textId="77777777" w:rsidR="00F37421" w:rsidRPr="00FF45D5" w:rsidRDefault="00F37421" w:rsidP="009024DA">
            <w:pPr>
              <w:autoSpaceDE w:val="0"/>
              <w:autoSpaceDN w:val="0"/>
              <w:adjustRightInd w:val="0"/>
              <w:spacing w:line="320" w:lineRule="atLeast"/>
              <w:ind w:left="60" w:right="60"/>
              <w:jc w:val="right"/>
              <w:rPr>
                <w:rFonts w:ascii="Arial" w:hAnsi="Arial" w:cs="Arial"/>
                <w:color w:val="010205"/>
                <w:sz w:val="18"/>
                <w:szCs w:val="18"/>
              </w:rPr>
            </w:pPr>
            <w:r w:rsidRPr="00FF45D5">
              <w:rPr>
                <w:rFonts w:ascii="Arial" w:hAnsi="Arial" w:cs="Arial"/>
                <w:color w:val="010205"/>
                <w:sz w:val="18"/>
                <w:szCs w:val="18"/>
              </w:rPr>
              <w:t>27.1%</w:t>
            </w:r>
          </w:p>
        </w:tc>
        <w:tc>
          <w:tcPr>
            <w:tcW w:w="1398" w:type="dxa"/>
          </w:tcPr>
          <w:p w14:paraId="7CD16CD7" w14:textId="77777777" w:rsidR="00F37421" w:rsidRPr="00FF45D5" w:rsidRDefault="00F37421" w:rsidP="009024DA">
            <w:pPr>
              <w:autoSpaceDE w:val="0"/>
              <w:autoSpaceDN w:val="0"/>
              <w:adjustRightInd w:val="0"/>
              <w:spacing w:line="320" w:lineRule="atLeast"/>
              <w:ind w:left="60" w:right="60"/>
              <w:jc w:val="right"/>
              <w:rPr>
                <w:rFonts w:ascii="Arial" w:hAnsi="Arial" w:cs="Arial"/>
                <w:color w:val="010205"/>
                <w:sz w:val="18"/>
                <w:szCs w:val="18"/>
              </w:rPr>
            </w:pPr>
            <w:r w:rsidRPr="00FF45D5">
              <w:rPr>
                <w:rFonts w:ascii="Arial" w:hAnsi="Arial" w:cs="Arial"/>
                <w:color w:val="010205"/>
                <w:sz w:val="18"/>
                <w:szCs w:val="18"/>
              </w:rPr>
              <w:t>37.8%</w:t>
            </w:r>
          </w:p>
        </w:tc>
        <w:tc>
          <w:tcPr>
            <w:tcW w:w="1398" w:type="dxa"/>
          </w:tcPr>
          <w:p w14:paraId="094980E6" w14:textId="77777777" w:rsidR="00F37421" w:rsidRPr="00FF45D5" w:rsidRDefault="00F37421" w:rsidP="009024DA">
            <w:pPr>
              <w:autoSpaceDE w:val="0"/>
              <w:autoSpaceDN w:val="0"/>
              <w:adjustRightInd w:val="0"/>
              <w:spacing w:line="320" w:lineRule="atLeast"/>
              <w:ind w:left="60" w:right="60"/>
              <w:jc w:val="right"/>
              <w:rPr>
                <w:rFonts w:ascii="Arial" w:hAnsi="Arial" w:cs="Arial"/>
                <w:color w:val="010205"/>
                <w:sz w:val="18"/>
                <w:szCs w:val="18"/>
              </w:rPr>
            </w:pPr>
            <w:r w:rsidRPr="00FF45D5">
              <w:rPr>
                <w:rFonts w:ascii="Arial" w:hAnsi="Arial" w:cs="Arial"/>
                <w:color w:val="010205"/>
                <w:sz w:val="18"/>
                <w:szCs w:val="18"/>
              </w:rPr>
              <w:t>33.3%</w:t>
            </w:r>
          </w:p>
        </w:tc>
        <w:tc>
          <w:tcPr>
            <w:tcW w:w="2003" w:type="dxa"/>
          </w:tcPr>
          <w:p w14:paraId="63E2B6B8" w14:textId="77777777" w:rsidR="00F37421" w:rsidRPr="00FF45D5" w:rsidRDefault="00F37421" w:rsidP="009024DA">
            <w:pPr>
              <w:autoSpaceDE w:val="0"/>
              <w:autoSpaceDN w:val="0"/>
              <w:adjustRightInd w:val="0"/>
              <w:spacing w:line="320" w:lineRule="atLeast"/>
              <w:ind w:left="60" w:right="60"/>
              <w:jc w:val="right"/>
              <w:rPr>
                <w:rFonts w:ascii="Arial" w:hAnsi="Arial" w:cs="Arial"/>
                <w:color w:val="010205"/>
                <w:sz w:val="18"/>
                <w:szCs w:val="18"/>
              </w:rPr>
            </w:pPr>
            <w:r w:rsidRPr="00FF45D5">
              <w:rPr>
                <w:rFonts w:ascii="Arial" w:hAnsi="Arial" w:cs="Arial"/>
                <w:color w:val="010205"/>
                <w:sz w:val="18"/>
                <w:szCs w:val="18"/>
              </w:rPr>
              <w:t>26.9%</w:t>
            </w:r>
          </w:p>
        </w:tc>
        <w:tc>
          <w:tcPr>
            <w:tcW w:w="1398" w:type="dxa"/>
          </w:tcPr>
          <w:p w14:paraId="0B888F68" w14:textId="77777777" w:rsidR="00F37421" w:rsidRPr="00FF45D5" w:rsidRDefault="00F37421" w:rsidP="009024DA">
            <w:pPr>
              <w:autoSpaceDE w:val="0"/>
              <w:autoSpaceDN w:val="0"/>
              <w:adjustRightInd w:val="0"/>
              <w:spacing w:line="320" w:lineRule="atLeast"/>
              <w:ind w:left="60" w:right="60"/>
              <w:jc w:val="right"/>
              <w:rPr>
                <w:rFonts w:ascii="Arial" w:hAnsi="Arial" w:cs="Arial"/>
                <w:color w:val="010205"/>
                <w:sz w:val="18"/>
                <w:szCs w:val="18"/>
              </w:rPr>
            </w:pPr>
            <w:r w:rsidRPr="00FF45D5">
              <w:rPr>
                <w:rFonts w:ascii="Arial" w:hAnsi="Arial" w:cs="Arial"/>
                <w:color w:val="010205"/>
                <w:sz w:val="18"/>
                <w:szCs w:val="18"/>
              </w:rPr>
              <w:t>32.0%</w:t>
            </w:r>
          </w:p>
        </w:tc>
      </w:tr>
      <w:tr w:rsidR="00F37421" w:rsidRPr="00FF45D5" w14:paraId="4AA131BF" w14:textId="77777777" w:rsidTr="009024DA">
        <w:trPr>
          <w:trHeight w:val="305"/>
        </w:trPr>
        <w:tc>
          <w:tcPr>
            <w:tcW w:w="1398" w:type="dxa"/>
          </w:tcPr>
          <w:p w14:paraId="3951B264" w14:textId="77777777" w:rsidR="00F37421" w:rsidRPr="00FF45D5" w:rsidRDefault="00F37421" w:rsidP="009024DA">
            <w:pPr>
              <w:autoSpaceDE w:val="0"/>
              <w:autoSpaceDN w:val="0"/>
              <w:adjustRightInd w:val="0"/>
              <w:spacing w:line="320" w:lineRule="atLeast"/>
              <w:ind w:left="60" w:right="60"/>
              <w:jc w:val="right"/>
              <w:rPr>
                <w:rFonts w:ascii="Arial" w:hAnsi="Arial" w:cs="Arial"/>
                <w:color w:val="010205"/>
                <w:sz w:val="18"/>
                <w:szCs w:val="18"/>
              </w:rPr>
            </w:pPr>
            <w:r w:rsidRPr="00FF45D5">
              <w:rPr>
                <w:rFonts w:ascii="Arial" w:hAnsi="Arial" w:cs="Arial"/>
                <w:color w:val="264A60"/>
                <w:sz w:val="18"/>
                <w:szCs w:val="18"/>
              </w:rPr>
              <w:t>Maybe</w:t>
            </w:r>
          </w:p>
        </w:tc>
        <w:tc>
          <w:tcPr>
            <w:tcW w:w="1398" w:type="dxa"/>
          </w:tcPr>
          <w:p w14:paraId="0E3565CC" w14:textId="77777777" w:rsidR="00F37421" w:rsidRPr="00FF45D5" w:rsidRDefault="00F37421" w:rsidP="009024DA">
            <w:pPr>
              <w:autoSpaceDE w:val="0"/>
              <w:autoSpaceDN w:val="0"/>
              <w:adjustRightInd w:val="0"/>
              <w:spacing w:line="320" w:lineRule="atLeast"/>
              <w:ind w:left="60" w:right="60"/>
              <w:jc w:val="right"/>
              <w:rPr>
                <w:rFonts w:ascii="Arial" w:hAnsi="Arial" w:cs="Arial"/>
                <w:color w:val="010205"/>
                <w:sz w:val="18"/>
                <w:szCs w:val="18"/>
              </w:rPr>
            </w:pPr>
            <w:r w:rsidRPr="00FF45D5">
              <w:rPr>
                <w:rFonts w:ascii="Arial" w:hAnsi="Arial" w:cs="Arial"/>
                <w:color w:val="010205"/>
                <w:sz w:val="18"/>
                <w:szCs w:val="18"/>
              </w:rPr>
              <w:t>8.2%</w:t>
            </w:r>
          </w:p>
        </w:tc>
        <w:tc>
          <w:tcPr>
            <w:tcW w:w="1398" w:type="dxa"/>
          </w:tcPr>
          <w:p w14:paraId="318EF0D1" w14:textId="77777777" w:rsidR="00F37421" w:rsidRPr="00FF45D5" w:rsidRDefault="00F37421" w:rsidP="009024DA">
            <w:pPr>
              <w:autoSpaceDE w:val="0"/>
              <w:autoSpaceDN w:val="0"/>
              <w:adjustRightInd w:val="0"/>
              <w:spacing w:line="320" w:lineRule="atLeast"/>
              <w:ind w:left="60" w:right="60"/>
              <w:jc w:val="right"/>
              <w:rPr>
                <w:rFonts w:ascii="Arial" w:hAnsi="Arial" w:cs="Arial"/>
                <w:color w:val="010205"/>
                <w:sz w:val="18"/>
                <w:szCs w:val="18"/>
              </w:rPr>
            </w:pPr>
            <w:r w:rsidRPr="00FF45D5">
              <w:rPr>
                <w:rFonts w:ascii="Arial" w:hAnsi="Arial" w:cs="Arial"/>
                <w:color w:val="010205"/>
                <w:sz w:val="18"/>
                <w:szCs w:val="18"/>
              </w:rPr>
              <w:t>11.0%</w:t>
            </w:r>
          </w:p>
        </w:tc>
        <w:tc>
          <w:tcPr>
            <w:tcW w:w="1398" w:type="dxa"/>
          </w:tcPr>
          <w:p w14:paraId="53B9541F" w14:textId="77777777" w:rsidR="00F37421" w:rsidRPr="00FF45D5" w:rsidRDefault="00F37421" w:rsidP="009024DA">
            <w:pPr>
              <w:autoSpaceDE w:val="0"/>
              <w:autoSpaceDN w:val="0"/>
              <w:adjustRightInd w:val="0"/>
              <w:spacing w:line="320" w:lineRule="atLeast"/>
              <w:ind w:left="60" w:right="60"/>
              <w:jc w:val="right"/>
              <w:rPr>
                <w:rFonts w:ascii="Arial" w:hAnsi="Arial" w:cs="Arial"/>
                <w:color w:val="010205"/>
                <w:sz w:val="18"/>
                <w:szCs w:val="18"/>
              </w:rPr>
            </w:pPr>
            <w:r w:rsidRPr="00FF45D5">
              <w:rPr>
                <w:rFonts w:ascii="Arial" w:hAnsi="Arial" w:cs="Arial"/>
                <w:color w:val="010205"/>
                <w:sz w:val="18"/>
                <w:szCs w:val="18"/>
              </w:rPr>
              <w:t>33.3%</w:t>
            </w:r>
          </w:p>
        </w:tc>
        <w:tc>
          <w:tcPr>
            <w:tcW w:w="2003" w:type="dxa"/>
          </w:tcPr>
          <w:p w14:paraId="07DD0D12" w14:textId="77777777" w:rsidR="00F37421" w:rsidRPr="00FF45D5" w:rsidRDefault="00F37421" w:rsidP="009024DA">
            <w:pPr>
              <w:autoSpaceDE w:val="0"/>
              <w:autoSpaceDN w:val="0"/>
              <w:adjustRightInd w:val="0"/>
              <w:spacing w:line="320" w:lineRule="atLeast"/>
              <w:ind w:left="60" w:right="60"/>
              <w:jc w:val="right"/>
              <w:rPr>
                <w:rFonts w:ascii="Arial" w:hAnsi="Arial" w:cs="Arial"/>
                <w:color w:val="010205"/>
                <w:sz w:val="18"/>
                <w:szCs w:val="18"/>
              </w:rPr>
            </w:pPr>
            <w:r w:rsidRPr="00FF45D5">
              <w:rPr>
                <w:rFonts w:ascii="Arial" w:hAnsi="Arial" w:cs="Arial"/>
                <w:color w:val="010205"/>
                <w:sz w:val="18"/>
                <w:szCs w:val="18"/>
              </w:rPr>
              <w:t>30.8%</w:t>
            </w:r>
          </w:p>
        </w:tc>
        <w:tc>
          <w:tcPr>
            <w:tcW w:w="1398" w:type="dxa"/>
          </w:tcPr>
          <w:p w14:paraId="464B1CEB" w14:textId="77777777" w:rsidR="00F37421" w:rsidRPr="00FF45D5" w:rsidRDefault="00F37421" w:rsidP="009024DA">
            <w:pPr>
              <w:autoSpaceDE w:val="0"/>
              <w:autoSpaceDN w:val="0"/>
              <w:adjustRightInd w:val="0"/>
              <w:spacing w:line="320" w:lineRule="atLeast"/>
              <w:ind w:left="60" w:right="60"/>
              <w:jc w:val="right"/>
              <w:rPr>
                <w:rFonts w:ascii="Arial" w:hAnsi="Arial" w:cs="Arial"/>
                <w:color w:val="010205"/>
                <w:sz w:val="18"/>
                <w:szCs w:val="18"/>
              </w:rPr>
            </w:pPr>
            <w:r w:rsidRPr="00FF45D5">
              <w:rPr>
                <w:rFonts w:ascii="Arial" w:hAnsi="Arial" w:cs="Arial"/>
                <w:color w:val="010205"/>
                <w:sz w:val="18"/>
                <w:szCs w:val="18"/>
              </w:rPr>
              <w:t>10.0%</w:t>
            </w:r>
          </w:p>
        </w:tc>
      </w:tr>
      <w:tr w:rsidR="00531E6A" w:rsidRPr="00FF45D5" w14:paraId="1FAF839A" w14:textId="77777777" w:rsidTr="009024DA">
        <w:trPr>
          <w:trHeight w:val="626"/>
        </w:trPr>
        <w:tc>
          <w:tcPr>
            <w:tcW w:w="1398" w:type="dxa"/>
          </w:tcPr>
          <w:p w14:paraId="24FE4614" w14:textId="77777777" w:rsidR="00531E6A" w:rsidRPr="00FF45D5" w:rsidRDefault="00531E6A" w:rsidP="009024DA">
            <w:pPr>
              <w:autoSpaceDE w:val="0"/>
              <w:autoSpaceDN w:val="0"/>
              <w:adjustRightInd w:val="0"/>
              <w:spacing w:line="320" w:lineRule="atLeast"/>
              <w:ind w:left="60" w:right="60"/>
              <w:jc w:val="right"/>
              <w:rPr>
                <w:rFonts w:ascii="Arial" w:hAnsi="Arial" w:cs="Arial"/>
                <w:color w:val="010205"/>
                <w:sz w:val="18"/>
                <w:szCs w:val="18"/>
              </w:rPr>
            </w:pPr>
            <w:r w:rsidRPr="00FF45D5">
              <w:rPr>
                <w:rFonts w:ascii="Arial" w:hAnsi="Arial" w:cs="Arial"/>
                <w:color w:val="264A60"/>
                <w:sz w:val="18"/>
                <w:szCs w:val="18"/>
              </w:rPr>
              <w:t>I don't know</w:t>
            </w:r>
          </w:p>
        </w:tc>
        <w:tc>
          <w:tcPr>
            <w:tcW w:w="1398" w:type="dxa"/>
          </w:tcPr>
          <w:p w14:paraId="49D33100" w14:textId="77777777" w:rsidR="00531E6A" w:rsidRPr="00FF45D5" w:rsidRDefault="00531E6A" w:rsidP="009024DA">
            <w:pPr>
              <w:autoSpaceDE w:val="0"/>
              <w:autoSpaceDN w:val="0"/>
              <w:adjustRightInd w:val="0"/>
              <w:spacing w:line="320" w:lineRule="atLeast"/>
              <w:ind w:left="60" w:right="60"/>
              <w:jc w:val="right"/>
              <w:rPr>
                <w:rFonts w:ascii="Arial" w:hAnsi="Arial" w:cs="Arial"/>
                <w:color w:val="010205"/>
                <w:sz w:val="18"/>
                <w:szCs w:val="18"/>
              </w:rPr>
            </w:pPr>
            <w:r w:rsidRPr="00FF45D5">
              <w:rPr>
                <w:rFonts w:ascii="Arial" w:hAnsi="Arial" w:cs="Arial"/>
                <w:color w:val="010205"/>
                <w:sz w:val="18"/>
                <w:szCs w:val="18"/>
              </w:rPr>
              <w:t>7.6%</w:t>
            </w:r>
          </w:p>
        </w:tc>
        <w:tc>
          <w:tcPr>
            <w:tcW w:w="1398" w:type="dxa"/>
          </w:tcPr>
          <w:p w14:paraId="460BAEA2" w14:textId="77777777" w:rsidR="00531E6A" w:rsidRPr="00FF45D5" w:rsidRDefault="00531E6A" w:rsidP="009024DA">
            <w:pPr>
              <w:autoSpaceDE w:val="0"/>
              <w:autoSpaceDN w:val="0"/>
              <w:adjustRightInd w:val="0"/>
              <w:spacing w:line="320" w:lineRule="atLeast"/>
              <w:ind w:left="60" w:right="60"/>
              <w:jc w:val="right"/>
              <w:rPr>
                <w:rFonts w:ascii="Arial" w:hAnsi="Arial" w:cs="Arial"/>
                <w:color w:val="010205"/>
                <w:sz w:val="18"/>
                <w:szCs w:val="18"/>
              </w:rPr>
            </w:pPr>
            <w:r w:rsidRPr="00FF45D5">
              <w:rPr>
                <w:rFonts w:ascii="Arial" w:hAnsi="Arial" w:cs="Arial"/>
                <w:color w:val="010205"/>
                <w:sz w:val="18"/>
                <w:szCs w:val="18"/>
              </w:rPr>
              <w:t>5.9%</w:t>
            </w:r>
          </w:p>
        </w:tc>
        <w:tc>
          <w:tcPr>
            <w:tcW w:w="1398" w:type="dxa"/>
          </w:tcPr>
          <w:p w14:paraId="49374A54" w14:textId="77777777" w:rsidR="00531E6A" w:rsidRPr="00FF45D5" w:rsidRDefault="00531E6A" w:rsidP="009024DA">
            <w:pPr>
              <w:autoSpaceDE w:val="0"/>
              <w:autoSpaceDN w:val="0"/>
              <w:adjustRightInd w:val="0"/>
              <w:spacing w:line="320" w:lineRule="atLeast"/>
              <w:ind w:left="60" w:right="60"/>
              <w:jc w:val="right"/>
              <w:rPr>
                <w:rFonts w:ascii="Arial" w:hAnsi="Arial" w:cs="Arial"/>
                <w:color w:val="010205"/>
                <w:sz w:val="18"/>
                <w:szCs w:val="18"/>
              </w:rPr>
            </w:pPr>
            <w:r w:rsidRPr="00FF45D5">
              <w:rPr>
                <w:rFonts w:ascii="Arial" w:hAnsi="Arial" w:cs="Arial"/>
                <w:color w:val="010205"/>
                <w:sz w:val="18"/>
                <w:szCs w:val="18"/>
              </w:rPr>
              <w:t>8.3%</w:t>
            </w:r>
          </w:p>
        </w:tc>
        <w:tc>
          <w:tcPr>
            <w:tcW w:w="2003" w:type="dxa"/>
          </w:tcPr>
          <w:p w14:paraId="692B4B4F" w14:textId="77777777" w:rsidR="00531E6A" w:rsidRPr="00FF45D5" w:rsidRDefault="00531E6A" w:rsidP="009024DA">
            <w:pPr>
              <w:autoSpaceDE w:val="0"/>
              <w:autoSpaceDN w:val="0"/>
              <w:adjustRightInd w:val="0"/>
              <w:spacing w:line="320" w:lineRule="atLeast"/>
              <w:ind w:left="60" w:right="60"/>
              <w:jc w:val="right"/>
              <w:rPr>
                <w:rFonts w:ascii="Arial" w:hAnsi="Arial" w:cs="Arial"/>
                <w:color w:val="010205"/>
                <w:sz w:val="18"/>
                <w:szCs w:val="18"/>
              </w:rPr>
            </w:pPr>
            <w:r w:rsidRPr="00FF45D5">
              <w:rPr>
                <w:rFonts w:ascii="Arial" w:hAnsi="Arial" w:cs="Arial"/>
                <w:color w:val="010205"/>
                <w:sz w:val="18"/>
                <w:szCs w:val="18"/>
              </w:rPr>
              <w:t>7.7%</w:t>
            </w:r>
          </w:p>
        </w:tc>
        <w:tc>
          <w:tcPr>
            <w:tcW w:w="1398" w:type="dxa"/>
          </w:tcPr>
          <w:p w14:paraId="3CF50AE3" w14:textId="77777777" w:rsidR="00531E6A" w:rsidRPr="00FF45D5" w:rsidRDefault="00531E6A" w:rsidP="009024DA">
            <w:pPr>
              <w:autoSpaceDE w:val="0"/>
              <w:autoSpaceDN w:val="0"/>
              <w:adjustRightInd w:val="0"/>
              <w:spacing w:line="320" w:lineRule="atLeast"/>
              <w:ind w:left="60" w:right="60"/>
              <w:jc w:val="right"/>
              <w:rPr>
                <w:rFonts w:ascii="Arial" w:hAnsi="Arial" w:cs="Arial"/>
                <w:color w:val="010205"/>
                <w:sz w:val="18"/>
                <w:szCs w:val="18"/>
              </w:rPr>
            </w:pPr>
            <w:r w:rsidRPr="00FF45D5">
              <w:rPr>
                <w:rFonts w:ascii="Arial" w:hAnsi="Arial" w:cs="Arial"/>
                <w:color w:val="010205"/>
                <w:sz w:val="18"/>
                <w:szCs w:val="18"/>
              </w:rPr>
              <w:t>6.8%</w:t>
            </w:r>
          </w:p>
        </w:tc>
      </w:tr>
    </w:tbl>
    <w:p w14:paraId="2B587C52" w14:textId="77777777" w:rsidR="00531E6A" w:rsidRPr="00DD1222" w:rsidRDefault="00531E6A" w:rsidP="006E3C5B">
      <w:pPr>
        <w:rPr>
          <w:rFonts w:cstheme="minorHAnsi"/>
          <w:sz w:val="24"/>
          <w:szCs w:val="24"/>
        </w:rPr>
      </w:pPr>
      <w:r>
        <w:rPr>
          <w:rFonts w:ascii="Arial" w:hAnsi="Arial" w:cs="Arial"/>
          <w:color w:val="264A60"/>
          <w:sz w:val="18"/>
          <w:szCs w:val="18"/>
        </w:rPr>
        <w:t xml:space="preserve">Table 8: </w:t>
      </w:r>
      <w:r w:rsidRPr="00FF45D5">
        <w:rPr>
          <w:rFonts w:ascii="Arial" w:hAnsi="Arial" w:cs="Arial"/>
          <w:color w:val="264A60"/>
          <w:sz w:val="18"/>
          <w:szCs w:val="18"/>
        </w:rPr>
        <w:t>Have you ever experienced inequality because of your gender?</w:t>
      </w:r>
    </w:p>
    <w:p w14:paraId="7CA6134D" w14:textId="77777777" w:rsidR="00681F77" w:rsidRPr="00DD1222" w:rsidRDefault="00681F77" w:rsidP="00E75191">
      <w:pPr>
        <w:spacing w:after="0" w:line="240" w:lineRule="auto"/>
        <w:jc w:val="both"/>
        <w:rPr>
          <w:rFonts w:cstheme="minorHAnsi"/>
          <w:sz w:val="24"/>
          <w:szCs w:val="24"/>
        </w:rPr>
      </w:pPr>
    </w:p>
    <w:p w14:paraId="0A3F760D" w14:textId="77777777" w:rsidR="00681F77" w:rsidRPr="00DD1222" w:rsidRDefault="00681F77" w:rsidP="00E75191">
      <w:pPr>
        <w:autoSpaceDE w:val="0"/>
        <w:autoSpaceDN w:val="0"/>
        <w:adjustRightInd w:val="0"/>
        <w:spacing w:after="0" w:line="240" w:lineRule="auto"/>
        <w:jc w:val="both"/>
        <w:rPr>
          <w:rFonts w:cstheme="minorHAnsi"/>
          <w:sz w:val="24"/>
          <w:szCs w:val="24"/>
        </w:rPr>
      </w:pPr>
      <w:r w:rsidRPr="00DD1222">
        <w:rPr>
          <w:rFonts w:cstheme="minorHAnsi"/>
          <w:sz w:val="24"/>
          <w:szCs w:val="24"/>
        </w:rPr>
        <w:t>Responses from those that ha</w:t>
      </w:r>
      <w:r w:rsidR="009A5CF1">
        <w:rPr>
          <w:rFonts w:cstheme="minorHAnsi"/>
          <w:sz w:val="24"/>
          <w:szCs w:val="24"/>
        </w:rPr>
        <w:t>d</w:t>
      </w:r>
      <w:r w:rsidRPr="00DD1222">
        <w:rPr>
          <w:rFonts w:cstheme="minorHAnsi"/>
          <w:sz w:val="24"/>
          <w:szCs w:val="24"/>
        </w:rPr>
        <w:t xml:space="preserve"> experienced gender </w:t>
      </w:r>
      <w:r w:rsidR="009A5CF1">
        <w:rPr>
          <w:rFonts w:cstheme="minorHAnsi"/>
          <w:sz w:val="24"/>
          <w:szCs w:val="24"/>
        </w:rPr>
        <w:t>discrimination</w:t>
      </w:r>
      <w:r w:rsidRPr="00DD1222">
        <w:rPr>
          <w:rFonts w:cstheme="minorHAnsi"/>
          <w:sz w:val="24"/>
          <w:szCs w:val="24"/>
        </w:rPr>
        <w:t xml:space="preserve">, indicate that </w:t>
      </w:r>
      <w:r w:rsidR="009A5CF1">
        <w:rPr>
          <w:rFonts w:cstheme="minorHAnsi"/>
          <w:sz w:val="24"/>
          <w:szCs w:val="24"/>
        </w:rPr>
        <w:t>the</w:t>
      </w:r>
      <w:r w:rsidR="009A5CF1" w:rsidRPr="00DD1222">
        <w:rPr>
          <w:rFonts w:cstheme="minorHAnsi"/>
          <w:sz w:val="24"/>
          <w:szCs w:val="24"/>
        </w:rPr>
        <w:t xml:space="preserve"> </w:t>
      </w:r>
      <w:r w:rsidRPr="00DD1222">
        <w:rPr>
          <w:rFonts w:cstheme="minorHAnsi"/>
          <w:sz w:val="24"/>
          <w:szCs w:val="24"/>
        </w:rPr>
        <w:t>greater percentage of the gender-based discrimination was experienced from family (19.7</w:t>
      </w:r>
      <w:r w:rsidRPr="00DD1222">
        <w:rPr>
          <w:rFonts w:cstheme="minorHAnsi"/>
          <w:color w:val="010205"/>
          <w:sz w:val="24"/>
          <w:szCs w:val="24"/>
        </w:rPr>
        <w:t xml:space="preserve">%), </w:t>
      </w:r>
      <w:r w:rsidRPr="00DD1222">
        <w:rPr>
          <w:rFonts w:cstheme="minorHAnsi"/>
          <w:sz w:val="24"/>
          <w:szCs w:val="24"/>
        </w:rPr>
        <w:t xml:space="preserve">followed by friends (13.6%). Work-related discrimination </w:t>
      </w:r>
      <w:r w:rsidR="009A5CF1">
        <w:rPr>
          <w:rFonts w:cstheme="minorHAnsi"/>
          <w:sz w:val="24"/>
          <w:szCs w:val="24"/>
        </w:rPr>
        <w:t>i</w:t>
      </w:r>
      <w:r w:rsidRPr="00DD1222">
        <w:rPr>
          <w:rFonts w:cstheme="minorHAnsi"/>
          <w:sz w:val="24"/>
          <w:szCs w:val="24"/>
        </w:rPr>
        <w:t xml:space="preserve">s highest in Lagos (13.4%) and </w:t>
      </w:r>
      <w:r w:rsidRPr="00DD1222">
        <w:rPr>
          <w:rFonts w:cstheme="minorHAnsi"/>
          <w:sz w:val="24"/>
          <w:szCs w:val="24"/>
        </w:rPr>
        <w:lastRenderedPageBreak/>
        <w:t xml:space="preserve">Adamawa (12.1%), while Kano, (37.1%) recorded highest rate of discrimination among friends. Edo respondents recorded highest discrimination among colleagues (14.1%). Lagos (19.6%) and Kwara (14.6%) recorded highest percentage of respondents reporting discriminations from strangers (see Table 1). </w:t>
      </w:r>
    </w:p>
    <w:p w14:paraId="3FA0749D" w14:textId="77777777" w:rsidR="00681F77" w:rsidRPr="00E75191" w:rsidRDefault="00681F77" w:rsidP="00E75191">
      <w:pPr>
        <w:autoSpaceDE w:val="0"/>
        <w:autoSpaceDN w:val="0"/>
        <w:adjustRightInd w:val="0"/>
        <w:spacing w:after="0" w:line="240" w:lineRule="auto"/>
        <w:rPr>
          <w:rFonts w:ascii="Times New Roman" w:hAnsi="Times New Roman" w:cs="Times New Roman"/>
          <w:b/>
          <w:sz w:val="24"/>
          <w:szCs w:val="24"/>
        </w:rPr>
      </w:pPr>
      <w:r>
        <w:rPr>
          <w:noProof/>
          <w:lang w:val="en-IE" w:eastAsia="en-IE"/>
        </w:rPr>
        <w:drawing>
          <wp:anchor distT="0" distB="0" distL="114300" distR="114300" simplePos="0" relativeHeight="251724800" behindDoc="0" locked="0" layoutInCell="1" allowOverlap="1" wp14:anchorId="345AD16A" wp14:editId="1B20AAC6">
            <wp:simplePos x="0" y="0"/>
            <wp:positionH relativeFrom="margin">
              <wp:align>left</wp:align>
            </wp:positionH>
            <wp:positionV relativeFrom="paragraph">
              <wp:posOffset>177800</wp:posOffset>
            </wp:positionV>
            <wp:extent cx="6338570" cy="2425700"/>
            <wp:effectExtent l="0" t="0" r="5080" b="12700"/>
            <wp:wrapSquare wrapText="bothSides"/>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page">
              <wp14:pctWidth>0</wp14:pctWidth>
            </wp14:sizeRelH>
            <wp14:sizeRelV relativeFrom="page">
              <wp14:pctHeight>0</wp14:pctHeight>
            </wp14:sizeRelV>
          </wp:anchor>
        </w:drawing>
      </w:r>
      <w:r>
        <w:rPr>
          <w:noProof/>
          <w:lang w:val="en-IE" w:eastAsia="en-IE"/>
        </w:rPr>
        <mc:AlternateContent>
          <mc:Choice Requires="wps">
            <w:drawing>
              <wp:anchor distT="0" distB="0" distL="114300" distR="114300" simplePos="0" relativeHeight="251725824" behindDoc="0" locked="0" layoutInCell="1" allowOverlap="1" wp14:anchorId="4F442A8C" wp14:editId="052114AE">
                <wp:simplePos x="0" y="0"/>
                <wp:positionH relativeFrom="column">
                  <wp:posOffset>0</wp:posOffset>
                </wp:positionH>
                <wp:positionV relativeFrom="paragraph">
                  <wp:posOffset>2482850</wp:posOffset>
                </wp:positionV>
                <wp:extent cx="6338570" cy="635"/>
                <wp:effectExtent l="0" t="0" r="0" b="0"/>
                <wp:wrapSquare wrapText="bothSides"/>
                <wp:docPr id="49" name="Text Box 49"/>
                <wp:cNvGraphicFramePr/>
                <a:graphic xmlns:a="http://schemas.openxmlformats.org/drawingml/2006/main">
                  <a:graphicData uri="http://schemas.microsoft.com/office/word/2010/wordprocessingShape">
                    <wps:wsp>
                      <wps:cNvSpPr txBox="1"/>
                      <wps:spPr>
                        <a:xfrm>
                          <a:off x="0" y="0"/>
                          <a:ext cx="6338570" cy="635"/>
                        </a:xfrm>
                        <a:prstGeom prst="rect">
                          <a:avLst/>
                        </a:prstGeom>
                        <a:solidFill>
                          <a:prstClr val="white"/>
                        </a:solidFill>
                        <a:ln>
                          <a:noFill/>
                        </a:ln>
                        <a:effectLst/>
                      </wps:spPr>
                      <wps:txbx>
                        <w:txbxContent>
                          <w:p w14:paraId="279F7E6C" w14:textId="77777777" w:rsidR="006D6A0C" w:rsidRPr="00D62E47" w:rsidRDefault="006D6A0C" w:rsidP="00681F77">
                            <w:pPr>
                              <w:pStyle w:val="Caption"/>
                              <w:jc w:val="center"/>
                              <w:rPr>
                                <w:noProof/>
                              </w:rPr>
                            </w:pPr>
                            <w:r>
                              <w:t xml:space="preserve">Figure </w:t>
                            </w:r>
                            <w:fldSimple w:instr=" SEQ Figure \* ARABIC ">
                              <w:r>
                                <w:rPr>
                                  <w:noProof/>
                                </w:rPr>
                                <w:t>8</w:t>
                              </w:r>
                            </w:fldSimple>
                            <w:r>
                              <w:rPr>
                                <w:noProof/>
                              </w:rPr>
                              <w:t>:</w:t>
                            </w:r>
                            <w:r>
                              <w:t xml:space="preserve"> Experience of Gender Discrimination by State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F442A8C" id="Text Box 49" o:spid="_x0000_s1043" type="#_x0000_t202" style="position:absolute;margin-left:0;margin-top:195.5pt;width:499.1pt;height:.05pt;z-index:251725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" stroked="f">
                <v:textbox style="mso-fit-shape-to-text:t" inset="0,0,0,0">
                  <w:txbxContent>
                    <w:p w:rsidR="006D6A0C" w:rsidRPr="00D62E47" w:rsidRDefault="006D6A0C" w:rsidP="00681F77">
                      <w:pPr>
                        <w:pStyle w:val="Caption"/>
                        <w:jc w:val="center"/>
                        <w:rPr>
                          <w:noProof/>
                        </w:rPr>
                      </w:pPr>
                      <w:r>
                        <w:t xml:space="preserve">Figure </w:t>
                      </w:r>
                      <w:r>
                        <w:fldChar w:fldCharType="begin"/>
                      </w:r>
                      <w:r>
                        <w:instrText xml:space="preserve"> SEQ Figure \* ARABIC </w:instrText>
                      </w:r>
                      <w:r>
                        <w:fldChar w:fldCharType="separate"/>
                      </w:r>
                      <w:r>
                        <w:rPr>
                          <w:noProof/>
                        </w:rPr>
                        <w:t>8</w:t>
                      </w:r>
                      <w:r>
                        <w:rPr>
                          <w:noProof/>
                        </w:rPr>
                        <w:fldChar w:fldCharType="end"/>
                      </w:r>
                      <w:r>
                        <w:rPr>
                          <w:noProof/>
                        </w:rPr>
                        <w:t>:</w:t>
                      </w:r>
                      <w:r>
                        <w:t xml:space="preserve"> Experience of Gender Discrimination by State</w:t>
                      </w:r>
                    </w:p>
                  </w:txbxContent>
                </v:textbox>
                <w10:wrap type="square"/>
              </v:shape>
            </w:pict>
          </mc:Fallback>
        </mc:AlternateContent>
      </w:r>
    </w:p>
    <w:p w14:paraId="2CC1C496" w14:textId="77777777" w:rsidR="00681F77" w:rsidRDefault="00681F77" w:rsidP="00E75191">
      <w:pPr>
        <w:spacing w:line="240" w:lineRule="auto"/>
        <w:jc w:val="both"/>
        <w:rPr>
          <w:sz w:val="24"/>
          <w:szCs w:val="24"/>
        </w:rPr>
      </w:pPr>
    </w:p>
    <w:p w14:paraId="209F6FAF" w14:textId="77777777" w:rsidR="00BA62E5" w:rsidRDefault="009A5CF1" w:rsidP="00E75191">
      <w:pPr>
        <w:spacing w:line="240" w:lineRule="auto"/>
        <w:jc w:val="both"/>
        <w:rPr>
          <w:sz w:val="24"/>
          <w:szCs w:val="24"/>
        </w:rPr>
      </w:pPr>
      <w:r>
        <w:rPr>
          <w:sz w:val="24"/>
          <w:szCs w:val="24"/>
        </w:rPr>
        <w:t>These figures underline that s</w:t>
      </w:r>
      <w:r w:rsidR="00BA62E5">
        <w:rPr>
          <w:sz w:val="24"/>
          <w:szCs w:val="24"/>
        </w:rPr>
        <w:t xml:space="preserve">exual harassment persists in the </w:t>
      </w:r>
      <w:r w:rsidR="00D51B1F">
        <w:rPr>
          <w:sz w:val="24"/>
          <w:szCs w:val="24"/>
        </w:rPr>
        <w:t xml:space="preserve">Nigerian </w:t>
      </w:r>
      <w:r w:rsidR="00BA62E5">
        <w:rPr>
          <w:sz w:val="24"/>
          <w:szCs w:val="24"/>
        </w:rPr>
        <w:t>workplace.</w:t>
      </w:r>
      <w:r w:rsidR="00AB78C1">
        <w:rPr>
          <w:sz w:val="24"/>
          <w:szCs w:val="24"/>
        </w:rPr>
        <w:t xml:space="preserve"> Reports indicate that there are high levels of sexual harassment against both men and women at work.  However, women are predominantly victims of sexual harassment at work.</w:t>
      </w:r>
      <w:r w:rsidR="00AB78C1">
        <w:rPr>
          <w:rStyle w:val="FootnoteReference"/>
          <w:sz w:val="24"/>
          <w:szCs w:val="24"/>
        </w:rPr>
        <w:footnoteReference w:id="83"/>
      </w:r>
      <w:r w:rsidR="00AB78C1">
        <w:rPr>
          <w:sz w:val="24"/>
          <w:szCs w:val="24"/>
        </w:rPr>
        <w:t xml:space="preserve"> This has been attributed to women having </w:t>
      </w:r>
      <w:r w:rsidR="00AB78C1" w:rsidRPr="00AB78C1">
        <w:rPr>
          <w:sz w:val="24"/>
          <w:szCs w:val="24"/>
        </w:rPr>
        <w:t>lower-paying, lower-authority</w:t>
      </w:r>
      <w:r w:rsidR="00AB78C1">
        <w:rPr>
          <w:sz w:val="24"/>
          <w:szCs w:val="24"/>
        </w:rPr>
        <w:t xml:space="preserve"> </w:t>
      </w:r>
      <w:r w:rsidR="00AB78C1" w:rsidRPr="00AB78C1">
        <w:rPr>
          <w:sz w:val="24"/>
          <w:szCs w:val="24"/>
        </w:rPr>
        <w:t xml:space="preserve">and lower-status jobs </w:t>
      </w:r>
      <w:r w:rsidR="00AB78C1">
        <w:rPr>
          <w:sz w:val="24"/>
          <w:szCs w:val="24"/>
        </w:rPr>
        <w:t xml:space="preserve">by comparison </w:t>
      </w:r>
      <w:r w:rsidR="00AB78C1" w:rsidRPr="00AB78C1">
        <w:rPr>
          <w:sz w:val="24"/>
          <w:szCs w:val="24"/>
        </w:rPr>
        <w:t>to men.</w:t>
      </w:r>
      <w:r w:rsidR="00D51B1F">
        <w:rPr>
          <w:rStyle w:val="FootnoteReference"/>
          <w:sz w:val="24"/>
          <w:szCs w:val="24"/>
        </w:rPr>
        <w:footnoteReference w:id="84"/>
      </w:r>
    </w:p>
    <w:p w14:paraId="38C93A8D" w14:textId="77777777" w:rsidR="00FF3DFF" w:rsidRPr="00EB6159" w:rsidRDefault="00FF3DFF" w:rsidP="00EB6159">
      <w:pPr>
        <w:rPr>
          <w:rStyle w:val="IntenseEmphasis"/>
        </w:rPr>
      </w:pPr>
      <w:r w:rsidRPr="00EB6159">
        <w:rPr>
          <w:rStyle w:val="IntenseEmphasis"/>
        </w:rPr>
        <w:t>Board Diversity</w:t>
      </w:r>
    </w:p>
    <w:p w14:paraId="1AD806B2" w14:textId="77777777" w:rsidR="008A1EF8" w:rsidRDefault="008A1EF8" w:rsidP="00E75191">
      <w:pPr>
        <w:spacing w:line="240" w:lineRule="auto"/>
        <w:jc w:val="both"/>
        <w:rPr>
          <w:sz w:val="24"/>
          <w:szCs w:val="24"/>
        </w:rPr>
      </w:pPr>
      <w:r>
        <w:rPr>
          <w:sz w:val="24"/>
          <w:szCs w:val="24"/>
        </w:rPr>
        <w:t xml:space="preserve">At the top of enterprises, one key question that arises is with respect to the leadership of companies. </w:t>
      </w:r>
      <w:r w:rsidR="00712852">
        <w:rPr>
          <w:sz w:val="24"/>
          <w:szCs w:val="24"/>
        </w:rPr>
        <w:t>A 2016 survey noted that for the period 2015-2016, women only had about 14</w:t>
      </w:r>
      <w:r w:rsidR="001776C9">
        <w:rPr>
          <w:sz w:val="24"/>
          <w:szCs w:val="24"/>
        </w:rPr>
        <w:t>%</w:t>
      </w:r>
      <w:r w:rsidR="00712852">
        <w:rPr>
          <w:sz w:val="24"/>
          <w:szCs w:val="24"/>
        </w:rPr>
        <w:t xml:space="preserve"> of seats on the boards </w:t>
      </w:r>
      <w:r w:rsidR="001776C9">
        <w:rPr>
          <w:sz w:val="24"/>
          <w:szCs w:val="24"/>
        </w:rPr>
        <w:t xml:space="preserve">of the </w:t>
      </w:r>
      <w:r w:rsidR="00712852">
        <w:rPr>
          <w:sz w:val="24"/>
          <w:szCs w:val="24"/>
        </w:rPr>
        <w:t>132 companies quoted on the Nigerian Stock Exchange.</w:t>
      </w:r>
      <w:r w:rsidR="00445925">
        <w:rPr>
          <w:sz w:val="24"/>
          <w:szCs w:val="24"/>
        </w:rPr>
        <w:t xml:space="preserve"> A World Bank/IFC study taking a qualitative approach identified varying views about the disparity between the number of men and women on boards despite similar education, qualifications and experience. The views included the need for women to have support systems to manage families in order to thrive at work, patriarchal norms that required women to be submissive even in the workplace, the need for more networking by females</w:t>
      </w:r>
      <w:r w:rsidR="00824791">
        <w:rPr>
          <w:sz w:val="24"/>
          <w:szCs w:val="24"/>
        </w:rPr>
        <w:t>, which may be helpful for getting on boards,</w:t>
      </w:r>
      <w:r w:rsidR="00445925">
        <w:rPr>
          <w:sz w:val="24"/>
          <w:szCs w:val="24"/>
        </w:rPr>
        <w:t xml:space="preserve"> amongst other factors.</w:t>
      </w:r>
      <w:r w:rsidR="001776C9" w:rsidRPr="001776C9">
        <w:rPr>
          <w:sz w:val="24"/>
          <w:szCs w:val="24"/>
        </w:rPr>
        <w:t xml:space="preserve"> </w:t>
      </w:r>
      <w:r w:rsidR="001776C9">
        <w:rPr>
          <w:sz w:val="24"/>
          <w:szCs w:val="24"/>
        </w:rPr>
        <w:t>.</w:t>
      </w:r>
      <w:r w:rsidR="001776C9">
        <w:rPr>
          <w:rStyle w:val="FootnoteReference"/>
          <w:sz w:val="24"/>
          <w:szCs w:val="24"/>
        </w:rPr>
        <w:footnoteReference w:id="85"/>
      </w:r>
      <w:r w:rsidR="00445925">
        <w:rPr>
          <w:sz w:val="24"/>
          <w:szCs w:val="24"/>
        </w:rPr>
        <w:t xml:space="preserve"> </w:t>
      </w:r>
      <w:r>
        <w:rPr>
          <w:sz w:val="24"/>
          <w:szCs w:val="24"/>
        </w:rPr>
        <w:t xml:space="preserve">At present, the only legal requirement for gender diversity on the boards of companies are to be found in </w:t>
      </w:r>
      <w:r w:rsidRPr="008A1EF8">
        <w:rPr>
          <w:sz w:val="24"/>
          <w:szCs w:val="24"/>
        </w:rPr>
        <w:t>regulations issued by the Central Bank of Nigeria (CBN), the Sec</w:t>
      </w:r>
      <w:r>
        <w:rPr>
          <w:sz w:val="24"/>
          <w:szCs w:val="24"/>
        </w:rPr>
        <w:t xml:space="preserve">urities and Exchange Commission </w:t>
      </w:r>
      <w:r w:rsidRPr="008A1EF8">
        <w:rPr>
          <w:sz w:val="24"/>
          <w:szCs w:val="24"/>
        </w:rPr>
        <w:t xml:space="preserve">(SEC) Code of Corporate Governance, and the 2018 Nigerian Code of Corporate Governance (CCG). </w:t>
      </w:r>
      <w:r>
        <w:rPr>
          <w:sz w:val="24"/>
          <w:szCs w:val="24"/>
        </w:rPr>
        <w:t xml:space="preserve"> Under the CBN Regulations, a mi</w:t>
      </w:r>
      <w:r w:rsidRPr="008A1EF8">
        <w:rPr>
          <w:sz w:val="24"/>
          <w:szCs w:val="24"/>
        </w:rPr>
        <w:t>nimum of 30</w:t>
      </w:r>
      <w:r w:rsidR="001776C9">
        <w:rPr>
          <w:sz w:val="24"/>
          <w:szCs w:val="24"/>
        </w:rPr>
        <w:t>%</w:t>
      </w:r>
      <w:r w:rsidRPr="008A1EF8">
        <w:rPr>
          <w:sz w:val="24"/>
          <w:szCs w:val="24"/>
        </w:rPr>
        <w:t xml:space="preserve"> female repre</w:t>
      </w:r>
      <w:r>
        <w:rPr>
          <w:sz w:val="24"/>
          <w:szCs w:val="24"/>
        </w:rPr>
        <w:t xml:space="preserve">sentation is required on the boards of Nigerian </w:t>
      </w:r>
      <w:r w:rsidRPr="008A1EF8">
        <w:rPr>
          <w:sz w:val="24"/>
          <w:szCs w:val="24"/>
        </w:rPr>
        <w:t xml:space="preserve">commercial </w:t>
      </w:r>
      <w:r>
        <w:rPr>
          <w:sz w:val="24"/>
          <w:szCs w:val="24"/>
        </w:rPr>
        <w:t xml:space="preserve">banks. The SEC Code </w:t>
      </w:r>
      <w:r w:rsidRPr="008A1EF8">
        <w:rPr>
          <w:sz w:val="24"/>
          <w:szCs w:val="24"/>
        </w:rPr>
        <w:t>recommends</w:t>
      </w:r>
      <w:r w:rsidR="00712852">
        <w:rPr>
          <w:sz w:val="24"/>
          <w:szCs w:val="24"/>
        </w:rPr>
        <w:t xml:space="preserve"> (</w:t>
      </w:r>
      <w:r w:rsidR="00D51B1F">
        <w:rPr>
          <w:sz w:val="24"/>
          <w:szCs w:val="24"/>
        </w:rPr>
        <w:t>but does not make it mandatory)</w:t>
      </w:r>
      <w:r w:rsidRPr="008A1EF8">
        <w:rPr>
          <w:sz w:val="24"/>
          <w:szCs w:val="24"/>
        </w:rPr>
        <w:t xml:space="preserve"> that pu</w:t>
      </w:r>
      <w:r w:rsidR="00712852">
        <w:rPr>
          <w:sz w:val="24"/>
          <w:szCs w:val="24"/>
        </w:rPr>
        <w:t>blicly listed companies take</w:t>
      </w:r>
      <w:r w:rsidRPr="008A1EF8">
        <w:rPr>
          <w:sz w:val="24"/>
          <w:szCs w:val="24"/>
        </w:rPr>
        <w:t xml:space="preserve"> gender </w:t>
      </w:r>
      <w:r w:rsidR="00712852">
        <w:rPr>
          <w:sz w:val="24"/>
          <w:szCs w:val="24"/>
        </w:rPr>
        <w:t>into consideration when selecting board members.  Similarly, the CCG encourages</w:t>
      </w:r>
      <w:r w:rsidRPr="008A1EF8">
        <w:rPr>
          <w:sz w:val="24"/>
          <w:szCs w:val="24"/>
        </w:rPr>
        <w:t xml:space="preserve"> board</w:t>
      </w:r>
      <w:r w:rsidR="00712852">
        <w:rPr>
          <w:sz w:val="24"/>
          <w:szCs w:val="24"/>
        </w:rPr>
        <w:t>s</w:t>
      </w:r>
      <w:r w:rsidRPr="008A1EF8">
        <w:rPr>
          <w:sz w:val="24"/>
          <w:szCs w:val="24"/>
        </w:rPr>
        <w:t xml:space="preserve"> to set diversity goals and to be mindful of them when filling board </w:t>
      </w:r>
      <w:r w:rsidRPr="008A1EF8">
        <w:rPr>
          <w:sz w:val="24"/>
          <w:szCs w:val="24"/>
        </w:rPr>
        <w:lastRenderedPageBreak/>
        <w:t xml:space="preserve">vacancies. </w:t>
      </w:r>
      <w:r w:rsidR="00712852">
        <w:rPr>
          <w:sz w:val="24"/>
          <w:szCs w:val="24"/>
        </w:rPr>
        <w:t xml:space="preserve"> Unlike the CBN Regulations, </w:t>
      </w:r>
      <w:r w:rsidRPr="008A1EF8">
        <w:rPr>
          <w:sz w:val="24"/>
          <w:szCs w:val="24"/>
        </w:rPr>
        <w:t xml:space="preserve">the SEC and CCG codes do </w:t>
      </w:r>
      <w:r w:rsidR="00712852">
        <w:rPr>
          <w:sz w:val="24"/>
          <w:szCs w:val="24"/>
        </w:rPr>
        <w:t xml:space="preserve">not mandate </w:t>
      </w:r>
      <w:r w:rsidRPr="008A1EF8">
        <w:rPr>
          <w:sz w:val="24"/>
          <w:szCs w:val="24"/>
        </w:rPr>
        <w:t>gender quotas.</w:t>
      </w:r>
      <w:r w:rsidR="00712852">
        <w:rPr>
          <w:sz w:val="24"/>
          <w:szCs w:val="24"/>
        </w:rPr>
        <w:t xml:space="preserve">  </w:t>
      </w:r>
    </w:p>
    <w:p w14:paraId="5CAA75BB" w14:textId="77777777" w:rsidR="00B512ED" w:rsidRDefault="00B512ED" w:rsidP="00E75191">
      <w:pPr>
        <w:spacing w:line="240" w:lineRule="auto"/>
        <w:jc w:val="both"/>
        <w:rPr>
          <w:sz w:val="24"/>
          <w:szCs w:val="24"/>
        </w:rPr>
      </w:pPr>
      <w:r>
        <w:rPr>
          <w:sz w:val="24"/>
          <w:szCs w:val="24"/>
        </w:rPr>
        <w:t>The World Bank IFC study made several recommendations including mandatory quotas established by law, the need for formal and documented policies, on board appointment, defined term limits, recruiting beyond traditional networks, integrating gender diversity into succession planning, advocacy through male champions, amongst others.</w:t>
      </w:r>
    </w:p>
    <w:p w14:paraId="12735BAE" w14:textId="77777777" w:rsidR="00D51B1F" w:rsidRDefault="00D51B1F" w:rsidP="00E75191">
      <w:pPr>
        <w:spacing w:line="240" w:lineRule="auto"/>
        <w:jc w:val="both"/>
        <w:rPr>
          <w:sz w:val="24"/>
          <w:szCs w:val="24"/>
        </w:rPr>
      </w:pPr>
      <w:r>
        <w:rPr>
          <w:sz w:val="24"/>
          <w:szCs w:val="24"/>
        </w:rPr>
        <w:t xml:space="preserve">At any rate, there are nuances in </w:t>
      </w:r>
      <w:r w:rsidR="001776C9">
        <w:rPr>
          <w:sz w:val="24"/>
          <w:szCs w:val="24"/>
        </w:rPr>
        <w:t xml:space="preserve">the </w:t>
      </w:r>
      <w:r>
        <w:rPr>
          <w:sz w:val="24"/>
          <w:szCs w:val="24"/>
        </w:rPr>
        <w:t>understanding</w:t>
      </w:r>
      <w:r w:rsidR="001776C9">
        <w:rPr>
          <w:sz w:val="24"/>
          <w:szCs w:val="24"/>
        </w:rPr>
        <w:t xml:space="preserve"> of</w:t>
      </w:r>
      <w:r>
        <w:rPr>
          <w:sz w:val="24"/>
          <w:szCs w:val="24"/>
        </w:rPr>
        <w:t xml:space="preserve"> the role of gender in workplaces. As one respondent noted: </w:t>
      </w:r>
    </w:p>
    <w:p w14:paraId="6E90E665" w14:textId="77777777" w:rsidR="006F3F40" w:rsidRDefault="00D51B1F" w:rsidP="00125047">
      <w:pPr>
        <w:spacing w:line="240" w:lineRule="auto"/>
        <w:jc w:val="both"/>
        <w:rPr>
          <w:i/>
          <w:sz w:val="24"/>
          <w:szCs w:val="24"/>
        </w:rPr>
      </w:pPr>
      <w:r w:rsidRPr="00D018C2">
        <w:rPr>
          <w:i/>
          <w:sz w:val="24"/>
          <w:szCs w:val="24"/>
        </w:rPr>
        <w:t xml:space="preserve">In a way, Nigeria is less hostile than even some developed countries, because we're very business oriented and transaction oriented. So, an employer might decide to come out and say ‘I want to hire a man, I don't want any woman who's going to get pregnant, and this and that’. But if he gets a woman who is delivering, they're not going to say they will pay her less than they are paying a man, because she's a woman of stuff like that. So, the gender pay gap in Nigeria in many instances, is less than in many other countries </w:t>
      </w:r>
      <w:r w:rsidR="00F434DE">
        <w:rPr>
          <w:i/>
          <w:sz w:val="24"/>
          <w:szCs w:val="24"/>
        </w:rPr>
        <w:t>in my</w:t>
      </w:r>
      <w:r w:rsidR="008152BE">
        <w:rPr>
          <w:i/>
          <w:sz w:val="24"/>
          <w:szCs w:val="24"/>
        </w:rPr>
        <w:t xml:space="preserve"> experience</w:t>
      </w:r>
      <w:r w:rsidR="006F3F40">
        <w:rPr>
          <w:i/>
          <w:sz w:val="24"/>
          <w:szCs w:val="24"/>
        </w:rPr>
        <w:t>.</w:t>
      </w:r>
      <w:r w:rsidR="00F434DE">
        <w:rPr>
          <w:i/>
          <w:sz w:val="24"/>
          <w:szCs w:val="24"/>
        </w:rPr>
        <w:t xml:space="preserve"> </w:t>
      </w:r>
    </w:p>
    <w:p w14:paraId="47E395C5" w14:textId="77777777" w:rsidR="00D51B1F" w:rsidRPr="00D018C2" w:rsidRDefault="00F434DE" w:rsidP="00125047">
      <w:pPr>
        <w:spacing w:line="240" w:lineRule="auto"/>
        <w:jc w:val="both"/>
        <w:rPr>
          <w:i/>
          <w:sz w:val="24"/>
          <w:szCs w:val="24"/>
        </w:rPr>
      </w:pPr>
      <w:r>
        <w:rPr>
          <w:i/>
          <w:sz w:val="24"/>
          <w:szCs w:val="24"/>
        </w:rPr>
        <w:t>I</w:t>
      </w:r>
      <w:r w:rsidR="00D51B1F" w:rsidRPr="00D018C2">
        <w:rPr>
          <w:i/>
          <w:sz w:val="24"/>
          <w:szCs w:val="24"/>
        </w:rPr>
        <w:t>f you can do a good job, they suddenly forget whether you're a man or a woman. But</w:t>
      </w:r>
      <w:r w:rsidR="006F3F40">
        <w:rPr>
          <w:i/>
          <w:sz w:val="24"/>
          <w:szCs w:val="24"/>
        </w:rPr>
        <w:t>...</w:t>
      </w:r>
      <w:r w:rsidR="00D51B1F" w:rsidRPr="00D018C2">
        <w:rPr>
          <w:i/>
          <w:sz w:val="24"/>
          <w:szCs w:val="24"/>
        </w:rPr>
        <w:t>if they have to let somebody go,  it's not a question of your skill</w:t>
      </w:r>
      <w:r>
        <w:rPr>
          <w:i/>
          <w:sz w:val="24"/>
          <w:szCs w:val="24"/>
        </w:rPr>
        <w:t xml:space="preserve"> set. </w:t>
      </w:r>
      <w:r w:rsidR="00D51B1F" w:rsidRPr="00D018C2">
        <w:rPr>
          <w:i/>
          <w:sz w:val="24"/>
          <w:szCs w:val="24"/>
        </w:rPr>
        <w:t xml:space="preserve"> They are more likely to let the woman go than the man, so they will make that decision based on gender. They feel a man has a family to feed. The decision won't be made on based on performance or tenure, or anything like that. Very often, they make that decision based on gender.</w:t>
      </w:r>
    </w:p>
    <w:p w14:paraId="00F581C2" w14:textId="77777777" w:rsidR="00D51B1F" w:rsidRDefault="00AD679A" w:rsidP="00125047">
      <w:pPr>
        <w:spacing w:line="240" w:lineRule="auto"/>
        <w:rPr>
          <w:sz w:val="24"/>
          <w:szCs w:val="24"/>
        </w:rPr>
      </w:pPr>
      <w:r>
        <w:rPr>
          <w:sz w:val="24"/>
          <w:szCs w:val="24"/>
        </w:rPr>
        <w:t>Female</w:t>
      </w:r>
      <w:r w:rsidR="006F3F40">
        <w:rPr>
          <w:sz w:val="24"/>
          <w:szCs w:val="24"/>
        </w:rPr>
        <w:t xml:space="preserve"> Key Informant</w:t>
      </w:r>
      <w:r w:rsidR="00D51B1F">
        <w:rPr>
          <w:sz w:val="24"/>
          <w:szCs w:val="24"/>
        </w:rPr>
        <w:t>, Lagos</w:t>
      </w:r>
    </w:p>
    <w:p w14:paraId="657FA520" w14:textId="77777777" w:rsidR="00125047" w:rsidRDefault="00125047" w:rsidP="00125047">
      <w:pPr>
        <w:spacing w:line="240" w:lineRule="auto"/>
        <w:rPr>
          <w:sz w:val="24"/>
          <w:szCs w:val="24"/>
        </w:rPr>
      </w:pPr>
    </w:p>
    <w:p w14:paraId="6CEE9890" w14:textId="77777777" w:rsidR="00FF3DFF" w:rsidRDefault="00681F77" w:rsidP="00E75191">
      <w:pPr>
        <w:spacing w:line="240" w:lineRule="auto"/>
        <w:jc w:val="both"/>
        <w:rPr>
          <w:sz w:val="24"/>
          <w:szCs w:val="24"/>
        </w:rPr>
      </w:pPr>
      <w:r>
        <w:rPr>
          <w:noProof/>
          <w:sz w:val="24"/>
          <w:szCs w:val="24"/>
          <w:lang w:val="en-IE" w:eastAsia="en-IE"/>
        </w:rPr>
        <mc:AlternateContent>
          <mc:Choice Requires="wps">
            <w:drawing>
              <wp:anchor distT="0" distB="0" distL="114300" distR="114300" simplePos="0" relativeHeight="251720704" behindDoc="0" locked="0" layoutInCell="1" allowOverlap="1" wp14:anchorId="61230630" wp14:editId="17B15B5F">
                <wp:simplePos x="0" y="0"/>
                <wp:positionH relativeFrom="column">
                  <wp:posOffset>196850</wp:posOffset>
                </wp:positionH>
                <wp:positionV relativeFrom="paragraph">
                  <wp:posOffset>708025</wp:posOffset>
                </wp:positionV>
                <wp:extent cx="5327650" cy="2197100"/>
                <wp:effectExtent l="0" t="0" r="25400" b="12700"/>
                <wp:wrapSquare wrapText="bothSides"/>
                <wp:docPr id="451" name="Rectangle 451"/>
                <wp:cNvGraphicFramePr/>
                <a:graphic xmlns:a="http://schemas.openxmlformats.org/drawingml/2006/main">
                  <a:graphicData uri="http://schemas.microsoft.com/office/word/2010/wordprocessingShape">
                    <wps:wsp>
                      <wps:cNvSpPr/>
                      <wps:spPr>
                        <a:xfrm>
                          <a:off x="0" y="0"/>
                          <a:ext cx="5327650" cy="2197100"/>
                        </a:xfrm>
                        <a:prstGeom prst="rec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txbx>
                        <w:txbxContent>
                          <w:p w14:paraId="38E912BF" w14:textId="77777777" w:rsidR="006D6A0C" w:rsidRPr="00E75191" w:rsidRDefault="006D6A0C" w:rsidP="00681F77">
                            <w:pPr>
                              <w:spacing w:line="276" w:lineRule="auto"/>
                              <w:jc w:val="center"/>
                              <w:rPr>
                                <w:rFonts w:cstheme="minorHAnsi"/>
                                <w:i/>
                              </w:rPr>
                            </w:pPr>
                            <w:r w:rsidRPr="00E75191">
                              <w:rPr>
                                <w:rFonts w:cstheme="minorHAnsi"/>
                                <w:i/>
                              </w:rPr>
                              <w:t>Let me use this story, a particular woman was earning far above her husband and this made her assume authority in the house as the head, all her children knew that she will always say I'm the head of this home because, I provide for it. One day they were attacked by armed robbers in the house, when everyone was brought out and asked to lie down they asked for who the head of the home is, the woman easily pointed her husband but was surprised to see every other member of the family pointing at her, the robbers beat her up and after the incident she fully submitted to her husband as the head, not minding her earnings. So, you can tell why we Africans take the lead as men though some bastardize it.</w:t>
                            </w:r>
                          </w:p>
                          <w:p w14:paraId="6080EE18" w14:textId="77777777" w:rsidR="006D6A0C" w:rsidRDefault="006D6A0C" w:rsidP="00681F77">
                            <w:pPr>
                              <w:spacing w:line="276" w:lineRule="auto"/>
                              <w:jc w:val="center"/>
                              <w:rPr>
                                <w:rFonts w:asciiTheme="majorHAnsi" w:hAnsiTheme="majorHAnsi" w:cstheme="majorHAnsi"/>
                                <w:i/>
                                <w:sz w:val="24"/>
                                <w:szCs w:val="24"/>
                              </w:rPr>
                            </w:pPr>
                            <w:r>
                              <w:rPr>
                                <w:rFonts w:asciiTheme="majorHAnsi" w:hAnsiTheme="majorHAnsi" w:cstheme="majorHAnsi"/>
                                <w:i/>
                                <w:sz w:val="24"/>
                                <w:szCs w:val="24"/>
                              </w:rPr>
                              <w:t xml:space="preserve">Male </w:t>
                            </w:r>
                            <w:r w:rsidRPr="00FF3DFF">
                              <w:rPr>
                                <w:rFonts w:asciiTheme="majorHAnsi" w:hAnsiTheme="majorHAnsi" w:cstheme="majorHAnsi"/>
                                <w:i/>
                                <w:sz w:val="24"/>
                                <w:szCs w:val="24"/>
                              </w:rPr>
                              <w:t>FGD Respondent, FCT</w:t>
                            </w:r>
                          </w:p>
                          <w:p w14:paraId="4D3AFE36" w14:textId="77777777" w:rsidR="006D6A0C" w:rsidRDefault="006D6A0C" w:rsidP="00E7519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230630" id="Rectangle 451" o:spid="_x0000_s1044" style="position:absolute;left:0;text-align:left;margin-left:15.5pt;margin-top:55.75pt;width:419.5pt;height:173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" fillcolor="#002060" strokecolor="#1f4d78 [1604]" strokeweight="1pt">
                <v:textbox>
                  <w:txbxContent>
                    <w:p w:rsidR="006D6A0C" w:rsidRPr="00E75191" w:rsidRDefault="006D6A0C" w:rsidP="00681F77">
                      <w:pPr>
                        <w:spacing w:line="276" w:lineRule="auto"/>
                        <w:jc w:val="center"/>
                        <w:rPr>
                          <w:rFonts w:cstheme="minorHAnsi"/>
                          <w:i/>
                        </w:rPr>
                      </w:pPr>
                      <w:r w:rsidRPr="00E75191">
                        <w:rPr>
                          <w:rFonts w:cstheme="minorHAnsi"/>
                          <w:i/>
                        </w:rPr>
                        <w:t>Let me use this story, a particular woman was earning far above her husband and this made her assume authority in the house as the head, all her children knew that she will always say I'm the head of this home because, I provide for it. One day they were attacked by armed robbers in the house, when everyone was brought out and asked to lie down they asked for who the head of the home is, the woman easily pointed her husband but was surprised to see every other member of the family pointing at her, the robbers beat her up and after the incident she fully submitted to her husband as the head, not minding her earnings. So, you can tell why we Africans take the lead as men though some bastardize it.</w:t>
                      </w:r>
                    </w:p>
                    <w:p w:rsidR="006D6A0C" w:rsidRDefault="006D6A0C" w:rsidP="00681F77">
                      <w:pPr>
                        <w:spacing w:line="276" w:lineRule="auto"/>
                        <w:jc w:val="center"/>
                        <w:rPr>
                          <w:rFonts w:asciiTheme="majorHAnsi" w:hAnsiTheme="majorHAnsi" w:cstheme="majorHAnsi"/>
                          <w:i/>
                          <w:sz w:val="24"/>
                          <w:szCs w:val="24"/>
                        </w:rPr>
                      </w:pPr>
                      <w:r>
                        <w:rPr>
                          <w:rFonts w:asciiTheme="majorHAnsi" w:hAnsiTheme="majorHAnsi" w:cstheme="majorHAnsi"/>
                          <w:i/>
                          <w:sz w:val="24"/>
                          <w:szCs w:val="24"/>
                        </w:rPr>
                        <w:t xml:space="preserve">Male </w:t>
                      </w:r>
                      <w:r w:rsidRPr="00FF3DFF">
                        <w:rPr>
                          <w:rFonts w:asciiTheme="majorHAnsi" w:hAnsiTheme="majorHAnsi" w:cstheme="majorHAnsi"/>
                          <w:i/>
                          <w:sz w:val="24"/>
                          <w:szCs w:val="24"/>
                        </w:rPr>
                        <w:t>FGD Respondent, FCT</w:t>
                      </w:r>
                    </w:p>
                    <w:p w:rsidR="006D6A0C" w:rsidRDefault="006D6A0C" w:rsidP="00E75191"/>
                  </w:txbxContent>
                </v:textbox>
                <w10:wrap type="square"/>
              </v:rect>
            </w:pict>
          </mc:Fallback>
        </mc:AlternateContent>
      </w:r>
      <w:r w:rsidR="00D36B80">
        <w:rPr>
          <w:sz w:val="24"/>
          <w:szCs w:val="24"/>
        </w:rPr>
        <w:t xml:space="preserve">The </w:t>
      </w:r>
      <w:r w:rsidR="00D51B1F">
        <w:rPr>
          <w:sz w:val="24"/>
          <w:szCs w:val="24"/>
        </w:rPr>
        <w:t>continued role of gender norms in the workplace</w:t>
      </w:r>
      <w:r w:rsidR="00D36B80">
        <w:rPr>
          <w:sz w:val="24"/>
          <w:szCs w:val="24"/>
        </w:rPr>
        <w:t xml:space="preserve"> and at home</w:t>
      </w:r>
      <w:r w:rsidR="00D51B1F">
        <w:rPr>
          <w:sz w:val="24"/>
          <w:szCs w:val="24"/>
        </w:rPr>
        <w:t xml:space="preserve">, </w:t>
      </w:r>
      <w:r w:rsidR="00D36B80">
        <w:rPr>
          <w:sz w:val="24"/>
          <w:szCs w:val="24"/>
        </w:rPr>
        <w:t>is illustrated by the following</w:t>
      </w:r>
      <w:r w:rsidR="00D51B1F">
        <w:rPr>
          <w:sz w:val="24"/>
          <w:szCs w:val="24"/>
        </w:rPr>
        <w:t xml:space="preserve"> story from a FGD </w:t>
      </w:r>
      <w:r w:rsidR="008D2F5D">
        <w:rPr>
          <w:sz w:val="24"/>
          <w:szCs w:val="24"/>
        </w:rPr>
        <w:t>participant</w:t>
      </w:r>
      <w:r w:rsidR="00D51B1F">
        <w:rPr>
          <w:sz w:val="24"/>
          <w:szCs w:val="24"/>
        </w:rPr>
        <w:t xml:space="preserve">: </w:t>
      </w:r>
    </w:p>
    <w:p w14:paraId="6B37423E" w14:textId="77777777" w:rsidR="00681F77" w:rsidRDefault="00681F77" w:rsidP="00E75191">
      <w:pPr>
        <w:spacing w:line="240" w:lineRule="auto"/>
        <w:jc w:val="both"/>
        <w:rPr>
          <w:sz w:val="24"/>
          <w:szCs w:val="24"/>
        </w:rPr>
      </w:pPr>
    </w:p>
    <w:p w14:paraId="41F5428E" w14:textId="77777777" w:rsidR="00E75191" w:rsidRPr="00EB6159" w:rsidRDefault="00E75191" w:rsidP="00EB6159">
      <w:pPr>
        <w:rPr>
          <w:rStyle w:val="IntenseEmphasis"/>
        </w:rPr>
      </w:pPr>
      <w:r w:rsidRPr="00EB6159">
        <w:rPr>
          <w:rStyle w:val="IntenseEmphasis"/>
        </w:rPr>
        <w:t>Illustrative Finding: Whose career takes precedence?</w:t>
      </w:r>
    </w:p>
    <w:p w14:paraId="79070924" w14:textId="77777777" w:rsidR="008637AF" w:rsidRPr="008637AF" w:rsidRDefault="008637AF" w:rsidP="008637AF">
      <w:pPr>
        <w:autoSpaceDE w:val="0"/>
        <w:autoSpaceDN w:val="0"/>
        <w:adjustRightInd w:val="0"/>
        <w:spacing w:after="0" w:line="240" w:lineRule="auto"/>
        <w:jc w:val="both"/>
        <w:rPr>
          <w:rFonts w:cstheme="minorHAnsi"/>
          <w:sz w:val="24"/>
          <w:szCs w:val="24"/>
        </w:rPr>
      </w:pPr>
      <w:r w:rsidRPr="008637AF">
        <w:rPr>
          <w:rFonts w:cstheme="minorHAnsi"/>
          <w:sz w:val="24"/>
          <w:szCs w:val="24"/>
        </w:rPr>
        <w:t xml:space="preserve">From the primary data collection, it appears that many Nigerians believe that women should develop their career alongside their husbands. Nearly 70% (36.9% disagreed and 32.3% strongly disagreed) of the respondents did not agree that women should suspend their careers to support their husbands. 16.2% of females agree and  4.8% of females strongly agree that women should suspend their career to support their husband's career. Also, 17.0% males </w:t>
      </w:r>
      <w:r w:rsidRPr="008637AF">
        <w:rPr>
          <w:rFonts w:cstheme="minorHAnsi"/>
          <w:sz w:val="24"/>
          <w:szCs w:val="24"/>
        </w:rPr>
        <w:lastRenderedPageBreak/>
        <w:t>and 5.8% of males agrees and strongly agrees that women should suspend their career to support their husband's career, while 40% of males disagree and 24.6% of males strongly disagrees that women should suspend their career to support their husbands's career. The responses reflect strong regional differences. More respondents among Kano (43.5%) and Adamawa (24.8%) agreed that women should suspend their careers to support their husbands while Lagos (0.9%) and Anambra (5.8%) recorded the lowest percentage of those who agreed (Kano had the highest percentage of those who strongly agreed with 14.3% while Lagos recorded zero percentage of those tha</w:t>
      </w:r>
      <w:r>
        <w:rPr>
          <w:rFonts w:cstheme="minorHAnsi"/>
          <w:sz w:val="24"/>
          <w:szCs w:val="24"/>
        </w:rPr>
        <w:t>t strongly agreed).</w:t>
      </w:r>
    </w:p>
    <w:p w14:paraId="1DF695D4" w14:textId="77777777" w:rsidR="008637AF" w:rsidRPr="008637AF" w:rsidRDefault="008637AF" w:rsidP="008637AF">
      <w:pPr>
        <w:autoSpaceDE w:val="0"/>
        <w:autoSpaceDN w:val="0"/>
        <w:adjustRightInd w:val="0"/>
        <w:spacing w:after="0" w:line="240" w:lineRule="auto"/>
        <w:rPr>
          <w:rFonts w:ascii="Times New Roman" w:hAnsi="Times New Roman" w:cs="Times New Roman"/>
          <w:sz w:val="24"/>
          <w:szCs w:val="24"/>
        </w:rPr>
      </w:pPr>
    </w:p>
    <w:tbl>
      <w:tblPr>
        <w:tblW w:w="5000" w:type="pct"/>
        <w:tblLook w:val="04A0" w:firstRow="1" w:lastRow="0" w:firstColumn="1" w:lastColumn="0" w:noHBand="0" w:noVBand="1"/>
      </w:tblPr>
      <w:tblGrid>
        <w:gridCol w:w="1740"/>
        <w:gridCol w:w="1137"/>
        <w:gridCol w:w="1067"/>
        <w:gridCol w:w="847"/>
        <w:gridCol w:w="847"/>
        <w:gridCol w:w="847"/>
        <w:gridCol w:w="847"/>
        <w:gridCol w:w="847"/>
        <w:gridCol w:w="847"/>
      </w:tblGrid>
      <w:tr w:rsidR="008D2F5D" w14:paraId="5DC80002" w14:textId="77777777" w:rsidTr="006D6A0C">
        <w:tc>
          <w:tcPr>
            <w:tcW w:w="965" w:type="pct"/>
          </w:tcPr>
          <w:p w14:paraId="17DEA149" w14:textId="77777777" w:rsidR="008D2F5D" w:rsidRDefault="008D2F5D" w:rsidP="006D6A0C">
            <w:pPr>
              <w:autoSpaceDE w:val="0"/>
              <w:autoSpaceDN w:val="0"/>
              <w:adjustRightInd w:val="0"/>
              <w:spacing w:line="240" w:lineRule="auto"/>
              <w:ind w:left="60" w:right="60"/>
              <w:jc w:val="center"/>
              <w:rPr>
                <w:rFonts w:ascii="Arial" w:hAnsi="Arial" w:cs="Arial"/>
                <w:color w:val="264A60"/>
                <w:sz w:val="18"/>
                <w:szCs w:val="18"/>
              </w:rPr>
            </w:pPr>
          </w:p>
        </w:tc>
        <w:tc>
          <w:tcPr>
            <w:tcW w:w="630" w:type="pct"/>
            <w:hideMark/>
          </w:tcPr>
          <w:p w14:paraId="52DE3AFF" w14:textId="77777777" w:rsidR="008D2F5D" w:rsidRDefault="008D2F5D" w:rsidP="006D6A0C">
            <w:pPr>
              <w:autoSpaceDE w:val="0"/>
              <w:autoSpaceDN w:val="0"/>
              <w:adjustRightInd w:val="0"/>
              <w:spacing w:line="240" w:lineRule="auto"/>
              <w:ind w:left="60" w:right="60"/>
              <w:jc w:val="center"/>
              <w:rPr>
                <w:rFonts w:ascii="Arial" w:hAnsi="Arial" w:cs="Arial"/>
                <w:color w:val="264A60"/>
                <w:sz w:val="18"/>
                <w:szCs w:val="18"/>
              </w:rPr>
            </w:pPr>
            <w:r>
              <w:rPr>
                <w:rFonts w:ascii="Arial" w:hAnsi="Arial" w:cs="Arial"/>
                <w:color w:val="264A60"/>
                <w:sz w:val="18"/>
                <w:szCs w:val="18"/>
              </w:rPr>
              <w:t>Adamawa</w:t>
            </w:r>
          </w:p>
        </w:tc>
        <w:tc>
          <w:tcPr>
            <w:tcW w:w="591" w:type="pct"/>
            <w:hideMark/>
          </w:tcPr>
          <w:p w14:paraId="328A1B6F" w14:textId="77777777" w:rsidR="008D2F5D" w:rsidRDefault="008D2F5D" w:rsidP="006D6A0C">
            <w:pPr>
              <w:autoSpaceDE w:val="0"/>
              <w:autoSpaceDN w:val="0"/>
              <w:adjustRightInd w:val="0"/>
              <w:spacing w:line="240" w:lineRule="auto"/>
              <w:ind w:left="60" w:right="60"/>
              <w:jc w:val="center"/>
              <w:rPr>
                <w:rFonts w:ascii="Arial" w:hAnsi="Arial" w:cs="Arial"/>
                <w:color w:val="264A60"/>
                <w:sz w:val="18"/>
                <w:szCs w:val="18"/>
              </w:rPr>
            </w:pPr>
            <w:r>
              <w:rPr>
                <w:rFonts w:ascii="Arial" w:hAnsi="Arial" w:cs="Arial"/>
                <w:color w:val="264A60"/>
                <w:sz w:val="18"/>
                <w:szCs w:val="18"/>
              </w:rPr>
              <w:t>Anambra</w:t>
            </w:r>
          </w:p>
        </w:tc>
        <w:tc>
          <w:tcPr>
            <w:tcW w:w="469" w:type="pct"/>
            <w:hideMark/>
          </w:tcPr>
          <w:p w14:paraId="774B4025" w14:textId="77777777" w:rsidR="008D2F5D" w:rsidRDefault="008D2F5D" w:rsidP="006D6A0C">
            <w:pPr>
              <w:autoSpaceDE w:val="0"/>
              <w:autoSpaceDN w:val="0"/>
              <w:adjustRightInd w:val="0"/>
              <w:spacing w:line="240" w:lineRule="auto"/>
              <w:ind w:left="60" w:right="60"/>
              <w:jc w:val="center"/>
              <w:rPr>
                <w:rFonts w:ascii="Arial" w:hAnsi="Arial" w:cs="Arial"/>
                <w:color w:val="264A60"/>
                <w:sz w:val="18"/>
                <w:szCs w:val="18"/>
              </w:rPr>
            </w:pPr>
            <w:r>
              <w:rPr>
                <w:rFonts w:ascii="Arial" w:hAnsi="Arial" w:cs="Arial"/>
                <w:color w:val="264A60"/>
                <w:sz w:val="18"/>
                <w:szCs w:val="18"/>
              </w:rPr>
              <w:t>Edo</w:t>
            </w:r>
          </w:p>
        </w:tc>
        <w:tc>
          <w:tcPr>
            <w:tcW w:w="469" w:type="pct"/>
            <w:hideMark/>
          </w:tcPr>
          <w:p w14:paraId="1CE8CEF1" w14:textId="77777777" w:rsidR="008D2F5D" w:rsidRDefault="008D2F5D" w:rsidP="006D6A0C">
            <w:pPr>
              <w:autoSpaceDE w:val="0"/>
              <w:autoSpaceDN w:val="0"/>
              <w:adjustRightInd w:val="0"/>
              <w:spacing w:line="240" w:lineRule="auto"/>
              <w:ind w:left="60" w:right="60"/>
              <w:jc w:val="center"/>
              <w:rPr>
                <w:rFonts w:ascii="Arial" w:hAnsi="Arial" w:cs="Arial"/>
                <w:color w:val="264A60"/>
                <w:sz w:val="18"/>
                <w:szCs w:val="18"/>
              </w:rPr>
            </w:pPr>
            <w:r>
              <w:rPr>
                <w:rFonts w:ascii="Arial" w:hAnsi="Arial" w:cs="Arial"/>
                <w:color w:val="264A60"/>
                <w:sz w:val="18"/>
                <w:szCs w:val="18"/>
              </w:rPr>
              <w:t>FCT</w:t>
            </w:r>
          </w:p>
        </w:tc>
        <w:tc>
          <w:tcPr>
            <w:tcW w:w="469" w:type="pct"/>
            <w:hideMark/>
          </w:tcPr>
          <w:p w14:paraId="2A57C500" w14:textId="77777777" w:rsidR="008D2F5D" w:rsidRDefault="008D2F5D" w:rsidP="006D6A0C">
            <w:pPr>
              <w:autoSpaceDE w:val="0"/>
              <w:autoSpaceDN w:val="0"/>
              <w:adjustRightInd w:val="0"/>
              <w:spacing w:line="240" w:lineRule="auto"/>
              <w:ind w:left="60" w:right="60"/>
              <w:jc w:val="center"/>
              <w:rPr>
                <w:rFonts w:ascii="Arial" w:hAnsi="Arial" w:cs="Arial"/>
                <w:color w:val="264A60"/>
                <w:sz w:val="18"/>
                <w:szCs w:val="18"/>
              </w:rPr>
            </w:pPr>
            <w:r>
              <w:rPr>
                <w:rFonts w:ascii="Arial" w:hAnsi="Arial" w:cs="Arial"/>
                <w:color w:val="264A60"/>
                <w:sz w:val="18"/>
                <w:szCs w:val="18"/>
              </w:rPr>
              <w:t>Kano</w:t>
            </w:r>
          </w:p>
        </w:tc>
        <w:tc>
          <w:tcPr>
            <w:tcW w:w="469" w:type="pct"/>
            <w:hideMark/>
          </w:tcPr>
          <w:p w14:paraId="042D557D" w14:textId="77777777" w:rsidR="008D2F5D" w:rsidRDefault="008D2F5D" w:rsidP="006D6A0C">
            <w:pPr>
              <w:autoSpaceDE w:val="0"/>
              <w:autoSpaceDN w:val="0"/>
              <w:adjustRightInd w:val="0"/>
              <w:spacing w:line="240" w:lineRule="auto"/>
              <w:ind w:left="60" w:right="60"/>
              <w:jc w:val="center"/>
              <w:rPr>
                <w:rFonts w:ascii="Arial" w:hAnsi="Arial" w:cs="Arial"/>
                <w:color w:val="264A60"/>
                <w:sz w:val="18"/>
                <w:szCs w:val="18"/>
              </w:rPr>
            </w:pPr>
            <w:r>
              <w:rPr>
                <w:rFonts w:ascii="Arial" w:hAnsi="Arial" w:cs="Arial"/>
                <w:color w:val="264A60"/>
                <w:sz w:val="18"/>
                <w:szCs w:val="18"/>
              </w:rPr>
              <w:t>Kwara</w:t>
            </w:r>
          </w:p>
        </w:tc>
        <w:tc>
          <w:tcPr>
            <w:tcW w:w="469" w:type="pct"/>
            <w:hideMark/>
          </w:tcPr>
          <w:p w14:paraId="5A3550A2" w14:textId="77777777" w:rsidR="008D2F5D" w:rsidRDefault="008D2F5D" w:rsidP="006D6A0C">
            <w:pPr>
              <w:autoSpaceDE w:val="0"/>
              <w:autoSpaceDN w:val="0"/>
              <w:adjustRightInd w:val="0"/>
              <w:spacing w:line="240" w:lineRule="auto"/>
              <w:ind w:left="60" w:right="60"/>
              <w:jc w:val="center"/>
              <w:rPr>
                <w:rFonts w:ascii="Arial" w:hAnsi="Arial" w:cs="Arial"/>
                <w:color w:val="264A60"/>
                <w:sz w:val="18"/>
                <w:szCs w:val="18"/>
              </w:rPr>
            </w:pPr>
            <w:r>
              <w:rPr>
                <w:rFonts w:ascii="Arial" w:hAnsi="Arial" w:cs="Arial"/>
                <w:color w:val="264A60"/>
                <w:sz w:val="18"/>
                <w:szCs w:val="18"/>
              </w:rPr>
              <w:t>Lagos</w:t>
            </w:r>
          </w:p>
        </w:tc>
        <w:tc>
          <w:tcPr>
            <w:tcW w:w="469" w:type="pct"/>
            <w:hideMark/>
          </w:tcPr>
          <w:p w14:paraId="4A6347D8" w14:textId="77777777" w:rsidR="008D2F5D" w:rsidRDefault="008D2F5D" w:rsidP="006D6A0C">
            <w:pPr>
              <w:autoSpaceDE w:val="0"/>
              <w:autoSpaceDN w:val="0"/>
              <w:adjustRightInd w:val="0"/>
              <w:spacing w:line="240" w:lineRule="auto"/>
              <w:rPr>
                <w:rFonts w:ascii="Arial" w:hAnsi="Arial" w:cs="Arial"/>
                <w:color w:val="264A60"/>
                <w:sz w:val="18"/>
                <w:szCs w:val="18"/>
              </w:rPr>
            </w:pPr>
            <w:r>
              <w:rPr>
                <w:rFonts w:ascii="Arial" w:hAnsi="Arial" w:cs="Arial"/>
                <w:color w:val="264A60"/>
                <w:sz w:val="18"/>
                <w:szCs w:val="18"/>
              </w:rPr>
              <w:t>Total</w:t>
            </w:r>
          </w:p>
        </w:tc>
      </w:tr>
      <w:tr w:rsidR="008D2F5D" w14:paraId="727355E8" w14:textId="77777777" w:rsidTr="006D6A0C">
        <w:tc>
          <w:tcPr>
            <w:tcW w:w="965" w:type="pct"/>
            <w:hideMark/>
          </w:tcPr>
          <w:p w14:paraId="5CB5450F" w14:textId="77777777" w:rsidR="008D2F5D" w:rsidRDefault="008D2F5D" w:rsidP="006D6A0C">
            <w:pPr>
              <w:autoSpaceDE w:val="0"/>
              <w:autoSpaceDN w:val="0"/>
              <w:adjustRightInd w:val="0"/>
              <w:spacing w:line="240" w:lineRule="auto"/>
              <w:ind w:left="60" w:right="60"/>
              <w:jc w:val="both"/>
              <w:rPr>
                <w:rFonts w:ascii="Arial" w:hAnsi="Arial" w:cs="Arial"/>
                <w:color w:val="264A60"/>
                <w:sz w:val="18"/>
                <w:szCs w:val="18"/>
              </w:rPr>
            </w:pPr>
            <w:r>
              <w:rPr>
                <w:rFonts w:ascii="Arial" w:hAnsi="Arial" w:cs="Arial"/>
                <w:color w:val="264A60"/>
                <w:sz w:val="18"/>
                <w:szCs w:val="18"/>
              </w:rPr>
              <w:t>I strongly agree</w:t>
            </w:r>
          </w:p>
        </w:tc>
        <w:tc>
          <w:tcPr>
            <w:tcW w:w="630" w:type="pct"/>
            <w:hideMark/>
          </w:tcPr>
          <w:p w14:paraId="312745B7" w14:textId="77777777" w:rsidR="008D2F5D" w:rsidRDefault="008D2F5D"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3.1%</w:t>
            </w:r>
          </w:p>
        </w:tc>
        <w:tc>
          <w:tcPr>
            <w:tcW w:w="591" w:type="pct"/>
            <w:hideMark/>
          </w:tcPr>
          <w:p w14:paraId="4AAA3B39" w14:textId="77777777" w:rsidR="008D2F5D" w:rsidRDefault="008D2F5D"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3.2%</w:t>
            </w:r>
          </w:p>
        </w:tc>
        <w:tc>
          <w:tcPr>
            <w:tcW w:w="469" w:type="pct"/>
            <w:hideMark/>
          </w:tcPr>
          <w:p w14:paraId="7FAEC6F4" w14:textId="77777777" w:rsidR="008D2F5D" w:rsidRDefault="008D2F5D"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1.9%</w:t>
            </w:r>
          </w:p>
        </w:tc>
        <w:tc>
          <w:tcPr>
            <w:tcW w:w="469" w:type="pct"/>
            <w:hideMark/>
          </w:tcPr>
          <w:p w14:paraId="6F138941" w14:textId="77777777" w:rsidR="008D2F5D" w:rsidRDefault="008D2F5D"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4.5%</w:t>
            </w:r>
          </w:p>
        </w:tc>
        <w:tc>
          <w:tcPr>
            <w:tcW w:w="469" w:type="pct"/>
            <w:hideMark/>
          </w:tcPr>
          <w:p w14:paraId="5B858450" w14:textId="77777777" w:rsidR="008D2F5D" w:rsidRDefault="008D2F5D"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14.3%</w:t>
            </w:r>
          </w:p>
        </w:tc>
        <w:tc>
          <w:tcPr>
            <w:tcW w:w="469" w:type="pct"/>
            <w:hideMark/>
          </w:tcPr>
          <w:p w14:paraId="2C31DB16" w14:textId="77777777" w:rsidR="008D2F5D" w:rsidRDefault="008D2F5D"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5.1%</w:t>
            </w:r>
          </w:p>
        </w:tc>
        <w:tc>
          <w:tcPr>
            <w:tcW w:w="469" w:type="pct"/>
          </w:tcPr>
          <w:p w14:paraId="0FAEB5A9" w14:textId="77777777" w:rsidR="008D2F5D" w:rsidRDefault="008D2F5D" w:rsidP="006D6A0C">
            <w:pPr>
              <w:autoSpaceDE w:val="0"/>
              <w:autoSpaceDN w:val="0"/>
              <w:adjustRightInd w:val="0"/>
              <w:spacing w:line="240" w:lineRule="auto"/>
              <w:rPr>
                <w:rFonts w:ascii="Times New Roman" w:hAnsi="Times New Roman" w:cs="Times New Roman"/>
                <w:sz w:val="24"/>
                <w:szCs w:val="24"/>
              </w:rPr>
            </w:pPr>
          </w:p>
        </w:tc>
        <w:tc>
          <w:tcPr>
            <w:tcW w:w="469" w:type="pct"/>
            <w:hideMark/>
          </w:tcPr>
          <w:p w14:paraId="3C7BBFA1" w14:textId="77777777" w:rsidR="008D2F5D" w:rsidRDefault="008D2F5D"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5.3%</w:t>
            </w:r>
          </w:p>
        </w:tc>
      </w:tr>
      <w:tr w:rsidR="008D2F5D" w14:paraId="2B1648F1" w14:textId="77777777" w:rsidTr="006D6A0C">
        <w:tc>
          <w:tcPr>
            <w:tcW w:w="965" w:type="pct"/>
            <w:hideMark/>
          </w:tcPr>
          <w:p w14:paraId="4DB39DFD" w14:textId="77777777" w:rsidR="008D2F5D" w:rsidRDefault="008D2F5D" w:rsidP="006D6A0C">
            <w:pPr>
              <w:autoSpaceDE w:val="0"/>
              <w:autoSpaceDN w:val="0"/>
              <w:adjustRightInd w:val="0"/>
              <w:spacing w:line="240" w:lineRule="auto"/>
              <w:ind w:left="60" w:right="60"/>
              <w:jc w:val="both"/>
              <w:rPr>
                <w:rFonts w:ascii="Arial" w:hAnsi="Arial" w:cs="Arial"/>
                <w:color w:val="264A60"/>
                <w:sz w:val="18"/>
                <w:szCs w:val="18"/>
              </w:rPr>
            </w:pPr>
            <w:r>
              <w:rPr>
                <w:rFonts w:ascii="Arial" w:hAnsi="Arial" w:cs="Arial"/>
                <w:color w:val="264A60"/>
                <w:sz w:val="18"/>
                <w:szCs w:val="18"/>
              </w:rPr>
              <w:t>I agree</w:t>
            </w:r>
          </w:p>
        </w:tc>
        <w:tc>
          <w:tcPr>
            <w:tcW w:w="630" w:type="pct"/>
            <w:hideMark/>
          </w:tcPr>
          <w:p w14:paraId="7EC0E4B9" w14:textId="77777777" w:rsidR="008D2F5D" w:rsidRDefault="008D2F5D"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24.8%</w:t>
            </w:r>
          </w:p>
        </w:tc>
        <w:tc>
          <w:tcPr>
            <w:tcW w:w="591" w:type="pct"/>
            <w:hideMark/>
          </w:tcPr>
          <w:p w14:paraId="49138A0A" w14:textId="77777777" w:rsidR="008D2F5D" w:rsidRDefault="008D2F5D"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5.8%</w:t>
            </w:r>
          </w:p>
        </w:tc>
        <w:tc>
          <w:tcPr>
            <w:tcW w:w="469" w:type="pct"/>
            <w:hideMark/>
          </w:tcPr>
          <w:p w14:paraId="0DA36CCA" w14:textId="77777777" w:rsidR="008D2F5D" w:rsidRDefault="008D2F5D"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7.3%</w:t>
            </w:r>
          </w:p>
        </w:tc>
        <w:tc>
          <w:tcPr>
            <w:tcW w:w="469" w:type="pct"/>
            <w:hideMark/>
          </w:tcPr>
          <w:p w14:paraId="51913BFA" w14:textId="77777777" w:rsidR="008D2F5D" w:rsidRDefault="008D2F5D"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6.5%</w:t>
            </w:r>
          </w:p>
        </w:tc>
        <w:tc>
          <w:tcPr>
            <w:tcW w:w="469" w:type="pct"/>
            <w:hideMark/>
          </w:tcPr>
          <w:p w14:paraId="4BB6C14F" w14:textId="77777777" w:rsidR="008D2F5D" w:rsidRDefault="008D2F5D"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43.5%</w:t>
            </w:r>
          </w:p>
        </w:tc>
        <w:tc>
          <w:tcPr>
            <w:tcW w:w="469" w:type="pct"/>
            <w:hideMark/>
          </w:tcPr>
          <w:p w14:paraId="3D22C539" w14:textId="77777777" w:rsidR="008D2F5D" w:rsidRDefault="008D2F5D"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7.6%</w:t>
            </w:r>
          </w:p>
        </w:tc>
        <w:tc>
          <w:tcPr>
            <w:tcW w:w="469" w:type="pct"/>
            <w:hideMark/>
          </w:tcPr>
          <w:p w14:paraId="79F4E728" w14:textId="77777777" w:rsidR="008D2F5D" w:rsidRDefault="008D2F5D"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0.9%</w:t>
            </w:r>
          </w:p>
        </w:tc>
        <w:tc>
          <w:tcPr>
            <w:tcW w:w="469" w:type="pct"/>
            <w:hideMark/>
          </w:tcPr>
          <w:p w14:paraId="4354E65D" w14:textId="77777777" w:rsidR="008D2F5D" w:rsidRDefault="008D2F5D"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16.4%</w:t>
            </w:r>
          </w:p>
        </w:tc>
      </w:tr>
      <w:tr w:rsidR="008D2F5D" w14:paraId="2EEBA4FF" w14:textId="77777777" w:rsidTr="006D6A0C">
        <w:tc>
          <w:tcPr>
            <w:tcW w:w="965" w:type="pct"/>
          </w:tcPr>
          <w:p w14:paraId="10F90026" w14:textId="77777777" w:rsidR="008D2F5D" w:rsidRDefault="008D2F5D" w:rsidP="006D6A0C">
            <w:pPr>
              <w:autoSpaceDE w:val="0"/>
              <w:autoSpaceDN w:val="0"/>
              <w:adjustRightInd w:val="0"/>
              <w:spacing w:line="240" w:lineRule="auto"/>
              <w:ind w:right="60"/>
              <w:jc w:val="both"/>
              <w:rPr>
                <w:rFonts w:ascii="Arial" w:hAnsi="Arial" w:cs="Arial"/>
                <w:color w:val="264A60"/>
                <w:sz w:val="18"/>
                <w:szCs w:val="18"/>
              </w:rPr>
            </w:pPr>
          </w:p>
        </w:tc>
        <w:tc>
          <w:tcPr>
            <w:tcW w:w="630" w:type="pct"/>
          </w:tcPr>
          <w:p w14:paraId="3B8766EE" w14:textId="77777777" w:rsidR="008D2F5D" w:rsidRDefault="008D2F5D" w:rsidP="006D6A0C">
            <w:pPr>
              <w:autoSpaceDE w:val="0"/>
              <w:autoSpaceDN w:val="0"/>
              <w:adjustRightInd w:val="0"/>
              <w:spacing w:line="240" w:lineRule="auto"/>
              <w:ind w:left="60" w:right="60"/>
              <w:jc w:val="right"/>
              <w:rPr>
                <w:rFonts w:ascii="Arial" w:hAnsi="Arial" w:cs="Arial"/>
                <w:color w:val="010205"/>
                <w:sz w:val="18"/>
                <w:szCs w:val="18"/>
              </w:rPr>
            </w:pPr>
          </w:p>
        </w:tc>
        <w:tc>
          <w:tcPr>
            <w:tcW w:w="591" w:type="pct"/>
          </w:tcPr>
          <w:p w14:paraId="548489FB" w14:textId="77777777" w:rsidR="008D2F5D" w:rsidRDefault="008D2F5D" w:rsidP="006D6A0C">
            <w:pPr>
              <w:autoSpaceDE w:val="0"/>
              <w:autoSpaceDN w:val="0"/>
              <w:adjustRightInd w:val="0"/>
              <w:spacing w:line="240" w:lineRule="auto"/>
              <w:ind w:left="60" w:right="60"/>
              <w:jc w:val="right"/>
              <w:rPr>
                <w:rFonts w:ascii="Arial" w:hAnsi="Arial" w:cs="Arial"/>
                <w:color w:val="010205"/>
                <w:sz w:val="18"/>
                <w:szCs w:val="18"/>
              </w:rPr>
            </w:pPr>
          </w:p>
        </w:tc>
        <w:tc>
          <w:tcPr>
            <w:tcW w:w="469" w:type="pct"/>
          </w:tcPr>
          <w:p w14:paraId="7BAE53FF" w14:textId="77777777" w:rsidR="008D2F5D" w:rsidRDefault="008D2F5D" w:rsidP="006D6A0C">
            <w:pPr>
              <w:autoSpaceDE w:val="0"/>
              <w:autoSpaceDN w:val="0"/>
              <w:adjustRightInd w:val="0"/>
              <w:spacing w:line="240" w:lineRule="auto"/>
              <w:ind w:left="60" w:right="60"/>
              <w:jc w:val="right"/>
              <w:rPr>
                <w:rFonts w:ascii="Arial" w:hAnsi="Arial" w:cs="Arial"/>
                <w:color w:val="010205"/>
                <w:sz w:val="18"/>
                <w:szCs w:val="18"/>
              </w:rPr>
            </w:pPr>
          </w:p>
        </w:tc>
        <w:tc>
          <w:tcPr>
            <w:tcW w:w="469" w:type="pct"/>
          </w:tcPr>
          <w:p w14:paraId="69D95A77" w14:textId="77777777" w:rsidR="008D2F5D" w:rsidRDefault="008D2F5D" w:rsidP="006D6A0C">
            <w:pPr>
              <w:autoSpaceDE w:val="0"/>
              <w:autoSpaceDN w:val="0"/>
              <w:adjustRightInd w:val="0"/>
              <w:spacing w:line="240" w:lineRule="auto"/>
              <w:ind w:left="60" w:right="60"/>
              <w:jc w:val="right"/>
              <w:rPr>
                <w:rFonts w:ascii="Arial" w:hAnsi="Arial" w:cs="Arial"/>
                <w:color w:val="010205"/>
                <w:sz w:val="18"/>
                <w:szCs w:val="18"/>
              </w:rPr>
            </w:pPr>
          </w:p>
        </w:tc>
        <w:tc>
          <w:tcPr>
            <w:tcW w:w="469" w:type="pct"/>
          </w:tcPr>
          <w:p w14:paraId="527078BF" w14:textId="77777777" w:rsidR="008D2F5D" w:rsidRDefault="008D2F5D" w:rsidP="006D6A0C">
            <w:pPr>
              <w:autoSpaceDE w:val="0"/>
              <w:autoSpaceDN w:val="0"/>
              <w:adjustRightInd w:val="0"/>
              <w:spacing w:line="240" w:lineRule="auto"/>
              <w:ind w:left="60" w:right="60"/>
              <w:jc w:val="right"/>
              <w:rPr>
                <w:rFonts w:ascii="Arial" w:hAnsi="Arial" w:cs="Arial"/>
                <w:color w:val="010205"/>
                <w:sz w:val="18"/>
                <w:szCs w:val="18"/>
              </w:rPr>
            </w:pPr>
          </w:p>
        </w:tc>
        <w:tc>
          <w:tcPr>
            <w:tcW w:w="469" w:type="pct"/>
          </w:tcPr>
          <w:p w14:paraId="3FD51858" w14:textId="77777777" w:rsidR="008D2F5D" w:rsidRDefault="008D2F5D" w:rsidP="006D6A0C">
            <w:pPr>
              <w:autoSpaceDE w:val="0"/>
              <w:autoSpaceDN w:val="0"/>
              <w:adjustRightInd w:val="0"/>
              <w:spacing w:line="240" w:lineRule="auto"/>
              <w:ind w:left="60" w:right="60"/>
              <w:jc w:val="right"/>
              <w:rPr>
                <w:rFonts w:ascii="Arial" w:hAnsi="Arial" w:cs="Arial"/>
                <w:color w:val="010205"/>
                <w:sz w:val="18"/>
                <w:szCs w:val="18"/>
              </w:rPr>
            </w:pPr>
          </w:p>
        </w:tc>
        <w:tc>
          <w:tcPr>
            <w:tcW w:w="469" w:type="pct"/>
          </w:tcPr>
          <w:p w14:paraId="6D13C374" w14:textId="77777777" w:rsidR="008D2F5D" w:rsidRDefault="008D2F5D" w:rsidP="006D6A0C">
            <w:pPr>
              <w:autoSpaceDE w:val="0"/>
              <w:autoSpaceDN w:val="0"/>
              <w:adjustRightInd w:val="0"/>
              <w:spacing w:line="240" w:lineRule="auto"/>
              <w:ind w:left="60" w:right="60"/>
              <w:jc w:val="right"/>
              <w:rPr>
                <w:rFonts w:ascii="Arial" w:hAnsi="Arial" w:cs="Arial"/>
                <w:color w:val="010205"/>
                <w:sz w:val="18"/>
                <w:szCs w:val="18"/>
              </w:rPr>
            </w:pPr>
          </w:p>
        </w:tc>
        <w:tc>
          <w:tcPr>
            <w:tcW w:w="469" w:type="pct"/>
          </w:tcPr>
          <w:p w14:paraId="2A3E3107" w14:textId="77777777" w:rsidR="008D2F5D" w:rsidRDefault="008D2F5D" w:rsidP="006D6A0C">
            <w:pPr>
              <w:autoSpaceDE w:val="0"/>
              <w:autoSpaceDN w:val="0"/>
              <w:adjustRightInd w:val="0"/>
              <w:spacing w:line="240" w:lineRule="auto"/>
              <w:ind w:left="60" w:right="60"/>
              <w:jc w:val="right"/>
              <w:rPr>
                <w:rFonts w:ascii="Arial" w:hAnsi="Arial" w:cs="Arial"/>
                <w:color w:val="010205"/>
                <w:sz w:val="18"/>
                <w:szCs w:val="18"/>
              </w:rPr>
            </w:pPr>
          </w:p>
        </w:tc>
      </w:tr>
      <w:tr w:rsidR="008D2F5D" w14:paraId="004322DB" w14:textId="77777777" w:rsidTr="006D6A0C">
        <w:tc>
          <w:tcPr>
            <w:tcW w:w="965" w:type="pct"/>
            <w:hideMark/>
          </w:tcPr>
          <w:p w14:paraId="2125A11B" w14:textId="77777777" w:rsidR="008D2F5D" w:rsidRDefault="008D2F5D" w:rsidP="006D6A0C">
            <w:pPr>
              <w:autoSpaceDE w:val="0"/>
              <w:autoSpaceDN w:val="0"/>
              <w:adjustRightInd w:val="0"/>
              <w:spacing w:line="240" w:lineRule="auto"/>
              <w:ind w:right="60"/>
              <w:jc w:val="both"/>
              <w:rPr>
                <w:rFonts w:ascii="Arial" w:hAnsi="Arial" w:cs="Arial"/>
                <w:color w:val="264A60"/>
                <w:sz w:val="18"/>
                <w:szCs w:val="18"/>
              </w:rPr>
            </w:pPr>
            <w:r>
              <w:rPr>
                <w:rFonts w:ascii="Arial" w:hAnsi="Arial" w:cs="Arial"/>
                <w:color w:val="264A60"/>
                <w:sz w:val="18"/>
                <w:szCs w:val="18"/>
              </w:rPr>
              <w:t xml:space="preserve"> I neither agree or disagree</w:t>
            </w:r>
          </w:p>
        </w:tc>
        <w:tc>
          <w:tcPr>
            <w:tcW w:w="630" w:type="pct"/>
            <w:hideMark/>
          </w:tcPr>
          <w:p w14:paraId="3BA253D0" w14:textId="77777777" w:rsidR="008D2F5D" w:rsidRDefault="008D2F5D"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8.1%</w:t>
            </w:r>
          </w:p>
        </w:tc>
        <w:tc>
          <w:tcPr>
            <w:tcW w:w="591" w:type="pct"/>
            <w:hideMark/>
          </w:tcPr>
          <w:p w14:paraId="5D762595" w14:textId="77777777" w:rsidR="008D2F5D" w:rsidRDefault="008D2F5D"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3.6%</w:t>
            </w:r>
          </w:p>
        </w:tc>
        <w:tc>
          <w:tcPr>
            <w:tcW w:w="469" w:type="pct"/>
            <w:hideMark/>
          </w:tcPr>
          <w:p w14:paraId="188CA8DC" w14:textId="77777777" w:rsidR="008D2F5D" w:rsidRDefault="008D2F5D"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8.3%</w:t>
            </w:r>
          </w:p>
        </w:tc>
        <w:tc>
          <w:tcPr>
            <w:tcW w:w="469" w:type="pct"/>
            <w:hideMark/>
          </w:tcPr>
          <w:p w14:paraId="6736D0B1" w14:textId="77777777" w:rsidR="008D2F5D" w:rsidRDefault="008D2F5D"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14.6%</w:t>
            </w:r>
          </w:p>
        </w:tc>
        <w:tc>
          <w:tcPr>
            <w:tcW w:w="469" w:type="pct"/>
            <w:hideMark/>
          </w:tcPr>
          <w:p w14:paraId="3CF10F29" w14:textId="77777777" w:rsidR="008D2F5D" w:rsidRDefault="008D2F5D"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8.4%</w:t>
            </w:r>
          </w:p>
        </w:tc>
        <w:tc>
          <w:tcPr>
            <w:tcW w:w="469" w:type="pct"/>
            <w:hideMark/>
          </w:tcPr>
          <w:p w14:paraId="06DF7136" w14:textId="77777777" w:rsidR="008D2F5D" w:rsidRDefault="008D2F5D"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14.6%</w:t>
            </w:r>
          </w:p>
        </w:tc>
        <w:tc>
          <w:tcPr>
            <w:tcW w:w="469" w:type="pct"/>
            <w:hideMark/>
          </w:tcPr>
          <w:p w14:paraId="4506EBE0" w14:textId="77777777" w:rsidR="008D2F5D" w:rsidRDefault="008D2F5D"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8.9%</w:t>
            </w:r>
          </w:p>
        </w:tc>
        <w:tc>
          <w:tcPr>
            <w:tcW w:w="469" w:type="pct"/>
            <w:hideMark/>
          </w:tcPr>
          <w:p w14:paraId="3593C040" w14:textId="77777777" w:rsidR="008D2F5D" w:rsidRDefault="008D2F5D"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9.1%</w:t>
            </w:r>
          </w:p>
        </w:tc>
      </w:tr>
      <w:tr w:rsidR="008D2F5D" w14:paraId="527F273F" w14:textId="77777777" w:rsidTr="006D6A0C">
        <w:tc>
          <w:tcPr>
            <w:tcW w:w="965" w:type="pct"/>
            <w:hideMark/>
          </w:tcPr>
          <w:p w14:paraId="2A9CE99A" w14:textId="77777777" w:rsidR="008D2F5D" w:rsidRDefault="008D2F5D" w:rsidP="006D6A0C">
            <w:pPr>
              <w:autoSpaceDE w:val="0"/>
              <w:autoSpaceDN w:val="0"/>
              <w:adjustRightInd w:val="0"/>
              <w:spacing w:line="240" w:lineRule="auto"/>
              <w:ind w:left="60" w:right="60"/>
              <w:jc w:val="both"/>
              <w:rPr>
                <w:rFonts w:ascii="Arial" w:hAnsi="Arial" w:cs="Arial"/>
                <w:color w:val="264A60"/>
                <w:sz w:val="18"/>
                <w:szCs w:val="18"/>
              </w:rPr>
            </w:pPr>
            <w:r>
              <w:rPr>
                <w:rFonts w:ascii="Arial" w:hAnsi="Arial" w:cs="Arial"/>
                <w:color w:val="264A60"/>
                <w:sz w:val="18"/>
                <w:szCs w:val="18"/>
              </w:rPr>
              <w:t>I disagree</w:t>
            </w:r>
          </w:p>
        </w:tc>
        <w:tc>
          <w:tcPr>
            <w:tcW w:w="630" w:type="pct"/>
            <w:hideMark/>
          </w:tcPr>
          <w:p w14:paraId="60BA7BB5" w14:textId="77777777" w:rsidR="008D2F5D" w:rsidRDefault="008D2F5D"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23.3%</w:t>
            </w:r>
          </w:p>
        </w:tc>
        <w:tc>
          <w:tcPr>
            <w:tcW w:w="591" w:type="pct"/>
            <w:hideMark/>
          </w:tcPr>
          <w:p w14:paraId="6D28B0E8" w14:textId="77777777" w:rsidR="008D2F5D" w:rsidRDefault="008D2F5D"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46.8%</w:t>
            </w:r>
          </w:p>
        </w:tc>
        <w:tc>
          <w:tcPr>
            <w:tcW w:w="469" w:type="pct"/>
            <w:hideMark/>
          </w:tcPr>
          <w:p w14:paraId="4D17B289" w14:textId="77777777" w:rsidR="008D2F5D" w:rsidRDefault="008D2F5D"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59.4%</w:t>
            </w:r>
          </w:p>
        </w:tc>
        <w:tc>
          <w:tcPr>
            <w:tcW w:w="469" w:type="pct"/>
            <w:hideMark/>
          </w:tcPr>
          <w:p w14:paraId="21290E29" w14:textId="77777777" w:rsidR="008D2F5D" w:rsidRDefault="008D2F5D"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30.4%</w:t>
            </w:r>
          </w:p>
        </w:tc>
        <w:tc>
          <w:tcPr>
            <w:tcW w:w="469" w:type="pct"/>
            <w:hideMark/>
          </w:tcPr>
          <w:p w14:paraId="3F10ECF2" w14:textId="77777777" w:rsidR="008D2F5D" w:rsidRDefault="008D2F5D"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28.1%</w:t>
            </w:r>
          </w:p>
        </w:tc>
        <w:tc>
          <w:tcPr>
            <w:tcW w:w="469" w:type="pct"/>
            <w:hideMark/>
          </w:tcPr>
          <w:p w14:paraId="075EE6A5" w14:textId="77777777" w:rsidR="008D2F5D" w:rsidRDefault="008D2F5D"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36.1%</w:t>
            </w:r>
          </w:p>
        </w:tc>
        <w:tc>
          <w:tcPr>
            <w:tcW w:w="469" w:type="pct"/>
            <w:hideMark/>
          </w:tcPr>
          <w:p w14:paraId="5EC2FC8A" w14:textId="77777777" w:rsidR="008D2F5D" w:rsidRDefault="008D2F5D"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33.0%</w:t>
            </w:r>
          </w:p>
        </w:tc>
        <w:tc>
          <w:tcPr>
            <w:tcW w:w="469" w:type="pct"/>
            <w:hideMark/>
          </w:tcPr>
          <w:p w14:paraId="795F279A" w14:textId="77777777" w:rsidR="008D2F5D" w:rsidRDefault="008D2F5D"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36.9%</w:t>
            </w:r>
          </w:p>
        </w:tc>
      </w:tr>
      <w:tr w:rsidR="008D2F5D" w14:paraId="69CF2333" w14:textId="77777777" w:rsidTr="006D6A0C">
        <w:tc>
          <w:tcPr>
            <w:tcW w:w="965" w:type="pct"/>
            <w:hideMark/>
          </w:tcPr>
          <w:p w14:paraId="73116FBB" w14:textId="77777777" w:rsidR="008D2F5D" w:rsidRDefault="008D2F5D" w:rsidP="006D6A0C">
            <w:pPr>
              <w:autoSpaceDE w:val="0"/>
              <w:autoSpaceDN w:val="0"/>
              <w:adjustRightInd w:val="0"/>
              <w:spacing w:line="240" w:lineRule="auto"/>
              <w:ind w:left="60" w:right="60"/>
              <w:jc w:val="both"/>
              <w:rPr>
                <w:rFonts w:ascii="Arial" w:hAnsi="Arial" w:cs="Arial"/>
                <w:color w:val="264A60"/>
                <w:sz w:val="18"/>
                <w:szCs w:val="18"/>
              </w:rPr>
            </w:pPr>
            <w:r>
              <w:rPr>
                <w:rFonts w:ascii="Arial" w:hAnsi="Arial" w:cs="Arial"/>
                <w:color w:val="264A60"/>
                <w:sz w:val="18"/>
                <w:szCs w:val="18"/>
              </w:rPr>
              <w:t>I strongly disagree</w:t>
            </w:r>
          </w:p>
        </w:tc>
        <w:tc>
          <w:tcPr>
            <w:tcW w:w="630" w:type="pct"/>
            <w:hideMark/>
          </w:tcPr>
          <w:p w14:paraId="7EF83C96" w14:textId="77777777" w:rsidR="008D2F5D" w:rsidRDefault="008D2F5D"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40.7%</w:t>
            </w:r>
          </w:p>
        </w:tc>
        <w:tc>
          <w:tcPr>
            <w:tcW w:w="591" w:type="pct"/>
            <w:hideMark/>
          </w:tcPr>
          <w:p w14:paraId="143936D0" w14:textId="77777777" w:rsidR="008D2F5D" w:rsidRDefault="008D2F5D"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40.6%</w:t>
            </w:r>
          </w:p>
        </w:tc>
        <w:tc>
          <w:tcPr>
            <w:tcW w:w="469" w:type="pct"/>
            <w:hideMark/>
          </w:tcPr>
          <w:p w14:paraId="71F887D3" w14:textId="77777777" w:rsidR="008D2F5D" w:rsidRDefault="008D2F5D"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23.0%</w:t>
            </w:r>
          </w:p>
        </w:tc>
        <w:tc>
          <w:tcPr>
            <w:tcW w:w="469" w:type="pct"/>
            <w:hideMark/>
          </w:tcPr>
          <w:p w14:paraId="667FA7AE" w14:textId="77777777" w:rsidR="008D2F5D" w:rsidRDefault="008D2F5D"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44.0%</w:t>
            </w:r>
          </w:p>
        </w:tc>
        <w:tc>
          <w:tcPr>
            <w:tcW w:w="469" w:type="pct"/>
            <w:hideMark/>
          </w:tcPr>
          <w:p w14:paraId="4A50AC21" w14:textId="77777777" w:rsidR="008D2F5D" w:rsidRDefault="008D2F5D"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5.6%</w:t>
            </w:r>
          </w:p>
        </w:tc>
        <w:tc>
          <w:tcPr>
            <w:tcW w:w="469" w:type="pct"/>
            <w:hideMark/>
          </w:tcPr>
          <w:p w14:paraId="13E859BD" w14:textId="77777777" w:rsidR="008D2F5D" w:rsidRDefault="008D2F5D"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36.7%</w:t>
            </w:r>
          </w:p>
        </w:tc>
        <w:tc>
          <w:tcPr>
            <w:tcW w:w="469" w:type="pct"/>
            <w:hideMark/>
          </w:tcPr>
          <w:p w14:paraId="53C762C7" w14:textId="77777777" w:rsidR="008D2F5D" w:rsidRDefault="008D2F5D"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57.1%</w:t>
            </w:r>
          </w:p>
        </w:tc>
        <w:tc>
          <w:tcPr>
            <w:tcW w:w="469" w:type="pct"/>
            <w:hideMark/>
          </w:tcPr>
          <w:p w14:paraId="23255233" w14:textId="77777777" w:rsidR="008D2F5D" w:rsidRDefault="008D2F5D" w:rsidP="006D6A0C">
            <w:pPr>
              <w:keepNext/>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32.3%</w:t>
            </w:r>
          </w:p>
        </w:tc>
      </w:tr>
    </w:tbl>
    <w:p w14:paraId="4A864FF7" w14:textId="77777777" w:rsidR="008637AF" w:rsidRPr="008637AF" w:rsidRDefault="008637AF" w:rsidP="008637AF">
      <w:pPr>
        <w:autoSpaceDE w:val="0"/>
        <w:autoSpaceDN w:val="0"/>
        <w:adjustRightInd w:val="0"/>
        <w:spacing w:after="0" w:line="240" w:lineRule="auto"/>
        <w:rPr>
          <w:rFonts w:ascii="Times New Roman" w:hAnsi="Times New Roman" w:cs="Times New Roman"/>
          <w:b/>
          <w:sz w:val="24"/>
          <w:szCs w:val="24"/>
        </w:rPr>
      </w:pPr>
    </w:p>
    <w:p w14:paraId="1DB69AE9" w14:textId="77777777" w:rsidR="008637AF" w:rsidRPr="008D2F5D" w:rsidRDefault="008637AF" w:rsidP="008D2F5D">
      <w:pPr>
        <w:spacing w:after="200" w:line="240" w:lineRule="auto"/>
        <w:rPr>
          <w:rFonts w:ascii="Times New Roman" w:hAnsi="Times New Roman" w:cs="Times New Roman"/>
          <w:i/>
          <w:iCs/>
          <w:color w:val="44546A" w:themeColor="text2"/>
          <w:sz w:val="24"/>
          <w:szCs w:val="24"/>
        </w:rPr>
      </w:pPr>
      <w:r w:rsidRPr="008637AF">
        <w:rPr>
          <w:i/>
          <w:iCs/>
          <w:color w:val="44546A" w:themeColor="text2"/>
          <w:sz w:val="18"/>
          <w:szCs w:val="18"/>
        </w:rPr>
        <w:t xml:space="preserve">Table </w:t>
      </w:r>
      <w:r w:rsidRPr="008637AF">
        <w:rPr>
          <w:i/>
          <w:iCs/>
          <w:color w:val="44546A" w:themeColor="text2"/>
          <w:sz w:val="18"/>
          <w:szCs w:val="18"/>
        </w:rPr>
        <w:fldChar w:fldCharType="begin"/>
      </w:r>
      <w:r w:rsidRPr="008637AF">
        <w:rPr>
          <w:i/>
          <w:iCs/>
          <w:color w:val="44546A" w:themeColor="text2"/>
          <w:sz w:val="18"/>
          <w:szCs w:val="18"/>
        </w:rPr>
        <w:instrText xml:space="preserve"> SEQ Table \* ARABIC </w:instrText>
      </w:r>
      <w:r w:rsidRPr="008637AF">
        <w:rPr>
          <w:i/>
          <w:iCs/>
          <w:color w:val="44546A" w:themeColor="text2"/>
          <w:sz w:val="18"/>
          <w:szCs w:val="18"/>
        </w:rPr>
        <w:fldChar w:fldCharType="separate"/>
      </w:r>
      <w:r w:rsidRPr="008637AF">
        <w:rPr>
          <w:i/>
          <w:iCs/>
          <w:noProof/>
          <w:color w:val="44546A" w:themeColor="text2"/>
          <w:sz w:val="18"/>
          <w:szCs w:val="18"/>
        </w:rPr>
        <w:t>7</w:t>
      </w:r>
      <w:r w:rsidRPr="008637AF">
        <w:rPr>
          <w:i/>
          <w:iCs/>
          <w:noProof/>
          <w:color w:val="44546A" w:themeColor="text2"/>
          <w:sz w:val="18"/>
          <w:szCs w:val="18"/>
        </w:rPr>
        <w:fldChar w:fldCharType="end"/>
      </w:r>
      <w:r w:rsidRPr="008637AF">
        <w:rPr>
          <w:i/>
          <w:iCs/>
          <w:color w:val="44546A" w:themeColor="text2"/>
          <w:sz w:val="18"/>
          <w:szCs w:val="18"/>
        </w:rPr>
        <w:t xml:space="preserve"> Women should suspend their career to support their husband’s career (disaggregated by states)</w:t>
      </w:r>
    </w:p>
    <w:p w14:paraId="0161B0DE" w14:textId="77777777" w:rsidR="00D51B1F" w:rsidRDefault="008637AF" w:rsidP="00E75191">
      <w:pPr>
        <w:spacing w:line="240" w:lineRule="auto"/>
        <w:jc w:val="both"/>
        <w:rPr>
          <w:sz w:val="24"/>
          <w:szCs w:val="24"/>
        </w:rPr>
      </w:pPr>
      <w:r w:rsidRPr="008637AF">
        <w:rPr>
          <w:sz w:val="24"/>
          <w:szCs w:val="24"/>
        </w:rPr>
        <w:t xml:space="preserve">In sum, in both enterprise and employment, both men and women face challenges. However, women are more disadvantaged at various levels, impacting their productivity and wellbeing.   As the data and other information provided on employment and persisting discriminatory practices show, there is need for continued efforts to increase employment for women and to address discrimination at all levels. </w:t>
      </w:r>
    </w:p>
    <w:p w14:paraId="1BCAEE6C" w14:textId="77777777" w:rsidR="00B703E3" w:rsidRDefault="00B703E3" w:rsidP="00E75191">
      <w:pPr>
        <w:spacing w:line="240" w:lineRule="auto"/>
        <w:jc w:val="both"/>
        <w:rPr>
          <w:sz w:val="24"/>
          <w:szCs w:val="24"/>
        </w:rPr>
      </w:pPr>
    </w:p>
    <w:p w14:paraId="53295A6F" w14:textId="77777777" w:rsidR="00B703E3" w:rsidRDefault="00B703E3" w:rsidP="00E75191">
      <w:pPr>
        <w:spacing w:line="240" w:lineRule="auto"/>
        <w:jc w:val="both"/>
        <w:rPr>
          <w:sz w:val="24"/>
          <w:szCs w:val="24"/>
        </w:rPr>
      </w:pPr>
    </w:p>
    <w:p w14:paraId="747F3850" w14:textId="77777777" w:rsidR="00B703E3" w:rsidRDefault="00B703E3" w:rsidP="00E75191">
      <w:pPr>
        <w:spacing w:line="240" w:lineRule="auto"/>
        <w:jc w:val="both"/>
        <w:rPr>
          <w:sz w:val="24"/>
          <w:szCs w:val="24"/>
        </w:rPr>
      </w:pPr>
    </w:p>
    <w:p w14:paraId="4FA05171" w14:textId="77777777" w:rsidR="00B703E3" w:rsidRDefault="00B703E3" w:rsidP="00E75191">
      <w:pPr>
        <w:spacing w:line="240" w:lineRule="auto"/>
        <w:jc w:val="both"/>
        <w:rPr>
          <w:sz w:val="24"/>
          <w:szCs w:val="24"/>
        </w:rPr>
      </w:pPr>
    </w:p>
    <w:p w14:paraId="546149F8" w14:textId="77777777" w:rsidR="00B703E3" w:rsidRDefault="00B703E3" w:rsidP="00E75191">
      <w:pPr>
        <w:spacing w:line="240" w:lineRule="auto"/>
        <w:jc w:val="both"/>
        <w:rPr>
          <w:sz w:val="24"/>
          <w:szCs w:val="24"/>
        </w:rPr>
      </w:pPr>
    </w:p>
    <w:p w14:paraId="335F9AD7" w14:textId="77777777" w:rsidR="00B703E3" w:rsidRDefault="00B703E3" w:rsidP="00E75191">
      <w:pPr>
        <w:spacing w:line="240" w:lineRule="auto"/>
        <w:jc w:val="both"/>
        <w:rPr>
          <w:sz w:val="24"/>
          <w:szCs w:val="24"/>
        </w:rPr>
      </w:pPr>
    </w:p>
    <w:p w14:paraId="75C40B96" w14:textId="77777777" w:rsidR="00B703E3" w:rsidRDefault="00B703E3" w:rsidP="00E75191">
      <w:pPr>
        <w:spacing w:line="240" w:lineRule="auto"/>
        <w:jc w:val="both"/>
        <w:rPr>
          <w:sz w:val="24"/>
          <w:szCs w:val="24"/>
        </w:rPr>
      </w:pPr>
    </w:p>
    <w:p w14:paraId="7CFD5F64" w14:textId="77777777" w:rsidR="00B703E3" w:rsidRDefault="00B703E3" w:rsidP="00E75191">
      <w:pPr>
        <w:spacing w:line="240" w:lineRule="auto"/>
        <w:jc w:val="both"/>
        <w:rPr>
          <w:sz w:val="24"/>
          <w:szCs w:val="24"/>
        </w:rPr>
      </w:pPr>
    </w:p>
    <w:p w14:paraId="1F4180BB" w14:textId="77777777" w:rsidR="00B703E3" w:rsidRPr="008639A0" w:rsidRDefault="00B703E3" w:rsidP="00E75191">
      <w:pPr>
        <w:spacing w:line="240" w:lineRule="auto"/>
        <w:jc w:val="both"/>
        <w:rPr>
          <w:sz w:val="24"/>
          <w:szCs w:val="24"/>
        </w:rPr>
      </w:pPr>
    </w:p>
    <w:p w14:paraId="2EF45416" w14:textId="77777777" w:rsidR="00273438" w:rsidRDefault="00273438" w:rsidP="00E75191">
      <w:pPr>
        <w:spacing w:line="240" w:lineRule="auto"/>
        <w:jc w:val="both"/>
        <w:rPr>
          <w:b/>
          <w:sz w:val="24"/>
          <w:szCs w:val="24"/>
        </w:rPr>
      </w:pPr>
    </w:p>
    <w:p w14:paraId="6E4A94C6" w14:textId="77777777" w:rsidR="00B703E3" w:rsidRDefault="00B703E3" w:rsidP="00E75191">
      <w:pPr>
        <w:spacing w:line="240" w:lineRule="auto"/>
        <w:jc w:val="both"/>
        <w:rPr>
          <w:b/>
          <w:sz w:val="24"/>
          <w:szCs w:val="24"/>
        </w:rPr>
      </w:pPr>
    </w:p>
    <w:p w14:paraId="3E3A6664" w14:textId="77777777" w:rsidR="00273438" w:rsidRDefault="00273438" w:rsidP="00E75191">
      <w:pPr>
        <w:spacing w:line="240" w:lineRule="auto"/>
        <w:jc w:val="both"/>
        <w:rPr>
          <w:b/>
          <w:sz w:val="24"/>
          <w:szCs w:val="24"/>
        </w:rPr>
      </w:pPr>
    </w:p>
    <w:p w14:paraId="6176EAE9" w14:textId="77777777" w:rsidR="00273438" w:rsidRDefault="00B816D3" w:rsidP="00E75191">
      <w:pPr>
        <w:spacing w:line="240" w:lineRule="auto"/>
        <w:jc w:val="both"/>
        <w:rPr>
          <w:b/>
          <w:sz w:val="24"/>
          <w:szCs w:val="24"/>
        </w:rPr>
      </w:pPr>
      <w:r w:rsidRPr="00B816D3">
        <w:rPr>
          <w:b/>
          <w:noProof/>
          <w:sz w:val="24"/>
          <w:szCs w:val="24"/>
          <w:lang w:val="en-IE" w:eastAsia="en-IE"/>
        </w:rPr>
        <mc:AlternateContent>
          <mc:Choice Requires="wps">
            <w:drawing>
              <wp:anchor distT="0" distB="0" distL="114300" distR="114300" simplePos="0" relativeHeight="251667456" behindDoc="0" locked="0" layoutInCell="1" allowOverlap="1" wp14:anchorId="0A0B0FA0" wp14:editId="656324DF">
                <wp:simplePos x="0" y="0"/>
                <wp:positionH relativeFrom="margin">
                  <wp:align>right</wp:align>
                </wp:positionH>
                <wp:positionV relativeFrom="paragraph">
                  <wp:posOffset>-219075</wp:posOffset>
                </wp:positionV>
                <wp:extent cx="5772150" cy="1403985"/>
                <wp:effectExtent l="0" t="0" r="19050" b="2159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1403985"/>
                        </a:xfrm>
                        <a:prstGeom prst="rect">
                          <a:avLst/>
                        </a:prstGeom>
                        <a:solidFill>
                          <a:schemeClr val="accent1">
                            <a:lumMod val="60000"/>
                            <a:lumOff val="40000"/>
                          </a:schemeClr>
                        </a:solidFill>
                        <a:ln w="9525">
                          <a:solidFill>
                            <a:schemeClr val="accent1">
                              <a:lumMod val="60000"/>
                              <a:lumOff val="40000"/>
                            </a:schemeClr>
                          </a:solidFill>
                          <a:miter lim="800000"/>
                          <a:headEnd/>
                          <a:tailEnd/>
                        </a:ln>
                      </wps:spPr>
                      <wps:txbx>
                        <w:txbxContent>
                          <w:p w14:paraId="5C067AB0" w14:textId="77777777" w:rsidR="006D6A0C" w:rsidRPr="00125047" w:rsidRDefault="006D6A0C" w:rsidP="00125047">
                            <w:pPr>
                              <w:pStyle w:val="Heading1"/>
                              <w:rPr>
                                <w:color w:val="auto"/>
                                <w:sz w:val="56"/>
                                <w:szCs w:val="56"/>
                              </w:rPr>
                            </w:pPr>
                            <w:bookmarkStart w:id="28" w:name="_Toc81228169"/>
                            <w:bookmarkStart w:id="29" w:name="_Toc81228284"/>
                            <w:bookmarkStart w:id="30" w:name="_Toc81229095"/>
                            <w:r w:rsidRPr="00125047">
                              <w:rPr>
                                <w:color w:val="auto"/>
                                <w:sz w:val="56"/>
                                <w:szCs w:val="56"/>
                              </w:rPr>
                              <w:t>3.5 Gender-Based Violence</w:t>
                            </w:r>
                            <w:bookmarkEnd w:id="28"/>
                            <w:bookmarkEnd w:id="29"/>
                            <w:bookmarkEnd w:id="30"/>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0B0FA0" id="_x0000_s1045" type="#_x0000_t202" style="position:absolute;left:0;text-align:left;margin-left:403.3pt;margin-top:-17.25pt;width:454.5pt;height:110.55pt;z-index:251667456;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" fillcolor="#9cc2e5 [1940]" strokecolor="#9cc2e5 [1940]">
                <v:textbox style="mso-fit-shape-to-text:t">
                  <w:txbxContent>
                    <w:p w:rsidR="006D6A0C" w:rsidRPr="00125047" w:rsidRDefault="006D6A0C" w:rsidP="00125047">
                      <w:pPr>
                        <w:pStyle w:val="Heading1"/>
                        <w:rPr>
                          <w:color w:val="auto"/>
                          <w:sz w:val="56"/>
                          <w:szCs w:val="56"/>
                        </w:rPr>
                      </w:pPr>
                      <w:bookmarkStart w:id="50" w:name="_Toc81228169"/>
                      <w:bookmarkStart w:id="51" w:name="_Toc81228284"/>
                      <w:bookmarkStart w:id="52" w:name="_Toc81229095"/>
                      <w:r w:rsidRPr="00125047">
                        <w:rPr>
                          <w:color w:val="auto"/>
                          <w:sz w:val="56"/>
                          <w:szCs w:val="56"/>
                        </w:rPr>
                        <w:t>3.5 Gender-Based Violence</w:t>
                      </w:r>
                      <w:bookmarkEnd w:id="50"/>
                      <w:bookmarkEnd w:id="51"/>
                      <w:bookmarkEnd w:id="52"/>
                    </w:p>
                  </w:txbxContent>
                </v:textbox>
                <w10:wrap anchorx="margin"/>
              </v:shape>
            </w:pict>
          </mc:Fallback>
        </mc:AlternateContent>
      </w:r>
      <w:r w:rsidR="0047326A">
        <w:rPr>
          <w:b/>
          <w:sz w:val="24"/>
          <w:szCs w:val="24"/>
        </w:rPr>
        <w:t xml:space="preserve"> </w:t>
      </w:r>
    </w:p>
    <w:p w14:paraId="7F9D9A29" w14:textId="77777777" w:rsidR="005667FD" w:rsidRDefault="005667FD" w:rsidP="00E75191">
      <w:pPr>
        <w:spacing w:line="240" w:lineRule="auto"/>
        <w:jc w:val="both"/>
        <w:rPr>
          <w:sz w:val="24"/>
          <w:szCs w:val="24"/>
        </w:rPr>
      </w:pPr>
    </w:p>
    <w:p w14:paraId="5C300A22" w14:textId="77777777" w:rsidR="008E3915" w:rsidRDefault="00B816D3" w:rsidP="00E75191">
      <w:pPr>
        <w:spacing w:line="240" w:lineRule="auto"/>
        <w:jc w:val="both"/>
        <w:rPr>
          <w:sz w:val="24"/>
          <w:szCs w:val="24"/>
        </w:rPr>
      </w:pPr>
      <w:r>
        <w:rPr>
          <w:sz w:val="24"/>
          <w:szCs w:val="24"/>
        </w:rPr>
        <w:t xml:space="preserve">The outbreak of the COVID-19 pandemic and the </w:t>
      </w:r>
      <w:r w:rsidR="004860AD">
        <w:rPr>
          <w:sz w:val="24"/>
          <w:szCs w:val="24"/>
        </w:rPr>
        <w:t>subsequent</w:t>
      </w:r>
      <w:r>
        <w:rPr>
          <w:sz w:val="24"/>
          <w:szCs w:val="24"/>
        </w:rPr>
        <w:t xml:space="preserve"> lockdown resulted in a surge in the reported cases of gender-based violence in Nigeria.</w:t>
      </w:r>
      <w:r w:rsidR="001038BC">
        <w:rPr>
          <w:rStyle w:val="FootnoteReference"/>
          <w:sz w:val="24"/>
          <w:szCs w:val="24"/>
        </w:rPr>
        <w:footnoteReference w:id="86"/>
      </w:r>
      <w:r>
        <w:rPr>
          <w:sz w:val="24"/>
          <w:szCs w:val="24"/>
        </w:rPr>
        <w:t xml:space="preserve"> Following a series of high profile cases of rape, the governors of the 36 states of Nigeria declared a state of emergency on gender based violence.</w:t>
      </w:r>
      <w:r w:rsidR="001038BC">
        <w:rPr>
          <w:rStyle w:val="FootnoteReference"/>
          <w:sz w:val="24"/>
          <w:szCs w:val="24"/>
        </w:rPr>
        <w:footnoteReference w:id="87"/>
      </w:r>
      <w:r>
        <w:rPr>
          <w:sz w:val="24"/>
          <w:szCs w:val="24"/>
        </w:rPr>
        <w:t xml:space="preserve"> In July, the</w:t>
      </w:r>
      <w:r>
        <w:rPr>
          <w:rFonts w:cstheme="minorHAnsi"/>
          <w:sz w:val="24"/>
          <w:szCs w:val="24"/>
          <w:lang w:val="en-US"/>
        </w:rPr>
        <w:t xml:space="preserve"> </w:t>
      </w:r>
      <w:r>
        <w:rPr>
          <w:sz w:val="24"/>
          <w:szCs w:val="24"/>
        </w:rPr>
        <w:t>Ministry of Women Affairs and Social Development reported 3,600 gender-based violence (GBV)</w:t>
      </w:r>
      <w:r>
        <w:rPr>
          <w:rFonts w:cstheme="minorHAnsi"/>
          <w:sz w:val="24"/>
          <w:szCs w:val="24"/>
          <w:lang w:val="en-US"/>
        </w:rPr>
        <w:t xml:space="preserve"> </w:t>
      </w:r>
      <w:r>
        <w:rPr>
          <w:sz w:val="24"/>
          <w:szCs w:val="24"/>
        </w:rPr>
        <w:t>cases across the country (UN, 2021).</w:t>
      </w:r>
      <w:r>
        <w:rPr>
          <w:rStyle w:val="FootnoteReference"/>
          <w:sz w:val="24"/>
          <w:szCs w:val="24"/>
        </w:rPr>
        <w:footnoteReference w:id="88"/>
      </w:r>
      <w:r>
        <w:rPr>
          <w:sz w:val="24"/>
          <w:szCs w:val="24"/>
        </w:rPr>
        <w:t xml:space="preserve"> However, these figures only amplified what existing data has repeatedly shown to be true: gender-based violence remai</w:t>
      </w:r>
      <w:r w:rsidR="00106270">
        <w:rPr>
          <w:sz w:val="24"/>
          <w:szCs w:val="24"/>
        </w:rPr>
        <w:t>ns a silent pandemic in Nigeria</w:t>
      </w:r>
      <w:r w:rsidR="004860AD">
        <w:rPr>
          <w:sz w:val="24"/>
          <w:szCs w:val="24"/>
        </w:rPr>
        <w:t>. W</w:t>
      </w:r>
      <w:r w:rsidR="00106270">
        <w:rPr>
          <w:sz w:val="24"/>
          <w:szCs w:val="24"/>
        </w:rPr>
        <w:t xml:space="preserve">omen are vulnerable by the existence of discriminatory laws </w:t>
      </w:r>
      <w:r w:rsidR="004860AD">
        <w:rPr>
          <w:sz w:val="24"/>
          <w:szCs w:val="24"/>
        </w:rPr>
        <w:t xml:space="preserve">and due to </w:t>
      </w:r>
      <w:r w:rsidR="00106270">
        <w:rPr>
          <w:sz w:val="24"/>
          <w:szCs w:val="24"/>
        </w:rPr>
        <w:t xml:space="preserve">poor enforcement of other laws </w:t>
      </w:r>
      <w:r w:rsidR="004860AD">
        <w:rPr>
          <w:sz w:val="24"/>
          <w:szCs w:val="24"/>
        </w:rPr>
        <w:t xml:space="preserve">meant to provide </w:t>
      </w:r>
      <w:r w:rsidR="00106270">
        <w:rPr>
          <w:sz w:val="24"/>
          <w:szCs w:val="24"/>
        </w:rPr>
        <w:t xml:space="preserve">protection from potential abusers. </w:t>
      </w:r>
    </w:p>
    <w:p w14:paraId="10694EC1" w14:textId="77777777" w:rsidR="00681F77" w:rsidRDefault="00681F77" w:rsidP="00E75191">
      <w:pPr>
        <w:keepNext/>
        <w:spacing w:line="240" w:lineRule="auto"/>
        <w:jc w:val="center"/>
      </w:pPr>
      <w:r w:rsidRPr="00681F77">
        <w:rPr>
          <w:noProof/>
          <w:sz w:val="24"/>
          <w:szCs w:val="24"/>
          <w:lang w:val="en-IE" w:eastAsia="en-IE"/>
        </w:rPr>
        <w:drawing>
          <wp:inline distT="0" distB="0" distL="0" distR="0" wp14:anchorId="278A5E3F" wp14:editId="024E6B8F">
            <wp:extent cx="3956050" cy="2661285"/>
            <wp:effectExtent l="0" t="0" r="0" b="5715"/>
            <wp:docPr id="4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38"/>
                    <a:srcRect r="10851"/>
                    <a:stretch/>
                  </pic:blipFill>
                  <pic:spPr bwMode="auto">
                    <a:xfrm>
                      <a:off x="0" y="0"/>
                      <a:ext cx="3964330" cy="2666855"/>
                    </a:xfrm>
                    <a:prstGeom prst="rect">
                      <a:avLst/>
                    </a:prstGeom>
                    <a:ln>
                      <a:noFill/>
                    </a:ln>
                    <a:extLst>
                      <a:ext uri="{53640926-AAD7-44D8-BBD7-CCE9431645EC}">
                        <a14:shadowObscured xmlns:a14="http://schemas.microsoft.com/office/drawing/2010/main"/>
                      </a:ext>
                    </a:extLst>
                  </pic:spPr>
                </pic:pic>
              </a:graphicData>
            </a:graphic>
          </wp:inline>
        </w:drawing>
      </w:r>
    </w:p>
    <w:p w14:paraId="32FF0AF2" w14:textId="77777777" w:rsidR="00681F77" w:rsidRDefault="00681F77" w:rsidP="00E75191">
      <w:pPr>
        <w:pStyle w:val="Caption"/>
        <w:jc w:val="center"/>
        <w:rPr>
          <w:sz w:val="24"/>
          <w:szCs w:val="24"/>
        </w:rPr>
      </w:pPr>
      <w:r>
        <w:t xml:space="preserve">Figure </w:t>
      </w:r>
      <w:fldSimple w:instr=" SEQ Figure \* ARABIC ">
        <w:r w:rsidR="00C15490">
          <w:rPr>
            <w:noProof/>
          </w:rPr>
          <w:t>9</w:t>
        </w:r>
      </w:fldSimple>
      <w:r>
        <w:t xml:space="preserve"> Overview of GBV in Nigeria (Source: Centre for Health Ethics Law and Development. Adapted from NDHS 2018)</w:t>
      </w:r>
    </w:p>
    <w:p w14:paraId="7D53AEAB" w14:textId="77777777" w:rsidR="00396096" w:rsidRPr="00D018C2" w:rsidRDefault="00AB0060" w:rsidP="00E75191">
      <w:pPr>
        <w:spacing w:line="240" w:lineRule="auto"/>
        <w:jc w:val="both"/>
      </w:pPr>
      <w:r w:rsidRPr="00D018C2">
        <w:rPr>
          <w:sz w:val="24"/>
          <w:szCs w:val="24"/>
        </w:rPr>
        <w:t>Forms of violence prevalent in the country include rape, sexual assault, sexual harassment, intimate partner violence</w:t>
      </w:r>
      <w:r w:rsidR="006F3F40">
        <w:rPr>
          <w:sz w:val="24"/>
          <w:szCs w:val="24"/>
        </w:rPr>
        <w:t xml:space="preserve"> (IPV)</w:t>
      </w:r>
      <w:r w:rsidRPr="00D018C2">
        <w:rPr>
          <w:sz w:val="24"/>
          <w:szCs w:val="24"/>
        </w:rPr>
        <w:t xml:space="preserve">, </w:t>
      </w:r>
      <w:r w:rsidR="004860AD">
        <w:rPr>
          <w:sz w:val="24"/>
          <w:szCs w:val="24"/>
        </w:rPr>
        <w:t>female genital mutilation (</w:t>
      </w:r>
      <w:r w:rsidRPr="00D018C2">
        <w:rPr>
          <w:sz w:val="24"/>
          <w:szCs w:val="24"/>
        </w:rPr>
        <w:t>FGM</w:t>
      </w:r>
      <w:r w:rsidR="004860AD">
        <w:rPr>
          <w:sz w:val="24"/>
          <w:szCs w:val="24"/>
        </w:rPr>
        <w:t>)</w:t>
      </w:r>
      <w:r w:rsidRPr="00D018C2">
        <w:rPr>
          <w:sz w:val="24"/>
          <w:szCs w:val="24"/>
        </w:rPr>
        <w:t xml:space="preserve">, </w:t>
      </w:r>
      <w:r w:rsidR="004860AD">
        <w:rPr>
          <w:sz w:val="24"/>
          <w:szCs w:val="24"/>
        </w:rPr>
        <w:t>h</w:t>
      </w:r>
      <w:r w:rsidRPr="00D018C2">
        <w:rPr>
          <w:sz w:val="24"/>
          <w:szCs w:val="24"/>
        </w:rPr>
        <w:t>armful traditional practices, son preference, widowhood rites, forced marriage,</w:t>
      </w:r>
      <w:r w:rsidR="00212163">
        <w:rPr>
          <w:sz w:val="24"/>
          <w:szCs w:val="24"/>
        </w:rPr>
        <w:t xml:space="preserve"> </w:t>
      </w:r>
      <w:r w:rsidRPr="00D018C2">
        <w:rPr>
          <w:sz w:val="24"/>
          <w:szCs w:val="24"/>
        </w:rPr>
        <w:t xml:space="preserve">trafficking in persons, </w:t>
      </w:r>
      <w:r w:rsidR="00231D45">
        <w:rPr>
          <w:sz w:val="24"/>
          <w:szCs w:val="24"/>
        </w:rPr>
        <w:t xml:space="preserve"> c</w:t>
      </w:r>
      <w:r w:rsidRPr="00D018C2">
        <w:rPr>
          <w:sz w:val="24"/>
          <w:szCs w:val="24"/>
        </w:rPr>
        <w:t>hild marriage and cyberbullying. Other aspects of GBV not often discussed in that context include the ‘baby factories’ phenomenon</w:t>
      </w:r>
      <w:r w:rsidR="00231D45">
        <w:rPr>
          <w:sz w:val="24"/>
          <w:szCs w:val="24"/>
        </w:rPr>
        <w:t xml:space="preserve"> where young women and girls (often victims of trafficking or kidnapping) are raped, impregnated and raised for the purpose of bearing children who are sold off to ritualists or infertile couples.</w:t>
      </w:r>
    </w:p>
    <w:p w14:paraId="0E60BE46" w14:textId="77777777" w:rsidR="002345B3" w:rsidRDefault="00010CA0" w:rsidP="006E3C5B">
      <w:pPr>
        <w:spacing w:before="240" w:after="228" w:line="240" w:lineRule="auto"/>
        <w:jc w:val="both"/>
        <w:rPr>
          <w:sz w:val="24"/>
          <w:szCs w:val="24"/>
        </w:rPr>
      </w:pPr>
      <w:r w:rsidRPr="00010CA0">
        <w:rPr>
          <w:sz w:val="24"/>
          <w:szCs w:val="24"/>
        </w:rPr>
        <w:t xml:space="preserve">GBV </w:t>
      </w:r>
      <w:r w:rsidR="004860AD">
        <w:rPr>
          <w:sz w:val="24"/>
          <w:szCs w:val="24"/>
        </w:rPr>
        <w:t>mostly affects women</w:t>
      </w:r>
      <w:r w:rsidRPr="00010CA0">
        <w:rPr>
          <w:sz w:val="24"/>
          <w:szCs w:val="24"/>
        </w:rPr>
        <w:t xml:space="preserve">. </w:t>
      </w:r>
      <w:r w:rsidR="00396096" w:rsidRPr="00396096">
        <w:rPr>
          <w:sz w:val="24"/>
          <w:szCs w:val="24"/>
        </w:rPr>
        <w:t>According to the NDHS</w:t>
      </w:r>
      <w:r w:rsidR="00396096">
        <w:rPr>
          <w:sz w:val="24"/>
          <w:szCs w:val="24"/>
        </w:rPr>
        <w:t>, o</w:t>
      </w:r>
      <w:r w:rsidR="008E3915" w:rsidRPr="00010CA0">
        <w:rPr>
          <w:sz w:val="24"/>
          <w:szCs w:val="24"/>
        </w:rPr>
        <w:t>ne in three women have suffered physical violence</w:t>
      </w:r>
      <w:r w:rsidR="008E3915" w:rsidRPr="00D018C2">
        <w:rPr>
          <w:b/>
          <w:sz w:val="24"/>
          <w:szCs w:val="24"/>
        </w:rPr>
        <w:t xml:space="preserve">. </w:t>
      </w:r>
      <w:r w:rsidR="008E3915" w:rsidRPr="00010CA0">
        <w:rPr>
          <w:sz w:val="24"/>
          <w:szCs w:val="24"/>
        </w:rPr>
        <w:t xml:space="preserve">In Lagos for instance, </w:t>
      </w:r>
      <w:r w:rsidR="00991282">
        <w:rPr>
          <w:sz w:val="24"/>
          <w:szCs w:val="24"/>
        </w:rPr>
        <w:t xml:space="preserve">out of </w:t>
      </w:r>
      <w:r w:rsidR="008E3915" w:rsidRPr="00010CA0">
        <w:rPr>
          <w:sz w:val="24"/>
          <w:szCs w:val="24"/>
        </w:rPr>
        <w:t>1329</w:t>
      </w:r>
      <w:r w:rsidR="00991282">
        <w:rPr>
          <w:sz w:val="24"/>
          <w:szCs w:val="24"/>
        </w:rPr>
        <w:t xml:space="preserve"> cases reported so far in 2021, </w:t>
      </w:r>
      <w:r w:rsidR="008E3915" w:rsidRPr="00010CA0">
        <w:rPr>
          <w:sz w:val="24"/>
          <w:szCs w:val="24"/>
        </w:rPr>
        <w:t>94</w:t>
      </w:r>
      <w:r w:rsidR="00CA27D9">
        <w:rPr>
          <w:sz w:val="24"/>
          <w:szCs w:val="24"/>
        </w:rPr>
        <w:t>%</w:t>
      </w:r>
      <w:r w:rsidR="008E3915" w:rsidRPr="00010CA0">
        <w:rPr>
          <w:sz w:val="24"/>
          <w:szCs w:val="24"/>
        </w:rPr>
        <w:t xml:space="preserve"> </w:t>
      </w:r>
      <w:r w:rsidR="00991282">
        <w:rPr>
          <w:sz w:val="24"/>
          <w:szCs w:val="24"/>
        </w:rPr>
        <w:t>are female</w:t>
      </w:r>
      <w:r w:rsidRPr="00010CA0">
        <w:rPr>
          <w:sz w:val="24"/>
          <w:szCs w:val="24"/>
        </w:rPr>
        <w:t xml:space="preserve">. </w:t>
      </w:r>
      <w:r w:rsidR="004F5999">
        <w:rPr>
          <w:sz w:val="24"/>
          <w:szCs w:val="24"/>
        </w:rPr>
        <w:t>T</w:t>
      </w:r>
      <w:r w:rsidR="004F5999" w:rsidRPr="006F12D8">
        <w:rPr>
          <w:sz w:val="24"/>
          <w:szCs w:val="24"/>
        </w:rPr>
        <w:t>he NDHS notes that 20</w:t>
      </w:r>
      <w:r w:rsidR="004F5999">
        <w:rPr>
          <w:sz w:val="24"/>
          <w:szCs w:val="24"/>
        </w:rPr>
        <w:t xml:space="preserve">% </w:t>
      </w:r>
      <w:r w:rsidR="004F5999" w:rsidRPr="006F12D8">
        <w:rPr>
          <w:sz w:val="24"/>
          <w:szCs w:val="24"/>
        </w:rPr>
        <w:t>of all women, aged 15 to 49, have undergone FGM</w:t>
      </w:r>
      <w:r w:rsidR="004F5999">
        <w:rPr>
          <w:sz w:val="24"/>
          <w:szCs w:val="24"/>
        </w:rPr>
        <w:t>.</w:t>
      </w:r>
      <w:r w:rsidR="004F5999">
        <w:rPr>
          <w:rStyle w:val="FootnoteReference"/>
          <w:sz w:val="24"/>
          <w:szCs w:val="24"/>
        </w:rPr>
        <w:footnoteReference w:id="89"/>
      </w:r>
      <w:r w:rsidR="00212163">
        <w:rPr>
          <w:sz w:val="24"/>
          <w:szCs w:val="24"/>
        </w:rPr>
        <w:t xml:space="preserve"> It is important to note that FGM prevalence is higher in southern Nigeria, with clitoridectomy he </w:t>
      </w:r>
      <w:r w:rsidR="00212163">
        <w:rPr>
          <w:sz w:val="24"/>
          <w:szCs w:val="24"/>
        </w:rPr>
        <w:lastRenderedPageBreak/>
        <w:t xml:space="preserve">removal of the clitoral hood and part of the clitoris) being the most common form of FGM. In Northern Nigeria, </w:t>
      </w:r>
      <w:r w:rsidR="00D70B4E">
        <w:rPr>
          <w:sz w:val="24"/>
          <w:szCs w:val="24"/>
        </w:rPr>
        <w:t>young girls are married off before they reach the age of 18. This phenomenon is worsened by insecurity which further puts young girls at risk of rape and  child marriage.</w:t>
      </w:r>
    </w:p>
    <w:p w14:paraId="5EC013E1" w14:textId="77777777" w:rsidR="00681F77" w:rsidRDefault="00991282" w:rsidP="00E75191">
      <w:pPr>
        <w:spacing w:after="228" w:line="240" w:lineRule="auto"/>
        <w:jc w:val="both"/>
        <w:rPr>
          <w:sz w:val="24"/>
          <w:szCs w:val="24"/>
        </w:rPr>
      </w:pPr>
      <w:r>
        <w:rPr>
          <w:sz w:val="24"/>
          <w:szCs w:val="24"/>
        </w:rPr>
        <w:t>Further, a</w:t>
      </w:r>
      <w:r w:rsidR="00010CA0" w:rsidRPr="00010CA0">
        <w:rPr>
          <w:sz w:val="24"/>
          <w:szCs w:val="24"/>
        </w:rPr>
        <w:t xml:space="preserve">s noted in a recent report, women and girls constitute the largest number of victims of domestic and cross-border trafficking: </w:t>
      </w:r>
      <w:r w:rsidR="00D9349A">
        <w:rPr>
          <w:sz w:val="24"/>
          <w:szCs w:val="24"/>
        </w:rPr>
        <w:t>of the 1, 152</w:t>
      </w:r>
      <w:r w:rsidR="00010CA0" w:rsidRPr="00010CA0">
        <w:rPr>
          <w:sz w:val="24"/>
          <w:szCs w:val="24"/>
        </w:rPr>
        <w:t xml:space="preserve"> persons rescued by NAPTIP in 2019: half of the rescued individuals were children, 44 % women and 6 % men.</w:t>
      </w:r>
      <w:r w:rsidR="00010CA0">
        <w:rPr>
          <w:rStyle w:val="FootnoteReference"/>
          <w:sz w:val="24"/>
          <w:szCs w:val="24"/>
        </w:rPr>
        <w:footnoteReference w:id="90"/>
      </w:r>
      <w:r w:rsidR="00010CA0" w:rsidRPr="00010CA0">
        <w:rPr>
          <w:sz w:val="24"/>
          <w:szCs w:val="24"/>
        </w:rPr>
        <w:t xml:space="preserve"> Out of the children rescued, girls constituted almost 75%. However, the fact that boys and men are also victims of trafficking, domestic and cross-border must not be neglected</w:t>
      </w:r>
      <w:r w:rsidR="00CA27D9">
        <w:rPr>
          <w:sz w:val="24"/>
          <w:szCs w:val="24"/>
        </w:rPr>
        <w:t>,</w:t>
      </w:r>
      <w:r w:rsidR="00CA27D9" w:rsidRPr="00CA27D9">
        <w:rPr>
          <w:rFonts w:ascii="Calibri" w:hAnsi="Calibri" w:cs="Calibri"/>
          <w:sz w:val="24"/>
          <w:szCs w:val="24"/>
        </w:rPr>
        <w:t xml:space="preserve"> </w:t>
      </w:r>
      <w:r w:rsidR="00CA27D9">
        <w:rPr>
          <w:rFonts w:ascii="Calibri" w:hAnsi="Calibri" w:cs="Calibri"/>
          <w:sz w:val="24"/>
          <w:szCs w:val="24"/>
        </w:rPr>
        <w:t>often being subject to forced labour</w:t>
      </w:r>
      <w:r w:rsidR="00CA27D9" w:rsidRPr="005166EE">
        <w:rPr>
          <w:rFonts w:ascii="Calibri" w:hAnsi="Calibri" w:cs="Calibri"/>
          <w:sz w:val="24"/>
          <w:szCs w:val="24"/>
        </w:rPr>
        <w:t>. Studies indicate that most Nigerian men are smuggled, rather than trafficked to Europe, as they generally pay smugglers in advance to facilitate their journey to Libya and the crossing of the Mediterranean.</w:t>
      </w:r>
      <w:r w:rsidR="00CA27D9" w:rsidRPr="005166EE">
        <w:rPr>
          <w:rStyle w:val="FootnoteReference"/>
          <w:rFonts w:ascii="Calibri" w:hAnsi="Calibri" w:cs="Calibri"/>
          <w:sz w:val="24"/>
          <w:szCs w:val="24"/>
        </w:rPr>
        <w:footnoteReference w:id="91"/>
      </w:r>
      <w:r w:rsidR="006F12D8">
        <w:rPr>
          <w:sz w:val="24"/>
          <w:szCs w:val="24"/>
        </w:rPr>
        <w:t xml:space="preserve">. </w:t>
      </w:r>
      <w:r w:rsidR="00CA27D9">
        <w:rPr>
          <w:sz w:val="24"/>
          <w:szCs w:val="24"/>
        </w:rPr>
        <w:t>From</w:t>
      </w:r>
      <w:r w:rsidR="00D9349A">
        <w:rPr>
          <w:sz w:val="24"/>
          <w:szCs w:val="24"/>
        </w:rPr>
        <w:t xml:space="preserve"> the</w:t>
      </w:r>
      <w:r w:rsidR="00D9349A" w:rsidRPr="00D9349A">
        <w:rPr>
          <w:sz w:val="24"/>
          <w:szCs w:val="24"/>
        </w:rPr>
        <w:t xml:space="preserve"> victims rescued by NAPTIP</w:t>
      </w:r>
      <w:r w:rsidR="00CA27D9">
        <w:rPr>
          <w:sz w:val="24"/>
          <w:szCs w:val="24"/>
        </w:rPr>
        <w:t>, 68</w:t>
      </w:r>
      <w:r w:rsidR="00D9349A" w:rsidRPr="00D9349A">
        <w:rPr>
          <w:sz w:val="24"/>
          <w:szCs w:val="24"/>
        </w:rPr>
        <w:t xml:space="preserve"> were victims of sexual exploitation within Nigeria</w:t>
      </w:r>
      <w:r w:rsidR="00D9349A">
        <w:rPr>
          <w:sz w:val="24"/>
          <w:szCs w:val="24"/>
        </w:rPr>
        <w:t>, and 66 of these were women</w:t>
      </w:r>
      <w:r w:rsidR="00D9349A" w:rsidRPr="00D9349A">
        <w:rPr>
          <w:sz w:val="24"/>
          <w:szCs w:val="24"/>
        </w:rPr>
        <w:t>.</w:t>
      </w:r>
      <w:r w:rsidR="00D70B4E">
        <w:rPr>
          <w:sz w:val="24"/>
          <w:szCs w:val="24"/>
        </w:rPr>
        <w:t xml:space="preserve"> </w:t>
      </w:r>
      <w:r w:rsidR="00D9349A">
        <w:rPr>
          <w:rStyle w:val="FootnoteReference"/>
          <w:sz w:val="24"/>
          <w:szCs w:val="24"/>
        </w:rPr>
        <w:footnoteReference w:id="92"/>
      </w:r>
      <w:r w:rsidR="00264FB0" w:rsidRPr="005166EE">
        <w:rPr>
          <w:rFonts w:ascii="Calibri" w:hAnsi="Calibri" w:cs="Calibri"/>
          <w:sz w:val="24"/>
          <w:szCs w:val="24"/>
        </w:rPr>
        <w:t>92</w:t>
      </w:r>
      <w:r w:rsidR="00CA27D9">
        <w:rPr>
          <w:rFonts w:ascii="Calibri" w:hAnsi="Calibri" w:cs="Calibri"/>
          <w:sz w:val="24"/>
          <w:szCs w:val="24"/>
        </w:rPr>
        <w:t>%</w:t>
      </w:r>
      <w:r w:rsidR="00264FB0" w:rsidRPr="005166EE">
        <w:rPr>
          <w:rFonts w:ascii="Calibri" w:hAnsi="Calibri" w:cs="Calibri"/>
          <w:sz w:val="24"/>
          <w:szCs w:val="24"/>
        </w:rPr>
        <w:t xml:space="preserve"> of all trafficking victims </w:t>
      </w:r>
      <w:r w:rsidR="00CA27D9">
        <w:rPr>
          <w:rFonts w:ascii="Calibri" w:hAnsi="Calibri" w:cs="Calibri"/>
          <w:sz w:val="24"/>
          <w:szCs w:val="24"/>
        </w:rPr>
        <w:t>end up being</w:t>
      </w:r>
      <w:r w:rsidR="00CA27D9" w:rsidRPr="005166EE">
        <w:rPr>
          <w:rFonts w:ascii="Calibri" w:hAnsi="Calibri" w:cs="Calibri"/>
          <w:sz w:val="24"/>
          <w:szCs w:val="24"/>
        </w:rPr>
        <w:t xml:space="preserve"> </w:t>
      </w:r>
      <w:r w:rsidR="00264FB0" w:rsidRPr="005166EE">
        <w:rPr>
          <w:rFonts w:ascii="Calibri" w:hAnsi="Calibri" w:cs="Calibri"/>
          <w:sz w:val="24"/>
          <w:szCs w:val="24"/>
        </w:rPr>
        <w:t>exploited in the European prostitution industry. Most of these are Bini women from Edo State,</w:t>
      </w:r>
      <w:r w:rsidR="00264FB0" w:rsidRPr="005166EE">
        <w:rPr>
          <w:rStyle w:val="FootnoteReference"/>
          <w:rFonts w:ascii="Calibri" w:hAnsi="Calibri" w:cs="Calibri"/>
          <w:sz w:val="24"/>
          <w:szCs w:val="24"/>
        </w:rPr>
        <w:footnoteReference w:id="93"/>
      </w:r>
      <w:r w:rsidR="00264FB0" w:rsidRPr="005166EE">
        <w:rPr>
          <w:rFonts w:ascii="Calibri" w:hAnsi="Calibri" w:cs="Calibri"/>
          <w:sz w:val="24"/>
          <w:szCs w:val="24"/>
        </w:rPr>
        <w:t xml:space="preserve"> although reports suggest that this is changing, with women from other ethnic groups now </w:t>
      </w:r>
      <w:r w:rsidR="00CA27D9">
        <w:rPr>
          <w:rFonts w:ascii="Calibri" w:hAnsi="Calibri" w:cs="Calibri"/>
          <w:sz w:val="24"/>
          <w:szCs w:val="24"/>
        </w:rPr>
        <w:t xml:space="preserve">also </w:t>
      </w:r>
      <w:r w:rsidR="00264FB0" w:rsidRPr="005166EE">
        <w:rPr>
          <w:rFonts w:ascii="Calibri" w:hAnsi="Calibri" w:cs="Calibri"/>
          <w:sz w:val="24"/>
          <w:szCs w:val="24"/>
        </w:rPr>
        <w:t xml:space="preserve">being trafficked through Benin. Other </w:t>
      </w:r>
      <w:r w:rsidR="00CA27D9">
        <w:rPr>
          <w:rFonts w:ascii="Calibri" w:hAnsi="Calibri" w:cs="Calibri"/>
          <w:sz w:val="24"/>
          <w:szCs w:val="24"/>
        </w:rPr>
        <w:t>s</w:t>
      </w:r>
      <w:r w:rsidR="00264FB0" w:rsidRPr="005166EE">
        <w:rPr>
          <w:rFonts w:ascii="Calibri" w:hAnsi="Calibri" w:cs="Calibri"/>
          <w:sz w:val="24"/>
          <w:szCs w:val="24"/>
        </w:rPr>
        <w:t xml:space="preserve">tates are increasingly </w:t>
      </w:r>
      <w:r w:rsidR="00CA27D9">
        <w:rPr>
          <w:rFonts w:ascii="Calibri" w:hAnsi="Calibri" w:cs="Calibri"/>
          <w:sz w:val="24"/>
          <w:szCs w:val="24"/>
        </w:rPr>
        <w:t>engaged in the</w:t>
      </w:r>
      <w:r w:rsidR="00264FB0" w:rsidRPr="005166EE">
        <w:rPr>
          <w:rFonts w:ascii="Calibri" w:hAnsi="Calibri" w:cs="Calibri"/>
          <w:sz w:val="24"/>
          <w:szCs w:val="24"/>
        </w:rPr>
        <w:t xml:space="preserve"> trafficking in women, notably Delta, but also A</w:t>
      </w:r>
      <w:r>
        <w:rPr>
          <w:rFonts w:ascii="Calibri" w:hAnsi="Calibri" w:cs="Calibri"/>
          <w:sz w:val="24"/>
          <w:szCs w:val="24"/>
        </w:rPr>
        <w:t>nambra, Ekiti, Ondo, and Kano.</w:t>
      </w:r>
      <w:r w:rsidR="00264FB0" w:rsidRPr="005166EE">
        <w:rPr>
          <w:rFonts w:ascii="Calibri" w:hAnsi="Calibri" w:cs="Calibri"/>
          <w:sz w:val="24"/>
          <w:szCs w:val="24"/>
        </w:rPr>
        <w:t xml:space="preserve"> The drivers of trafficking include poverty, limited education</w:t>
      </w:r>
      <w:r w:rsidR="00D70B4E">
        <w:rPr>
          <w:rFonts w:ascii="Calibri" w:hAnsi="Calibri" w:cs="Calibri"/>
          <w:sz w:val="24"/>
          <w:szCs w:val="24"/>
        </w:rPr>
        <w:t xml:space="preserve"> and unemployment.</w:t>
      </w:r>
      <w:r w:rsidR="005E3820">
        <w:rPr>
          <w:rStyle w:val="FootnoteReference"/>
          <w:rFonts w:ascii="Calibri" w:hAnsi="Calibri" w:cs="Calibri"/>
          <w:sz w:val="24"/>
          <w:szCs w:val="24"/>
        </w:rPr>
        <w:footnoteReference w:id="94"/>
      </w:r>
      <w:r w:rsidR="00264FB0">
        <w:rPr>
          <w:sz w:val="24"/>
          <w:szCs w:val="24"/>
        </w:rPr>
        <w:t xml:space="preserve">  </w:t>
      </w:r>
    </w:p>
    <w:p w14:paraId="4745CB71" w14:textId="77777777" w:rsidR="00681F77" w:rsidRPr="00EB6159" w:rsidRDefault="00D109B3" w:rsidP="00EB6159">
      <w:pPr>
        <w:rPr>
          <w:rStyle w:val="IntenseEmphasis"/>
        </w:rPr>
      </w:pPr>
      <w:r w:rsidRPr="00EB6159">
        <w:rPr>
          <w:rStyle w:val="IntenseEmphasis"/>
        </w:rPr>
        <w:t>Illustrative Finding</w:t>
      </w:r>
      <w:r w:rsidR="00681F77" w:rsidRPr="00EB6159">
        <w:rPr>
          <w:rStyle w:val="IntenseEmphasis"/>
        </w:rPr>
        <w:t>: The Unsolved Mystery of GBV</w:t>
      </w:r>
    </w:p>
    <w:p w14:paraId="5B9A8A10" w14:textId="77777777" w:rsidR="00681F77" w:rsidRPr="00E75191" w:rsidRDefault="00681F77" w:rsidP="006E3C5B">
      <w:pPr>
        <w:autoSpaceDE w:val="0"/>
        <w:autoSpaceDN w:val="0"/>
        <w:adjustRightInd w:val="0"/>
        <w:spacing w:after="0" w:line="240" w:lineRule="auto"/>
        <w:jc w:val="both"/>
        <w:rPr>
          <w:rFonts w:cstheme="minorHAnsi"/>
          <w:sz w:val="24"/>
          <w:szCs w:val="24"/>
        </w:rPr>
      </w:pPr>
      <w:r w:rsidRPr="00E75191">
        <w:rPr>
          <w:rFonts w:cstheme="minorHAnsi"/>
          <w:sz w:val="24"/>
          <w:szCs w:val="24"/>
        </w:rPr>
        <w:t xml:space="preserve">Nearly 80% of all respondents rejected the use of violence by husbands to correct their wives: </w:t>
      </w:r>
      <w:r w:rsidR="004F5999">
        <w:rPr>
          <w:rFonts w:cstheme="minorHAnsi"/>
          <w:sz w:val="24"/>
          <w:szCs w:val="24"/>
        </w:rPr>
        <w:t xml:space="preserve">overall, </w:t>
      </w:r>
      <w:r w:rsidRPr="00E75191">
        <w:rPr>
          <w:rFonts w:cstheme="minorHAnsi"/>
          <w:sz w:val="24"/>
          <w:szCs w:val="24"/>
        </w:rPr>
        <w:t xml:space="preserve">52.5% strongly disagreed while 26.9% disagreed. </w:t>
      </w:r>
      <w:r>
        <w:rPr>
          <w:rFonts w:cstheme="minorHAnsi"/>
          <w:sz w:val="24"/>
          <w:szCs w:val="24"/>
        </w:rPr>
        <w:t xml:space="preserve">Respondents from Kano and Adamawa </w:t>
      </w:r>
      <w:r w:rsidR="004F5999">
        <w:rPr>
          <w:rFonts w:cstheme="minorHAnsi"/>
          <w:sz w:val="24"/>
          <w:szCs w:val="24"/>
        </w:rPr>
        <w:t xml:space="preserve">in Northern Nigeria </w:t>
      </w:r>
      <w:r>
        <w:rPr>
          <w:rFonts w:cstheme="minorHAnsi"/>
          <w:sz w:val="24"/>
          <w:szCs w:val="24"/>
        </w:rPr>
        <w:t>accounted almost entirely of those who endorsed the use of violence as a tool of correction in marital settings.</w:t>
      </w:r>
      <w:r w:rsidRPr="00681F77">
        <w:rPr>
          <w:rFonts w:cstheme="minorHAnsi"/>
          <w:sz w:val="24"/>
          <w:szCs w:val="24"/>
        </w:rPr>
        <w:t>– See Figure below</w:t>
      </w:r>
      <w:r>
        <w:rPr>
          <w:rFonts w:cstheme="minorHAnsi"/>
          <w:sz w:val="24"/>
          <w:szCs w:val="24"/>
        </w:rPr>
        <w:t>.</w:t>
      </w:r>
    </w:p>
    <w:p w14:paraId="52AF63C0" w14:textId="77777777" w:rsidR="00681F77" w:rsidRDefault="00681F77" w:rsidP="006E3C5B">
      <w:pPr>
        <w:autoSpaceDE w:val="0"/>
        <w:autoSpaceDN w:val="0"/>
        <w:adjustRightInd w:val="0"/>
        <w:spacing w:after="0" w:line="240" w:lineRule="auto"/>
        <w:rPr>
          <w:rFonts w:ascii="Times New Roman" w:hAnsi="Times New Roman" w:cs="Times New Roman"/>
          <w:sz w:val="24"/>
          <w:szCs w:val="24"/>
        </w:rPr>
      </w:pPr>
    </w:p>
    <w:p w14:paraId="2D9291B8" w14:textId="77777777" w:rsidR="00681F77" w:rsidRDefault="00681F77" w:rsidP="006E3C5B">
      <w:pPr>
        <w:keepNext/>
        <w:autoSpaceDE w:val="0"/>
        <w:autoSpaceDN w:val="0"/>
        <w:adjustRightInd w:val="0"/>
        <w:spacing w:after="0" w:line="240" w:lineRule="auto"/>
      </w:pPr>
      <w:r>
        <w:rPr>
          <w:noProof/>
          <w:lang w:val="en-IE" w:eastAsia="en-IE"/>
        </w:rPr>
        <w:drawing>
          <wp:inline distT="0" distB="0" distL="0" distR="0" wp14:anchorId="15810A2B" wp14:editId="126FD676">
            <wp:extent cx="6113780" cy="2165350"/>
            <wp:effectExtent l="0" t="0" r="1270" b="6350"/>
            <wp:docPr id="464" name="Chart 46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6AED18EE" w14:textId="77777777" w:rsidR="00681F77" w:rsidRDefault="00681F77">
      <w:pPr>
        <w:pStyle w:val="Caption"/>
      </w:pPr>
      <w:r>
        <w:t xml:space="preserve">Figure </w:t>
      </w:r>
      <w:fldSimple w:instr=" SEQ Figure \* ARABIC ">
        <w:r w:rsidR="00C15490">
          <w:rPr>
            <w:noProof/>
          </w:rPr>
          <w:t>10</w:t>
        </w:r>
      </w:fldSimple>
      <w:r>
        <w:t xml:space="preserve"> Men should use violence as a tool for correcting their views (by state)</w:t>
      </w:r>
    </w:p>
    <w:p w14:paraId="24E2618B" w14:textId="77777777" w:rsidR="0025284C" w:rsidRDefault="008A15A6" w:rsidP="0025284C">
      <w:r>
        <w:lastRenderedPageBreak/>
        <w:t>The percentage of men that disagree and strongly disagree on use of violence against wives were 32.5% and 46.7% respectively while the percentage of women that disagree and strongly disagree</w:t>
      </w:r>
      <w:r w:rsidR="00AD679A">
        <w:t xml:space="preserve"> </w:t>
      </w:r>
      <w:r>
        <w:t>from the study were 22.1% and 58.1% respectively. 12.8% of the female respondent agreed that violence should be used to correct wives while 9.5%  of males agree</w:t>
      </w:r>
      <w:r w:rsidR="00AD679A">
        <w:t xml:space="preserve"> </w:t>
      </w:r>
      <w:r>
        <w:t>that violence should be used to correct their wives.</w:t>
      </w:r>
    </w:p>
    <w:tbl>
      <w:tblPr>
        <w:tblStyle w:val="PlainTable4"/>
        <w:tblW w:w="9870" w:type="dxa"/>
        <w:tblLayout w:type="fixed"/>
        <w:tblLook w:val="04A0" w:firstRow="1" w:lastRow="0" w:firstColumn="1" w:lastColumn="0" w:noHBand="0" w:noVBand="1"/>
      </w:tblPr>
      <w:tblGrid>
        <w:gridCol w:w="1534"/>
        <w:gridCol w:w="1534"/>
        <w:gridCol w:w="1534"/>
        <w:gridCol w:w="1534"/>
        <w:gridCol w:w="2200"/>
        <w:gridCol w:w="1534"/>
      </w:tblGrid>
      <w:tr w:rsidR="008D2F5D" w14:paraId="66099981" w14:textId="77777777" w:rsidTr="006D6A0C">
        <w:trPr>
          <w:cnfStyle w:val="100000000000" w:firstRow="1" w:lastRow="0" w:firstColumn="0" w:lastColumn="0" w:oddVBand="0" w:evenVBand="0" w:oddHBand="0" w:evenHBand="0" w:firstRowFirstColumn="0" w:firstRowLastColumn="0" w:lastRowFirstColumn="0" w:lastRowLastColumn="0"/>
          <w:trHeight w:val="595"/>
        </w:trPr>
        <w:tc>
          <w:tcPr>
            <w:cnfStyle w:val="001000000000" w:firstRow="0" w:lastRow="0" w:firstColumn="1" w:lastColumn="0" w:oddVBand="0" w:evenVBand="0" w:oddHBand="0" w:evenHBand="0" w:firstRowFirstColumn="0" w:firstRowLastColumn="0" w:lastRowFirstColumn="0" w:lastRowLastColumn="0"/>
            <w:tcW w:w="1534" w:type="dxa"/>
          </w:tcPr>
          <w:p w14:paraId="1BC4C75F" w14:textId="77777777" w:rsidR="008D2F5D" w:rsidRDefault="008D2F5D" w:rsidP="006D6A0C">
            <w:pPr>
              <w:autoSpaceDE w:val="0"/>
              <w:autoSpaceDN w:val="0"/>
              <w:adjustRightInd w:val="0"/>
              <w:spacing w:line="320" w:lineRule="atLeast"/>
              <w:ind w:left="60" w:right="60"/>
              <w:jc w:val="center"/>
              <w:rPr>
                <w:rFonts w:ascii="Arial" w:hAnsi="Arial" w:cs="Arial"/>
                <w:color w:val="264A60"/>
                <w:sz w:val="18"/>
                <w:szCs w:val="18"/>
              </w:rPr>
            </w:pPr>
          </w:p>
        </w:tc>
        <w:tc>
          <w:tcPr>
            <w:tcW w:w="1534" w:type="dxa"/>
            <w:hideMark/>
          </w:tcPr>
          <w:p w14:paraId="672151FD" w14:textId="77777777" w:rsidR="008D2F5D" w:rsidRDefault="008D2F5D" w:rsidP="006D6A0C">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264A60"/>
                <w:sz w:val="18"/>
                <w:szCs w:val="18"/>
              </w:rPr>
            </w:pPr>
            <w:r>
              <w:rPr>
                <w:rFonts w:ascii="Arial" w:hAnsi="Arial" w:cs="Arial"/>
                <w:color w:val="264A60"/>
                <w:sz w:val="18"/>
                <w:szCs w:val="18"/>
              </w:rPr>
              <w:t>Female</w:t>
            </w:r>
          </w:p>
        </w:tc>
        <w:tc>
          <w:tcPr>
            <w:tcW w:w="1534" w:type="dxa"/>
            <w:hideMark/>
          </w:tcPr>
          <w:p w14:paraId="045345E2" w14:textId="77777777" w:rsidR="008D2F5D" w:rsidRDefault="008D2F5D" w:rsidP="006D6A0C">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264A60"/>
                <w:sz w:val="18"/>
                <w:szCs w:val="18"/>
              </w:rPr>
            </w:pPr>
            <w:r>
              <w:rPr>
                <w:rFonts w:ascii="Arial" w:hAnsi="Arial" w:cs="Arial"/>
                <w:color w:val="264A60"/>
                <w:sz w:val="18"/>
                <w:szCs w:val="18"/>
              </w:rPr>
              <w:t>Male</w:t>
            </w:r>
          </w:p>
        </w:tc>
        <w:tc>
          <w:tcPr>
            <w:tcW w:w="1534" w:type="dxa"/>
            <w:hideMark/>
          </w:tcPr>
          <w:p w14:paraId="09ACA2F5" w14:textId="77777777" w:rsidR="008D2F5D" w:rsidRDefault="008D2F5D" w:rsidP="006D6A0C">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264A60"/>
                <w:sz w:val="18"/>
                <w:szCs w:val="18"/>
              </w:rPr>
            </w:pPr>
            <w:r>
              <w:rPr>
                <w:rFonts w:ascii="Arial" w:hAnsi="Arial" w:cs="Arial"/>
                <w:color w:val="264A60"/>
                <w:sz w:val="18"/>
                <w:szCs w:val="18"/>
              </w:rPr>
              <w:t>Other</w:t>
            </w:r>
          </w:p>
        </w:tc>
        <w:tc>
          <w:tcPr>
            <w:tcW w:w="2200" w:type="dxa"/>
            <w:hideMark/>
          </w:tcPr>
          <w:p w14:paraId="3EF438CB" w14:textId="77777777" w:rsidR="008D2F5D" w:rsidRDefault="008D2F5D" w:rsidP="006D6A0C">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264A60"/>
                <w:sz w:val="18"/>
                <w:szCs w:val="18"/>
              </w:rPr>
            </w:pPr>
            <w:r>
              <w:rPr>
                <w:rFonts w:ascii="Arial" w:hAnsi="Arial" w:cs="Arial"/>
                <w:color w:val="264A60"/>
                <w:sz w:val="18"/>
                <w:szCs w:val="18"/>
              </w:rPr>
              <w:t>Prefers not to say</w:t>
            </w:r>
          </w:p>
        </w:tc>
        <w:tc>
          <w:tcPr>
            <w:tcW w:w="1534" w:type="dxa"/>
            <w:hideMark/>
          </w:tcPr>
          <w:p w14:paraId="3A338888" w14:textId="77777777" w:rsidR="008D2F5D" w:rsidRDefault="008D2F5D" w:rsidP="006D6A0C">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color w:val="264A60"/>
                <w:sz w:val="18"/>
                <w:szCs w:val="18"/>
              </w:rPr>
            </w:pPr>
            <w:r>
              <w:rPr>
                <w:rFonts w:ascii="Arial" w:hAnsi="Arial" w:cs="Arial"/>
                <w:color w:val="264A60"/>
                <w:sz w:val="18"/>
                <w:szCs w:val="18"/>
              </w:rPr>
              <w:t>Total</w:t>
            </w:r>
          </w:p>
        </w:tc>
      </w:tr>
      <w:tr w:rsidR="008D2F5D" w14:paraId="4AA53292" w14:textId="77777777" w:rsidTr="006D6A0C">
        <w:trPr>
          <w:cnfStyle w:val="000000100000" w:firstRow="0" w:lastRow="0" w:firstColumn="0" w:lastColumn="0" w:oddVBand="0" w:evenVBand="0" w:oddHBand="1" w:evenHBand="0" w:firstRowFirstColumn="0" w:firstRowLastColumn="0" w:lastRowFirstColumn="0" w:lastRowLastColumn="0"/>
          <w:trHeight w:val="595"/>
        </w:trPr>
        <w:tc>
          <w:tcPr>
            <w:cnfStyle w:val="001000000000" w:firstRow="0" w:lastRow="0" w:firstColumn="1" w:lastColumn="0" w:oddVBand="0" w:evenVBand="0" w:oddHBand="0" w:evenHBand="0" w:firstRowFirstColumn="0" w:firstRowLastColumn="0" w:lastRowFirstColumn="0" w:lastRowLastColumn="0"/>
            <w:tcW w:w="1534" w:type="dxa"/>
            <w:hideMark/>
          </w:tcPr>
          <w:p w14:paraId="1952CA60" w14:textId="77777777" w:rsidR="008D2F5D" w:rsidRDefault="008D2F5D" w:rsidP="006D6A0C">
            <w:pPr>
              <w:autoSpaceDE w:val="0"/>
              <w:autoSpaceDN w:val="0"/>
              <w:adjustRightInd w:val="0"/>
              <w:spacing w:line="320" w:lineRule="atLeast"/>
              <w:ind w:left="60" w:right="60"/>
              <w:jc w:val="right"/>
              <w:rPr>
                <w:rFonts w:ascii="Arial" w:hAnsi="Arial" w:cs="Arial"/>
                <w:color w:val="010205"/>
                <w:sz w:val="18"/>
                <w:szCs w:val="18"/>
              </w:rPr>
            </w:pPr>
            <w:r>
              <w:rPr>
                <w:rFonts w:ascii="Arial" w:hAnsi="Arial" w:cs="Arial"/>
                <w:color w:val="264A60"/>
                <w:sz w:val="18"/>
                <w:szCs w:val="18"/>
              </w:rPr>
              <w:t>I strongly agree</w:t>
            </w:r>
          </w:p>
        </w:tc>
        <w:tc>
          <w:tcPr>
            <w:tcW w:w="1534" w:type="dxa"/>
            <w:hideMark/>
          </w:tcPr>
          <w:p w14:paraId="182A768E" w14:textId="77777777" w:rsidR="008D2F5D" w:rsidRDefault="008D2F5D" w:rsidP="006D6A0C">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3.2%</w:t>
            </w:r>
          </w:p>
        </w:tc>
        <w:tc>
          <w:tcPr>
            <w:tcW w:w="1534" w:type="dxa"/>
            <w:hideMark/>
          </w:tcPr>
          <w:p w14:paraId="3012E979" w14:textId="77777777" w:rsidR="008D2F5D" w:rsidRDefault="008D2F5D" w:rsidP="006D6A0C">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4.6%</w:t>
            </w:r>
          </w:p>
        </w:tc>
        <w:tc>
          <w:tcPr>
            <w:tcW w:w="1534" w:type="dxa"/>
            <w:hideMark/>
          </w:tcPr>
          <w:p w14:paraId="60939029" w14:textId="77777777" w:rsidR="008D2F5D" w:rsidRDefault="008D2F5D" w:rsidP="006D6A0C">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8.3%</w:t>
            </w:r>
          </w:p>
        </w:tc>
        <w:tc>
          <w:tcPr>
            <w:tcW w:w="2200" w:type="dxa"/>
            <w:hideMark/>
          </w:tcPr>
          <w:p w14:paraId="180E607F" w14:textId="77777777" w:rsidR="008D2F5D" w:rsidRDefault="008D2F5D" w:rsidP="006D6A0C">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7.7%</w:t>
            </w:r>
          </w:p>
        </w:tc>
        <w:tc>
          <w:tcPr>
            <w:tcW w:w="1534" w:type="dxa"/>
            <w:hideMark/>
          </w:tcPr>
          <w:p w14:paraId="7A989551" w14:textId="77777777" w:rsidR="008D2F5D" w:rsidRDefault="008D2F5D" w:rsidP="006D6A0C">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3.9%</w:t>
            </w:r>
          </w:p>
        </w:tc>
      </w:tr>
      <w:tr w:rsidR="008D2F5D" w14:paraId="62E083A8" w14:textId="77777777" w:rsidTr="006D6A0C">
        <w:trPr>
          <w:trHeight w:val="297"/>
        </w:trPr>
        <w:tc>
          <w:tcPr>
            <w:cnfStyle w:val="001000000000" w:firstRow="0" w:lastRow="0" w:firstColumn="1" w:lastColumn="0" w:oddVBand="0" w:evenVBand="0" w:oddHBand="0" w:evenHBand="0" w:firstRowFirstColumn="0" w:firstRowLastColumn="0" w:lastRowFirstColumn="0" w:lastRowLastColumn="0"/>
            <w:tcW w:w="1534" w:type="dxa"/>
            <w:hideMark/>
          </w:tcPr>
          <w:p w14:paraId="3E91E57A" w14:textId="77777777" w:rsidR="008D2F5D" w:rsidRDefault="008D2F5D" w:rsidP="006D6A0C">
            <w:pPr>
              <w:autoSpaceDE w:val="0"/>
              <w:autoSpaceDN w:val="0"/>
              <w:adjustRightInd w:val="0"/>
              <w:spacing w:line="320" w:lineRule="atLeast"/>
              <w:ind w:left="60" w:right="60"/>
              <w:jc w:val="right"/>
              <w:rPr>
                <w:rFonts w:ascii="Arial" w:hAnsi="Arial" w:cs="Arial"/>
                <w:color w:val="010205"/>
                <w:sz w:val="18"/>
                <w:szCs w:val="18"/>
              </w:rPr>
            </w:pPr>
            <w:r>
              <w:rPr>
                <w:rFonts w:ascii="Arial" w:hAnsi="Arial" w:cs="Arial"/>
                <w:color w:val="264A60"/>
                <w:sz w:val="18"/>
                <w:szCs w:val="18"/>
              </w:rPr>
              <w:t>I agree</w:t>
            </w:r>
          </w:p>
        </w:tc>
        <w:tc>
          <w:tcPr>
            <w:tcW w:w="1534" w:type="dxa"/>
            <w:hideMark/>
          </w:tcPr>
          <w:p w14:paraId="7E1D5C5F" w14:textId="77777777" w:rsidR="008D2F5D" w:rsidRDefault="008D2F5D" w:rsidP="006D6A0C">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12.8%</w:t>
            </w:r>
          </w:p>
        </w:tc>
        <w:tc>
          <w:tcPr>
            <w:tcW w:w="1534" w:type="dxa"/>
            <w:hideMark/>
          </w:tcPr>
          <w:p w14:paraId="476DADA9" w14:textId="77777777" w:rsidR="008D2F5D" w:rsidRDefault="008D2F5D" w:rsidP="006D6A0C">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9.5%</w:t>
            </w:r>
          </w:p>
        </w:tc>
        <w:tc>
          <w:tcPr>
            <w:tcW w:w="1534" w:type="dxa"/>
            <w:hideMark/>
          </w:tcPr>
          <w:p w14:paraId="55ABFDB1" w14:textId="77777777" w:rsidR="008D2F5D" w:rsidRDefault="008D2F5D" w:rsidP="006D6A0C">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16.7%</w:t>
            </w:r>
          </w:p>
        </w:tc>
        <w:tc>
          <w:tcPr>
            <w:tcW w:w="2200" w:type="dxa"/>
            <w:hideMark/>
          </w:tcPr>
          <w:p w14:paraId="42304C36" w14:textId="77777777" w:rsidR="008D2F5D" w:rsidRDefault="008D2F5D" w:rsidP="006D6A0C">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15.4%</w:t>
            </w:r>
          </w:p>
        </w:tc>
        <w:tc>
          <w:tcPr>
            <w:tcW w:w="1534" w:type="dxa"/>
            <w:hideMark/>
          </w:tcPr>
          <w:p w14:paraId="51E89672" w14:textId="77777777" w:rsidR="008D2F5D" w:rsidRDefault="008D2F5D" w:rsidP="006D6A0C">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11.4%</w:t>
            </w:r>
          </w:p>
        </w:tc>
      </w:tr>
      <w:tr w:rsidR="008D2F5D" w14:paraId="6CDF2ABE" w14:textId="77777777" w:rsidTr="006D6A0C">
        <w:trPr>
          <w:cnfStyle w:val="000000100000" w:firstRow="0" w:lastRow="0" w:firstColumn="0" w:lastColumn="0" w:oddVBand="0" w:evenVBand="0" w:oddHBand="1" w:evenHBand="0" w:firstRowFirstColumn="0" w:firstRowLastColumn="0" w:lastRowFirstColumn="0" w:lastRowLastColumn="0"/>
          <w:trHeight w:val="907"/>
        </w:trPr>
        <w:tc>
          <w:tcPr>
            <w:cnfStyle w:val="001000000000" w:firstRow="0" w:lastRow="0" w:firstColumn="1" w:lastColumn="0" w:oddVBand="0" w:evenVBand="0" w:oddHBand="0" w:evenHBand="0" w:firstRowFirstColumn="0" w:firstRowLastColumn="0" w:lastRowFirstColumn="0" w:lastRowLastColumn="0"/>
            <w:tcW w:w="1534" w:type="dxa"/>
            <w:hideMark/>
          </w:tcPr>
          <w:p w14:paraId="5A27A19E" w14:textId="77777777" w:rsidR="008D2F5D" w:rsidRDefault="008D2F5D" w:rsidP="006D6A0C">
            <w:pPr>
              <w:autoSpaceDE w:val="0"/>
              <w:autoSpaceDN w:val="0"/>
              <w:adjustRightInd w:val="0"/>
              <w:spacing w:line="320" w:lineRule="atLeast"/>
              <w:ind w:left="60" w:right="60"/>
              <w:jc w:val="right"/>
              <w:rPr>
                <w:rFonts w:ascii="Arial" w:hAnsi="Arial" w:cs="Arial"/>
                <w:color w:val="010205"/>
                <w:sz w:val="18"/>
                <w:szCs w:val="18"/>
              </w:rPr>
            </w:pPr>
            <w:r>
              <w:rPr>
                <w:rFonts w:ascii="Arial" w:hAnsi="Arial" w:cs="Arial"/>
                <w:color w:val="264A60"/>
                <w:sz w:val="18"/>
                <w:szCs w:val="18"/>
              </w:rPr>
              <w:t>I neither agree or disagree</w:t>
            </w:r>
          </w:p>
        </w:tc>
        <w:tc>
          <w:tcPr>
            <w:tcW w:w="1534" w:type="dxa"/>
            <w:hideMark/>
          </w:tcPr>
          <w:p w14:paraId="3D6FFF38" w14:textId="77777777" w:rsidR="008D2F5D" w:rsidRDefault="008D2F5D" w:rsidP="006D6A0C">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3.6%</w:t>
            </w:r>
          </w:p>
        </w:tc>
        <w:tc>
          <w:tcPr>
            <w:tcW w:w="1534" w:type="dxa"/>
            <w:hideMark/>
          </w:tcPr>
          <w:p w14:paraId="0C9ED280" w14:textId="77777777" w:rsidR="008D2F5D" w:rsidRDefault="008D2F5D" w:rsidP="006D6A0C">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6.7%</w:t>
            </w:r>
          </w:p>
        </w:tc>
        <w:tc>
          <w:tcPr>
            <w:tcW w:w="1534" w:type="dxa"/>
            <w:hideMark/>
          </w:tcPr>
          <w:p w14:paraId="43FE3318" w14:textId="77777777" w:rsidR="008D2F5D" w:rsidRDefault="008D2F5D" w:rsidP="006D6A0C">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8.3%</w:t>
            </w:r>
          </w:p>
        </w:tc>
        <w:tc>
          <w:tcPr>
            <w:tcW w:w="2200" w:type="dxa"/>
            <w:hideMark/>
          </w:tcPr>
          <w:p w14:paraId="09FAFB36" w14:textId="77777777" w:rsidR="008D2F5D" w:rsidRDefault="008D2F5D" w:rsidP="006D6A0C">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15.4%</w:t>
            </w:r>
          </w:p>
        </w:tc>
        <w:tc>
          <w:tcPr>
            <w:tcW w:w="1534" w:type="dxa"/>
            <w:hideMark/>
          </w:tcPr>
          <w:p w14:paraId="7C83F1C6" w14:textId="77777777" w:rsidR="008D2F5D" w:rsidRDefault="008D2F5D" w:rsidP="006D6A0C">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5.2%</w:t>
            </w:r>
          </w:p>
        </w:tc>
      </w:tr>
      <w:tr w:rsidR="008D2F5D" w14:paraId="13E116EA" w14:textId="77777777" w:rsidTr="006D6A0C">
        <w:trPr>
          <w:trHeight w:val="297"/>
        </w:trPr>
        <w:tc>
          <w:tcPr>
            <w:cnfStyle w:val="001000000000" w:firstRow="0" w:lastRow="0" w:firstColumn="1" w:lastColumn="0" w:oddVBand="0" w:evenVBand="0" w:oddHBand="0" w:evenHBand="0" w:firstRowFirstColumn="0" w:firstRowLastColumn="0" w:lastRowFirstColumn="0" w:lastRowLastColumn="0"/>
            <w:tcW w:w="1534" w:type="dxa"/>
            <w:hideMark/>
          </w:tcPr>
          <w:p w14:paraId="4877B7EE" w14:textId="77777777" w:rsidR="008D2F5D" w:rsidRDefault="008D2F5D" w:rsidP="006D6A0C">
            <w:pPr>
              <w:autoSpaceDE w:val="0"/>
              <w:autoSpaceDN w:val="0"/>
              <w:adjustRightInd w:val="0"/>
              <w:spacing w:line="320" w:lineRule="atLeast"/>
              <w:ind w:left="60" w:right="60"/>
              <w:jc w:val="right"/>
              <w:rPr>
                <w:rFonts w:ascii="Arial" w:hAnsi="Arial" w:cs="Arial"/>
                <w:color w:val="010205"/>
                <w:sz w:val="18"/>
                <w:szCs w:val="18"/>
              </w:rPr>
            </w:pPr>
            <w:r>
              <w:rPr>
                <w:rFonts w:ascii="Arial" w:hAnsi="Arial" w:cs="Arial"/>
                <w:color w:val="264A60"/>
                <w:sz w:val="18"/>
                <w:szCs w:val="18"/>
              </w:rPr>
              <w:t>I disagree</w:t>
            </w:r>
          </w:p>
        </w:tc>
        <w:tc>
          <w:tcPr>
            <w:tcW w:w="1534" w:type="dxa"/>
            <w:hideMark/>
          </w:tcPr>
          <w:p w14:paraId="33D7F782" w14:textId="77777777" w:rsidR="008D2F5D" w:rsidRDefault="008D2F5D" w:rsidP="006D6A0C">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22.1%</w:t>
            </w:r>
          </w:p>
        </w:tc>
        <w:tc>
          <w:tcPr>
            <w:tcW w:w="1534" w:type="dxa"/>
            <w:hideMark/>
          </w:tcPr>
          <w:p w14:paraId="7F3F0C17" w14:textId="77777777" w:rsidR="008D2F5D" w:rsidRDefault="008D2F5D" w:rsidP="006D6A0C">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32.5%</w:t>
            </w:r>
          </w:p>
        </w:tc>
        <w:tc>
          <w:tcPr>
            <w:tcW w:w="1534" w:type="dxa"/>
            <w:hideMark/>
          </w:tcPr>
          <w:p w14:paraId="30BFD4B4" w14:textId="77777777" w:rsidR="008D2F5D" w:rsidRDefault="008D2F5D" w:rsidP="006D6A0C">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25.0%</w:t>
            </w:r>
          </w:p>
        </w:tc>
        <w:tc>
          <w:tcPr>
            <w:tcW w:w="2200" w:type="dxa"/>
            <w:hideMark/>
          </w:tcPr>
          <w:p w14:paraId="4A4FCB17" w14:textId="77777777" w:rsidR="008D2F5D" w:rsidRDefault="008D2F5D" w:rsidP="006D6A0C">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23.1%</w:t>
            </w:r>
          </w:p>
        </w:tc>
        <w:tc>
          <w:tcPr>
            <w:tcW w:w="1534" w:type="dxa"/>
            <w:hideMark/>
          </w:tcPr>
          <w:p w14:paraId="722F190E" w14:textId="77777777" w:rsidR="008D2F5D" w:rsidRDefault="008D2F5D" w:rsidP="006D6A0C">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26.9%</w:t>
            </w:r>
          </w:p>
        </w:tc>
      </w:tr>
      <w:tr w:rsidR="008D2F5D" w14:paraId="77ABCF9F" w14:textId="77777777" w:rsidTr="006D6A0C">
        <w:trPr>
          <w:cnfStyle w:val="000000100000" w:firstRow="0" w:lastRow="0" w:firstColumn="0" w:lastColumn="0" w:oddVBand="0" w:evenVBand="0" w:oddHBand="1" w:evenHBand="0" w:firstRowFirstColumn="0" w:firstRowLastColumn="0" w:lastRowFirstColumn="0" w:lastRowLastColumn="0"/>
          <w:trHeight w:val="595"/>
        </w:trPr>
        <w:tc>
          <w:tcPr>
            <w:cnfStyle w:val="001000000000" w:firstRow="0" w:lastRow="0" w:firstColumn="1" w:lastColumn="0" w:oddVBand="0" w:evenVBand="0" w:oddHBand="0" w:evenHBand="0" w:firstRowFirstColumn="0" w:firstRowLastColumn="0" w:lastRowFirstColumn="0" w:lastRowLastColumn="0"/>
            <w:tcW w:w="1534" w:type="dxa"/>
            <w:hideMark/>
          </w:tcPr>
          <w:p w14:paraId="3D38C6FB" w14:textId="77777777" w:rsidR="008D2F5D" w:rsidRDefault="008D2F5D" w:rsidP="006D6A0C">
            <w:pPr>
              <w:autoSpaceDE w:val="0"/>
              <w:autoSpaceDN w:val="0"/>
              <w:adjustRightInd w:val="0"/>
              <w:spacing w:line="320" w:lineRule="atLeast"/>
              <w:ind w:left="60" w:right="60"/>
              <w:jc w:val="right"/>
              <w:rPr>
                <w:rFonts w:ascii="Arial" w:hAnsi="Arial" w:cs="Arial"/>
                <w:color w:val="010205"/>
                <w:sz w:val="18"/>
                <w:szCs w:val="18"/>
              </w:rPr>
            </w:pPr>
            <w:r>
              <w:rPr>
                <w:rFonts w:ascii="Arial" w:hAnsi="Arial" w:cs="Arial"/>
                <w:color w:val="264A60"/>
                <w:sz w:val="18"/>
                <w:szCs w:val="18"/>
              </w:rPr>
              <w:t>I strongly disagree</w:t>
            </w:r>
          </w:p>
        </w:tc>
        <w:tc>
          <w:tcPr>
            <w:tcW w:w="1534" w:type="dxa"/>
            <w:hideMark/>
          </w:tcPr>
          <w:p w14:paraId="463658F6" w14:textId="77777777" w:rsidR="008D2F5D" w:rsidRDefault="008D2F5D" w:rsidP="006D6A0C">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58.1%</w:t>
            </w:r>
          </w:p>
        </w:tc>
        <w:tc>
          <w:tcPr>
            <w:tcW w:w="1534" w:type="dxa"/>
            <w:hideMark/>
          </w:tcPr>
          <w:p w14:paraId="2DFF9DAD" w14:textId="77777777" w:rsidR="008D2F5D" w:rsidRDefault="008D2F5D" w:rsidP="006D6A0C">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46.7%</w:t>
            </w:r>
          </w:p>
        </w:tc>
        <w:tc>
          <w:tcPr>
            <w:tcW w:w="1534" w:type="dxa"/>
            <w:hideMark/>
          </w:tcPr>
          <w:p w14:paraId="4250B430" w14:textId="77777777" w:rsidR="008D2F5D" w:rsidRDefault="008D2F5D" w:rsidP="006D6A0C">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41.7%</w:t>
            </w:r>
          </w:p>
        </w:tc>
        <w:tc>
          <w:tcPr>
            <w:tcW w:w="2200" w:type="dxa"/>
            <w:hideMark/>
          </w:tcPr>
          <w:p w14:paraId="2D1D7413" w14:textId="77777777" w:rsidR="008D2F5D" w:rsidRDefault="008D2F5D" w:rsidP="006D6A0C">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38.5%</w:t>
            </w:r>
          </w:p>
        </w:tc>
        <w:tc>
          <w:tcPr>
            <w:tcW w:w="1534" w:type="dxa"/>
            <w:hideMark/>
          </w:tcPr>
          <w:p w14:paraId="5DFAC030" w14:textId="77777777" w:rsidR="008D2F5D" w:rsidRDefault="008D2F5D" w:rsidP="006D6A0C">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52.5%</w:t>
            </w:r>
          </w:p>
        </w:tc>
      </w:tr>
    </w:tbl>
    <w:p w14:paraId="1548ECF8" w14:textId="77777777" w:rsidR="008D2F5D" w:rsidRDefault="008D2F5D" w:rsidP="0025284C"/>
    <w:p w14:paraId="29B79048" w14:textId="77777777" w:rsidR="0025284C" w:rsidRDefault="0025284C" w:rsidP="0025284C">
      <w:r>
        <w:t xml:space="preserve">Table 9: </w:t>
      </w:r>
      <w:r w:rsidRPr="00FF45D5">
        <w:rPr>
          <w:rFonts w:ascii="Arial" w:hAnsi="Arial" w:cs="Arial"/>
          <w:color w:val="264A60"/>
          <w:sz w:val="18"/>
          <w:szCs w:val="18"/>
        </w:rPr>
        <w:t>Men can use violence to correct their wives</w:t>
      </w:r>
      <w:r>
        <w:rPr>
          <w:rFonts w:ascii="Arial" w:hAnsi="Arial" w:cs="Arial"/>
          <w:color w:val="264A60"/>
          <w:sz w:val="18"/>
          <w:szCs w:val="18"/>
        </w:rPr>
        <w:t xml:space="preserve"> by gender</w:t>
      </w:r>
    </w:p>
    <w:p w14:paraId="0226D7C0" w14:textId="77777777" w:rsidR="0025284C" w:rsidRPr="006E3C5B" w:rsidRDefault="0025284C" w:rsidP="006E3C5B"/>
    <w:p w14:paraId="272FA011" w14:textId="77777777" w:rsidR="00681F77" w:rsidRDefault="00681F77" w:rsidP="006E3C5B">
      <w:pPr>
        <w:spacing w:after="228" w:line="240" w:lineRule="auto"/>
        <w:jc w:val="both"/>
        <w:rPr>
          <w:sz w:val="24"/>
          <w:szCs w:val="24"/>
        </w:rPr>
      </w:pPr>
      <w:r>
        <w:rPr>
          <w:sz w:val="24"/>
          <w:szCs w:val="24"/>
        </w:rPr>
        <w:t>While data clearly shows the high prevalence of GBV in Nigeria, many studies such as ours show low accept</w:t>
      </w:r>
      <w:r w:rsidR="004B145B">
        <w:rPr>
          <w:sz w:val="24"/>
          <w:szCs w:val="24"/>
        </w:rPr>
        <w:t xml:space="preserve">ance of GBV in communities. The </w:t>
      </w:r>
      <w:r>
        <w:rPr>
          <w:sz w:val="24"/>
          <w:szCs w:val="24"/>
        </w:rPr>
        <w:t xml:space="preserve">disconnect between what is socially acceptable and </w:t>
      </w:r>
      <w:r w:rsidR="004F5999">
        <w:rPr>
          <w:sz w:val="24"/>
          <w:szCs w:val="24"/>
        </w:rPr>
        <w:t xml:space="preserve">the </w:t>
      </w:r>
      <w:r>
        <w:rPr>
          <w:sz w:val="24"/>
          <w:szCs w:val="24"/>
        </w:rPr>
        <w:t xml:space="preserve">status quo remains an unsolved mystery. </w:t>
      </w:r>
    </w:p>
    <w:p w14:paraId="691C724F" w14:textId="77777777" w:rsidR="00396096" w:rsidRDefault="00396096">
      <w:pPr>
        <w:spacing w:line="240" w:lineRule="auto"/>
        <w:jc w:val="both"/>
        <w:rPr>
          <w:sz w:val="24"/>
          <w:szCs w:val="24"/>
          <w:lang w:val="en-US"/>
        </w:rPr>
      </w:pPr>
      <w:r>
        <w:rPr>
          <w:sz w:val="24"/>
          <w:szCs w:val="24"/>
          <w:lang w:val="en-US"/>
        </w:rPr>
        <w:t>By nature, the drivers for gender</w:t>
      </w:r>
      <w:r w:rsidR="004F5999">
        <w:rPr>
          <w:sz w:val="24"/>
          <w:szCs w:val="24"/>
          <w:lang w:val="en-US"/>
        </w:rPr>
        <w:t>-</w:t>
      </w:r>
      <w:r>
        <w:rPr>
          <w:sz w:val="24"/>
          <w:szCs w:val="24"/>
          <w:lang w:val="en-US"/>
        </w:rPr>
        <w:t>based violence are rooted in dynamics surrounding community, institutional and interpersonal relations expressed graphically below:</w:t>
      </w:r>
    </w:p>
    <w:p w14:paraId="035A3225" w14:textId="77777777" w:rsidR="00396096" w:rsidRDefault="00396096" w:rsidP="00E75191">
      <w:pPr>
        <w:spacing w:line="240" w:lineRule="auto"/>
        <w:jc w:val="both"/>
        <w:rPr>
          <w:sz w:val="24"/>
          <w:szCs w:val="24"/>
          <w:lang w:val="en-US"/>
        </w:rPr>
      </w:pPr>
      <w:r>
        <w:rPr>
          <w:noProof/>
          <w:sz w:val="24"/>
          <w:szCs w:val="24"/>
          <w:lang w:val="en-IE" w:eastAsia="en-IE"/>
        </w:rPr>
        <w:drawing>
          <wp:inline distT="0" distB="0" distL="0" distR="0" wp14:anchorId="6783383E" wp14:editId="30119863">
            <wp:extent cx="5734050" cy="23431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34050" cy="2343150"/>
                    </a:xfrm>
                    <a:prstGeom prst="rect">
                      <a:avLst/>
                    </a:prstGeom>
                    <a:noFill/>
                    <a:ln>
                      <a:noFill/>
                    </a:ln>
                  </pic:spPr>
                </pic:pic>
              </a:graphicData>
            </a:graphic>
          </wp:inline>
        </w:drawing>
      </w:r>
    </w:p>
    <w:p w14:paraId="36426911" w14:textId="77777777" w:rsidR="00681F77" w:rsidRDefault="004F5999" w:rsidP="00E75191">
      <w:pPr>
        <w:spacing w:after="228" w:line="240" w:lineRule="auto"/>
        <w:jc w:val="both"/>
        <w:rPr>
          <w:rFonts w:cstheme="minorHAnsi"/>
          <w:i/>
        </w:rPr>
      </w:pPr>
      <w:r>
        <w:rPr>
          <w:sz w:val="24"/>
          <w:szCs w:val="24"/>
        </w:rPr>
        <w:t>The perception that women and girls are not equal to men and other h</w:t>
      </w:r>
      <w:r w:rsidR="00F47F02">
        <w:rPr>
          <w:sz w:val="24"/>
          <w:szCs w:val="24"/>
        </w:rPr>
        <w:t xml:space="preserve">armful gender norms have been found to be at least partially to blame for gender-based violence against women and girls. </w:t>
      </w:r>
    </w:p>
    <w:p w14:paraId="2CC590C9" w14:textId="77777777" w:rsidR="00F47F02" w:rsidRDefault="00681F77" w:rsidP="00E75191">
      <w:pPr>
        <w:spacing w:after="228" w:line="240" w:lineRule="auto"/>
        <w:jc w:val="both"/>
        <w:rPr>
          <w:sz w:val="24"/>
          <w:szCs w:val="24"/>
        </w:rPr>
      </w:pPr>
      <w:r>
        <w:rPr>
          <w:noProof/>
          <w:sz w:val="24"/>
          <w:szCs w:val="24"/>
          <w:lang w:val="en-IE" w:eastAsia="en-IE"/>
        </w:rPr>
        <w:lastRenderedPageBreak/>
        <mc:AlternateContent>
          <mc:Choice Requires="wps">
            <w:drawing>
              <wp:inline distT="0" distB="0" distL="0" distR="0" wp14:anchorId="2E0FDD17" wp14:editId="31A18E01">
                <wp:extent cx="5695950" cy="1390650"/>
                <wp:effectExtent l="0" t="0" r="19050" b="19050"/>
                <wp:docPr id="465" name="Rectangle 465"/>
                <wp:cNvGraphicFramePr/>
                <a:graphic xmlns:a="http://schemas.openxmlformats.org/drawingml/2006/main">
                  <a:graphicData uri="http://schemas.microsoft.com/office/word/2010/wordprocessingShape">
                    <wps:wsp>
                      <wps:cNvSpPr/>
                      <wps:spPr>
                        <a:xfrm>
                          <a:off x="0" y="0"/>
                          <a:ext cx="5695950" cy="13906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CE4324A" w14:textId="77777777" w:rsidR="006D6A0C" w:rsidRDefault="006D6A0C" w:rsidP="00681F77">
                            <w:pPr>
                              <w:jc w:val="center"/>
                              <w:rPr>
                                <w:rFonts w:cstheme="minorHAnsi"/>
                                <w:i/>
                              </w:rPr>
                            </w:pPr>
                            <w:r>
                              <w:rPr>
                                <w:rFonts w:cstheme="minorHAnsi"/>
                                <w:i/>
                              </w:rPr>
                              <w:t>T</w:t>
                            </w:r>
                            <w:r w:rsidRPr="00F47F02">
                              <w:rPr>
                                <w:rFonts w:cstheme="minorHAnsi"/>
                                <w:i/>
                              </w:rPr>
                              <w:t>here are certain norms that a</w:t>
                            </w:r>
                            <w:r>
                              <w:rPr>
                                <w:rFonts w:cstheme="minorHAnsi"/>
                                <w:i/>
                              </w:rPr>
                              <w:t>re</w:t>
                            </w:r>
                            <w:r w:rsidRPr="00F47F02">
                              <w:rPr>
                                <w:rFonts w:cstheme="minorHAnsi"/>
                                <w:i/>
                              </w:rPr>
                              <w:t xml:space="preserve"> quite bad like, since a man is the head of a home, he can use violence to correct his wife and no one can interfere. Most people would have loved to interfere, but it’s also a generally held norm that you don't come between a man and his wife, even the law takes so much time before intervention. Our m</w:t>
                            </w:r>
                            <w:r>
                              <w:rPr>
                                <w:rFonts w:cstheme="minorHAnsi"/>
                                <w:i/>
                              </w:rPr>
                              <w:t>uslim</w:t>
                            </w:r>
                            <w:r w:rsidRPr="00F47F02">
                              <w:rPr>
                                <w:rFonts w:cstheme="minorHAnsi"/>
                                <w:i/>
                              </w:rPr>
                              <w:t xml:space="preserve"> brothers are backed up by religion to even cane their wives.</w:t>
                            </w:r>
                          </w:p>
                          <w:p w14:paraId="696A3060" w14:textId="77777777" w:rsidR="006D6A0C" w:rsidRPr="00F47F02" w:rsidRDefault="006D6A0C" w:rsidP="00681F77">
                            <w:pPr>
                              <w:jc w:val="center"/>
                              <w:rPr>
                                <w:rFonts w:cstheme="minorHAnsi"/>
                                <w:sz w:val="24"/>
                                <w:szCs w:val="24"/>
                              </w:rPr>
                            </w:pPr>
                            <w:r>
                              <w:rPr>
                                <w:rFonts w:cstheme="minorHAnsi"/>
                                <w:i/>
                              </w:rPr>
                              <w:t>FGD Respondent, FCT</w:t>
                            </w:r>
                          </w:p>
                          <w:p w14:paraId="29CEB781" w14:textId="77777777" w:rsidR="006D6A0C" w:rsidRDefault="006D6A0C" w:rsidP="00E7519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E0FDD17" id="Rectangle 465" o:spid="_x0000_s1046" style="width:448.5pt;height:10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" fillcolor="#5b9bd5 [3204]" strokecolor="#1f4d78 [1604]" strokeweight="1pt">
                <v:textbox>
                  <w:txbxContent>
                    <w:p w:rsidR="006D6A0C" w:rsidRDefault="006D6A0C" w:rsidP="00681F77">
                      <w:pPr>
                        <w:jc w:val="center"/>
                        <w:rPr>
                          <w:rFonts w:cstheme="minorHAnsi"/>
                          <w:i/>
                        </w:rPr>
                      </w:pPr>
                      <w:r>
                        <w:rPr>
                          <w:rFonts w:cstheme="minorHAnsi"/>
                          <w:i/>
                        </w:rPr>
                        <w:t>T</w:t>
                      </w:r>
                      <w:r w:rsidRPr="00F47F02">
                        <w:rPr>
                          <w:rFonts w:cstheme="minorHAnsi"/>
                          <w:i/>
                        </w:rPr>
                        <w:t>here are certain norms that a</w:t>
                      </w:r>
                      <w:r>
                        <w:rPr>
                          <w:rFonts w:cstheme="minorHAnsi"/>
                          <w:i/>
                        </w:rPr>
                        <w:t>re</w:t>
                      </w:r>
                      <w:r w:rsidRPr="00F47F02">
                        <w:rPr>
                          <w:rFonts w:cstheme="minorHAnsi"/>
                          <w:i/>
                        </w:rPr>
                        <w:t xml:space="preserve"> quite bad like, since a man is the head of a home, he can use violence to correct his wife and no one can interfere. Most people would have loved to interfere, but it’s also a generally held norm that you don't come between a man and his wife, even the law takes so much time before intervention. Our m</w:t>
                      </w:r>
                      <w:r>
                        <w:rPr>
                          <w:rFonts w:cstheme="minorHAnsi"/>
                          <w:i/>
                        </w:rPr>
                        <w:t>uslim</w:t>
                      </w:r>
                      <w:r w:rsidRPr="00F47F02">
                        <w:rPr>
                          <w:rFonts w:cstheme="minorHAnsi"/>
                          <w:i/>
                        </w:rPr>
                        <w:t xml:space="preserve"> brothers are backed up by religion to even cane their wives.</w:t>
                      </w:r>
                    </w:p>
                    <w:p w:rsidR="006D6A0C" w:rsidRPr="00F47F02" w:rsidRDefault="006D6A0C" w:rsidP="00681F77">
                      <w:pPr>
                        <w:jc w:val="center"/>
                        <w:rPr>
                          <w:rFonts w:cstheme="minorHAnsi"/>
                          <w:sz w:val="24"/>
                          <w:szCs w:val="24"/>
                        </w:rPr>
                      </w:pPr>
                      <w:r>
                        <w:rPr>
                          <w:rFonts w:cstheme="minorHAnsi"/>
                          <w:i/>
                        </w:rPr>
                        <w:t>FGD Respondent, FCT</w:t>
                      </w:r>
                    </w:p>
                    <w:p w:rsidR="006D6A0C" w:rsidRDefault="006D6A0C" w:rsidP="00E75191">
                      <w:pPr>
                        <w:jc w:val="center"/>
                      </w:pPr>
                    </w:p>
                  </w:txbxContent>
                </v:textbox>
                <w10:anchorlock/>
              </v:rect>
            </w:pict>
          </mc:Fallback>
        </mc:AlternateContent>
      </w:r>
    </w:p>
    <w:p w14:paraId="7A62A787" w14:textId="77777777" w:rsidR="00106270" w:rsidRDefault="00932435" w:rsidP="00E75191">
      <w:pPr>
        <w:spacing w:after="228" w:line="240" w:lineRule="auto"/>
        <w:jc w:val="both"/>
        <w:rPr>
          <w:sz w:val="24"/>
          <w:szCs w:val="24"/>
        </w:rPr>
      </w:pPr>
      <w:r>
        <w:rPr>
          <w:sz w:val="24"/>
          <w:szCs w:val="24"/>
        </w:rPr>
        <w:t>Different groups and organisations address</w:t>
      </w:r>
      <w:r w:rsidR="00396096">
        <w:rPr>
          <w:sz w:val="24"/>
          <w:szCs w:val="24"/>
        </w:rPr>
        <w:t xml:space="preserve"> gender-based violence . </w:t>
      </w:r>
      <w:r>
        <w:rPr>
          <w:sz w:val="24"/>
          <w:szCs w:val="24"/>
        </w:rPr>
        <w:t>In some instances, t</w:t>
      </w:r>
      <w:r w:rsidR="00396096">
        <w:rPr>
          <w:sz w:val="24"/>
          <w:szCs w:val="24"/>
        </w:rPr>
        <w:t xml:space="preserve">he advocacy on gender-based violence has </w:t>
      </w:r>
      <w:r>
        <w:rPr>
          <w:sz w:val="24"/>
          <w:szCs w:val="24"/>
        </w:rPr>
        <w:t>lead to</w:t>
      </w:r>
      <w:r w:rsidR="00396096">
        <w:rPr>
          <w:sz w:val="24"/>
          <w:szCs w:val="24"/>
        </w:rPr>
        <w:t xml:space="preserve"> improvements in the legal framework and the enactment of the Violence Against Persons (Prohibition) Act, 2015. </w:t>
      </w:r>
    </w:p>
    <w:p w14:paraId="35C1D3D0" w14:textId="77777777" w:rsidR="008E3915" w:rsidRPr="00EB6159" w:rsidRDefault="008E3915" w:rsidP="00EB6159">
      <w:pPr>
        <w:rPr>
          <w:rStyle w:val="IntenseEmphasis"/>
        </w:rPr>
      </w:pPr>
      <w:r w:rsidRPr="00EB6159">
        <w:rPr>
          <w:rStyle w:val="IntenseEmphasis"/>
        </w:rPr>
        <w:t>Legal Framework for Gender-Based Violence in Nigeria</w:t>
      </w:r>
    </w:p>
    <w:p w14:paraId="67E7B072" w14:textId="77777777" w:rsidR="00620878" w:rsidRPr="00C6536D" w:rsidRDefault="00620878" w:rsidP="00E75191">
      <w:pPr>
        <w:spacing w:line="240" w:lineRule="auto"/>
        <w:jc w:val="both"/>
        <w:rPr>
          <w:sz w:val="24"/>
          <w:szCs w:val="24"/>
        </w:rPr>
      </w:pPr>
      <w:r w:rsidRPr="00620878">
        <w:rPr>
          <w:sz w:val="24"/>
          <w:szCs w:val="24"/>
        </w:rPr>
        <w:t xml:space="preserve">In line with </w:t>
      </w:r>
      <w:r>
        <w:rPr>
          <w:sz w:val="24"/>
          <w:szCs w:val="24"/>
        </w:rPr>
        <w:t>its</w:t>
      </w:r>
      <w:r w:rsidRPr="00620878">
        <w:rPr>
          <w:sz w:val="24"/>
          <w:szCs w:val="24"/>
        </w:rPr>
        <w:t xml:space="preserve"> international and regional commitments</w:t>
      </w:r>
      <w:r>
        <w:rPr>
          <w:rStyle w:val="FootnoteReference"/>
          <w:sz w:val="24"/>
          <w:szCs w:val="24"/>
        </w:rPr>
        <w:footnoteReference w:id="95"/>
      </w:r>
      <w:r w:rsidRPr="00620878">
        <w:rPr>
          <w:sz w:val="24"/>
          <w:szCs w:val="24"/>
        </w:rPr>
        <w:t xml:space="preserve">, Nigeria has enshrined the principle of dignity of every person, regardless of gender, </w:t>
      </w:r>
      <w:r w:rsidR="00932435">
        <w:rPr>
          <w:sz w:val="24"/>
          <w:szCs w:val="24"/>
        </w:rPr>
        <w:t>in</w:t>
      </w:r>
      <w:r w:rsidR="00932435" w:rsidRPr="00620878">
        <w:rPr>
          <w:sz w:val="24"/>
          <w:szCs w:val="24"/>
        </w:rPr>
        <w:t xml:space="preserve"> </w:t>
      </w:r>
      <w:r w:rsidRPr="00620878">
        <w:rPr>
          <w:sz w:val="24"/>
          <w:szCs w:val="24"/>
        </w:rPr>
        <w:t>the 1999 Constitution of the Federal Republic of Nigeria (as amended). Thus</w:t>
      </w:r>
      <w:r w:rsidR="00744F56">
        <w:rPr>
          <w:sz w:val="24"/>
          <w:szCs w:val="24"/>
        </w:rPr>
        <w:t>,</w:t>
      </w:r>
      <w:r w:rsidRPr="00620878">
        <w:rPr>
          <w:sz w:val="24"/>
          <w:szCs w:val="24"/>
        </w:rPr>
        <w:t xml:space="preserve"> the Constitution prohibits every form of torture, inhuman or degrading treatment.</w:t>
      </w:r>
      <w:r w:rsidRPr="00620878">
        <w:rPr>
          <w:rStyle w:val="FootnoteReference"/>
          <w:sz w:val="24"/>
          <w:szCs w:val="24"/>
        </w:rPr>
        <w:footnoteReference w:id="96"/>
      </w:r>
      <w:r w:rsidR="00744F56">
        <w:rPr>
          <w:sz w:val="24"/>
          <w:szCs w:val="24"/>
        </w:rPr>
        <w:t xml:space="preserve"> However, the provisions of certain laws appear to give legal backing to acts of violence perpetuated against women and girls. For instance,</w:t>
      </w:r>
      <w:r w:rsidR="00106270" w:rsidRPr="00C6536D">
        <w:rPr>
          <w:sz w:val="24"/>
          <w:szCs w:val="24"/>
        </w:rPr>
        <w:t xml:space="preserve"> an analysis of the provisions of the Criminal Code Act shows an imbalanced approach towards addressing violence against women. For instance, in its definition of the crime of “unlawful carnal knowledge”, the Act provides: “unlawful carnal knowledge” means carnal connection which takes place otherwise than between husband and wife.”</w:t>
      </w:r>
      <w:r w:rsidR="00106270" w:rsidRPr="00C6536D">
        <w:rPr>
          <w:rStyle w:val="FootnoteReference"/>
          <w:sz w:val="24"/>
          <w:szCs w:val="24"/>
        </w:rPr>
        <w:footnoteReference w:id="97"/>
      </w:r>
      <w:r>
        <w:rPr>
          <w:sz w:val="24"/>
          <w:szCs w:val="24"/>
        </w:rPr>
        <w:t xml:space="preserve"> Hence, it prevents a</w:t>
      </w:r>
      <w:r w:rsidRPr="00C6536D">
        <w:rPr>
          <w:sz w:val="24"/>
          <w:szCs w:val="24"/>
        </w:rPr>
        <w:t xml:space="preserve"> </w:t>
      </w:r>
      <w:r w:rsidR="00932435" w:rsidRPr="00C6536D">
        <w:rPr>
          <w:sz w:val="24"/>
          <w:szCs w:val="24"/>
        </w:rPr>
        <w:t xml:space="preserve">married </w:t>
      </w:r>
      <w:r w:rsidRPr="00C6536D">
        <w:rPr>
          <w:sz w:val="24"/>
          <w:szCs w:val="24"/>
        </w:rPr>
        <w:t xml:space="preserve">man from being held liable for the crime of rape where the victim is his wife. Married women </w:t>
      </w:r>
      <w:r w:rsidR="00932435">
        <w:rPr>
          <w:sz w:val="24"/>
          <w:szCs w:val="24"/>
        </w:rPr>
        <w:t xml:space="preserve">who </w:t>
      </w:r>
      <w:r w:rsidR="00932435" w:rsidRPr="00C6536D">
        <w:rPr>
          <w:sz w:val="24"/>
          <w:szCs w:val="24"/>
        </w:rPr>
        <w:t>have been sexually assaulted by their husbands</w:t>
      </w:r>
      <w:r w:rsidR="00932435">
        <w:rPr>
          <w:sz w:val="24"/>
          <w:szCs w:val="24"/>
        </w:rPr>
        <w:t>,</w:t>
      </w:r>
      <w:r w:rsidR="00932435" w:rsidRPr="00C6536D">
        <w:rPr>
          <w:sz w:val="24"/>
          <w:szCs w:val="24"/>
        </w:rPr>
        <w:t xml:space="preserve"> </w:t>
      </w:r>
      <w:r w:rsidRPr="00C6536D">
        <w:rPr>
          <w:sz w:val="24"/>
          <w:szCs w:val="24"/>
        </w:rPr>
        <w:t>are thus denied the right to seek justice under the Act</w:t>
      </w:r>
      <w:r w:rsidR="00932435">
        <w:rPr>
          <w:sz w:val="24"/>
          <w:szCs w:val="24"/>
        </w:rPr>
        <w:t>.</w:t>
      </w:r>
    </w:p>
    <w:p w14:paraId="7922EDB6" w14:textId="77777777" w:rsidR="00106270" w:rsidRPr="00C6536D" w:rsidRDefault="00106270" w:rsidP="00E75191">
      <w:pPr>
        <w:spacing w:line="240" w:lineRule="auto"/>
        <w:jc w:val="both"/>
        <w:rPr>
          <w:sz w:val="24"/>
          <w:szCs w:val="24"/>
        </w:rPr>
      </w:pPr>
      <w:r w:rsidRPr="00C6536D">
        <w:rPr>
          <w:sz w:val="24"/>
          <w:szCs w:val="24"/>
        </w:rPr>
        <w:t>Another way in which the Criminal Code Act projects inequality is seen in its provision for penalty for ‘indecent assault’. The Act classifies indecent assault towards males as a higher offence than indecent assault on females. Indecent assault on males is termed a ‘felony’</w:t>
      </w:r>
      <w:r w:rsidRPr="00C6536D">
        <w:rPr>
          <w:rStyle w:val="FootnoteReference"/>
          <w:sz w:val="24"/>
          <w:szCs w:val="24"/>
        </w:rPr>
        <w:footnoteReference w:id="98"/>
      </w:r>
      <w:r w:rsidRPr="00C6536D">
        <w:rPr>
          <w:sz w:val="24"/>
          <w:szCs w:val="24"/>
        </w:rPr>
        <w:t xml:space="preserve"> which attracts an imprisonment for three years upon conviction.</w:t>
      </w:r>
      <w:r w:rsidRPr="00C6536D">
        <w:rPr>
          <w:rStyle w:val="FootnoteReference"/>
          <w:sz w:val="24"/>
          <w:szCs w:val="24"/>
        </w:rPr>
        <w:footnoteReference w:id="99"/>
      </w:r>
      <w:r w:rsidRPr="00C6536D">
        <w:rPr>
          <w:sz w:val="24"/>
          <w:szCs w:val="24"/>
        </w:rPr>
        <w:t xml:space="preserve"> On the other hand, indecent assault on females is considered a ‘misdemeano</w:t>
      </w:r>
      <w:r w:rsidR="00FE19D9">
        <w:rPr>
          <w:sz w:val="24"/>
          <w:szCs w:val="24"/>
        </w:rPr>
        <w:t>u</w:t>
      </w:r>
      <w:r w:rsidRPr="00C6536D">
        <w:rPr>
          <w:sz w:val="24"/>
          <w:szCs w:val="24"/>
        </w:rPr>
        <w:t>r’</w:t>
      </w:r>
      <w:r w:rsidRPr="00C6536D">
        <w:rPr>
          <w:rStyle w:val="FootnoteReference"/>
          <w:sz w:val="24"/>
          <w:szCs w:val="24"/>
        </w:rPr>
        <w:footnoteReference w:id="100"/>
      </w:r>
      <w:r w:rsidRPr="00C6536D">
        <w:rPr>
          <w:sz w:val="24"/>
          <w:szCs w:val="24"/>
        </w:rPr>
        <w:t xml:space="preserve"> that attracts an imprisonment for two years upon conviction.</w:t>
      </w:r>
      <w:r w:rsidRPr="00C6536D">
        <w:rPr>
          <w:rStyle w:val="FootnoteReference"/>
          <w:sz w:val="24"/>
          <w:szCs w:val="24"/>
        </w:rPr>
        <w:footnoteReference w:id="101"/>
      </w:r>
      <w:r w:rsidRPr="00C6536D">
        <w:rPr>
          <w:sz w:val="24"/>
          <w:szCs w:val="24"/>
        </w:rPr>
        <w:t xml:space="preserve"> </w:t>
      </w:r>
    </w:p>
    <w:p w14:paraId="3791F437" w14:textId="77777777" w:rsidR="00106270" w:rsidRDefault="00106270" w:rsidP="00E75191">
      <w:pPr>
        <w:spacing w:line="240" w:lineRule="auto"/>
        <w:jc w:val="both"/>
        <w:rPr>
          <w:sz w:val="24"/>
          <w:szCs w:val="24"/>
        </w:rPr>
      </w:pPr>
      <w:r w:rsidRPr="00C6536D">
        <w:rPr>
          <w:sz w:val="24"/>
          <w:szCs w:val="24"/>
        </w:rPr>
        <w:t xml:space="preserve">Similarly, some provisions of the Penal Code Act appear to provide legal backing for gender-based violence. It provides that a married man cannot be held liable for inflicting injury on his wife where the act is done for the purpose of chastising the wife if the couple is subject to </w:t>
      </w:r>
      <w:r w:rsidRPr="00C6536D">
        <w:rPr>
          <w:sz w:val="24"/>
          <w:szCs w:val="24"/>
        </w:rPr>
        <w:lastRenderedPageBreak/>
        <w:t>customary law that recognises the husband’s actions as lawful.</w:t>
      </w:r>
      <w:r w:rsidRPr="00C6536D">
        <w:rPr>
          <w:rStyle w:val="FootnoteReference"/>
          <w:sz w:val="24"/>
          <w:szCs w:val="24"/>
        </w:rPr>
        <w:footnoteReference w:id="102"/>
      </w:r>
      <w:r w:rsidRPr="00C6536D">
        <w:rPr>
          <w:sz w:val="24"/>
          <w:szCs w:val="24"/>
        </w:rPr>
        <w:t xml:space="preserve"> Its provisions are therefore expressly discriminatory towards women and encourage violence against women in marriage.</w:t>
      </w:r>
    </w:p>
    <w:p w14:paraId="7ED19D6D" w14:textId="77777777" w:rsidR="00681F77" w:rsidRPr="00C6536D" w:rsidRDefault="00681F77" w:rsidP="00E75191">
      <w:pPr>
        <w:spacing w:line="240" w:lineRule="auto"/>
        <w:jc w:val="both"/>
        <w:rPr>
          <w:sz w:val="24"/>
          <w:szCs w:val="24"/>
        </w:rPr>
      </w:pPr>
    </w:p>
    <w:p w14:paraId="4A916997" w14:textId="77777777" w:rsidR="000D3559" w:rsidRPr="000D3559" w:rsidRDefault="00681F77" w:rsidP="00E75191">
      <w:pPr>
        <w:spacing w:line="240" w:lineRule="auto"/>
        <w:jc w:val="both"/>
        <w:rPr>
          <w:sz w:val="24"/>
          <w:szCs w:val="24"/>
        </w:rPr>
      </w:pPr>
      <w:r>
        <w:rPr>
          <w:noProof/>
          <w:lang w:val="en-IE" w:eastAsia="en-IE"/>
        </w:rPr>
        <w:drawing>
          <wp:anchor distT="0" distB="0" distL="114300" distR="114300" simplePos="0" relativeHeight="251719680" behindDoc="0" locked="0" layoutInCell="1" allowOverlap="1" wp14:anchorId="1DD17D41" wp14:editId="08BEE5A2">
            <wp:simplePos x="0" y="0"/>
            <wp:positionH relativeFrom="margin">
              <wp:align>left</wp:align>
            </wp:positionH>
            <wp:positionV relativeFrom="paragraph">
              <wp:posOffset>4445</wp:posOffset>
            </wp:positionV>
            <wp:extent cx="2185035" cy="2574925"/>
            <wp:effectExtent l="0" t="0" r="5715" b="0"/>
            <wp:wrapSquare wrapText="bothSides"/>
            <wp:docPr id="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41">
                      <a:extLst>
                        <a:ext uri="{28A0092B-C50C-407E-A947-70E740481C1C}">
                          <a14:useLocalDpi xmlns:a14="http://schemas.microsoft.com/office/drawing/2010/main" val="0"/>
                        </a:ext>
                      </a:extLst>
                    </a:blip>
                    <a:srcRect b="15736"/>
                    <a:stretch/>
                  </pic:blipFill>
                  <pic:spPr>
                    <a:xfrm>
                      <a:off x="0" y="0"/>
                      <a:ext cx="2185035" cy="2574925"/>
                    </a:xfrm>
                    <a:prstGeom prst="rect">
                      <a:avLst/>
                    </a:prstGeom>
                  </pic:spPr>
                </pic:pic>
              </a:graphicData>
            </a:graphic>
          </wp:anchor>
        </w:drawing>
      </w:r>
      <w:r w:rsidR="00F3418C">
        <w:rPr>
          <w:sz w:val="24"/>
          <w:szCs w:val="24"/>
        </w:rPr>
        <w:t xml:space="preserve">The gaps in the extant laws led to intense advocacy by women groups and others resulting in the </w:t>
      </w:r>
      <w:r w:rsidR="00106270" w:rsidRPr="00C6536D">
        <w:rPr>
          <w:sz w:val="24"/>
          <w:szCs w:val="24"/>
        </w:rPr>
        <w:t xml:space="preserve">enactment of the Violence against Persons (Prohibition) (VAPP) Act, </w:t>
      </w:r>
      <w:r w:rsidR="00F3418C">
        <w:rPr>
          <w:sz w:val="24"/>
          <w:szCs w:val="24"/>
        </w:rPr>
        <w:t xml:space="preserve">in </w:t>
      </w:r>
      <w:r w:rsidR="00106270" w:rsidRPr="00C6536D">
        <w:rPr>
          <w:sz w:val="24"/>
          <w:szCs w:val="24"/>
        </w:rPr>
        <w:t>2015</w:t>
      </w:r>
      <w:r w:rsidR="00F3418C">
        <w:rPr>
          <w:sz w:val="24"/>
          <w:szCs w:val="24"/>
        </w:rPr>
        <w:t>. The Act</w:t>
      </w:r>
      <w:r w:rsidR="00106270" w:rsidRPr="00C6536D">
        <w:rPr>
          <w:sz w:val="24"/>
          <w:szCs w:val="24"/>
        </w:rPr>
        <w:t xml:space="preserve"> indicates a renewed attempt by the Nigerian government to address the gaps in existing legislation, as it relates to the protection of women from violence. </w:t>
      </w:r>
      <w:r w:rsidR="00F3418C">
        <w:rPr>
          <w:sz w:val="24"/>
          <w:szCs w:val="24"/>
        </w:rPr>
        <w:t>The Act provides a legal framework for a broad array of offences, which were previously not ca</w:t>
      </w:r>
      <w:r w:rsidR="000D3559">
        <w:rPr>
          <w:sz w:val="24"/>
          <w:szCs w:val="24"/>
        </w:rPr>
        <w:t>ptured under the law</w:t>
      </w:r>
      <w:r w:rsidR="00FB0467">
        <w:rPr>
          <w:sz w:val="24"/>
          <w:szCs w:val="24"/>
        </w:rPr>
        <w:t>,</w:t>
      </w:r>
      <w:r w:rsidR="000D3559">
        <w:rPr>
          <w:sz w:val="24"/>
          <w:szCs w:val="24"/>
        </w:rPr>
        <w:t xml:space="preserve"> including FGM, co</w:t>
      </w:r>
      <w:r w:rsidR="000D3559" w:rsidRPr="000D3559">
        <w:rPr>
          <w:sz w:val="24"/>
          <w:szCs w:val="24"/>
        </w:rPr>
        <w:t>ercion</w:t>
      </w:r>
      <w:r w:rsidR="000D3559">
        <w:rPr>
          <w:sz w:val="24"/>
          <w:szCs w:val="24"/>
        </w:rPr>
        <w:t>, frustrating investigations, forc</w:t>
      </w:r>
      <w:r w:rsidR="00E75191">
        <w:rPr>
          <w:sz w:val="24"/>
          <w:szCs w:val="24"/>
        </w:rPr>
        <w:t>ed financial dependence/economi</w:t>
      </w:r>
      <w:r w:rsidR="000D3559">
        <w:rPr>
          <w:sz w:val="24"/>
          <w:szCs w:val="24"/>
        </w:rPr>
        <w:t xml:space="preserve">c abuse, forceful ejection from home, damage to property with intent to cause distress, </w:t>
      </w:r>
      <w:r w:rsidR="00FB0467">
        <w:rPr>
          <w:sz w:val="24"/>
          <w:szCs w:val="24"/>
        </w:rPr>
        <w:t>f</w:t>
      </w:r>
      <w:r w:rsidR="000D3559" w:rsidRPr="000D3559">
        <w:rPr>
          <w:sz w:val="24"/>
          <w:szCs w:val="24"/>
        </w:rPr>
        <w:t xml:space="preserve">orced </w:t>
      </w:r>
      <w:r w:rsidR="00FB0467">
        <w:rPr>
          <w:sz w:val="24"/>
          <w:szCs w:val="24"/>
        </w:rPr>
        <w:t>i</w:t>
      </w:r>
      <w:r w:rsidR="000D3559" w:rsidRPr="000D3559">
        <w:rPr>
          <w:sz w:val="24"/>
          <w:szCs w:val="24"/>
        </w:rPr>
        <w:t>solation/</w:t>
      </w:r>
      <w:r w:rsidR="00FB0467">
        <w:rPr>
          <w:sz w:val="24"/>
          <w:szCs w:val="24"/>
        </w:rPr>
        <w:t>s</w:t>
      </w:r>
      <w:r w:rsidR="000D3559" w:rsidRPr="000D3559">
        <w:rPr>
          <w:sz w:val="24"/>
          <w:szCs w:val="24"/>
        </w:rPr>
        <w:t xml:space="preserve">eparation from </w:t>
      </w:r>
      <w:r w:rsidR="00FB0467">
        <w:rPr>
          <w:sz w:val="24"/>
          <w:szCs w:val="24"/>
        </w:rPr>
        <w:t>f</w:t>
      </w:r>
      <w:r w:rsidR="00FB0467" w:rsidRPr="000D3559">
        <w:rPr>
          <w:sz w:val="24"/>
          <w:szCs w:val="24"/>
        </w:rPr>
        <w:t xml:space="preserve">amily </w:t>
      </w:r>
      <w:r w:rsidR="000D3559" w:rsidRPr="000D3559">
        <w:rPr>
          <w:sz w:val="24"/>
          <w:szCs w:val="24"/>
        </w:rPr>
        <w:t xml:space="preserve">and </w:t>
      </w:r>
      <w:r w:rsidR="00FB0467">
        <w:rPr>
          <w:sz w:val="24"/>
          <w:szCs w:val="24"/>
        </w:rPr>
        <w:t>f</w:t>
      </w:r>
      <w:r w:rsidR="000D3559" w:rsidRPr="000D3559">
        <w:rPr>
          <w:sz w:val="24"/>
          <w:szCs w:val="24"/>
        </w:rPr>
        <w:t>riends</w:t>
      </w:r>
      <w:r w:rsidR="000D3559">
        <w:rPr>
          <w:sz w:val="24"/>
          <w:szCs w:val="24"/>
        </w:rPr>
        <w:t xml:space="preserve">, </w:t>
      </w:r>
      <w:r w:rsidR="00FB0467">
        <w:rPr>
          <w:sz w:val="24"/>
          <w:szCs w:val="24"/>
        </w:rPr>
        <w:t>e</w:t>
      </w:r>
      <w:r w:rsidR="000D3559" w:rsidRPr="000D3559">
        <w:rPr>
          <w:sz w:val="24"/>
          <w:szCs w:val="24"/>
        </w:rPr>
        <w:t xml:space="preserve">motional, </w:t>
      </w:r>
      <w:r w:rsidR="00FB0467">
        <w:rPr>
          <w:sz w:val="24"/>
          <w:szCs w:val="24"/>
        </w:rPr>
        <w:t>v</w:t>
      </w:r>
      <w:r w:rsidR="000D3559" w:rsidRPr="000D3559">
        <w:rPr>
          <w:sz w:val="24"/>
          <w:szCs w:val="24"/>
        </w:rPr>
        <w:t>erbal/</w:t>
      </w:r>
      <w:r w:rsidR="00FB0467">
        <w:rPr>
          <w:sz w:val="24"/>
          <w:szCs w:val="24"/>
        </w:rPr>
        <w:t>p</w:t>
      </w:r>
      <w:r w:rsidR="000D3559" w:rsidRPr="000D3559">
        <w:rPr>
          <w:sz w:val="24"/>
          <w:szCs w:val="24"/>
        </w:rPr>
        <w:t xml:space="preserve">sychological </w:t>
      </w:r>
      <w:r w:rsidR="00FB0467">
        <w:rPr>
          <w:sz w:val="24"/>
          <w:szCs w:val="24"/>
        </w:rPr>
        <w:t>a</w:t>
      </w:r>
      <w:r w:rsidR="000D3559" w:rsidRPr="000D3559">
        <w:rPr>
          <w:sz w:val="24"/>
          <w:szCs w:val="24"/>
        </w:rPr>
        <w:t>buse</w:t>
      </w:r>
      <w:r w:rsidR="000D3559">
        <w:rPr>
          <w:sz w:val="24"/>
          <w:szCs w:val="24"/>
        </w:rPr>
        <w:t xml:space="preserve">, </w:t>
      </w:r>
      <w:r w:rsidR="00FB0467">
        <w:rPr>
          <w:sz w:val="24"/>
          <w:szCs w:val="24"/>
        </w:rPr>
        <w:t>h</w:t>
      </w:r>
      <w:r w:rsidR="000D3559" w:rsidRPr="000D3559">
        <w:rPr>
          <w:sz w:val="24"/>
          <w:szCs w:val="24"/>
        </w:rPr>
        <w:t xml:space="preserve">armful </w:t>
      </w:r>
      <w:r w:rsidR="00FB0467">
        <w:rPr>
          <w:sz w:val="24"/>
          <w:szCs w:val="24"/>
        </w:rPr>
        <w:t>w</w:t>
      </w:r>
      <w:r w:rsidR="000D3559" w:rsidRPr="000D3559">
        <w:rPr>
          <w:sz w:val="24"/>
          <w:szCs w:val="24"/>
        </w:rPr>
        <w:t xml:space="preserve">idowhood </w:t>
      </w:r>
      <w:r w:rsidR="00FB0467">
        <w:rPr>
          <w:sz w:val="24"/>
          <w:szCs w:val="24"/>
        </w:rPr>
        <w:t>p</w:t>
      </w:r>
      <w:r w:rsidR="000D3559" w:rsidRPr="000D3559">
        <w:rPr>
          <w:sz w:val="24"/>
          <w:szCs w:val="24"/>
        </w:rPr>
        <w:t>ractices</w:t>
      </w:r>
      <w:r w:rsidR="000D3559">
        <w:rPr>
          <w:sz w:val="24"/>
          <w:szCs w:val="24"/>
        </w:rPr>
        <w:t xml:space="preserve">, </w:t>
      </w:r>
      <w:r w:rsidR="00FB0467">
        <w:rPr>
          <w:sz w:val="24"/>
          <w:szCs w:val="24"/>
        </w:rPr>
        <w:t>a</w:t>
      </w:r>
      <w:r w:rsidR="000D3559" w:rsidRPr="000D3559">
        <w:rPr>
          <w:sz w:val="24"/>
          <w:szCs w:val="24"/>
        </w:rPr>
        <w:t xml:space="preserve">bandonment of </w:t>
      </w:r>
      <w:r w:rsidR="00FB0467">
        <w:rPr>
          <w:sz w:val="24"/>
          <w:szCs w:val="24"/>
        </w:rPr>
        <w:t>c</w:t>
      </w:r>
      <w:r w:rsidR="000D3559" w:rsidRPr="000D3559">
        <w:rPr>
          <w:sz w:val="24"/>
          <w:szCs w:val="24"/>
        </w:rPr>
        <w:t xml:space="preserve">hildren, </w:t>
      </w:r>
      <w:r w:rsidR="00FB0467">
        <w:rPr>
          <w:sz w:val="24"/>
          <w:szCs w:val="24"/>
        </w:rPr>
        <w:t>s</w:t>
      </w:r>
      <w:r w:rsidR="000D3559" w:rsidRPr="000D3559">
        <w:rPr>
          <w:sz w:val="24"/>
          <w:szCs w:val="24"/>
        </w:rPr>
        <w:t xml:space="preserve">pouse and </w:t>
      </w:r>
      <w:r w:rsidR="00FB0467">
        <w:rPr>
          <w:sz w:val="24"/>
          <w:szCs w:val="24"/>
        </w:rPr>
        <w:t>o</w:t>
      </w:r>
      <w:r w:rsidR="000D3559" w:rsidRPr="000D3559">
        <w:rPr>
          <w:sz w:val="24"/>
          <w:szCs w:val="24"/>
        </w:rPr>
        <w:t xml:space="preserve">ther </w:t>
      </w:r>
      <w:r w:rsidR="00FB0467">
        <w:rPr>
          <w:sz w:val="24"/>
          <w:szCs w:val="24"/>
        </w:rPr>
        <w:t>d</w:t>
      </w:r>
      <w:r w:rsidR="000D3559" w:rsidRPr="000D3559">
        <w:rPr>
          <w:sz w:val="24"/>
          <w:szCs w:val="24"/>
        </w:rPr>
        <w:t>ependants</w:t>
      </w:r>
      <w:r w:rsidR="000D3559">
        <w:rPr>
          <w:sz w:val="24"/>
          <w:szCs w:val="24"/>
        </w:rPr>
        <w:t xml:space="preserve">, </w:t>
      </w:r>
      <w:r w:rsidR="00FB0467">
        <w:rPr>
          <w:sz w:val="24"/>
          <w:szCs w:val="24"/>
        </w:rPr>
        <w:t>s</w:t>
      </w:r>
      <w:r w:rsidR="000D3559">
        <w:rPr>
          <w:sz w:val="24"/>
          <w:szCs w:val="24"/>
        </w:rPr>
        <w:t xml:space="preserve">talking, </w:t>
      </w:r>
      <w:r w:rsidR="00FB0467">
        <w:rPr>
          <w:sz w:val="24"/>
          <w:szCs w:val="24"/>
        </w:rPr>
        <w:t>s</w:t>
      </w:r>
      <w:r w:rsidR="000D3559" w:rsidRPr="000D3559">
        <w:rPr>
          <w:sz w:val="24"/>
          <w:szCs w:val="24"/>
        </w:rPr>
        <w:t xml:space="preserve">pousal </w:t>
      </w:r>
      <w:r w:rsidR="00FB0467">
        <w:rPr>
          <w:sz w:val="24"/>
          <w:szCs w:val="24"/>
        </w:rPr>
        <w:t>b</w:t>
      </w:r>
      <w:r w:rsidR="000D3559" w:rsidRPr="000D3559">
        <w:rPr>
          <w:sz w:val="24"/>
          <w:szCs w:val="24"/>
        </w:rPr>
        <w:t>attery</w:t>
      </w:r>
      <w:r w:rsidR="000D3559">
        <w:rPr>
          <w:sz w:val="24"/>
          <w:szCs w:val="24"/>
        </w:rPr>
        <w:t xml:space="preserve">, </w:t>
      </w:r>
      <w:r w:rsidR="00FB0467">
        <w:rPr>
          <w:sz w:val="24"/>
          <w:szCs w:val="24"/>
        </w:rPr>
        <w:t>h</w:t>
      </w:r>
      <w:r w:rsidR="000D3559" w:rsidRPr="000D3559">
        <w:rPr>
          <w:sz w:val="24"/>
          <w:szCs w:val="24"/>
        </w:rPr>
        <w:t xml:space="preserve">armful </w:t>
      </w:r>
      <w:r w:rsidR="00FB0467">
        <w:rPr>
          <w:sz w:val="24"/>
          <w:szCs w:val="24"/>
        </w:rPr>
        <w:t>t</w:t>
      </w:r>
      <w:r w:rsidR="000D3559" w:rsidRPr="000D3559">
        <w:rPr>
          <w:sz w:val="24"/>
          <w:szCs w:val="24"/>
        </w:rPr>
        <w:t xml:space="preserve">raditional </w:t>
      </w:r>
      <w:r w:rsidR="00FB0467">
        <w:rPr>
          <w:sz w:val="24"/>
          <w:szCs w:val="24"/>
        </w:rPr>
        <w:t>p</w:t>
      </w:r>
      <w:r w:rsidR="000D3559" w:rsidRPr="000D3559">
        <w:rPr>
          <w:sz w:val="24"/>
          <w:szCs w:val="24"/>
        </w:rPr>
        <w:t>ractices</w:t>
      </w:r>
      <w:r w:rsidR="000D3559">
        <w:rPr>
          <w:sz w:val="24"/>
          <w:szCs w:val="24"/>
        </w:rPr>
        <w:t xml:space="preserve">, </w:t>
      </w:r>
      <w:r w:rsidR="00FB0467">
        <w:rPr>
          <w:sz w:val="24"/>
          <w:szCs w:val="24"/>
        </w:rPr>
        <w:t>a</w:t>
      </w:r>
      <w:r w:rsidR="000D3559" w:rsidRPr="000D3559">
        <w:rPr>
          <w:sz w:val="24"/>
          <w:szCs w:val="24"/>
        </w:rPr>
        <w:t xml:space="preserve">ttack with </w:t>
      </w:r>
      <w:r w:rsidR="00FB0467">
        <w:rPr>
          <w:sz w:val="24"/>
          <w:szCs w:val="24"/>
        </w:rPr>
        <w:t>h</w:t>
      </w:r>
      <w:r w:rsidR="000D3559" w:rsidRPr="000D3559">
        <w:rPr>
          <w:sz w:val="24"/>
          <w:szCs w:val="24"/>
        </w:rPr>
        <w:t xml:space="preserve">armful </w:t>
      </w:r>
      <w:r w:rsidR="00FB0467">
        <w:rPr>
          <w:sz w:val="24"/>
          <w:szCs w:val="24"/>
        </w:rPr>
        <w:t>s</w:t>
      </w:r>
      <w:r w:rsidR="000D3559" w:rsidRPr="000D3559">
        <w:rPr>
          <w:sz w:val="24"/>
          <w:szCs w:val="24"/>
        </w:rPr>
        <w:t>ubstances</w:t>
      </w:r>
      <w:r w:rsidR="000D3559">
        <w:rPr>
          <w:sz w:val="24"/>
          <w:szCs w:val="24"/>
        </w:rPr>
        <w:t xml:space="preserve">, amongst others. </w:t>
      </w:r>
    </w:p>
    <w:p w14:paraId="478C9D99" w14:textId="77777777" w:rsidR="00106270" w:rsidRPr="00C6536D" w:rsidRDefault="000D3559" w:rsidP="00E75191">
      <w:pPr>
        <w:spacing w:line="240" w:lineRule="auto"/>
        <w:jc w:val="both"/>
        <w:rPr>
          <w:sz w:val="24"/>
          <w:szCs w:val="24"/>
        </w:rPr>
      </w:pPr>
      <w:r>
        <w:rPr>
          <w:sz w:val="24"/>
          <w:szCs w:val="24"/>
        </w:rPr>
        <w:t>The definitions of offences are broader than in the Criminal and Penal Code. For instance, u</w:t>
      </w:r>
      <w:r w:rsidR="00106270" w:rsidRPr="00C6536D">
        <w:rPr>
          <w:sz w:val="24"/>
          <w:szCs w:val="24"/>
        </w:rPr>
        <w:t>nder the Act, rape is considered an offence that can be committed against both men and women</w:t>
      </w:r>
      <w:r w:rsidR="00106270" w:rsidRPr="00C6536D">
        <w:rPr>
          <w:rStyle w:val="FootnoteReference"/>
          <w:sz w:val="24"/>
          <w:szCs w:val="24"/>
        </w:rPr>
        <w:footnoteReference w:id="103"/>
      </w:r>
      <w:r w:rsidR="00106270" w:rsidRPr="00C6536D">
        <w:rPr>
          <w:sz w:val="24"/>
          <w:szCs w:val="24"/>
        </w:rPr>
        <w:t>, and no exception is made for spousal rape. Female genital mutilation is also penalized under the Act, as are other longstanding cultural practices that encourage the infliction of pain on widows.</w:t>
      </w:r>
      <w:r w:rsidR="00106270" w:rsidRPr="00C6536D">
        <w:rPr>
          <w:rStyle w:val="FootnoteReference"/>
          <w:sz w:val="24"/>
          <w:szCs w:val="24"/>
        </w:rPr>
        <w:footnoteReference w:id="104"/>
      </w:r>
      <w:r w:rsidR="00106270" w:rsidRPr="00C6536D">
        <w:rPr>
          <w:sz w:val="24"/>
          <w:szCs w:val="24"/>
        </w:rPr>
        <w:t xml:space="preserve"> However, the Act does not specify the kinds of actions or practices which constitute the latter offence, thereby implying that whatever that is done under the guise of culture and may be harmful in any way to the widow violates this provision of the law. </w:t>
      </w:r>
    </w:p>
    <w:p w14:paraId="340CA47A" w14:textId="77777777" w:rsidR="00106270" w:rsidRPr="00C6536D" w:rsidRDefault="00106270" w:rsidP="00E75191">
      <w:pPr>
        <w:spacing w:line="240" w:lineRule="auto"/>
        <w:jc w:val="both"/>
        <w:rPr>
          <w:sz w:val="24"/>
          <w:szCs w:val="24"/>
        </w:rPr>
      </w:pPr>
      <w:r w:rsidRPr="00C6536D">
        <w:rPr>
          <w:sz w:val="24"/>
          <w:szCs w:val="24"/>
        </w:rPr>
        <w:t>While the Violence against Persons (Prohibition) (VAPP) Act, 2015 demonstrates the resolve to discourage violence against both genders, its nationwide implementation is dependent on its adoption by each of the States Houses of Assembly. At present, about 23 States have passed the VAPP Act</w:t>
      </w:r>
      <w:r w:rsidRPr="00C6536D">
        <w:rPr>
          <w:rStyle w:val="FootnoteReference"/>
          <w:sz w:val="24"/>
          <w:szCs w:val="24"/>
        </w:rPr>
        <w:footnoteReference w:id="105"/>
      </w:r>
      <w:r w:rsidRPr="00C6536D">
        <w:rPr>
          <w:sz w:val="24"/>
          <w:szCs w:val="24"/>
        </w:rPr>
        <w:t xml:space="preserve">, thus leaving 13 States at liberty to continue to perpetuate the harmful cultural practices prohibited under the Act, pending adoption of the law.    </w:t>
      </w:r>
    </w:p>
    <w:p w14:paraId="1FE59D4E" w14:textId="77777777" w:rsidR="00106270" w:rsidRDefault="00106270" w:rsidP="00E75191">
      <w:pPr>
        <w:spacing w:line="240" w:lineRule="auto"/>
        <w:jc w:val="both"/>
        <w:rPr>
          <w:sz w:val="24"/>
          <w:szCs w:val="24"/>
        </w:rPr>
      </w:pPr>
      <w:r w:rsidRPr="00C6536D">
        <w:rPr>
          <w:sz w:val="24"/>
          <w:szCs w:val="24"/>
        </w:rPr>
        <w:t xml:space="preserve">Moreover, the prevalence of various forms of violence against women in Nigeria, even in parts of the country where the Violence against Persons (Prohibition) Act has been adopted indicates that there is a dire need for concrete mechanisms for enforcement of existing laws if Nigeria is to comply with its international and regional commitments to tackle gender-based violence. </w:t>
      </w:r>
    </w:p>
    <w:p w14:paraId="46D08C82" w14:textId="77777777" w:rsidR="00D66449" w:rsidRPr="00EB6159" w:rsidRDefault="00D66449" w:rsidP="00EB6159">
      <w:pPr>
        <w:rPr>
          <w:rStyle w:val="IntenseEmphasis"/>
        </w:rPr>
      </w:pPr>
      <w:r w:rsidRPr="00EB6159">
        <w:rPr>
          <w:rStyle w:val="IntenseEmphasis"/>
        </w:rPr>
        <w:lastRenderedPageBreak/>
        <w:t>Interventions on GBV</w:t>
      </w:r>
    </w:p>
    <w:p w14:paraId="49AB2287" w14:textId="77777777" w:rsidR="00084ECD" w:rsidRDefault="00D66449" w:rsidP="00E75191">
      <w:pPr>
        <w:spacing w:line="240" w:lineRule="auto"/>
        <w:jc w:val="both"/>
        <w:rPr>
          <w:sz w:val="24"/>
          <w:szCs w:val="24"/>
        </w:rPr>
      </w:pPr>
      <w:r>
        <w:rPr>
          <w:sz w:val="24"/>
          <w:szCs w:val="24"/>
        </w:rPr>
        <w:t xml:space="preserve">Of the various areas implicated in gender inequality in the country, GBV can be argued to have received the most attention in recent years.  The spike of GBV during the lock-down has drawn more attention from government to this matter.  Some of the efforts that have been made in recent years include </w:t>
      </w:r>
      <w:r w:rsidR="00084ECD">
        <w:rPr>
          <w:sz w:val="24"/>
          <w:szCs w:val="24"/>
        </w:rPr>
        <w:t xml:space="preserve">the establishment of gender units in police divisions across the country.  With respect to legal framework, as described above, </w:t>
      </w:r>
      <w:r>
        <w:rPr>
          <w:sz w:val="24"/>
          <w:szCs w:val="24"/>
        </w:rPr>
        <w:t>the enactment of the VAPP Act</w:t>
      </w:r>
      <w:r w:rsidR="00F418F4">
        <w:rPr>
          <w:sz w:val="24"/>
          <w:szCs w:val="24"/>
        </w:rPr>
        <w:t xml:space="preserve"> in 2015</w:t>
      </w:r>
      <w:r w:rsidR="00084ECD">
        <w:rPr>
          <w:sz w:val="24"/>
          <w:szCs w:val="24"/>
        </w:rPr>
        <w:t xml:space="preserve"> is a significant step.</w:t>
      </w:r>
      <w:r>
        <w:rPr>
          <w:sz w:val="24"/>
          <w:szCs w:val="24"/>
        </w:rPr>
        <w:t xml:space="preserve">  Advocacy is ongoing to ensure adoption</w:t>
      </w:r>
      <w:r w:rsidR="00084ECD">
        <w:rPr>
          <w:sz w:val="24"/>
          <w:szCs w:val="24"/>
        </w:rPr>
        <w:t xml:space="preserve"> of the Act</w:t>
      </w:r>
      <w:r>
        <w:rPr>
          <w:sz w:val="24"/>
          <w:szCs w:val="24"/>
        </w:rPr>
        <w:t xml:space="preserve"> in all the States of the c</w:t>
      </w:r>
      <w:r w:rsidR="000D3559">
        <w:rPr>
          <w:sz w:val="24"/>
          <w:szCs w:val="24"/>
        </w:rPr>
        <w:t>ountry.  At the current time, 23</w:t>
      </w:r>
      <w:r>
        <w:rPr>
          <w:sz w:val="24"/>
          <w:szCs w:val="24"/>
        </w:rPr>
        <w:t xml:space="preserve"> States have enacted the Act as State law, the latest being Sokoto State.</w:t>
      </w:r>
      <w:r>
        <w:rPr>
          <w:rStyle w:val="FootnoteReference"/>
          <w:sz w:val="24"/>
          <w:szCs w:val="24"/>
        </w:rPr>
        <w:footnoteReference w:id="106"/>
      </w:r>
      <w:r w:rsidR="00084ECD">
        <w:rPr>
          <w:sz w:val="24"/>
          <w:szCs w:val="24"/>
        </w:rPr>
        <w:t xml:space="preserve">   In line with the requirement of the VAPP Act, some States have established </w:t>
      </w:r>
      <w:r w:rsidR="00084ECD" w:rsidRPr="00084ECD">
        <w:rPr>
          <w:sz w:val="24"/>
          <w:szCs w:val="24"/>
        </w:rPr>
        <w:t>Sexual Offender Registry Lists</w:t>
      </w:r>
      <w:r w:rsidR="00084ECD">
        <w:rPr>
          <w:sz w:val="24"/>
          <w:szCs w:val="24"/>
        </w:rPr>
        <w:t xml:space="preserve">. These include Ekiti and Lagos State and also </w:t>
      </w:r>
      <w:r w:rsidR="00F26F97">
        <w:rPr>
          <w:sz w:val="24"/>
          <w:szCs w:val="24"/>
        </w:rPr>
        <w:t>a national Sexual Offender Registry exists</w:t>
      </w:r>
      <w:r w:rsidR="00084ECD">
        <w:rPr>
          <w:sz w:val="24"/>
          <w:szCs w:val="24"/>
        </w:rPr>
        <w:t xml:space="preserve">. </w:t>
      </w:r>
      <w:r w:rsidR="00F418F4">
        <w:rPr>
          <w:sz w:val="24"/>
          <w:szCs w:val="24"/>
        </w:rPr>
        <w:t xml:space="preserve">Apart from the VAPP Act, the Child Rights Act enacted in 2003 has been adopted </w:t>
      </w:r>
      <w:r w:rsidR="00F26F97">
        <w:rPr>
          <w:sz w:val="24"/>
          <w:szCs w:val="24"/>
        </w:rPr>
        <w:t>i</w:t>
      </w:r>
      <w:r w:rsidR="00F418F4">
        <w:rPr>
          <w:sz w:val="24"/>
          <w:szCs w:val="24"/>
        </w:rPr>
        <w:t xml:space="preserve">n 26 States.  Unfortunately many of the Northern States </w:t>
      </w:r>
      <w:r w:rsidR="00F26F97">
        <w:rPr>
          <w:sz w:val="24"/>
          <w:szCs w:val="24"/>
        </w:rPr>
        <w:t>where</w:t>
      </w:r>
      <w:r w:rsidR="00F418F4">
        <w:rPr>
          <w:sz w:val="24"/>
          <w:szCs w:val="24"/>
        </w:rPr>
        <w:t xml:space="preserve"> child marriage is significant have not yet adopted the Child Rights Act. </w:t>
      </w:r>
      <w:r w:rsidR="007D0884">
        <w:rPr>
          <w:sz w:val="24"/>
          <w:szCs w:val="24"/>
        </w:rPr>
        <w:t xml:space="preserve">On trafficking, the </w:t>
      </w:r>
      <w:r w:rsidR="007D0884" w:rsidRPr="00F418F4">
        <w:rPr>
          <w:sz w:val="24"/>
          <w:szCs w:val="24"/>
        </w:rPr>
        <w:t>Trafficking in Persons (Prohibition) Enforcement and Administration Act, 2015</w:t>
      </w:r>
      <w:r w:rsidR="007D0884">
        <w:rPr>
          <w:sz w:val="24"/>
          <w:szCs w:val="24"/>
        </w:rPr>
        <w:t xml:space="preserve"> significantly amended the previous law and empowers NAPTIP to take actions against trafficking in persons and smuggling of migrants. More recently, several </w:t>
      </w:r>
      <w:r w:rsidR="00F26F97">
        <w:rPr>
          <w:sz w:val="24"/>
          <w:szCs w:val="24"/>
        </w:rPr>
        <w:t>s</w:t>
      </w:r>
      <w:r w:rsidR="007D0884">
        <w:rPr>
          <w:sz w:val="24"/>
          <w:szCs w:val="24"/>
        </w:rPr>
        <w:t xml:space="preserve">tates taskforces have been established to complement NAPTIP’s work on trafficking and combat trafficking in persons within these </w:t>
      </w:r>
      <w:r w:rsidR="00F26F97">
        <w:rPr>
          <w:sz w:val="24"/>
          <w:szCs w:val="24"/>
        </w:rPr>
        <w:t>states</w:t>
      </w:r>
      <w:r w:rsidR="007D0884">
        <w:rPr>
          <w:sz w:val="24"/>
          <w:szCs w:val="24"/>
        </w:rPr>
        <w:t xml:space="preserve">, including in </w:t>
      </w:r>
      <w:r w:rsidR="00F26F97">
        <w:rPr>
          <w:sz w:val="24"/>
          <w:szCs w:val="24"/>
        </w:rPr>
        <w:t xml:space="preserve">states </w:t>
      </w:r>
      <w:r w:rsidR="00C6663F">
        <w:rPr>
          <w:sz w:val="24"/>
          <w:szCs w:val="24"/>
        </w:rPr>
        <w:t>like Edo and Delta</w:t>
      </w:r>
      <w:r w:rsidR="007D0884">
        <w:rPr>
          <w:sz w:val="24"/>
          <w:szCs w:val="24"/>
        </w:rPr>
        <w:t>.</w:t>
      </w:r>
      <w:r w:rsidR="007D0884">
        <w:rPr>
          <w:rStyle w:val="FootnoteReference"/>
          <w:sz w:val="24"/>
          <w:szCs w:val="24"/>
        </w:rPr>
        <w:footnoteReference w:id="107"/>
      </w:r>
      <w:r w:rsidR="007D0884">
        <w:rPr>
          <w:sz w:val="24"/>
          <w:szCs w:val="24"/>
        </w:rPr>
        <w:t xml:space="preserve"> </w:t>
      </w:r>
      <w:r w:rsidR="00C6663F">
        <w:rPr>
          <w:sz w:val="24"/>
          <w:szCs w:val="24"/>
        </w:rPr>
        <w:t xml:space="preserve"> Edo </w:t>
      </w:r>
      <w:r w:rsidR="00F26F97">
        <w:rPr>
          <w:sz w:val="24"/>
          <w:szCs w:val="24"/>
        </w:rPr>
        <w:t xml:space="preserve">state </w:t>
      </w:r>
      <w:r w:rsidR="00C6663F">
        <w:rPr>
          <w:sz w:val="24"/>
          <w:szCs w:val="24"/>
        </w:rPr>
        <w:t xml:space="preserve">has enacted a </w:t>
      </w:r>
      <w:r w:rsidR="00F26F97">
        <w:rPr>
          <w:sz w:val="24"/>
          <w:szCs w:val="24"/>
        </w:rPr>
        <w:t xml:space="preserve">state </w:t>
      </w:r>
      <w:r w:rsidR="00C6663F">
        <w:rPr>
          <w:sz w:val="24"/>
          <w:szCs w:val="24"/>
        </w:rPr>
        <w:t>law on trafficking, while a Bill is pending at the Delta State House of Assembly.</w:t>
      </w:r>
    </w:p>
    <w:p w14:paraId="4208B198" w14:textId="77777777" w:rsidR="00F418F4" w:rsidRDefault="00F418F4" w:rsidP="00E75191">
      <w:pPr>
        <w:spacing w:line="240" w:lineRule="auto"/>
        <w:jc w:val="both"/>
        <w:rPr>
          <w:sz w:val="24"/>
          <w:szCs w:val="24"/>
        </w:rPr>
      </w:pPr>
      <w:r>
        <w:rPr>
          <w:sz w:val="24"/>
          <w:szCs w:val="24"/>
        </w:rPr>
        <w:t>Several policies and action plans have also been developed to address GBV more generally at both federal an</w:t>
      </w:r>
      <w:r w:rsidR="007D0884">
        <w:rPr>
          <w:sz w:val="24"/>
          <w:szCs w:val="24"/>
        </w:rPr>
        <w:t xml:space="preserve">d state levels. These include the National Policy on Elimination of Female Genital in Nigeria (2021 -2025). </w:t>
      </w:r>
    </w:p>
    <w:p w14:paraId="6291FF24" w14:textId="77777777" w:rsidR="00084ECD" w:rsidRDefault="00084ECD" w:rsidP="007C0BBF">
      <w:pPr>
        <w:spacing w:line="240" w:lineRule="auto"/>
        <w:jc w:val="both"/>
        <w:rPr>
          <w:sz w:val="24"/>
          <w:szCs w:val="24"/>
        </w:rPr>
      </w:pPr>
      <w:r>
        <w:rPr>
          <w:sz w:val="24"/>
          <w:szCs w:val="24"/>
        </w:rPr>
        <w:t>Sexual Assault Referral Centres (SARCs) have been developed</w:t>
      </w:r>
      <w:r w:rsidRPr="00084ECD">
        <w:rPr>
          <w:sz w:val="24"/>
          <w:szCs w:val="24"/>
        </w:rPr>
        <w:t xml:space="preserve"> with the support of the British Council</w:t>
      </w:r>
      <w:r w:rsidR="00F26F97">
        <w:rPr>
          <w:sz w:val="24"/>
          <w:szCs w:val="24"/>
        </w:rPr>
        <w:t xml:space="preserve">, the EU-UN Spotlight Initiative, </w:t>
      </w:r>
      <w:r w:rsidRPr="00084ECD">
        <w:rPr>
          <w:sz w:val="24"/>
          <w:szCs w:val="24"/>
        </w:rPr>
        <w:t>and other pa</w:t>
      </w:r>
      <w:r>
        <w:rPr>
          <w:sz w:val="24"/>
          <w:szCs w:val="24"/>
        </w:rPr>
        <w:t>rtners in the past few years</w:t>
      </w:r>
      <w:r w:rsidRPr="00084ECD">
        <w:rPr>
          <w:sz w:val="24"/>
          <w:szCs w:val="24"/>
        </w:rPr>
        <w:t xml:space="preserve">. </w:t>
      </w:r>
      <w:r>
        <w:rPr>
          <w:sz w:val="24"/>
          <w:szCs w:val="24"/>
        </w:rPr>
        <w:t xml:space="preserve">At the current time, there are 31 SARCs across 17 </w:t>
      </w:r>
      <w:r w:rsidR="00F26F97">
        <w:rPr>
          <w:sz w:val="24"/>
          <w:szCs w:val="24"/>
        </w:rPr>
        <w:t>states</w:t>
      </w:r>
      <w:r>
        <w:rPr>
          <w:sz w:val="24"/>
          <w:szCs w:val="24"/>
        </w:rPr>
        <w:t>.</w:t>
      </w:r>
      <w:r w:rsidRPr="00084ECD">
        <w:rPr>
          <w:sz w:val="24"/>
          <w:szCs w:val="24"/>
        </w:rPr>
        <w:t xml:space="preserve"> </w:t>
      </w:r>
      <w:r w:rsidR="00F26F97">
        <w:rPr>
          <w:sz w:val="24"/>
          <w:szCs w:val="24"/>
        </w:rPr>
        <w:t>Most</w:t>
      </w:r>
      <w:r w:rsidR="00F26F97" w:rsidRPr="00084ECD">
        <w:rPr>
          <w:sz w:val="24"/>
          <w:szCs w:val="24"/>
        </w:rPr>
        <w:t xml:space="preserve"> </w:t>
      </w:r>
      <w:r w:rsidR="00F26F97">
        <w:rPr>
          <w:sz w:val="24"/>
          <w:szCs w:val="24"/>
        </w:rPr>
        <w:t>s</w:t>
      </w:r>
      <w:r w:rsidR="00F26F97" w:rsidRPr="00084ECD">
        <w:rPr>
          <w:sz w:val="24"/>
          <w:szCs w:val="24"/>
        </w:rPr>
        <w:t xml:space="preserve">tates </w:t>
      </w:r>
      <w:r w:rsidRPr="00084ECD">
        <w:rPr>
          <w:sz w:val="24"/>
          <w:szCs w:val="24"/>
        </w:rPr>
        <w:t>have also established the Domestic Violence and Sexu</w:t>
      </w:r>
      <w:r>
        <w:rPr>
          <w:sz w:val="24"/>
          <w:szCs w:val="24"/>
        </w:rPr>
        <w:t>al Assault Referral Teams</w:t>
      </w:r>
      <w:r w:rsidR="00F26F97">
        <w:rPr>
          <w:sz w:val="24"/>
          <w:szCs w:val="24"/>
        </w:rPr>
        <w:t xml:space="preserve"> (DVSRT)</w:t>
      </w:r>
      <w:r>
        <w:rPr>
          <w:sz w:val="24"/>
          <w:szCs w:val="24"/>
        </w:rPr>
        <w:t xml:space="preserve">. </w:t>
      </w:r>
      <w:r w:rsidR="007C0BBF">
        <w:rPr>
          <w:sz w:val="24"/>
          <w:szCs w:val="24"/>
        </w:rPr>
        <w:t xml:space="preserve">These teams composed of stakeholders from the police, Ministry </w:t>
      </w:r>
      <w:r w:rsidR="007C0BBF" w:rsidRPr="007C0BBF">
        <w:rPr>
          <w:sz w:val="24"/>
          <w:szCs w:val="24"/>
        </w:rPr>
        <w:t>of Justice,</w:t>
      </w:r>
      <w:r w:rsidR="007C0BBF">
        <w:rPr>
          <w:sz w:val="24"/>
          <w:szCs w:val="24"/>
        </w:rPr>
        <w:t xml:space="preserve"> Ministry of</w:t>
      </w:r>
      <w:r w:rsidR="007C0BBF" w:rsidRPr="007C0BBF">
        <w:rPr>
          <w:sz w:val="24"/>
          <w:szCs w:val="24"/>
        </w:rPr>
        <w:t xml:space="preserve"> Women Affairs, </w:t>
      </w:r>
      <w:r w:rsidR="007C0BBF">
        <w:rPr>
          <w:sz w:val="24"/>
          <w:szCs w:val="24"/>
        </w:rPr>
        <w:t>and</w:t>
      </w:r>
      <w:r w:rsidR="007C0BBF" w:rsidRPr="007C0BBF">
        <w:rPr>
          <w:sz w:val="24"/>
          <w:szCs w:val="24"/>
        </w:rPr>
        <w:t xml:space="preserve"> service providers.</w:t>
      </w:r>
      <w:r w:rsidR="007C0BBF">
        <w:rPr>
          <w:sz w:val="24"/>
          <w:szCs w:val="24"/>
        </w:rPr>
        <w:t xml:space="preserve"> </w:t>
      </w:r>
      <w:r w:rsidR="007C0BBF" w:rsidRPr="007C0BBF">
        <w:rPr>
          <w:sz w:val="24"/>
          <w:szCs w:val="24"/>
        </w:rPr>
        <w:t>Although most states have a DVSRT, not all of them are active</w:t>
      </w:r>
      <w:r w:rsidR="007C0BBF">
        <w:rPr>
          <w:sz w:val="24"/>
          <w:szCs w:val="24"/>
        </w:rPr>
        <w:t xml:space="preserve"> or performing optimally</w:t>
      </w:r>
      <w:r w:rsidR="007C0BBF" w:rsidRPr="007C0BBF">
        <w:rPr>
          <w:sz w:val="24"/>
          <w:szCs w:val="24"/>
        </w:rPr>
        <w:t>.</w:t>
      </w:r>
      <w:r w:rsidR="007C0BBF">
        <w:rPr>
          <w:sz w:val="24"/>
          <w:szCs w:val="24"/>
        </w:rPr>
        <w:t xml:space="preserve"> </w:t>
      </w:r>
      <w:r>
        <w:rPr>
          <w:sz w:val="24"/>
          <w:szCs w:val="24"/>
        </w:rPr>
        <w:t>A</w:t>
      </w:r>
      <w:r w:rsidR="007C0BBF">
        <w:rPr>
          <w:sz w:val="24"/>
          <w:szCs w:val="24"/>
        </w:rPr>
        <w:t>n exception is</w:t>
      </w:r>
      <w:r>
        <w:rPr>
          <w:sz w:val="24"/>
          <w:szCs w:val="24"/>
        </w:rPr>
        <w:t xml:space="preserve"> Lagos State, </w:t>
      </w:r>
      <w:r w:rsidR="007C0BBF">
        <w:rPr>
          <w:sz w:val="24"/>
          <w:szCs w:val="24"/>
        </w:rPr>
        <w:t xml:space="preserve">where the </w:t>
      </w:r>
      <w:r w:rsidR="009A5622">
        <w:rPr>
          <w:sz w:val="24"/>
          <w:szCs w:val="24"/>
        </w:rPr>
        <w:t>DV</w:t>
      </w:r>
      <w:r>
        <w:rPr>
          <w:sz w:val="24"/>
          <w:szCs w:val="24"/>
        </w:rPr>
        <w:t>SRT</w:t>
      </w:r>
      <w:r w:rsidR="00F66E3D">
        <w:rPr>
          <w:sz w:val="24"/>
          <w:szCs w:val="24"/>
        </w:rPr>
        <w:t xml:space="preserve"> is active in providing services across a range of areas – legal, medical, psycho-social support, </w:t>
      </w:r>
      <w:r w:rsidR="00A50B72">
        <w:rPr>
          <w:sz w:val="24"/>
          <w:szCs w:val="24"/>
        </w:rPr>
        <w:t xml:space="preserve">and </w:t>
      </w:r>
      <w:r w:rsidR="00F66E3D">
        <w:rPr>
          <w:sz w:val="24"/>
          <w:szCs w:val="24"/>
        </w:rPr>
        <w:t>shelter</w:t>
      </w:r>
      <w:r w:rsidR="00A50B72">
        <w:rPr>
          <w:sz w:val="24"/>
          <w:szCs w:val="24"/>
        </w:rPr>
        <w:t>,</w:t>
      </w:r>
      <w:r w:rsidR="00F66E3D">
        <w:rPr>
          <w:sz w:val="24"/>
          <w:szCs w:val="24"/>
        </w:rPr>
        <w:t xml:space="preserve"> including referral to other service providers . </w:t>
      </w:r>
      <w:r w:rsidR="007A0A31">
        <w:rPr>
          <w:sz w:val="24"/>
          <w:szCs w:val="24"/>
        </w:rPr>
        <w:t xml:space="preserve"> </w:t>
      </w:r>
    </w:p>
    <w:p w14:paraId="15F5E9A3" w14:textId="77777777" w:rsidR="007D0884" w:rsidRDefault="00084ECD" w:rsidP="00E75191">
      <w:pPr>
        <w:spacing w:line="240" w:lineRule="auto"/>
        <w:jc w:val="both"/>
        <w:rPr>
          <w:sz w:val="24"/>
          <w:szCs w:val="24"/>
        </w:rPr>
      </w:pPr>
      <w:r>
        <w:rPr>
          <w:sz w:val="24"/>
          <w:szCs w:val="24"/>
        </w:rPr>
        <w:t xml:space="preserve">Efforts are also ongoing to improve data collection, an area in which significant gaps had been noted. At the national level, </w:t>
      </w:r>
      <w:r w:rsidR="00A50B72">
        <w:rPr>
          <w:sz w:val="24"/>
          <w:szCs w:val="24"/>
        </w:rPr>
        <w:t xml:space="preserve">the EU-UN Spotlight Initiative </w:t>
      </w:r>
      <w:r>
        <w:rPr>
          <w:sz w:val="24"/>
          <w:szCs w:val="24"/>
        </w:rPr>
        <w:t>s</w:t>
      </w:r>
      <w:r w:rsidR="00F66E3D">
        <w:rPr>
          <w:sz w:val="24"/>
          <w:szCs w:val="24"/>
        </w:rPr>
        <w:t>upported the development of ReportGBV</w:t>
      </w:r>
      <w:r w:rsidR="00A50B72">
        <w:rPr>
          <w:sz w:val="24"/>
          <w:szCs w:val="24"/>
        </w:rPr>
        <w:t>, a</w:t>
      </w:r>
      <w:r w:rsidR="00F66E3D">
        <w:rPr>
          <w:sz w:val="24"/>
          <w:szCs w:val="24"/>
        </w:rPr>
        <w:t xml:space="preserve"> </w:t>
      </w:r>
      <w:r w:rsidRPr="00084ECD">
        <w:rPr>
          <w:sz w:val="24"/>
          <w:szCs w:val="24"/>
        </w:rPr>
        <w:t>National Data Situation Room/National Gender Based Violence Dashboard</w:t>
      </w:r>
      <w:r w:rsidR="00F66E3D">
        <w:rPr>
          <w:sz w:val="24"/>
          <w:szCs w:val="24"/>
        </w:rPr>
        <w:t>, housed at the Federal Ministry of Women Affairs</w:t>
      </w:r>
      <w:r>
        <w:rPr>
          <w:rStyle w:val="FootnoteReference"/>
          <w:sz w:val="24"/>
          <w:szCs w:val="24"/>
        </w:rPr>
        <w:footnoteReference w:id="108"/>
      </w:r>
      <w:r w:rsidR="00F66E3D" w:rsidRPr="00F66E3D">
        <w:rPr>
          <w:sz w:val="24"/>
          <w:szCs w:val="24"/>
        </w:rPr>
        <w:t>.</w:t>
      </w:r>
      <w:r>
        <w:rPr>
          <w:sz w:val="24"/>
          <w:szCs w:val="24"/>
        </w:rPr>
        <w:t xml:space="preserve"> </w:t>
      </w:r>
    </w:p>
    <w:p w14:paraId="1F570820" w14:textId="77777777" w:rsidR="00C26D0F" w:rsidRPr="00C26D0F" w:rsidRDefault="000A6EF7" w:rsidP="00E75191">
      <w:pPr>
        <w:spacing w:line="240" w:lineRule="auto"/>
        <w:jc w:val="both"/>
        <w:rPr>
          <w:b/>
          <w:sz w:val="24"/>
          <w:szCs w:val="24"/>
        </w:rPr>
      </w:pPr>
      <w:r>
        <w:rPr>
          <w:sz w:val="24"/>
          <w:szCs w:val="24"/>
        </w:rPr>
        <w:t xml:space="preserve">Apart from response, other </w:t>
      </w:r>
      <w:r w:rsidRPr="000A6EF7">
        <w:rPr>
          <w:sz w:val="24"/>
          <w:szCs w:val="24"/>
        </w:rPr>
        <w:t>e</w:t>
      </w:r>
      <w:r w:rsidR="00C26D0F" w:rsidRPr="000A6EF7">
        <w:rPr>
          <w:sz w:val="24"/>
          <w:szCs w:val="24"/>
        </w:rPr>
        <w:t xml:space="preserve">fforts at prevention include </w:t>
      </w:r>
      <w:r w:rsidRPr="000A6EF7">
        <w:rPr>
          <w:sz w:val="24"/>
          <w:szCs w:val="24"/>
        </w:rPr>
        <w:t>a</w:t>
      </w:r>
      <w:r w:rsidR="00C26D0F" w:rsidRPr="000A6EF7">
        <w:rPr>
          <w:sz w:val="24"/>
          <w:szCs w:val="24"/>
        </w:rPr>
        <w:t xml:space="preserve">wareness creation  </w:t>
      </w:r>
      <w:r w:rsidR="00A50B72">
        <w:rPr>
          <w:sz w:val="24"/>
          <w:szCs w:val="24"/>
        </w:rPr>
        <w:t xml:space="preserve">at community level, by engaging with </w:t>
      </w:r>
      <w:r w:rsidR="00C26D0F" w:rsidRPr="000A6EF7">
        <w:rPr>
          <w:sz w:val="24"/>
          <w:szCs w:val="24"/>
        </w:rPr>
        <w:t>traditional rulers, community leaders</w:t>
      </w:r>
      <w:r w:rsidR="007D0884" w:rsidRPr="000A6EF7">
        <w:rPr>
          <w:sz w:val="24"/>
          <w:szCs w:val="24"/>
        </w:rPr>
        <w:t xml:space="preserve">, religious leaders, </w:t>
      </w:r>
      <w:r w:rsidR="00A50B72">
        <w:rPr>
          <w:sz w:val="24"/>
          <w:szCs w:val="24"/>
        </w:rPr>
        <w:t xml:space="preserve">and </w:t>
      </w:r>
      <w:r w:rsidRPr="000A6EF7">
        <w:rPr>
          <w:sz w:val="24"/>
          <w:szCs w:val="24"/>
        </w:rPr>
        <w:t xml:space="preserve">schools at all levels including primary, secondary and </w:t>
      </w:r>
      <w:r w:rsidR="007D0884" w:rsidRPr="000A6EF7">
        <w:rPr>
          <w:sz w:val="24"/>
          <w:szCs w:val="24"/>
        </w:rPr>
        <w:t>tertiary institutions</w:t>
      </w:r>
      <w:r w:rsidR="009A5622">
        <w:rPr>
          <w:sz w:val="24"/>
          <w:szCs w:val="24"/>
        </w:rPr>
        <w:t>, often</w:t>
      </w:r>
      <w:r w:rsidR="007C0BBF">
        <w:rPr>
          <w:sz w:val="24"/>
          <w:szCs w:val="24"/>
        </w:rPr>
        <w:t xml:space="preserve"> championed by CSOs</w:t>
      </w:r>
      <w:r w:rsidR="009A5622">
        <w:rPr>
          <w:sz w:val="24"/>
          <w:szCs w:val="24"/>
        </w:rPr>
        <w:t>.</w:t>
      </w:r>
      <w:r w:rsidR="00A50B72">
        <w:rPr>
          <w:sz w:val="24"/>
          <w:szCs w:val="24"/>
        </w:rPr>
        <w:t xml:space="preserve">. </w:t>
      </w:r>
    </w:p>
    <w:p w14:paraId="68DF8213" w14:textId="77777777" w:rsidR="000A6EF7" w:rsidRPr="00B276F1" w:rsidRDefault="000A6EF7" w:rsidP="00E75191">
      <w:pPr>
        <w:spacing w:line="240" w:lineRule="auto"/>
        <w:jc w:val="both"/>
      </w:pPr>
      <w:r>
        <w:rPr>
          <w:sz w:val="24"/>
          <w:szCs w:val="24"/>
        </w:rPr>
        <w:t xml:space="preserve">Respondents to the qualitative study noted that several challenges remain despite these </w:t>
      </w:r>
      <w:r w:rsidR="007A0A31">
        <w:rPr>
          <w:sz w:val="24"/>
          <w:szCs w:val="24"/>
        </w:rPr>
        <w:t>recent</w:t>
      </w:r>
      <w:r>
        <w:rPr>
          <w:sz w:val="24"/>
          <w:szCs w:val="24"/>
        </w:rPr>
        <w:t xml:space="preserve"> steps. </w:t>
      </w:r>
      <w:r w:rsidR="00B276F1">
        <w:rPr>
          <w:sz w:val="24"/>
          <w:szCs w:val="24"/>
        </w:rPr>
        <w:t>Implementation of laws was noted as a challenge. Another</w:t>
      </w:r>
      <w:r>
        <w:rPr>
          <w:sz w:val="24"/>
          <w:szCs w:val="24"/>
        </w:rPr>
        <w:t xml:space="preserve"> key challenge </w:t>
      </w:r>
      <w:r>
        <w:rPr>
          <w:sz w:val="24"/>
          <w:szCs w:val="24"/>
        </w:rPr>
        <w:lastRenderedPageBreak/>
        <w:t xml:space="preserve">remains funding.  While government funds some of the initiatives, there are gaps in funding.  </w:t>
      </w:r>
      <w:r w:rsidR="007A0A31">
        <w:rPr>
          <w:sz w:val="24"/>
          <w:szCs w:val="24"/>
        </w:rPr>
        <w:t xml:space="preserve">Lagos State instituted a Trust Fund for survivors in 2018. </w:t>
      </w:r>
      <w:r>
        <w:rPr>
          <w:sz w:val="24"/>
          <w:szCs w:val="24"/>
        </w:rPr>
        <w:t xml:space="preserve">The </w:t>
      </w:r>
      <w:r w:rsidRPr="000A6EF7">
        <w:rPr>
          <w:sz w:val="24"/>
          <w:szCs w:val="24"/>
        </w:rPr>
        <w:t>EU-</w:t>
      </w:r>
      <w:r>
        <w:rPr>
          <w:sz w:val="24"/>
          <w:szCs w:val="24"/>
        </w:rPr>
        <w:t>UN Spotlight Initiative project has since 201</w:t>
      </w:r>
      <w:r w:rsidR="003D701B">
        <w:rPr>
          <w:sz w:val="24"/>
          <w:szCs w:val="24"/>
        </w:rPr>
        <w:t>9</w:t>
      </w:r>
      <w:r w:rsidR="00991282">
        <w:rPr>
          <w:sz w:val="24"/>
          <w:szCs w:val="24"/>
        </w:rPr>
        <w:t xml:space="preserve"> provided support to many initiatives</w:t>
      </w:r>
      <w:r w:rsidR="003D701B">
        <w:rPr>
          <w:sz w:val="24"/>
          <w:szCs w:val="24"/>
        </w:rPr>
        <w:t>, and m</w:t>
      </w:r>
      <w:r w:rsidR="00991282">
        <w:rPr>
          <w:sz w:val="24"/>
          <w:szCs w:val="24"/>
        </w:rPr>
        <w:t xml:space="preserve">any respondents interviewed highlighted the beneficial role and impact of the </w:t>
      </w:r>
      <w:r w:rsidR="007A0A31">
        <w:rPr>
          <w:sz w:val="24"/>
          <w:szCs w:val="24"/>
        </w:rPr>
        <w:t>initiative</w:t>
      </w:r>
      <w:r w:rsidR="00991282">
        <w:rPr>
          <w:sz w:val="24"/>
          <w:szCs w:val="24"/>
        </w:rPr>
        <w:t>.  However, continued government ownership and other funding remain essential to address the continuing epidemic of gender-based violence</w:t>
      </w:r>
      <w:r w:rsidR="00FF3DFF">
        <w:rPr>
          <w:sz w:val="24"/>
          <w:szCs w:val="24"/>
        </w:rPr>
        <w:t xml:space="preserve">. Other challenges include the non-adoption of the VAPP Act and the CRA by some States. It is also noted that the laws have not resulted in a significant number of convictions, indicating a gap that needs to be further investigated. </w:t>
      </w:r>
    </w:p>
    <w:p w14:paraId="618DF38F" w14:textId="77777777" w:rsidR="00E75191" w:rsidRDefault="00E75191">
      <w:pPr>
        <w:rPr>
          <w:b/>
          <w:sz w:val="24"/>
          <w:szCs w:val="24"/>
        </w:rPr>
      </w:pPr>
      <w:r>
        <w:rPr>
          <w:b/>
          <w:sz w:val="24"/>
          <w:szCs w:val="24"/>
        </w:rPr>
        <w:br w:type="page"/>
      </w:r>
    </w:p>
    <w:p w14:paraId="1DC59AEE" w14:textId="77777777" w:rsidR="00744F56" w:rsidRDefault="00744F56" w:rsidP="00E75191">
      <w:pPr>
        <w:spacing w:line="240" w:lineRule="auto"/>
        <w:jc w:val="both"/>
        <w:rPr>
          <w:b/>
          <w:sz w:val="24"/>
          <w:szCs w:val="24"/>
        </w:rPr>
      </w:pPr>
    </w:p>
    <w:p w14:paraId="40D5581B" w14:textId="77777777" w:rsidR="00744F56" w:rsidRDefault="00744F56" w:rsidP="00E75191">
      <w:pPr>
        <w:spacing w:line="240" w:lineRule="auto"/>
        <w:jc w:val="both"/>
        <w:rPr>
          <w:b/>
          <w:sz w:val="24"/>
          <w:szCs w:val="24"/>
        </w:rPr>
      </w:pPr>
    </w:p>
    <w:p w14:paraId="53A1CDC3" w14:textId="77777777" w:rsidR="00744F56" w:rsidRDefault="00744F56" w:rsidP="00E75191">
      <w:pPr>
        <w:spacing w:line="240" w:lineRule="auto"/>
        <w:jc w:val="both"/>
        <w:rPr>
          <w:b/>
          <w:sz w:val="24"/>
          <w:szCs w:val="24"/>
        </w:rPr>
      </w:pPr>
    </w:p>
    <w:p w14:paraId="015F9666" w14:textId="77777777" w:rsidR="004D24CC" w:rsidRDefault="00744F56" w:rsidP="00E75191">
      <w:pPr>
        <w:spacing w:line="240" w:lineRule="auto"/>
        <w:jc w:val="both"/>
        <w:rPr>
          <w:b/>
          <w:sz w:val="24"/>
          <w:szCs w:val="24"/>
        </w:rPr>
      </w:pPr>
      <w:r w:rsidRPr="00744F56">
        <w:rPr>
          <w:b/>
          <w:noProof/>
          <w:sz w:val="24"/>
          <w:szCs w:val="24"/>
          <w:lang w:val="en-IE" w:eastAsia="en-IE"/>
        </w:rPr>
        <mc:AlternateContent>
          <mc:Choice Requires="wps">
            <w:drawing>
              <wp:anchor distT="0" distB="0" distL="114300" distR="114300" simplePos="0" relativeHeight="251669504" behindDoc="0" locked="0" layoutInCell="1" allowOverlap="1" wp14:anchorId="1E7C221D" wp14:editId="1B357719">
                <wp:simplePos x="0" y="0"/>
                <wp:positionH relativeFrom="column">
                  <wp:posOffset>-19050</wp:posOffset>
                </wp:positionH>
                <wp:positionV relativeFrom="paragraph">
                  <wp:posOffset>-552450</wp:posOffset>
                </wp:positionV>
                <wp:extent cx="5819775" cy="1403985"/>
                <wp:effectExtent l="0" t="0" r="28575" b="1270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1403985"/>
                        </a:xfrm>
                        <a:prstGeom prst="rect">
                          <a:avLst/>
                        </a:prstGeom>
                        <a:solidFill>
                          <a:schemeClr val="accent1">
                            <a:lumMod val="60000"/>
                            <a:lumOff val="40000"/>
                          </a:schemeClr>
                        </a:solidFill>
                        <a:ln w="9525">
                          <a:solidFill>
                            <a:schemeClr val="accent1">
                              <a:lumMod val="60000"/>
                              <a:lumOff val="40000"/>
                            </a:schemeClr>
                          </a:solidFill>
                          <a:miter lim="800000"/>
                          <a:headEnd/>
                          <a:tailEnd/>
                        </a:ln>
                      </wps:spPr>
                      <wps:txbx>
                        <w:txbxContent>
                          <w:p w14:paraId="2235BE76" w14:textId="77777777" w:rsidR="006D6A0C" w:rsidRPr="005667FD" w:rsidRDefault="006D6A0C" w:rsidP="005667FD">
                            <w:pPr>
                              <w:pStyle w:val="Heading1"/>
                              <w:rPr>
                                <w:color w:val="auto"/>
                                <w:sz w:val="56"/>
                                <w:szCs w:val="56"/>
                              </w:rPr>
                            </w:pPr>
                            <w:bookmarkStart w:id="31" w:name="_Toc81228173"/>
                            <w:bookmarkStart w:id="32" w:name="_Toc81228285"/>
                            <w:bookmarkStart w:id="33" w:name="_Toc81229096"/>
                            <w:r w:rsidRPr="005667FD">
                              <w:rPr>
                                <w:color w:val="auto"/>
                                <w:sz w:val="56"/>
                                <w:szCs w:val="56"/>
                              </w:rPr>
                              <w:t>3.6 Peace and Security</w:t>
                            </w:r>
                            <w:bookmarkEnd w:id="31"/>
                            <w:bookmarkEnd w:id="32"/>
                            <w:bookmarkEnd w:id="33"/>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7C221D" id="_x0000_s1047" type="#_x0000_t202" style="position:absolute;left:0;text-align:left;margin-left:-1.5pt;margin-top:-43.5pt;width:458.25pt;height:110.5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" fillcolor="#9cc2e5 [1940]" strokecolor="#9cc2e5 [1940]">
                <v:textbox style="mso-fit-shape-to-text:t">
                  <w:txbxContent>
                    <w:p w:rsidR="006D6A0C" w:rsidRPr="005667FD" w:rsidRDefault="006D6A0C" w:rsidP="005667FD">
                      <w:pPr>
                        <w:pStyle w:val="Heading1"/>
                        <w:rPr>
                          <w:color w:val="auto"/>
                          <w:sz w:val="56"/>
                          <w:szCs w:val="56"/>
                        </w:rPr>
                      </w:pPr>
                      <w:bookmarkStart w:id="56" w:name="_Toc81228173"/>
                      <w:bookmarkStart w:id="57" w:name="_Toc81228285"/>
                      <w:bookmarkStart w:id="58" w:name="_Toc81229096"/>
                      <w:r w:rsidRPr="005667FD">
                        <w:rPr>
                          <w:color w:val="auto"/>
                          <w:sz w:val="56"/>
                          <w:szCs w:val="56"/>
                        </w:rPr>
                        <w:t>3.6 Peace and Security</w:t>
                      </w:r>
                      <w:bookmarkEnd w:id="56"/>
                      <w:bookmarkEnd w:id="57"/>
                      <w:bookmarkEnd w:id="58"/>
                    </w:p>
                  </w:txbxContent>
                </v:textbox>
              </v:shape>
            </w:pict>
          </mc:Fallback>
        </mc:AlternateContent>
      </w:r>
    </w:p>
    <w:p w14:paraId="02D873BC" w14:textId="77777777" w:rsidR="00953F1A" w:rsidRDefault="00C6536D" w:rsidP="00E75191">
      <w:pPr>
        <w:spacing w:line="240" w:lineRule="auto"/>
        <w:jc w:val="both"/>
        <w:rPr>
          <w:sz w:val="24"/>
          <w:szCs w:val="24"/>
        </w:rPr>
      </w:pPr>
      <w:r w:rsidRPr="00C6536D">
        <w:rPr>
          <w:sz w:val="24"/>
          <w:szCs w:val="24"/>
        </w:rPr>
        <w:t xml:space="preserve">Security challenges are rife in Nigeria. </w:t>
      </w:r>
      <w:r w:rsidR="00953F1A">
        <w:rPr>
          <w:sz w:val="24"/>
          <w:szCs w:val="24"/>
        </w:rPr>
        <w:t xml:space="preserve">Banditry, insurgency, kidnappings and other types of conflict have become increasingly common across various </w:t>
      </w:r>
      <w:r w:rsidR="003D701B">
        <w:rPr>
          <w:sz w:val="24"/>
          <w:szCs w:val="24"/>
        </w:rPr>
        <w:t>s</w:t>
      </w:r>
      <w:r w:rsidR="00953F1A">
        <w:rPr>
          <w:sz w:val="24"/>
          <w:szCs w:val="24"/>
        </w:rPr>
        <w:t xml:space="preserve">tates in the country.  </w:t>
      </w:r>
    </w:p>
    <w:p w14:paraId="44DCB5FC" w14:textId="77777777" w:rsidR="003D701B" w:rsidRDefault="00C6536D" w:rsidP="00E75191">
      <w:pPr>
        <w:spacing w:line="240" w:lineRule="auto"/>
        <w:jc w:val="both"/>
        <w:rPr>
          <w:sz w:val="24"/>
          <w:szCs w:val="24"/>
        </w:rPr>
      </w:pPr>
      <w:r w:rsidRPr="00C6536D">
        <w:rPr>
          <w:sz w:val="24"/>
          <w:szCs w:val="24"/>
        </w:rPr>
        <w:t xml:space="preserve">Over the years, specific challenges have been linked to different zones depending on the frequency of occurrence. </w:t>
      </w:r>
      <w:r w:rsidR="003D701B">
        <w:rPr>
          <w:sz w:val="24"/>
          <w:szCs w:val="24"/>
        </w:rPr>
        <w:t>T</w:t>
      </w:r>
      <w:r w:rsidR="003D701B" w:rsidRPr="00C6536D">
        <w:rPr>
          <w:sz w:val="24"/>
          <w:szCs w:val="24"/>
        </w:rPr>
        <w:t>he major causes of security challenges in Nigeria are: terrorism, cultism, ethnic clashes and land use disputes.</w:t>
      </w:r>
      <w:r w:rsidR="003D701B" w:rsidRPr="00C6536D">
        <w:rPr>
          <w:rStyle w:val="FootnoteReference"/>
          <w:sz w:val="24"/>
          <w:szCs w:val="24"/>
        </w:rPr>
        <w:footnoteReference w:id="109"/>
      </w:r>
      <w:r w:rsidR="003D701B">
        <w:rPr>
          <w:sz w:val="24"/>
          <w:szCs w:val="24"/>
        </w:rPr>
        <w:t xml:space="preserve"> I</w:t>
      </w:r>
      <w:r w:rsidRPr="00C6536D">
        <w:rPr>
          <w:sz w:val="24"/>
          <w:szCs w:val="24"/>
        </w:rPr>
        <w:t xml:space="preserve">n the North Eastern parts of the country, </w:t>
      </w:r>
      <w:r w:rsidR="003D701B">
        <w:rPr>
          <w:sz w:val="24"/>
          <w:szCs w:val="24"/>
        </w:rPr>
        <w:t xml:space="preserve">human rights </w:t>
      </w:r>
      <w:r w:rsidR="007C0BBF">
        <w:rPr>
          <w:sz w:val="24"/>
          <w:szCs w:val="24"/>
        </w:rPr>
        <w:t>violations</w:t>
      </w:r>
      <w:r w:rsidR="003D701B">
        <w:rPr>
          <w:sz w:val="24"/>
          <w:szCs w:val="24"/>
        </w:rPr>
        <w:t>.</w:t>
      </w:r>
      <w:r w:rsidR="003D701B" w:rsidRPr="00C6536D">
        <w:rPr>
          <w:sz w:val="24"/>
          <w:szCs w:val="24"/>
        </w:rPr>
        <w:t xml:space="preserve"> </w:t>
      </w:r>
      <w:r w:rsidRPr="00C6536D">
        <w:rPr>
          <w:sz w:val="24"/>
          <w:szCs w:val="24"/>
        </w:rPr>
        <w:t xml:space="preserve">by the Jama’atu Ahlis Sunna Lidda’Awati Wal-Jihad (People Committed to the Propagation of the Prophet’s Teachings and Jihad) terrorist group, popularly known as Boko Haram </w:t>
      </w:r>
      <w:r w:rsidR="003D701B">
        <w:rPr>
          <w:sz w:val="24"/>
          <w:szCs w:val="24"/>
        </w:rPr>
        <w:t>are widespread</w:t>
      </w:r>
      <w:r w:rsidRPr="00C6536D">
        <w:rPr>
          <w:sz w:val="24"/>
          <w:szCs w:val="24"/>
        </w:rPr>
        <w:t>.</w:t>
      </w:r>
      <w:r w:rsidRPr="00C6536D">
        <w:rPr>
          <w:rStyle w:val="FootnoteReference"/>
          <w:sz w:val="24"/>
          <w:szCs w:val="24"/>
        </w:rPr>
        <w:footnoteReference w:id="110"/>
      </w:r>
      <w:r w:rsidRPr="00C6536D">
        <w:rPr>
          <w:sz w:val="24"/>
          <w:szCs w:val="24"/>
        </w:rPr>
        <w:t xml:space="preserve">  Activities of the terrorist group account for more than two-thirds of the conflict events in the North East.</w:t>
      </w:r>
      <w:r w:rsidRPr="00C6536D">
        <w:rPr>
          <w:rStyle w:val="FootnoteReference"/>
          <w:sz w:val="24"/>
          <w:szCs w:val="24"/>
        </w:rPr>
        <w:footnoteReference w:id="111"/>
      </w:r>
      <w:r w:rsidRPr="00C6536D">
        <w:rPr>
          <w:sz w:val="24"/>
          <w:szCs w:val="24"/>
        </w:rPr>
        <w:t xml:space="preserve"> In the North Central, conflict often arises from land use dispute</w:t>
      </w:r>
      <w:r w:rsidR="00744F56">
        <w:rPr>
          <w:sz w:val="24"/>
          <w:szCs w:val="24"/>
        </w:rPr>
        <w:t xml:space="preserve">s between farmers and herders. </w:t>
      </w:r>
      <w:r w:rsidRPr="00C6536D">
        <w:rPr>
          <w:sz w:val="24"/>
          <w:szCs w:val="24"/>
        </w:rPr>
        <w:t xml:space="preserve">While in the South, personal disputes, resulting from ethnic and political disagreements, cultism or general criminal activities give rise to conflicts. In essence, </w:t>
      </w:r>
    </w:p>
    <w:p w14:paraId="6B4DE4AF" w14:textId="77777777" w:rsidR="00C6536D" w:rsidRPr="004D24CC" w:rsidRDefault="00C6536D" w:rsidP="00E75191">
      <w:pPr>
        <w:spacing w:line="240" w:lineRule="auto"/>
        <w:jc w:val="both"/>
        <w:rPr>
          <w:b/>
          <w:sz w:val="24"/>
          <w:szCs w:val="24"/>
        </w:rPr>
      </w:pPr>
      <w:r w:rsidRPr="00C6536D">
        <w:rPr>
          <w:sz w:val="24"/>
          <w:szCs w:val="24"/>
        </w:rPr>
        <w:t>These events threaten peace and security and impact the different demographics within the population in different ways. Amongst these events, terrorism perpetrated by the Boko Haram terrorist group constitutes a major cause for unrest in Nigeria and affects both genders in different ways.</w:t>
      </w:r>
    </w:p>
    <w:p w14:paraId="264AFEA5" w14:textId="77777777" w:rsidR="00C6536D" w:rsidRPr="00C6536D" w:rsidRDefault="00C6536D" w:rsidP="00E75191">
      <w:pPr>
        <w:spacing w:line="240" w:lineRule="auto"/>
        <w:jc w:val="both"/>
        <w:rPr>
          <w:sz w:val="24"/>
          <w:szCs w:val="24"/>
        </w:rPr>
      </w:pPr>
      <w:r w:rsidRPr="00C6536D">
        <w:rPr>
          <w:sz w:val="24"/>
          <w:szCs w:val="24"/>
        </w:rPr>
        <w:t>Activities of the Boko Haram terrorist group often involve the use of force</w:t>
      </w:r>
      <w:r w:rsidR="003D701B">
        <w:rPr>
          <w:sz w:val="24"/>
          <w:szCs w:val="24"/>
        </w:rPr>
        <w:t>,</w:t>
      </w:r>
      <w:r w:rsidRPr="00C6536D">
        <w:rPr>
          <w:sz w:val="24"/>
          <w:szCs w:val="24"/>
        </w:rPr>
        <w:t xml:space="preserve"> result</w:t>
      </w:r>
      <w:r w:rsidR="003D701B">
        <w:rPr>
          <w:sz w:val="24"/>
          <w:szCs w:val="24"/>
        </w:rPr>
        <w:t>ing</w:t>
      </w:r>
      <w:r w:rsidRPr="00C6536D">
        <w:rPr>
          <w:sz w:val="24"/>
          <w:szCs w:val="24"/>
        </w:rPr>
        <w:t xml:space="preserve"> in the violation of human rights. Abduction of school children is one of the means by which the terrorist group attacks</w:t>
      </w:r>
      <w:r w:rsidR="003D701B">
        <w:rPr>
          <w:sz w:val="24"/>
          <w:szCs w:val="24"/>
        </w:rPr>
        <w:t>,</w:t>
      </w:r>
      <w:r w:rsidRPr="00C6536D">
        <w:rPr>
          <w:sz w:val="24"/>
          <w:szCs w:val="24"/>
        </w:rPr>
        <w:t xml:space="preserve"> apart from planting suicide bombers in densely populated areas. The group’s abduction of 276 Chibok girls from a boarding school in Borno, in 2014 is well-known as it attracted international response. While 200 girls have been released so far, 100 still remain unaccounted for.</w:t>
      </w:r>
      <w:r w:rsidRPr="00C6536D">
        <w:rPr>
          <w:rStyle w:val="FootnoteReference"/>
          <w:sz w:val="24"/>
          <w:szCs w:val="24"/>
        </w:rPr>
        <w:footnoteReference w:id="112"/>
      </w:r>
      <w:r w:rsidRPr="00C6536D">
        <w:rPr>
          <w:sz w:val="24"/>
          <w:szCs w:val="24"/>
        </w:rPr>
        <w:t xml:space="preserve"> Abductees are treated differently based on their gender. Boys are mainly indoctrinated in the group’s ideologies and recruited to join the Boko Haram fighting force. On the other hand, abducted girls are often subjected to forced marriage and other forms of sexual exploitation including sexual slavery and forced pregnancies. This narrative also applies to women who are victims of Boko Haram.</w:t>
      </w:r>
      <w:r w:rsidRPr="00C6536D">
        <w:rPr>
          <w:rStyle w:val="FootnoteReference"/>
          <w:sz w:val="24"/>
          <w:szCs w:val="24"/>
        </w:rPr>
        <w:footnoteReference w:id="113"/>
      </w:r>
    </w:p>
    <w:p w14:paraId="3B7C196B" w14:textId="77777777" w:rsidR="00C6536D" w:rsidRPr="00C6536D" w:rsidRDefault="00C6536D" w:rsidP="00E75191">
      <w:pPr>
        <w:spacing w:line="240" w:lineRule="auto"/>
        <w:jc w:val="both"/>
        <w:rPr>
          <w:sz w:val="24"/>
          <w:szCs w:val="24"/>
        </w:rPr>
      </w:pPr>
      <w:r w:rsidRPr="00C6536D">
        <w:rPr>
          <w:sz w:val="24"/>
          <w:szCs w:val="24"/>
        </w:rPr>
        <w:t xml:space="preserve">A major effect of violent attacks perpetrated by the Boko Haram terrorist group is the lack of willingness to pursue education in the regions hit by the group. Report shows that 49% of the population in the conflict-prone areas is literate with only 7% making to the end of a tertiary education. </w:t>
      </w:r>
      <w:r w:rsidRPr="004B145B">
        <w:rPr>
          <w:sz w:val="24"/>
          <w:szCs w:val="24"/>
        </w:rPr>
        <w:t>Out of the population that cannot attend school in the conflict-torn zones, w</w:t>
      </w:r>
      <w:r w:rsidRPr="00C6536D">
        <w:rPr>
          <w:sz w:val="24"/>
          <w:szCs w:val="24"/>
        </w:rPr>
        <w:t xml:space="preserve">omen </w:t>
      </w:r>
      <w:r w:rsidRPr="00C6536D">
        <w:rPr>
          <w:sz w:val="24"/>
          <w:szCs w:val="24"/>
        </w:rPr>
        <w:lastRenderedPageBreak/>
        <w:t xml:space="preserve">make up </w:t>
      </w:r>
      <w:r w:rsidR="009A5622">
        <w:rPr>
          <w:sz w:val="24"/>
          <w:szCs w:val="24"/>
        </w:rPr>
        <w:t>a significant</w:t>
      </w:r>
      <w:r w:rsidRPr="00C6536D">
        <w:rPr>
          <w:sz w:val="24"/>
          <w:szCs w:val="24"/>
        </w:rPr>
        <w:t xml:space="preserve"> percentage by 44%. </w:t>
      </w:r>
      <w:r w:rsidR="009A5622">
        <w:rPr>
          <w:sz w:val="24"/>
          <w:szCs w:val="24"/>
        </w:rPr>
        <w:t>UNICEF</w:t>
      </w:r>
      <w:r w:rsidRPr="00C6536D">
        <w:rPr>
          <w:sz w:val="24"/>
          <w:szCs w:val="24"/>
        </w:rPr>
        <w:t xml:space="preserve"> puts female net attendance rates in the North-East at 47.7%, meaning that nearly half of the girls in this region are not in school.</w:t>
      </w:r>
      <w:r w:rsidRPr="00C6536D">
        <w:rPr>
          <w:rStyle w:val="FootnoteReference"/>
          <w:sz w:val="24"/>
          <w:szCs w:val="24"/>
        </w:rPr>
        <w:footnoteReference w:id="114"/>
      </w:r>
      <w:r w:rsidRPr="00C6536D">
        <w:rPr>
          <w:sz w:val="24"/>
          <w:szCs w:val="24"/>
        </w:rPr>
        <w:t xml:space="preserve"> While this may be due to long accepted cultural practices that promoted the education of men over that of women, terrorism has also had a major impact on the willingness of women to pursue an education compared to men.</w:t>
      </w:r>
    </w:p>
    <w:p w14:paraId="392AC660" w14:textId="77777777" w:rsidR="00C6536D" w:rsidRDefault="00C6536D" w:rsidP="00E75191">
      <w:pPr>
        <w:spacing w:line="240" w:lineRule="auto"/>
        <w:jc w:val="both"/>
        <w:rPr>
          <w:sz w:val="24"/>
          <w:szCs w:val="24"/>
        </w:rPr>
      </w:pPr>
      <w:r w:rsidRPr="00C6536D">
        <w:rPr>
          <w:sz w:val="24"/>
          <w:szCs w:val="24"/>
        </w:rPr>
        <w:t>While the attacks on schools in these areas were not focused on female students in particular at the beginning of the insurgency, the targeted attacks on women and girls increased mid-2013.</w:t>
      </w:r>
      <w:r w:rsidRPr="00C6536D">
        <w:rPr>
          <w:rStyle w:val="FootnoteReference"/>
          <w:sz w:val="24"/>
          <w:szCs w:val="24"/>
        </w:rPr>
        <w:footnoteReference w:id="115"/>
      </w:r>
      <w:r w:rsidRPr="00C6536D">
        <w:rPr>
          <w:sz w:val="24"/>
          <w:szCs w:val="24"/>
        </w:rPr>
        <w:t xml:space="preserve"> The effect of this was that teachers, administrative and security personnel moved their families far away from the school premises for fear of attacks. This </w:t>
      </w:r>
      <w:r w:rsidR="00FB1EB9">
        <w:rPr>
          <w:sz w:val="24"/>
          <w:szCs w:val="24"/>
        </w:rPr>
        <w:t>lead to a</w:t>
      </w:r>
      <w:r w:rsidRPr="00C6536D">
        <w:rPr>
          <w:sz w:val="24"/>
          <w:szCs w:val="24"/>
        </w:rPr>
        <w:t xml:space="preserve"> loss of access to education which significantly increased the number of girls that were out school and </w:t>
      </w:r>
      <w:r w:rsidR="00DE0EBB" w:rsidRPr="00C6536D">
        <w:rPr>
          <w:sz w:val="24"/>
          <w:szCs w:val="24"/>
        </w:rPr>
        <w:t>fuelled</w:t>
      </w:r>
      <w:r w:rsidRPr="00C6536D">
        <w:rPr>
          <w:sz w:val="24"/>
          <w:szCs w:val="24"/>
        </w:rPr>
        <w:t xml:space="preserve"> the pre-existing gender discrimination thus impeding opportunities for girls.</w:t>
      </w:r>
      <w:r w:rsidRPr="00C6536D">
        <w:rPr>
          <w:rStyle w:val="FootnoteReference"/>
          <w:sz w:val="24"/>
          <w:szCs w:val="24"/>
        </w:rPr>
        <w:footnoteReference w:id="116"/>
      </w:r>
    </w:p>
    <w:p w14:paraId="527087B5" w14:textId="77777777" w:rsidR="00E75191" w:rsidRDefault="00E75191" w:rsidP="00E75191">
      <w:pPr>
        <w:keepNext/>
        <w:spacing w:line="240" w:lineRule="auto"/>
        <w:jc w:val="center"/>
      </w:pPr>
      <w:r>
        <w:rPr>
          <w:rFonts w:ascii="Lato" w:hAnsi="Lato" w:cs="Helvetica"/>
          <w:noProof/>
          <w:color w:val="333333"/>
          <w:sz w:val="23"/>
          <w:szCs w:val="23"/>
          <w:lang w:val="en-IE" w:eastAsia="en-IE"/>
        </w:rPr>
        <w:lastRenderedPageBreak/>
        <w:drawing>
          <wp:inline distT="0" distB="0" distL="0" distR="0" wp14:anchorId="6D26B546" wp14:editId="01052B4E">
            <wp:extent cx="5731510" cy="5464040"/>
            <wp:effectExtent l="0" t="0" r="2540" b="3810"/>
            <wp:docPr id="480" name="Picture 480" descr="https://www.sbmintel.com/wp-content/uploads/2021/07/Half-year-kidnap-1536x14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www.sbmintel.com/wp-content/uploads/2021/07/Half-year-kidnap-1536x1465.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31510" cy="5464040"/>
                    </a:xfrm>
                    <a:prstGeom prst="rect">
                      <a:avLst/>
                    </a:prstGeom>
                    <a:noFill/>
                    <a:ln>
                      <a:noFill/>
                    </a:ln>
                  </pic:spPr>
                </pic:pic>
              </a:graphicData>
            </a:graphic>
          </wp:inline>
        </w:drawing>
      </w:r>
    </w:p>
    <w:p w14:paraId="42130784" w14:textId="77777777" w:rsidR="00681F77" w:rsidRPr="00C6536D" w:rsidRDefault="00681F77" w:rsidP="00E75191">
      <w:pPr>
        <w:pStyle w:val="Caption"/>
        <w:jc w:val="center"/>
        <w:rPr>
          <w:sz w:val="24"/>
          <w:szCs w:val="24"/>
        </w:rPr>
      </w:pPr>
      <w:r>
        <w:t xml:space="preserve">Figure </w:t>
      </w:r>
      <w:fldSimple w:instr=" SEQ Figure \* ARABIC ">
        <w:r w:rsidR="00C15490">
          <w:rPr>
            <w:noProof/>
          </w:rPr>
          <w:t>11</w:t>
        </w:r>
      </w:fldSimple>
      <w:r>
        <w:t xml:space="preserve"> Kidnapping cases in Nigeria by state</w:t>
      </w:r>
      <w:r w:rsidR="00E75191">
        <w:t xml:space="preserve"> in 2021</w:t>
      </w:r>
      <w:r w:rsidR="00E75191">
        <w:rPr>
          <w:rStyle w:val="FootnoteReference"/>
        </w:rPr>
        <w:footnoteReference w:id="117"/>
      </w:r>
    </w:p>
    <w:p w14:paraId="734981F3" w14:textId="77777777" w:rsidR="00C6536D" w:rsidRPr="00C6536D" w:rsidRDefault="00C6536D" w:rsidP="00E75191">
      <w:pPr>
        <w:spacing w:line="240" w:lineRule="auto"/>
        <w:jc w:val="both"/>
        <w:rPr>
          <w:sz w:val="24"/>
          <w:szCs w:val="24"/>
        </w:rPr>
      </w:pPr>
      <w:r w:rsidRPr="00C6536D">
        <w:rPr>
          <w:sz w:val="24"/>
          <w:szCs w:val="24"/>
        </w:rPr>
        <w:t>As evidenced by the situation in North-Eastern Nigeria, conflict often result</w:t>
      </w:r>
      <w:r w:rsidR="00AE69C8">
        <w:rPr>
          <w:sz w:val="24"/>
          <w:szCs w:val="24"/>
        </w:rPr>
        <w:t>s</w:t>
      </w:r>
      <w:r w:rsidRPr="00C6536D">
        <w:rPr>
          <w:sz w:val="24"/>
          <w:szCs w:val="24"/>
        </w:rPr>
        <w:t xml:space="preserve"> in human rights violations. These include sexual violence</w:t>
      </w:r>
      <w:r w:rsidR="00AE69C8">
        <w:rPr>
          <w:sz w:val="24"/>
          <w:szCs w:val="24"/>
        </w:rPr>
        <w:t>,</w:t>
      </w:r>
      <w:r w:rsidRPr="00C6536D">
        <w:rPr>
          <w:sz w:val="24"/>
          <w:szCs w:val="24"/>
        </w:rPr>
        <w:t xml:space="preserve"> forced marriage, rape, pregnancy and other types of inhuman and degrading treatments. </w:t>
      </w:r>
      <w:r w:rsidR="00525FDE">
        <w:rPr>
          <w:sz w:val="24"/>
          <w:szCs w:val="24"/>
        </w:rPr>
        <w:t xml:space="preserve">  Other challenges include kidnapping, and human trafficking. With increasing violence in other geo-political zones, including South East, these challenges are also evidenced there, although to a lesser extent. </w:t>
      </w:r>
      <w:r w:rsidRPr="00C6536D">
        <w:rPr>
          <w:sz w:val="24"/>
          <w:szCs w:val="24"/>
        </w:rPr>
        <w:t xml:space="preserve">These acts directly contravene Chapter IV of the Constitution which protects the fundamental rights of all citizens including the right to life, dignity of the human person, personal liberty, amongst other such rights. Pursuant to the provisions of the Constitution, the Nigerian government has an obligation to adopt measures to prevent, investigate, prosecute, and punish human rights abuses that often take place during conflict events. </w:t>
      </w:r>
    </w:p>
    <w:p w14:paraId="660B4A7A" w14:textId="77777777" w:rsidR="00D8025B" w:rsidRDefault="00D85481" w:rsidP="00E75191">
      <w:pPr>
        <w:spacing w:line="240" w:lineRule="auto"/>
        <w:jc w:val="both"/>
        <w:rPr>
          <w:sz w:val="24"/>
          <w:szCs w:val="24"/>
        </w:rPr>
      </w:pPr>
      <w:r>
        <w:rPr>
          <w:sz w:val="24"/>
          <w:szCs w:val="24"/>
        </w:rPr>
        <w:t>Nigeria is signatory to the U</w:t>
      </w:r>
      <w:r w:rsidRPr="00D85481">
        <w:rPr>
          <w:sz w:val="24"/>
          <w:szCs w:val="24"/>
        </w:rPr>
        <w:t>N Security Council Resolution 1325 on women, pea</w:t>
      </w:r>
      <w:r>
        <w:rPr>
          <w:sz w:val="24"/>
          <w:szCs w:val="24"/>
        </w:rPr>
        <w:t>ce and security (2000) (</w:t>
      </w:r>
      <w:r w:rsidR="00D8025B" w:rsidRPr="00D8025B">
        <w:rPr>
          <w:sz w:val="24"/>
          <w:szCs w:val="24"/>
        </w:rPr>
        <w:t>UNSCR 1325</w:t>
      </w:r>
      <w:r>
        <w:rPr>
          <w:sz w:val="24"/>
          <w:szCs w:val="24"/>
        </w:rPr>
        <w:t>).  It</w:t>
      </w:r>
      <w:r w:rsidR="00D8025B" w:rsidRPr="00D8025B">
        <w:rPr>
          <w:sz w:val="24"/>
          <w:szCs w:val="24"/>
        </w:rPr>
        <w:t xml:space="preserve"> was first implemented in 2013 via a National Action Plan (NAP) </w:t>
      </w:r>
      <w:r w:rsidR="00D8025B" w:rsidRPr="00D8025B">
        <w:rPr>
          <w:sz w:val="24"/>
          <w:szCs w:val="24"/>
        </w:rPr>
        <w:lastRenderedPageBreak/>
        <w:t xml:space="preserve">developed by the Federal Ministry of Women Affairs and Social Development with the aid of UN </w:t>
      </w:r>
      <w:r w:rsidR="00AE69C8">
        <w:rPr>
          <w:sz w:val="24"/>
          <w:szCs w:val="24"/>
        </w:rPr>
        <w:t>W</w:t>
      </w:r>
      <w:r w:rsidR="00AE69C8" w:rsidRPr="00D8025B">
        <w:rPr>
          <w:sz w:val="24"/>
          <w:szCs w:val="24"/>
        </w:rPr>
        <w:t>omen</w:t>
      </w:r>
      <w:r w:rsidR="00D8025B" w:rsidRPr="00D8025B">
        <w:rPr>
          <w:sz w:val="24"/>
          <w:szCs w:val="24"/>
        </w:rPr>
        <w:t>, the European Union and the Nigerian Stability Reconciliation Programme (NSRP)</w:t>
      </w:r>
      <w:r w:rsidR="00D8025B">
        <w:rPr>
          <w:sz w:val="24"/>
          <w:szCs w:val="24"/>
        </w:rPr>
        <w:t xml:space="preserve">. </w:t>
      </w:r>
      <w:r w:rsidR="009A5622">
        <w:rPr>
          <w:sz w:val="24"/>
          <w:szCs w:val="24"/>
        </w:rPr>
        <w:t xml:space="preserve">The 2013 NAP was revised and a new one was adopted in 2017: the National Action Plan, 2017-2020. The </w:t>
      </w:r>
      <w:r w:rsidR="009A5622" w:rsidRPr="009A5622">
        <w:rPr>
          <w:sz w:val="24"/>
          <w:szCs w:val="24"/>
        </w:rPr>
        <w:t xml:space="preserve">objectives are </w:t>
      </w:r>
      <w:r w:rsidR="009A5622">
        <w:rPr>
          <w:sz w:val="24"/>
          <w:szCs w:val="24"/>
        </w:rPr>
        <w:t>have five key thematic areas namely:</w:t>
      </w:r>
      <w:r w:rsidR="009A5622" w:rsidRPr="009A5622">
        <w:rPr>
          <w:sz w:val="24"/>
          <w:szCs w:val="24"/>
        </w:rPr>
        <w:t xml:space="preserve"> prevention and disaster preparedness; participation and representation; protection and prosecution; crisis management, early recovery, and post-conflict reconstruction; and partnerships, coordination, and management. </w:t>
      </w:r>
      <w:r w:rsidR="009A5622">
        <w:rPr>
          <w:sz w:val="24"/>
          <w:szCs w:val="24"/>
        </w:rPr>
        <w:t>In its report for the Beijin</w:t>
      </w:r>
      <w:r w:rsidR="00410D26">
        <w:rPr>
          <w:sz w:val="24"/>
          <w:szCs w:val="24"/>
        </w:rPr>
        <w:t>g 25+</w:t>
      </w:r>
      <w:r w:rsidR="009A5622">
        <w:rPr>
          <w:sz w:val="24"/>
          <w:szCs w:val="24"/>
        </w:rPr>
        <w:t xml:space="preserve">, Nigeria reported some progress in the implementation of the NAP, including the </w:t>
      </w:r>
      <w:r w:rsidR="009A5622" w:rsidRPr="009A5622">
        <w:rPr>
          <w:sz w:val="24"/>
          <w:szCs w:val="24"/>
        </w:rPr>
        <w:t>inclusion of women in councils of traditional rulers and periodic gender trainin</w:t>
      </w:r>
      <w:r w:rsidR="009A5622">
        <w:rPr>
          <w:sz w:val="24"/>
          <w:szCs w:val="24"/>
        </w:rPr>
        <w:t>g for security sector agencies.</w:t>
      </w:r>
      <w:r w:rsidR="009A5622">
        <w:rPr>
          <w:rStyle w:val="FootnoteReference"/>
          <w:sz w:val="24"/>
          <w:szCs w:val="24"/>
        </w:rPr>
        <w:footnoteReference w:id="118"/>
      </w:r>
      <w:r w:rsidR="009A5622">
        <w:rPr>
          <w:sz w:val="24"/>
          <w:szCs w:val="24"/>
        </w:rPr>
        <w:t xml:space="preserve">  </w:t>
      </w:r>
      <w:r w:rsidR="00D8025B">
        <w:rPr>
          <w:sz w:val="24"/>
          <w:szCs w:val="24"/>
        </w:rPr>
        <w:t xml:space="preserve">It is </w:t>
      </w:r>
      <w:r w:rsidR="009A5622">
        <w:rPr>
          <w:sz w:val="24"/>
          <w:szCs w:val="24"/>
        </w:rPr>
        <w:t xml:space="preserve">currently </w:t>
      </w:r>
      <w:r w:rsidR="00D8025B">
        <w:rPr>
          <w:sz w:val="24"/>
          <w:szCs w:val="24"/>
        </w:rPr>
        <w:t>being revised</w:t>
      </w:r>
      <w:r w:rsidR="00D8025B" w:rsidRPr="009A5622">
        <w:rPr>
          <w:sz w:val="24"/>
          <w:szCs w:val="24"/>
        </w:rPr>
        <w:t xml:space="preserve">.  </w:t>
      </w:r>
      <w:r w:rsidR="00D8025B" w:rsidRPr="004B145B">
        <w:rPr>
          <w:sz w:val="24"/>
          <w:szCs w:val="24"/>
        </w:rPr>
        <w:t>There are continuing gaps in its implementation, with dismal consequences of women and girls in particular</w:t>
      </w:r>
      <w:r w:rsidR="00D8025B">
        <w:rPr>
          <w:sz w:val="24"/>
          <w:szCs w:val="24"/>
        </w:rPr>
        <w:t xml:space="preserve">. </w:t>
      </w:r>
      <w:r w:rsidR="00525FDE">
        <w:rPr>
          <w:sz w:val="24"/>
          <w:szCs w:val="24"/>
        </w:rPr>
        <w:t>For instance, the situation analysis conducted for the NAP 2017-2020 indicated that there was very limited awareness of the NAP (</w:t>
      </w:r>
      <w:r>
        <w:rPr>
          <w:sz w:val="24"/>
          <w:szCs w:val="24"/>
        </w:rPr>
        <w:t xml:space="preserve">in </w:t>
      </w:r>
      <w:r w:rsidR="00525FDE">
        <w:rPr>
          <w:sz w:val="24"/>
          <w:szCs w:val="24"/>
        </w:rPr>
        <w:t>the South-East</w:t>
      </w:r>
      <w:r>
        <w:rPr>
          <w:sz w:val="24"/>
          <w:szCs w:val="24"/>
        </w:rPr>
        <w:t>, 93 per cent of those surveyed had not heard of the NAP).</w:t>
      </w:r>
      <w:r>
        <w:rPr>
          <w:rStyle w:val="FootnoteReference"/>
          <w:sz w:val="24"/>
          <w:szCs w:val="24"/>
        </w:rPr>
        <w:footnoteReference w:id="119"/>
      </w:r>
      <w:r w:rsidR="00525FDE">
        <w:rPr>
          <w:sz w:val="24"/>
          <w:szCs w:val="24"/>
        </w:rPr>
        <w:t xml:space="preserve"> </w:t>
      </w:r>
      <w:r w:rsidR="00EC518F">
        <w:rPr>
          <w:sz w:val="24"/>
          <w:szCs w:val="24"/>
        </w:rPr>
        <w:t xml:space="preserve"> There is need to bring implementation down to the State level, where conflict occurs but n</w:t>
      </w:r>
      <w:r w:rsidR="00410D26">
        <w:rPr>
          <w:sz w:val="24"/>
          <w:szCs w:val="24"/>
        </w:rPr>
        <w:t>ot all States have adopted the State Action Plans</w:t>
      </w:r>
      <w:r w:rsidR="00EC518F">
        <w:rPr>
          <w:sz w:val="24"/>
          <w:szCs w:val="24"/>
        </w:rPr>
        <w:t>.  A recent evaluation report of the implementation of NAP in Benue and Bauchi State suggests that there is need for budget allocation for effective implementation and the adoption of laws like the VAPP Act to prevent and control violence against women and children.</w:t>
      </w:r>
      <w:r w:rsidR="00EC518F">
        <w:rPr>
          <w:rStyle w:val="FootnoteReference"/>
          <w:sz w:val="24"/>
          <w:szCs w:val="24"/>
        </w:rPr>
        <w:footnoteReference w:id="120"/>
      </w:r>
      <w:r w:rsidR="00410D26">
        <w:rPr>
          <w:sz w:val="24"/>
          <w:szCs w:val="24"/>
        </w:rPr>
        <w:t xml:space="preserve"> </w:t>
      </w:r>
    </w:p>
    <w:p w14:paraId="3A9A1E14" w14:textId="77777777" w:rsidR="00C6536D" w:rsidRDefault="00C6536D" w:rsidP="00E75191">
      <w:pPr>
        <w:spacing w:line="240" w:lineRule="auto"/>
        <w:jc w:val="both"/>
        <w:rPr>
          <w:sz w:val="24"/>
          <w:szCs w:val="24"/>
        </w:rPr>
      </w:pPr>
      <w:r w:rsidRPr="00C6536D">
        <w:rPr>
          <w:sz w:val="24"/>
          <w:szCs w:val="24"/>
        </w:rPr>
        <w:t>The rights under the Constitution are echoed in the Child Rights Act, 2003 which addresses some human rights abuses suffered by children, including those in conflict-torn zones. The provisions of the Child Rights Act address matters such as forced marriage, deprivation of access to health, dignity of the child, right to survival and right to education</w:t>
      </w:r>
      <w:r w:rsidRPr="00C6536D">
        <w:rPr>
          <w:rStyle w:val="FootnoteReference"/>
          <w:sz w:val="24"/>
          <w:szCs w:val="24"/>
        </w:rPr>
        <w:footnoteReference w:id="121"/>
      </w:r>
      <w:r w:rsidRPr="00C6536D">
        <w:rPr>
          <w:sz w:val="24"/>
          <w:szCs w:val="24"/>
        </w:rPr>
        <w:t xml:space="preserve"> in relation to persons below the age of 18 as such a person is considered a ‘child’ under the law.</w:t>
      </w:r>
      <w:r w:rsidRPr="00C6536D">
        <w:rPr>
          <w:rStyle w:val="FootnoteReference"/>
          <w:sz w:val="24"/>
          <w:szCs w:val="24"/>
        </w:rPr>
        <w:footnoteReference w:id="122"/>
      </w:r>
      <w:r w:rsidRPr="00C6536D">
        <w:rPr>
          <w:sz w:val="24"/>
          <w:szCs w:val="24"/>
        </w:rPr>
        <w:t xml:space="preserve"> Under the Child Rights Act, a marriage involving a child is prohibited and is considered null and void.</w:t>
      </w:r>
      <w:r w:rsidRPr="00C6536D">
        <w:rPr>
          <w:rStyle w:val="FootnoteReference"/>
          <w:sz w:val="24"/>
          <w:szCs w:val="24"/>
        </w:rPr>
        <w:footnoteReference w:id="123"/>
      </w:r>
      <w:r w:rsidRPr="00C6536D">
        <w:rPr>
          <w:sz w:val="24"/>
          <w:szCs w:val="24"/>
        </w:rPr>
        <w:t xml:space="preserve"> </w:t>
      </w:r>
      <w:r w:rsidR="00AE69C8">
        <w:rPr>
          <w:sz w:val="24"/>
          <w:szCs w:val="24"/>
        </w:rPr>
        <w:t>However, the law is not yet adopted by the s</w:t>
      </w:r>
      <w:r w:rsidRPr="00C6536D">
        <w:rPr>
          <w:sz w:val="24"/>
          <w:szCs w:val="24"/>
        </w:rPr>
        <w:t>tates most affected by conflict . Child marriage is therefore still an accepted practice in most parts of Northern Nigeria, with existing data indicating that Nigeria has the largest number of child brides in Africa as 23 million girls and women were married off as children.</w:t>
      </w:r>
      <w:r w:rsidRPr="00C6536D">
        <w:rPr>
          <w:rStyle w:val="FootnoteReference"/>
          <w:sz w:val="24"/>
          <w:szCs w:val="24"/>
        </w:rPr>
        <w:footnoteReference w:id="124"/>
      </w:r>
      <w:r w:rsidRPr="00C6536D">
        <w:rPr>
          <w:sz w:val="24"/>
          <w:szCs w:val="24"/>
        </w:rPr>
        <w:t xml:space="preserve"> These figures are not only alarming but show that Nigeria has significantly failed to honour its obligations under the Convention on the Rights of a Child and the African Charter on the Rights and Welfare of the Child in this regard. Nonetheless, a recent step by the Nigerian government to addressing child marriage is the launch of The National Strategic Plan to End Child Marriage in Nigeria 2016-2021 in November 2016 by the year 2030.</w:t>
      </w:r>
    </w:p>
    <w:p w14:paraId="7851FC6B" w14:textId="77777777" w:rsidR="00744F56" w:rsidRDefault="00744F56" w:rsidP="00E75191">
      <w:pPr>
        <w:spacing w:line="240" w:lineRule="auto"/>
        <w:jc w:val="both"/>
        <w:rPr>
          <w:sz w:val="24"/>
          <w:szCs w:val="24"/>
        </w:rPr>
      </w:pPr>
    </w:p>
    <w:p w14:paraId="7C4D7BE5" w14:textId="77777777" w:rsidR="00744F56" w:rsidRDefault="00744F56" w:rsidP="00E75191">
      <w:pPr>
        <w:spacing w:line="240" w:lineRule="auto"/>
        <w:jc w:val="both"/>
        <w:rPr>
          <w:b/>
          <w:sz w:val="24"/>
          <w:szCs w:val="24"/>
        </w:rPr>
      </w:pPr>
      <w:r w:rsidRPr="00744F56">
        <w:rPr>
          <w:b/>
          <w:noProof/>
          <w:sz w:val="24"/>
          <w:szCs w:val="24"/>
          <w:lang w:val="en-IE" w:eastAsia="en-IE"/>
        </w:rPr>
        <w:lastRenderedPageBreak/>
        <mc:AlternateContent>
          <mc:Choice Requires="wps">
            <w:drawing>
              <wp:anchor distT="0" distB="0" distL="114300" distR="114300" simplePos="0" relativeHeight="251671552" behindDoc="0" locked="0" layoutInCell="1" allowOverlap="1" wp14:anchorId="3E5AFFF7" wp14:editId="441A7C26">
                <wp:simplePos x="0" y="0"/>
                <wp:positionH relativeFrom="column">
                  <wp:align>center</wp:align>
                </wp:positionH>
                <wp:positionV relativeFrom="paragraph">
                  <wp:posOffset>0</wp:posOffset>
                </wp:positionV>
                <wp:extent cx="5857875" cy="1403985"/>
                <wp:effectExtent l="0" t="0" r="28575" b="1397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1403985"/>
                        </a:xfrm>
                        <a:prstGeom prst="rect">
                          <a:avLst/>
                        </a:prstGeom>
                        <a:solidFill>
                          <a:schemeClr val="accent1">
                            <a:lumMod val="60000"/>
                            <a:lumOff val="40000"/>
                          </a:schemeClr>
                        </a:solidFill>
                        <a:ln w="9525">
                          <a:solidFill>
                            <a:schemeClr val="accent1">
                              <a:lumMod val="60000"/>
                              <a:lumOff val="40000"/>
                            </a:schemeClr>
                          </a:solidFill>
                          <a:miter lim="800000"/>
                          <a:headEnd/>
                          <a:tailEnd/>
                        </a:ln>
                      </wps:spPr>
                      <wps:txbx>
                        <w:txbxContent>
                          <w:p w14:paraId="3CF1029B" w14:textId="77777777" w:rsidR="006D6A0C" w:rsidRPr="005667FD" w:rsidRDefault="006D6A0C" w:rsidP="005667FD">
                            <w:pPr>
                              <w:pStyle w:val="Heading1"/>
                              <w:rPr>
                                <w:color w:val="auto"/>
                                <w:sz w:val="56"/>
                                <w:szCs w:val="56"/>
                              </w:rPr>
                            </w:pPr>
                            <w:bookmarkStart w:id="34" w:name="_Toc81228174"/>
                            <w:bookmarkStart w:id="35" w:name="_Toc81228286"/>
                            <w:bookmarkStart w:id="36" w:name="_Toc81229097"/>
                            <w:r w:rsidRPr="005667FD">
                              <w:rPr>
                                <w:color w:val="auto"/>
                                <w:sz w:val="56"/>
                                <w:szCs w:val="56"/>
                              </w:rPr>
                              <w:t>3.7 Health</w:t>
                            </w:r>
                            <w:bookmarkEnd w:id="34"/>
                            <w:bookmarkEnd w:id="35"/>
                            <w:bookmarkEnd w:id="36"/>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5AFFF7" id="_x0000_s1048" type="#_x0000_t202" style="position:absolute;left:0;text-align:left;margin-left:0;margin-top:0;width:461.25pt;height:110.55pt;z-index:251671552;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" fillcolor="#9cc2e5 [1940]" strokecolor="#9cc2e5 [1940]">
                <v:textbox style="mso-fit-shape-to-text:t">
                  <w:txbxContent>
                    <w:p w:rsidR="006D6A0C" w:rsidRPr="005667FD" w:rsidRDefault="006D6A0C" w:rsidP="005667FD">
                      <w:pPr>
                        <w:pStyle w:val="Heading1"/>
                        <w:rPr>
                          <w:color w:val="auto"/>
                          <w:sz w:val="56"/>
                          <w:szCs w:val="56"/>
                        </w:rPr>
                      </w:pPr>
                      <w:bookmarkStart w:id="62" w:name="_Toc81228174"/>
                      <w:bookmarkStart w:id="63" w:name="_Toc81228286"/>
                      <w:bookmarkStart w:id="64" w:name="_Toc81229097"/>
                      <w:r w:rsidRPr="005667FD">
                        <w:rPr>
                          <w:color w:val="auto"/>
                          <w:sz w:val="56"/>
                          <w:szCs w:val="56"/>
                        </w:rPr>
                        <w:t>3.7 Health</w:t>
                      </w:r>
                      <w:bookmarkEnd w:id="62"/>
                      <w:bookmarkEnd w:id="63"/>
                      <w:bookmarkEnd w:id="64"/>
                    </w:p>
                  </w:txbxContent>
                </v:textbox>
              </v:shape>
            </w:pict>
          </mc:Fallback>
        </mc:AlternateContent>
      </w:r>
    </w:p>
    <w:p w14:paraId="04FDB653" w14:textId="77777777" w:rsidR="00744F56" w:rsidRDefault="00744F56" w:rsidP="00E75191">
      <w:pPr>
        <w:spacing w:line="240" w:lineRule="auto"/>
        <w:jc w:val="both"/>
        <w:rPr>
          <w:sz w:val="24"/>
          <w:szCs w:val="24"/>
        </w:rPr>
      </w:pPr>
    </w:p>
    <w:p w14:paraId="1448429B" w14:textId="77777777" w:rsidR="00744F56" w:rsidRDefault="00744F56" w:rsidP="00E75191">
      <w:pPr>
        <w:spacing w:line="240" w:lineRule="auto"/>
        <w:jc w:val="both"/>
        <w:rPr>
          <w:sz w:val="24"/>
          <w:szCs w:val="24"/>
        </w:rPr>
      </w:pPr>
    </w:p>
    <w:p w14:paraId="332FED7B" w14:textId="77777777" w:rsidR="00B35FB9" w:rsidRPr="00396096" w:rsidRDefault="00C91D14" w:rsidP="00E75191">
      <w:pPr>
        <w:spacing w:line="240" w:lineRule="auto"/>
        <w:jc w:val="both"/>
        <w:rPr>
          <w:rFonts w:cstheme="minorHAnsi"/>
          <w:sz w:val="24"/>
          <w:szCs w:val="24"/>
        </w:rPr>
      </w:pPr>
      <w:r w:rsidRPr="00396096">
        <w:rPr>
          <w:rFonts w:cstheme="minorHAnsi"/>
          <w:sz w:val="24"/>
          <w:szCs w:val="24"/>
        </w:rPr>
        <w:t>Health care in Nigeria is chall</w:t>
      </w:r>
      <w:r w:rsidR="00D018C2" w:rsidRPr="00396096">
        <w:rPr>
          <w:rFonts w:cstheme="minorHAnsi"/>
          <w:sz w:val="24"/>
          <w:szCs w:val="24"/>
        </w:rPr>
        <w:t>enging with a variety of poor indicators</w:t>
      </w:r>
      <w:r w:rsidRPr="00396096">
        <w:rPr>
          <w:rFonts w:cstheme="minorHAnsi"/>
          <w:sz w:val="24"/>
          <w:szCs w:val="24"/>
        </w:rPr>
        <w:t xml:space="preserve">.  </w:t>
      </w:r>
      <w:r w:rsidR="002F78F0" w:rsidRPr="00396096">
        <w:rPr>
          <w:rFonts w:cstheme="minorHAnsi"/>
          <w:sz w:val="24"/>
          <w:szCs w:val="24"/>
        </w:rPr>
        <w:t>Average life expectancy is 55 for women and 52 for men,</w:t>
      </w:r>
      <w:r w:rsidR="00955FE6">
        <w:rPr>
          <w:rFonts w:cstheme="minorHAnsi"/>
          <w:sz w:val="24"/>
          <w:szCs w:val="24"/>
        </w:rPr>
        <w:t xml:space="preserve"> which is</w:t>
      </w:r>
      <w:r w:rsidR="002F78F0" w:rsidRPr="00396096">
        <w:rPr>
          <w:rFonts w:cstheme="minorHAnsi"/>
          <w:sz w:val="24"/>
          <w:szCs w:val="24"/>
        </w:rPr>
        <w:t xml:space="preserve"> low even amongst sub-Saharan countries. Other indicators include</w:t>
      </w:r>
      <w:r w:rsidRPr="00396096">
        <w:rPr>
          <w:rFonts w:cstheme="minorHAnsi"/>
          <w:sz w:val="24"/>
          <w:szCs w:val="24"/>
        </w:rPr>
        <w:t xml:space="preserve"> </w:t>
      </w:r>
      <w:r w:rsidR="00955FE6">
        <w:rPr>
          <w:rFonts w:cstheme="minorHAnsi"/>
          <w:sz w:val="24"/>
          <w:szCs w:val="24"/>
        </w:rPr>
        <w:t>the</w:t>
      </w:r>
      <w:r w:rsidRPr="00396096">
        <w:rPr>
          <w:rFonts w:cstheme="minorHAnsi"/>
          <w:sz w:val="24"/>
          <w:szCs w:val="24"/>
        </w:rPr>
        <w:t xml:space="preserve"> HIV prevalence rate </w:t>
      </w:r>
      <w:r w:rsidR="00955FE6">
        <w:rPr>
          <w:rFonts w:cstheme="minorHAnsi"/>
          <w:sz w:val="24"/>
          <w:szCs w:val="24"/>
        </w:rPr>
        <w:t xml:space="preserve">which </w:t>
      </w:r>
      <w:r w:rsidRPr="00396096">
        <w:rPr>
          <w:rFonts w:cstheme="minorHAnsi"/>
          <w:sz w:val="24"/>
          <w:szCs w:val="24"/>
        </w:rPr>
        <w:t xml:space="preserve">is </w:t>
      </w:r>
      <w:r w:rsidR="00B35FB9" w:rsidRPr="00396096">
        <w:rPr>
          <w:rFonts w:cstheme="minorHAnsi"/>
          <w:sz w:val="24"/>
          <w:szCs w:val="24"/>
        </w:rPr>
        <w:t>1.5</w:t>
      </w:r>
      <w:r w:rsidR="00955FE6">
        <w:rPr>
          <w:rFonts w:cstheme="minorHAnsi"/>
          <w:sz w:val="24"/>
          <w:szCs w:val="24"/>
        </w:rPr>
        <w:t>%</w:t>
      </w:r>
      <w:r w:rsidR="00B35FB9" w:rsidRPr="00396096">
        <w:rPr>
          <w:rFonts w:cstheme="minorHAnsi"/>
          <w:sz w:val="24"/>
          <w:szCs w:val="24"/>
        </w:rPr>
        <w:t xml:space="preserve"> of persons between </w:t>
      </w:r>
      <w:r w:rsidRPr="00396096">
        <w:rPr>
          <w:rFonts w:cstheme="minorHAnsi"/>
          <w:sz w:val="24"/>
          <w:szCs w:val="24"/>
        </w:rPr>
        <w:t>15-64,</w:t>
      </w:r>
      <w:r w:rsidR="00B35FB9" w:rsidRPr="00396096">
        <w:rPr>
          <w:rStyle w:val="FootnoteReference"/>
          <w:rFonts w:cstheme="minorHAnsi"/>
          <w:sz w:val="24"/>
          <w:szCs w:val="24"/>
        </w:rPr>
        <w:footnoteReference w:id="125"/>
      </w:r>
      <w:r w:rsidR="00B35FB9" w:rsidRPr="00396096">
        <w:rPr>
          <w:rFonts w:cstheme="minorHAnsi"/>
          <w:sz w:val="24"/>
          <w:szCs w:val="24"/>
        </w:rPr>
        <w:t xml:space="preserve"> </w:t>
      </w:r>
      <w:r w:rsidRPr="00396096">
        <w:rPr>
          <w:rFonts w:cstheme="minorHAnsi"/>
          <w:sz w:val="24"/>
          <w:szCs w:val="24"/>
        </w:rPr>
        <w:t>a m</w:t>
      </w:r>
      <w:r w:rsidR="00B35FB9" w:rsidRPr="00396096">
        <w:rPr>
          <w:rFonts w:cstheme="minorHAnsi"/>
          <w:sz w:val="24"/>
          <w:szCs w:val="24"/>
        </w:rPr>
        <w:t>aterna</w:t>
      </w:r>
      <w:r w:rsidRPr="00396096">
        <w:rPr>
          <w:rFonts w:cstheme="minorHAnsi"/>
          <w:sz w:val="24"/>
          <w:szCs w:val="24"/>
        </w:rPr>
        <w:t>l mortality rate of</w:t>
      </w:r>
      <w:r w:rsidR="00472C26" w:rsidRPr="00396096">
        <w:rPr>
          <w:rFonts w:cstheme="minorHAnsi"/>
          <w:sz w:val="24"/>
          <w:szCs w:val="24"/>
        </w:rPr>
        <w:t xml:space="preserve"> 51</w:t>
      </w:r>
      <w:r w:rsidRPr="00396096">
        <w:rPr>
          <w:rFonts w:cstheme="minorHAnsi"/>
          <w:sz w:val="24"/>
          <w:szCs w:val="24"/>
        </w:rPr>
        <w:t>2 per 100,000 live births,</w:t>
      </w:r>
      <w:r w:rsidR="00B35FB9" w:rsidRPr="00396096">
        <w:rPr>
          <w:rStyle w:val="FootnoteReference"/>
          <w:rFonts w:cstheme="minorHAnsi"/>
          <w:sz w:val="24"/>
          <w:szCs w:val="24"/>
        </w:rPr>
        <w:footnoteReference w:id="126"/>
      </w:r>
      <w:r w:rsidR="00472C26" w:rsidRPr="00396096">
        <w:rPr>
          <w:rFonts w:cstheme="minorHAnsi"/>
          <w:sz w:val="24"/>
          <w:szCs w:val="24"/>
        </w:rPr>
        <w:t xml:space="preserve"> and infant mortality rate of</w:t>
      </w:r>
      <w:r w:rsidR="002509F6" w:rsidRPr="00396096">
        <w:rPr>
          <w:rFonts w:cstheme="minorHAnsi"/>
          <w:sz w:val="24"/>
          <w:szCs w:val="24"/>
        </w:rPr>
        <w:t xml:space="preserve"> 69 per 1,000 live births while for under-fives it rises to 128 per 1,000 live births</w:t>
      </w:r>
      <w:r w:rsidR="009D646C" w:rsidRPr="00396096">
        <w:rPr>
          <w:rFonts w:cstheme="minorHAnsi"/>
          <w:sz w:val="24"/>
          <w:szCs w:val="24"/>
        </w:rPr>
        <w:t>,</w:t>
      </w:r>
      <w:r w:rsidR="002509F6" w:rsidRPr="00396096">
        <w:rPr>
          <w:rStyle w:val="FootnoteReference"/>
          <w:rFonts w:cstheme="minorHAnsi"/>
          <w:sz w:val="24"/>
          <w:szCs w:val="24"/>
        </w:rPr>
        <w:footnoteReference w:id="127"/>
      </w:r>
      <w:r w:rsidR="009D646C" w:rsidRPr="00396096">
        <w:rPr>
          <w:rFonts w:cstheme="minorHAnsi"/>
          <w:sz w:val="24"/>
          <w:szCs w:val="24"/>
        </w:rPr>
        <w:t xml:space="preserve"> </w:t>
      </w:r>
      <w:r w:rsidR="00472C26" w:rsidRPr="00396096">
        <w:rPr>
          <w:rFonts w:cstheme="minorHAnsi"/>
          <w:sz w:val="24"/>
          <w:szCs w:val="24"/>
        </w:rPr>
        <w:t>This means that for every 1,000 births in Nigeria, approximately five women die during pregnancyor within 2 months after childbirth.</w:t>
      </w:r>
      <w:r w:rsidR="00472C26" w:rsidRPr="00396096">
        <w:rPr>
          <w:rStyle w:val="FootnoteReference"/>
          <w:rFonts w:cstheme="minorHAnsi"/>
          <w:sz w:val="24"/>
          <w:szCs w:val="24"/>
        </w:rPr>
        <w:footnoteReference w:id="128"/>
      </w:r>
      <w:r w:rsidR="00472C26" w:rsidRPr="00396096">
        <w:rPr>
          <w:rFonts w:cstheme="minorHAnsi"/>
          <w:sz w:val="24"/>
          <w:szCs w:val="24"/>
        </w:rPr>
        <w:t xml:space="preserve"> Nigeria also has </w:t>
      </w:r>
      <w:r w:rsidR="009D646C" w:rsidRPr="00396096">
        <w:rPr>
          <w:rFonts w:cstheme="minorHAnsi"/>
          <w:sz w:val="24"/>
          <w:szCs w:val="24"/>
        </w:rPr>
        <w:t>the highest burden of childhood pneumococcal disease in Africa</w:t>
      </w:r>
      <w:r w:rsidR="00472C26" w:rsidRPr="00396096">
        <w:rPr>
          <w:rStyle w:val="FootnoteReference"/>
          <w:rFonts w:cstheme="minorHAnsi"/>
          <w:sz w:val="24"/>
          <w:szCs w:val="24"/>
        </w:rPr>
        <w:footnoteReference w:id="129"/>
      </w:r>
      <w:r w:rsidR="009D646C" w:rsidRPr="00396096">
        <w:rPr>
          <w:rFonts w:cstheme="minorHAnsi"/>
          <w:sz w:val="24"/>
          <w:szCs w:val="24"/>
        </w:rPr>
        <w:t xml:space="preserve"> and the second highest in the world.</w:t>
      </w:r>
      <w:r w:rsidR="00472C26" w:rsidRPr="00396096">
        <w:rPr>
          <w:rStyle w:val="FootnoteReference"/>
          <w:rFonts w:cstheme="minorHAnsi"/>
          <w:sz w:val="24"/>
          <w:szCs w:val="24"/>
        </w:rPr>
        <w:footnoteReference w:id="130"/>
      </w:r>
      <w:r w:rsidR="009D646C" w:rsidRPr="00396096">
        <w:rPr>
          <w:rFonts w:cstheme="minorHAnsi"/>
          <w:sz w:val="24"/>
          <w:szCs w:val="24"/>
        </w:rPr>
        <w:t xml:space="preserve"> </w:t>
      </w:r>
      <w:r w:rsidR="00B35FB9" w:rsidRPr="00396096">
        <w:rPr>
          <w:rFonts w:cstheme="minorHAnsi"/>
          <w:sz w:val="24"/>
          <w:szCs w:val="24"/>
        </w:rPr>
        <w:t xml:space="preserve"> </w:t>
      </w:r>
      <w:r w:rsidR="009D646C" w:rsidRPr="00396096">
        <w:rPr>
          <w:rFonts w:cstheme="minorHAnsi"/>
          <w:sz w:val="24"/>
          <w:szCs w:val="24"/>
        </w:rPr>
        <w:t>Studies also show a high rate of non-communicable diseases, including mental health challenges.</w:t>
      </w:r>
      <w:r w:rsidR="009D646C" w:rsidRPr="00396096">
        <w:rPr>
          <w:rStyle w:val="FootnoteReference"/>
          <w:rFonts w:cstheme="minorHAnsi"/>
          <w:sz w:val="24"/>
          <w:szCs w:val="24"/>
        </w:rPr>
        <w:footnoteReference w:id="131"/>
      </w:r>
      <w:r w:rsidR="009D646C" w:rsidRPr="00396096">
        <w:rPr>
          <w:rFonts w:cstheme="minorHAnsi"/>
          <w:sz w:val="24"/>
          <w:szCs w:val="24"/>
        </w:rPr>
        <w:t xml:space="preserve"> </w:t>
      </w:r>
      <w:r w:rsidR="00472C26" w:rsidRPr="00396096">
        <w:rPr>
          <w:rFonts w:cstheme="minorHAnsi"/>
          <w:sz w:val="24"/>
          <w:szCs w:val="24"/>
        </w:rPr>
        <w:t xml:space="preserve"> There is limited access support for mental health, </w:t>
      </w:r>
      <w:r w:rsidR="00955FE6">
        <w:rPr>
          <w:rFonts w:cstheme="minorHAnsi"/>
          <w:sz w:val="24"/>
          <w:szCs w:val="24"/>
        </w:rPr>
        <w:t>and for persons with disability</w:t>
      </w:r>
      <w:r w:rsidR="00472C26" w:rsidRPr="00396096">
        <w:rPr>
          <w:rFonts w:cstheme="minorHAnsi"/>
          <w:sz w:val="24"/>
          <w:szCs w:val="24"/>
        </w:rPr>
        <w:t xml:space="preserve">. </w:t>
      </w:r>
      <w:r w:rsidR="00B35FB9" w:rsidRPr="00396096">
        <w:rPr>
          <w:rFonts w:cstheme="minorHAnsi"/>
          <w:sz w:val="24"/>
          <w:szCs w:val="24"/>
        </w:rPr>
        <w:t xml:space="preserve"> </w:t>
      </w:r>
    </w:p>
    <w:p w14:paraId="323265EF" w14:textId="77777777" w:rsidR="00D018C2" w:rsidRPr="00D018C2" w:rsidRDefault="00472C26" w:rsidP="00E75191">
      <w:pPr>
        <w:spacing w:line="240" w:lineRule="auto"/>
        <w:jc w:val="both"/>
        <w:rPr>
          <w:rFonts w:cstheme="minorHAnsi"/>
          <w:sz w:val="24"/>
          <w:szCs w:val="24"/>
        </w:rPr>
      </w:pPr>
      <w:r w:rsidRPr="00396096">
        <w:rPr>
          <w:rFonts w:cstheme="minorHAnsi"/>
          <w:sz w:val="24"/>
          <w:szCs w:val="24"/>
        </w:rPr>
        <w:t xml:space="preserve">To address access to health care, </w:t>
      </w:r>
      <w:r w:rsidR="00B35FB9" w:rsidRPr="00396096">
        <w:rPr>
          <w:rFonts w:cstheme="minorHAnsi"/>
          <w:sz w:val="24"/>
          <w:szCs w:val="24"/>
        </w:rPr>
        <w:t>Nigeria has committed to universal</w:t>
      </w:r>
      <w:r w:rsidR="00B35FB9">
        <w:rPr>
          <w:rFonts w:cstheme="minorHAnsi"/>
          <w:sz w:val="24"/>
          <w:szCs w:val="24"/>
        </w:rPr>
        <w:t xml:space="preserve"> health coverage through various policy and legislative measures including the National Health Policy, the National Health Act, the </w:t>
      </w:r>
      <w:r w:rsidR="00B35FB9" w:rsidRPr="00D018C2">
        <w:rPr>
          <w:rFonts w:cstheme="minorHAnsi"/>
          <w:sz w:val="24"/>
          <w:szCs w:val="24"/>
        </w:rPr>
        <w:t xml:space="preserve">National Health Insurance Scheme Act and states health insurance schemes.  </w:t>
      </w:r>
      <w:r w:rsidR="006234F0">
        <w:rPr>
          <w:rFonts w:cstheme="minorHAnsi"/>
          <w:sz w:val="24"/>
          <w:szCs w:val="24"/>
        </w:rPr>
        <w:t>T</w:t>
      </w:r>
      <w:r w:rsidR="00D018C2" w:rsidRPr="006234F0">
        <w:rPr>
          <w:rFonts w:cstheme="minorHAnsi"/>
          <w:sz w:val="24"/>
          <w:szCs w:val="24"/>
        </w:rPr>
        <w:t xml:space="preserve">he </w:t>
      </w:r>
      <w:r w:rsidR="00D018C2" w:rsidRPr="006234F0">
        <w:rPr>
          <w:rFonts w:cstheme="minorHAnsi"/>
          <w:noProof/>
          <w:sz w:val="24"/>
          <w:szCs w:val="24"/>
        </w:rPr>
        <w:t>National Strategic Health Development Plan II has been launched</w:t>
      </w:r>
      <w:r w:rsidR="00D018C2" w:rsidRPr="002F78F0">
        <w:rPr>
          <w:rFonts w:cstheme="minorHAnsi"/>
          <w:b/>
          <w:noProof/>
          <w:sz w:val="24"/>
          <w:szCs w:val="24"/>
        </w:rPr>
        <w:t>.</w:t>
      </w:r>
      <w:r w:rsidR="00D018C2">
        <w:rPr>
          <w:rFonts w:cstheme="minorHAnsi"/>
          <w:noProof/>
          <w:sz w:val="24"/>
          <w:szCs w:val="24"/>
        </w:rPr>
        <w:t xml:space="preserve">  It </w:t>
      </w:r>
      <w:r w:rsidR="00C149D7">
        <w:rPr>
          <w:rFonts w:cstheme="minorHAnsi"/>
          <w:noProof/>
          <w:sz w:val="24"/>
          <w:szCs w:val="24"/>
        </w:rPr>
        <w:t xml:space="preserve">sets out a strategic framework </w:t>
      </w:r>
      <w:r w:rsidR="00B276F1">
        <w:rPr>
          <w:rFonts w:cstheme="minorHAnsi"/>
          <w:noProof/>
          <w:sz w:val="24"/>
          <w:szCs w:val="24"/>
        </w:rPr>
        <w:t>to address a range of health sector challenges</w:t>
      </w:r>
      <w:r w:rsidR="00C149D7">
        <w:rPr>
          <w:rFonts w:cstheme="minorHAnsi"/>
          <w:noProof/>
          <w:sz w:val="24"/>
          <w:szCs w:val="24"/>
        </w:rPr>
        <w:t xml:space="preserve"> and provide a basis for interventions between 2018 and 2022</w:t>
      </w:r>
      <w:r w:rsidR="00B276F1">
        <w:rPr>
          <w:rFonts w:cstheme="minorHAnsi"/>
          <w:noProof/>
          <w:sz w:val="24"/>
          <w:szCs w:val="24"/>
        </w:rPr>
        <w:t xml:space="preserve">. </w:t>
      </w:r>
      <w:r w:rsidR="00D018C2">
        <w:rPr>
          <w:rFonts w:cstheme="minorHAnsi"/>
          <w:noProof/>
          <w:sz w:val="24"/>
          <w:szCs w:val="24"/>
        </w:rPr>
        <w:t xml:space="preserve"> </w:t>
      </w:r>
    </w:p>
    <w:p w14:paraId="527D5A2A" w14:textId="77777777" w:rsidR="00472C26" w:rsidRDefault="00B35FB9" w:rsidP="00E75191">
      <w:pPr>
        <w:spacing w:line="240" w:lineRule="auto"/>
        <w:jc w:val="both"/>
        <w:rPr>
          <w:rFonts w:cstheme="minorHAnsi"/>
          <w:sz w:val="24"/>
          <w:szCs w:val="24"/>
        </w:rPr>
      </w:pPr>
      <w:r>
        <w:rPr>
          <w:rFonts w:cstheme="minorHAnsi"/>
          <w:sz w:val="24"/>
          <w:szCs w:val="24"/>
        </w:rPr>
        <w:t xml:space="preserve">However, these measures are yet to be fully implemented </w:t>
      </w:r>
      <w:r w:rsidR="00955FE6">
        <w:rPr>
          <w:rFonts w:cstheme="minorHAnsi"/>
          <w:sz w:val="24"/>
          <w:szCs w:val="24"/>
        </w:rPr>
        <w:t xml:space="preserve">to </w:t>
      </w:r>
      <w:r>
        <w:rPr>
          <w:rFonts w:cstheme="minorHAnsi"/>
          <w:sz w:val="24"/>
          <w:szCs w:val="24"/>
        </w:rPr>
        <w:t xml:space="preserve">improve the health status of Nigerians. </w:t>
      </w:r>
      <w:r w:rsidR="00963661" w:rsidRPr="001525C4">
        <w:rPr>
          <w:rFonts w:cstheme="minorHAnsi"/>
          <w:sz w:val="24"/>
          <w:szCs w:val="24"/>
        </w:rPr>
        <w:t>Since the signing of the Abuja declaration in 2001 where all African countries committed to allocati</w:t>
      </w:r>
      <w:r w:rsidR="00955FE6">
        <w:rPr>
          <w:rFonts w:cstheme="minorHAnsi"/>
          <w:sz w:val="24"/>
          <w:szCs w:val="24"/>
        </w:rPr>
        <w:t>ng</w:t>
      </w:r>
      <w:r w:rsidR="00963661" w:rsidRPr="001525C4">
        <w:rPr>
          <w:rFonts w:cstheme="minorHAnsi"/>
          <w:sz w:val="24"/>
          <w:szCs w:val="24"/>
        </w:rPr>
        <w:t xml:space="preserve"> not less than 15% of the national budget to healthcare, Nigeria has consistently fallen below the benchmark</w:t>
      </w:r>
      <w:r w:rsidR="00C149D7">
        <w:rPr>
          <w:rFonts w:cstheme="minorHAnsi"/>
          <w:sz w:val="24"/>
          <w:szCs w:val="24"/>
        </w:rPr>
        <w:t>.</w:t>
      </w:r>
      <w:r w:rsidR="00963661" w:rsidRPr="001525C4">
        <w:rPr>
          <w:rStyle w:val="FootnoteReference"/>
          <w:rFonts w:cstheme="minorHAnsi"/>
          <w:sz w:val="24"/>
          <w:szCs w:val="24"/>
        </w:rPr>
        <w:footnoteReference w:id="132"/>
      </w:r>
      <w:r w:rsidR="00C149D7">
        <w:rPr>
          <w:rFonts w:cstheme="minorHAnsi"/>
          <w:sz w:val="24"/>
          <w:szCs w:val="24"/>
        </w:rPr>
        <w:t xml:space="preserve"> </w:t>
      </w:r>
      <w:r w:rsidR="00963661" w:rsidRPr="001525C4">
        <w:rPr>
          <w:rFonts w:cstheme="minorHAnsi"/>
          <w:sz w:val="24"/>
          <w:szCs w:val="24"/>
        </w:rPr>
        <w:t>Allocation and expenditure to health and healthcare has averaged about 4% over the last decade.</w:t>
      </w:r>
      <w:r w:rsidR="00963661" w:rsidRPr="001525C4">
        <w:rPr>
          <w:rStyle w:val="FootnoteReference"/>
          <w:rFonts w:cstheme="minorHAnsi"/>
          <w:sz w:val="24"/>
          <w:szCs w:val="24"/>
        </w:rPr>
        <w:footnoteReference w:id="133"/>
      </w:r>
      <w:r w:rsidR="00963661" w:rsidRPr="001525C4">
        <w:rPr>
          <w:rFonts w:cstheme="minorHAnsi"/>
          <w:sz w:val="24"/>
          <w:szCs w:val="24"/>
        </w:rPr>
        <w:t xml:space="preserve"> Thus, it is clear that Nigeria’s </w:t>
      </w:r>
      <w:r w:rsidR="00963661" w:rsidRPr="001525C4">
        <w:rPr>
          <w:rFonts w:cstheme="minorHAnsi"/>
          <w:sz w:val="24"/>
          <w:szCs w:val="24"/>
        </w:rPr>
        <w:lastRenderedPageBreak/>
        <w:t>commitment to ensuring universal health coverage remains shaky at best.</w:t>
      </w:r>
      <w:r w:rsidR="00963661" w:rsidRPr="001525C4">
        <w:rPr>
          <w:rStyle w:val="FootnoteReference"/>
          <w:rFonts w:cstheme="minorHAnsi"/>
          <w:sz w:val="24"/>
          <w:szCs w:val="24"/>
        </w:rPr>
        <w:footnoteReference w:id="134"/>
      </w:r>
      <w:r w:rsidR="00963661" w:rsidRPr="001525C4">
        <w:rPr>
          <w:rFonts w:cstheme="minorHAnsi"/>
          <w:sz w:val="24"/>
          <w:szCs w:val="24"/>
        </w:rPr>
        <w:t xml:space="preserve"> Landmark achievements over the last decade such as the passage of the National Health Act in 2014 (which establishes the National Health System) and the Primary Health Care Under One Roof (which institutionalizes primary healthcare structure) have been threatened by poor budgetary allocation and releases. </w:t>
      </w:r>
      <w:r w:rsidR="00472C26">
        <w:rPr>
          <w:rFonts w:cstheme="minorHAnsi"/>
          <w:sz w:val="24"/>
          <w:szCs w:val="24"/>
        </w:rPr>
        <w:t>As a result, t</w:t>
      </w:r>
      <w:r w:rsidR="00963661" w:rsidRPr="001525C4">
        <w:rPr>
          <w:rFonts w:cstheme="minorHAnsi"/>
          <w:sz w:val="24"/>
          <w:szCs w:val="24"/>
        </w:rPr>
        <w:t>he Niger</w:t>
      </w:r>
      <w:r w:rsidR="00563729">
        <w:rPr>
          <w:rFonts w:cstheme="minorHAnsi"/>
          <w:sz w:val="24"/>
          <w:szCs w:val="24"/>
        </w:rPr>
        <w:t>ian healthcare system is</w:t>
      </w:r>
      <w:r w:rsidR="00963661" w:rsidRPr="001525C4">
        <w:rPr>
          <w:rFonts w:cstheme="minorHAnsi"/>
          <w:sz w:val="24"/>
          <w:szCs w:val="24"/>
        </w:rPr>
        <w:t xml:space="preserve"> </w:t>
      </w:r>
      <w:r w:rsidR="00955FE6">
        <w:rPr>
          <w:rFonts w:cstheme="minorHAnsi"/>
          <w:sz w:val="24"/>
          <w:szCs w:val="24"/>
        </w:rPr>
        <w:t>to a significant degree</w:t>
      </w:r>
      <w:r w:rsidR="00955FE6" w:rsidRPr="001525C4">
        <w:rPr>
          <w:rFonts w:cstheme="minorHAnsi"/>
          <w:sz w:val="24"/>
          <w:szCs w:val="24"/>
        </w:rPr>
        <w:t xml:space="preserve"> </w:t>
      </w:r>
      <w:r w:rsidR="00963661" w:rsidRPr="001525C4">
        <w:rPr>
          <w:rFonts w:cstheme="minorHAnsi"/>
          <w:sz w:val="24"/>
          <w:szCs w:val="24"/>
        </w:rPr>
        <w:t xml:space="preserve">dependent on donor funding for implementation of priority services such as malaria control, family planning, maternal and new-born child health. </w:t>
      </w:r>
      <w:r w:rsidR="00563729" w:rsidRPr="001525C4">
        <w:rPr>
          <w:rFonts w:cstheme="minorHAnsi"/>
          <w:sz w:val="24"/>
          <w:szCs w:val="24"/>
        </w:rPr>
        <w:t>Access to health care remains a problem to achieving universal health coverage in Nigeria. Common barriers to accessing hea</w:t>
      </w:r>
      <w:r w:rsidR="005A0831">
        <w:rPr>
          <w:rFonts w:cstheme="minorHAnsi"/>
          <w:sz w:val="24"/>
          <w:szCs w:val="24"/>
        </w:rPr>
        <w:t xml:space="preserve">lth are cultural, financial, </w:t>
      </w:r>
      <w:r w:rsidR="00563729" w:rsidRPr="001525C4">
        <w:rPr>
          <w:rFonts w:cstheme="minorHAnsi"/>
          <w:sz w:val="24"/>
          <w:szCs w:val="24"/>
        </w:rPr>
        <w:t>physica</w:t>
      </w:r>
      <w:r w:rsidR="005A0831">
        <w:rPr>
          <w:rFonts w:cstheme="minorHAnsi"/>
          <w:sz w:val="24"/>
          <w:szCs w:val="24"/>
        </w:rPr>
        <w:t xml:space="preserve">l, geographical and gendered. </w:t>
      </w:r>
    </w:p>
    <w:p w14:paraId="1E3CB71C" w14:textId="77777777" w:rsidR="005A0831" w:rsidRPr="00EB6159" w:rsidRDefault="005A0831" w:rsidP="00EB6159">
      <w:pPr>
        <w:rPr>
          <w:rStyle w:val="IntenseEmphasis"/>
        </w:rPr>
      </w:pPr>
      <w:r w:rsidRPr="00EB6159">
        <w:rPr>
          <w:rStyle w:val="IntenseEmphasis"/>
        </w:rPr>
        <w:t>Gender in Healthcare</w:t>
      </w:r>
    </w:p>
    <w:p w14:paraId="1A496F43" w14:textId="77777777" w:rsidR="005A7076" w:rsidRPr="004B145B" w:rsidRDefault="00955FE6" w:rsidP="004B145B">
      <w:pPr>
        <w:spacing w:line="240" w:lineRule="auto"/>
        <w:jc w:val="both"/>
        <w:rPr>
          <w:rFonts w:cstheme="minorHAnsi"/>
          <w:sz w:val="24"/>
          <w:szCs w:val="24"/>
        </w:rPr>
      </w:pPr>
      <w:r w:rsidRPr="004B145B">
        <w:rPr>
          <w:rFonts w:cstheme="minorHAnsi"/>
          <w:sz w:val="24"/>
          <w:szCs w:val="24"/>
        </w:rPr>
        <w:t>Access to h</w:t>
      </w:r>
      <w:r w:rsidR="00472C26" w:rsidRPr="004B145B">
        <w:rPr>
          <w:rFonts w:cstheme="minorHAnsi"/>
          <w:sz w:val="24"/>
          <w:szCs w:val="24"/>
        </w:rPr>
        <w:t xml:space="preserve">ealthcare is gendered in several respects. As noted earlier, </w:t>
      </w:r>
      <w:r w:rsidR="00963661" w:rsidRPr="004B145B">
        <w:rPr>
          <w:rFonts w:cstheme="minorHAnsi"/>
          <w:sz w:val="24"/>
          <w:szCs w:val="24"/>
        </w:rPr>
        <w:t>Nigeria records one of the highest maternal deaths globally with 20% of the total global maternal mortality rate.</w:t>
      </w:r>
      <w:r w:rsidR="00963661" w:rsidRPr="004B145B">
        <w:rPr>
          <w:rStyle w:val="FootnoteReference"/>
          <w:rFonts w:cstheme="minorHAnsi"/>
          <w:sz w:val="24"/>
          <w:szCs w:val="24"/>
        </w:rPr>
        <w:footnoteReference w:id="135"/>
      </w:r>
      <w:r w:rsidR="00963661" w:rsidRPr="004B145B">
        <w:rPr>
          <w:rFonts w:cstheme="minorHAnsi"/>
          <w:sz w:val="24"/>
          <w:szCs w:val="24"/>
        </w:rPr>
        <w:t xml:space="preserve"> An estimated 512 maternal deaths take place per 100,000 live births.</w:t>
      </w:r>
      <w:r w:rsidR="00963661" w:rsidRPr="004B145B">
        <w:rPr>
          <w:rStyle w:val="FootnoteReference"/>
          <w:rFonts w:cstheme="minorHAnsi"/>
          <w:sz w:val="24"/>
          <w:szCs w:val="24"/>
        </w:rPr>
        <w:footnoteReference w:id="136"/>
      </w:r>
      <w:r w:rsidR="00963661" w:rsidRPr="004B145B">
        <w:rPr>
          <w:rFonts w:cstheme="minorHAnsi"/>
          <w:sz w:val="24"/>
          <w:szCs w:val="24"/>
        </w:rPr>
        <w:t xml:space="preserve"> </w:t>
      </w:r>
      <w:r w:rsidR="003F1791" w:rsidRPr="004B145B">
        <w:rPr>
          <w:rFonts w:cstheme="minorHAnsi"/>
          <w:sz w:val="24"/>
          <w:szCs w:val="24"/>
        </w:rPr>
        <w:t>Contraception uptake in Nigeria is one of the lowest in Africa, with only about 13.4</w:t>
      </w:r>
      <w:r w:rsidR="00C14C66" w:rsidRPr="004B145B">
        <w:rPr>
          <w:rFonts w:cstheme="minorHAnsi"/>
          <w:sz w:val="24"/>
          <w:szCs w:val="24"/>
        </w:rPr>
        <w:t>%</w:t>
      </w:r>
      <w:r w:rsidR="003F1791" w:rsidRPr="004B145B">
        <w:rPr>
          <w:rFonts w:cstheme="minorHAnsi"/>
          <w:sz w:val="24"/>
          <w:szCs w:val="24"/>
        </w:rPr>
        <w:t xml:space="preserve"> coverage.</w:t>
      </w:r>
      <w:r w:rsidR="003F1791" w:rsidRPr="004B145B">
        <w:rPr>
          <w:rStyle w:val="FootnoteReference"/>
          <w:rFonts w:cstheme="minorHAnsi"/>
          <w:sz w:val="24"/>
          <w:szCs w:val="24"/>
        </w:rPr>
        <w:footnoteReference w:id="137"/>
      </w:r>
      <w:r w:rsidR="003F1791" w:rsidRPr="004B145B">
        <w:rPr>
          <w:rFonts w:cstheme="minorHAnsi"/>
          <w:sz w:val="24"/>
          <w:szCs w:val="24"/>
        </w:rPr>
        <w:t xml:space="preserve">  Factors related to both supply and demand have been identified as responsible including inadequate availability of contraceptives, limited human resources, limited financial and physical access to high quality services, poor infrastructure, low levels of awareness, cultural and religious restrictions. </w:t>
      </w:r>
      <w:r w:rsidR="00963661" w:rsidRPr="004B145B">
        <w:rPr>
          <w:rFonts w:cstheme="minorHAnsi"/>
          <w:sz w:val="24"/>
          <w:szCs w:val="24"/>
        </w:rPr>
        <w:t>In addition to the high rate in maternal deaths, another health challenge which women are most vulnerable to compared to men is the HIV/AIDS</w:t>
      </w:r>
      <w:r w:rsidR="003F1791" w:rsidRPr="004B145B">
        <w:rPr>
          <w:rStyle w:val="FootnoteReference"/>
          <w:rFonts w:cstheme="minorHAnsi"/>
          <w:sz w:val="24"/>
          <w:szCs w:val="24"/>
        </w:rPr>
        <w:footnoteReference w:id="138"/>
      </w:r>
      <w:r w:rsidR="00963661" w:rsidRPr="004B145B">
        <w:rPr>
          <w:rFonts w:cstheme="minorHAnsi"/>
          <w:sz w:val="24"/>
          <w:szCs w:val="24"/>
        </w:rPr>
        <w:t>. A recent study shows that out of the 1.9 million people living with HIV in Nigeria, women are twice as likely to be living with the disease compared to men.</w:t>
      </w:r>
      <w:r w:rsidR="00963661" w:rsidRPr="004B145B">
        <w:rPr>
          <w:rStyle w:val="FootnoteReference"/>
          <w:rFonts w:cstheme="minorHAnsi"/>
          <w:sz w:val="24"/>
          <w:szCs w:val="24"/>
        </w:rPr>
        <w:footnoteReference w:id="139"/>
      </w:r>
      <w:r w:rsidR="00963661" w:rsidRPr="004B145B">
        <w:rPr>
          <w:rFonts w:cstheme="minorHAnsi"/>
          <w:sz w:val="24"/>
          <w:szCs w:val="24"/>
        </w:rPr>
        <w:t xml:space="preserve"> </w:t>
      </w:r>
      <w:r w:rsidR="005A7076" w:rsidRPr="004B145B">
        <w:rPr>
          <w:rFonts w:cstheme="minorHAnsi"/>
          <w:sz w:val="24"/>
          <w:szCs w:val="24"/>
        </w:rPr>
        <w:t xml:space="preserve">Shortage of human resources such as doctors and nurses puts the country at risk of being unable to provide much needed </w:t>
      </w:r>
      <w:r w:rsidR="007C0BBF" w:rsidRPr="004B145B">
        <w:rPr>
          <w:rFonts w:cstheme="minorHAnsi"/>
          <w:sz w:val="24"/>
          <w:szCs w:val="24"/>
        </w:rPr>
        <w:t>Maternal, Neonatal an</w:t>
      </w:r>
      <w:r w:rsidR="006B55BE" w:rsidRPr="004B145B">
        <w:rPr>
          <w:rFonts w:cstheme="minorHAnsi"/>
          <w:sz w:val="24"/>
          <w:szCs w:val="24"/>
        </w:rPr>
        <w:t>d</w:t>
      </w:r>
      <w:r w:rsidR="007C0BBF" w:rsidRPr="004B145B">
        <w:rPr>
          <w:rFonts w:cstheme="minorHAnsi"/>
          <w:sz w:val="24"/>
          <w:szCs w:val="24"/>
        </w:rPr>
        <w:t xml:space="preserve"> Child Health (MNCH) </w:t>
      </w:r>
      <w:r w:rsidR="005A7076" w:rsidRPr="004B145B">
        <w:rPr>
          <w:rFonts w:cstheme="minorHAnsi"/>
          <w:sz w:val="24"/>
          <w:szCs w:val="24"/>
        </w:rPr>
        <w:t>services on a sustainable basis.</w:t>
      </w:r>
      <w:r w:rsidR="005A7076" w:rsidRPr="004B145B">
        <w:rPr>
          <w:rStyle w:val="FootnoteReference"/>
          <w:rFonts w:cstheme="minorHAnsi"/>
          <w:sz w:val="24"/>
          <w:szCs w:val="24"/>
        </w:rPr>
        <w:footnoteReference w:id="140"/>
      </w:r>
      <w:r w:rsidR="005A7076" w:rsidRPr="004B145B">
        <w:rPr>
          <w:rFonts w:cstheme="minorHAnsi"/>
          <w:sz w:val="24"/>
          <w:szCs w:val="24"/>
        </w:rPr>
        <w:t xml:space="preserve"> Furthermore, despite evidence that more and more people suffer from mental illnesses with prevalence higher among women than men, there are only 200 psychiatrists available to address mental health care concerns in the Nigerian population currently estimated at 200 million.</w:t>
      </w:r>
      <w:r w:rsidR="005A7076" w:rsidRPr="004B145B">
        <w:rPr>
          <w:rStyle w:val="FootnoteReference"/>
          <w:rFonts w:cstheme="minorHAnsi"/>
          <w:sz w:val="24"/>
          <w:szCs w:val="24"/>
        </w:rPr>
        <w:footnoteReference w:id="141"/>
      </w:r>
    </w:p>
    <w:p w14:paraId="28D67EC5" w14:textId="77777777" w:rsidR="00963661" w:rsidRDefault="00963661" w:rsidP="004B145B">
      <w:pPr>
        <w:spacing w:line="240" w:lineRule="auto"/>
        <w:jc w:val="both"/>
        <w:rPr>
          <w:rFonts w:cstheme="minorHAnsi"/>
          <w:sz w:val="24"/>
          <w:szCs w:val="24"/>
        </w:rPr>
      </w:pPr>
      <w:r w:rsidRPr="004B145B">
        <w:rPr>
          <w:rFonts w:cstheme="minorHAnsi"/>
          <w:sz w:val="24"/>
          <w:szCs w:val="24"/>
        </w:rPr>
        <w:t xml:space="preserve">Currently, </w:t>
      </w:r>
      <w:r w:rsidR="00C87CB6" w:rsidRPr="004B145B">
        <w:rPr>
          <w:rFonts w:cstheme="minorHAnsi"/>
          <w:sz w:val="24"/>
          <w:szCs w:val="24"/>
        </w:rPr>
        <w:t>development partners</w:t>
      </w:r>
      <w:r w:rsidRPr="004B145B">
        <w:rPr>
          <w:rFonts w:cstheme="minorHAnsi"/>
          <w:sz w:val="24"/>
          <w:szCs w:val="24"/>
        </w:rPr>
        <w:t xml:space="preserve"> </w:t>
      </w:r>
      <w:r w:rsidR="00C87CB6" w:rsidRPr="004B145B">
        <w:rPr>
          <w:rFonts w:cstheme="minorHAnsi"/>
          <w:sz w:val="24"/>
          <w:szCs w:val="24"/>
        </w:rPr>
        <w:t xml:space="preserve">channel </w:t>
      </w:r>
      <w:r w:rsidRPr="004B145B">
        <w:rPr>
          <w:rFonts w:cstheme="minorHAnsi"/>
          <w:sz w:val="24"/>
          <w:szCs w:val="24"/>
        </w:rPr>
        <w:t>significant portion</w:t>
      </w:r>
      <w:r w:rsidR="00C87CB6" w:rsidRPr="004B145B">
        <w:rPr>
          <w:rFonts w:cstheme="minorHAnsi"/>
          <w:sz w:val="24"/>
          <w:szCs w:val="24"/>
        </w:rPr>
        <w:t>s</w:t>
      </w:r>
      <w:r w:rsidRPr="004B145B">
        <w:rPr>
          <w:rFonts w:cstheme="minorHAnsi"/>
          <w:sz w:val="24"/>
          <w:szCs w:val="24"/>
        </w:rPr>
        <w:t xml:space="preserve"> of </w:t>
      </w:r>
      <w:r w:rsidR="00C87CB6" w:rsidRPr="004B145B">
        <w:rPr>
          <w:rFonts w:cstheme="minorHAnsi"/>
          <w:sz w:val="24"/>
          <w:szCs w:val="24"/>
        </w:rPr>
        <w:t xml:space="preserve">available </w:t>
      </w:r>
      <w:r w:rsidRPr="004B145B">
        <w:rPr>
          <w:rFonts w:cstheme="minorHAnsi"/>
          <w:sz w:val="24"/>
          <w:szCs w:val="24"/>
        </w:rPr>
        <w:t>funding to inte</w:t>
      </w:r>
      <w:r w:rsidR="005A7076" w:rsidRPr="004B145B">
        <w:rPr>
          <w:rFonts w:cstheme="minorHAnsi"/>
          <w:sz w:val="24"/>
          <w:szCs w:val="24"/>
        </w:rPr>
        <w:t>rventions which target women and</w:t>
      </w:r>
      <w:r w:rsidRPr="004B145B">
        <w:rPr>
          <w:rFonts w:cstheme="minorHAnsi"/>
          <w:sz w:val="24"/>
          <w:szCs w:val="24"/>
        </w:rPr>
        <w:t xml:space="preserve"> children.</w:t>
      </w:r>
      <w:r w:rsidRPr="004B145B">
        <w:rPr>
          <w:rStyle w:val="FootnoteReference"/>
          <w:rFonts w:cstheme="minorHAnsi"/>
          <w:sz w:val="24"/>
          <w:szCs w:val="24"/>
        </w:rPr>
        <w:footnoteReference w:id="142"/>
      </w:r>
      <w:r w:rsidRPr="004B145B">
        <w:rPr>
          <w:rFonts w:cstheme="minorHAnsi"/>
          <w:sz w:val="24"/>
          <w:szCs w:val="24"/>
        </w:rPr>
        <w:t xml:space="preserve"> Services directly address</w:t>
      </w:r>
      <w:r w:rsidR="00C14C66" w:rsidRPr="004B145B">
        <w:rPr>
          <w:rFonts w:cstheme="minorHAnsi"/>
          <w:sz w:val="24"/>
          <w:szCs w:val="24"/>
        </w:rPr>
        <w:t>ing</w:t>
      </w:r>
      <w:r w:rsidRPr="004B145B">
        <w:rPr>
          <w:rFonts w:cstheme="minorHAnsi"/>
          <w:sz w:val="24"/>
          <w:szCs w:val="24"/>
        </w:rPr>
        <w:t xml:space="preserve"> the health needs of men are not as many.</w:t>
      </w:r>
      <w:r w:rsidRPr="004B145B">
        <w:rPr>
          <w:rStyle w:val="FootnoteReference"/>
          <w:rFonts w:cstheme="minorHAnsi"/>
          <w:sz w:val="24"/>
          <w:szCs w:val="24"/>
        </w:rPr>
        <w:footnoteReference w:id="143"/>
      </w:r>
      <w:r w:rsidRPr="004B145B">
        <w:rPr>
          <w:rFonts w:cstheme="minorHAnsi"/>
          <w:sz w:val="24"/>
          <w:szCs w:val="24"/>
        </w:rPr>
        <w:t xml:space="preserve">  </w:t>
      </w:r>
      <w:r w:rsidR="00563729" w:rsidRPr="004B145B">
        <w:rPr>
          <w:rFonts w:cstheme="minorHAnsi"/>
          <w:sz w:val="24"/>
          <w:szCs w:val="24"/>
        </w:rPr>
        <w:t xml:space="preserve">While these interventions are based on the existing data, </w:t>
      </w:r>
      <w:r w:rsidR="00563729" w:rsidRPr="004B145B">
        <w:rPr>
          <w:rFonts w:cstheme="minorHAnsi"/>
          <w:sz w:val="24"/>
          <w:szCs w:val="24"/>
        </w:rPr>
        <w:lastRenderedPageBreak/>
        <w:t xml:space="preserve">it also means that men’s health care needs are often neglected, especially </w:t>
      </w:r>
      <w:r w:rsidRPr="004B145B">
        <w:rPr>
          <w:rFonts w:cstheme="minorHAnsi"/>
          <w:sz w:val="24"/>
          <w:szCs w:val="24"/>
        </w:rPr>
        <w:t>considering that life expectancy is currently higher among women than men in Nigeria.</w:t>
      </w:r>
      <w:r w:rsidRPr="004B145B">
        <w:rPr>
          <w:rStyle w:val="FootnoteReference"/>
          <w:rFonts w:cstheme="minorHAnsi"/>
          <w:sz w:val="24"/>
          <w:szCs w:val="24"/>
        </w:rPr>
        <w:footnoteReference w:id="144"/>
      </w:r>
    </w:p>
    <w:p w14:paraId="4C12C5FC" w14:textId="77777777" w:rsidR="005A0831" w:rsidRDefault="005A0831" w:rsidP="00E75191">
      <w:pPr>
        <w:spacing w:line="240" w:lineRule="auto"/>
        <w:jc w:val="both"/>
        <w:rPr>
          <w:rFonts w:cstheme="minorHAnsi"/>
          <w:sz w:val="24"/>
          <w:szCs w:val="24"/>
        </w:rPr>
      </w:pPr>
      <w:r w:rsidRPr="001525C4">
        <w:rPr>
          <w:rFonts w:cstheme="minorHAnsi"/>
          <w:sz w:val="24"/>
          <w:szCs w:val="24"/>
        </w:rPr>
        <w:t xml:space="preserve">A notable barrier to achieving equitable access to health services amongst income groups and between men and women lies in population and geographic dynamics. The population in Nigeria is higher in urban areas </w:t>
      </w:r>
      <w:r w:rsidR="00C14C66">
        <w:rPr>
          <w:rFonts w:cstheme="minorHAnsi"/>
          <w:sz w:val="24"/>
          <w:szCs w:val="24"/>
        </w:rPr>
        <w:t xml:space="preserve">than in </w:t>
      </w:r>
      <w:r w:rsidRPr="001525C4">
        <w:rPr>
          <w:rFonts w:cstheme="minorHAnsi"/>
          <w:sz w:val="24"/>
          <w:szCs w:val="24"/>
        </w:rPr>
        <w:t>in rural areas. While cities such as Lagos, Abuja and Kano boast of a high number of health facilities</w:t>
      </w:r>
      <w:r w:rsidR="007C0BBF">
        <w:rPr>
          <w:rFonts w:cstheme="minorHAnsi"/>
          <w:sz w:val="24"/>
          <w:szCs w:val="24"/>
        </w:rPr>
        <w:t xml:space="preserve"> (most of which are privately owned)</w:t>
      </w:r>
      <w:r w:rsidRPr="001525C4">
        <w:rPr>
          <w:rFonts w:cstheme="minorHAnsi"/>
          <w:sz w:val="24"/>
          <w:szCs w:val="24"/>
        </w:rPr>
        <w:t xml:space="preserve">, in </w:t>
      </w:r>
      <w:r w:rsidR="00C14C66">
        <w:rPr>
          <w:rFonts w:cstheme="minorHAnsi"/>
          <w:sz w:val="24"/>
          <w:szCs w:val="24"/>
        </w:rPr>
        <w:t>rural areas</w:t>
      </w:r>
      <w:r w:rsidRPr="001525C4">
        <w:rPr>
          <w:rFonts w:cstheme="minorHAnsi"/>
          <w:sz w:val="24"/>
          <w:szCs w:val="24"/>
        </w:rPr>
        <w:t xml:space="preserve"> have a much lower number health care </w:t>
      </w:r>
      <w:r w:rsidR="00C14C66">
        <w:rPr>
          <w:rFonts w:cstheme="minorHAnsi"/>
          <w:sz w:val="24"/>
          <w:szCs w:val="24"/>
        </w:rPr>
        <w:t>facilities</w:t>
      </w:r>
      <w:r w:rsidRPr="001525C4">
        <w:rPr>
          <w:rFonts w:cstheme="minorHAnsi"/>
          <w:sz w:val="24"/>
          <w:szCs w:val="24"/>
        </w:rPr>
        <w:t>.</w:t>
      </w:r>
      <w:r w:rsidR="00FC133D">
        <w:rPr>
          <w:rStyle w:val="FootnoteReference"/>
          <w:rFonts w:cstheme="minorHAnsi"/>
          <w:sz w:val="24"/>
          <w:szCs w:val="24"/>
        </w:rPr>
        <w:footnoteReference w:id="145"/>
      </w:r>
      <w:r w:rsidRPr="001525C4">
        <w:rPr>
          <w:rFonts w:cstheme="minorHAnsi"/>
          <w:sz w:val="24"/>
          <w:szCs w:val="24"/>
        </w:rPr>
        <w:t xml:space="preserve"> In many of such places, health centres are few and far between with </w:t>
      </w:r>
      <w:r>
        <w:rPr>
          <w:rFonts w:cstheme="minorHAnsi"/>
          <w:sz w:val="24"/>
          <w:szCs w:val="24"/>
        </w:rPr>
        <w:t xml:space="preserve">lower number of </w:t>
      </w:r>
      <w:r w:rsidRPr="001525C4">
        <w:rPr>
          <w:rFonts w:cstheme="minorHAnsi"/>
          <w:sz w:val="24"/>
          <w:szCs w:val="24"/>
        </w:rPr>
        <w:t xml:space="preserve">health personnel </w:t>
      </w:r>
      <w:r>
        <w:rPr>
          <w:rFonts w:cstheme="minorHAnsi"/>
          <w:sz w:val="24"/>
          <w:szCs w:val="24"/>
        </w:rPr>
        <w:t>than in urban areas. This in addition to illiteracy</w:t>
      </w:r>
      <w:r w:rsidR="00812461">
        <w:rPr>
          <w:rFonts w:cstheme="minorHAnsi"/>
          <w:sz w:val="24"/>
          <w:szCs w:val="24"/>
        </w:rPr>
        <w:t>,</w:t>
      </w:r>
      <w:r>
        <w:rPr>
          <w:rFonts w:cstheme="minorHAnsi"/>
          <w:sz w:val="24"/>
          <w:szCs w:val="24"/>
        </w:rPr>
        <w:t xml:space="preserve"> caus</w:t>
      </w:r>
      <w:r w:rsidR="00812461">
        <w:rPr>
          <w:rFonts w:cstheme="minorHAnsi"/>
          <w:sz w:val="24"/>
          <w:szCs w:val="24"/>
        </w:rPr>
        <w:t>ing</w:t>
      </w:r>
      <w:r>
        <w:rPr>
          <w:rFonts w:cstheme="minorHAnsi"/>
          <w:sz w:val="24"/>
          <w:szCs w:val="24"/>
        </w:rPr>
        <w:t xml:space="preserve"> women to seek care among traditional birth attendants and prayer houses</w:t>
      </w:r>
      <w:r w:rsidR="00812461">
        <w:rPr>
          <w:rFonts w:cstheme="minorHAnsi"/>
          <w:sz w:val="24"/>
          <w:szCs w:val="24"/>
        </w:rPr>
        <w:t>, which puts</w:t>
      </w:r>
      <w:r w:rsidR="007C0BBF">
        <w:rPr>
          <w:rFonts w:cstheme="minorHAnsi"/>
          <w:sz w:val="24"/>
          <w:szCs w:val="24"/>
        </w:rPr>
        <w:t xml:space="preserve"> </w:t>
      </w:r>
      <w:r w:rsidRPr="001525C4">
        <w:rPr>
          <w:rFonts w:cstheme="minorHAnsi"/>
          <w:sz w:val="24"/>
          <w:szCs w:val="24"/>
        </w:rPr>
        <w:t xml:space="preserve">pregnant women at risk of preventable mortality. The inequities in access to healthcare services in Nigeria result </w:t>
      </w:r>
      <w:r>
        <w:rPr>
          <w:rFonts w:cstheme="minorHAnsi"/>
          <w:sz w:val="24"/>
          <w:szCs w:val="24"/>
        </w:rPr>
        <w:t xml:space="preserve">in </w:t>
      </w:r>
      <w:r w:rsidRPr="001525C4">
        <w:rPr>
          <w:rFonts w:cstheme="minorHAnsi"/>
          <w:sz w:val="24"/>
          <w:szCs w:val="24"/>
        </w:rPr>
        <w:t>the most disadvantaged being low income earners in urban areas and uneducated women in rural areas.</w:t>
      </w:r>
      <w:r w:rsidRPr="001525C4">
        <w:rPr>
          <w:rStyle w:val="FootnoteReference"/>
          <w:rFonts w:cstheme="minorHAnsi"/>
          <w:sz w:val="24"/>
          <w:szCs w:val="24"/>
        </w:rPr>
        <w:footnoteReference w:id="146"/>
      </w:r>
      <w:r w:rsidRPr="001525C4">
        <w:rPr>
          <w:rFonts w:cstheme="minorHAnsi"/>
          <w:sz w:val="24"/>
          <w:szCs w:val="24"/>
        </w:rPr>
        <w:t xml:space="preserve"> </w:t>
      </w:r>
    </w:p>
    <w:p w14:paraId="53F05689" w14:textId="77777777" w:rsidR="00681F77" w:rsidRPr="00E75191" w:rsidRDefault="00681F77" w:rsidP="00E75191">
      <w:pPr>
        <w:autoSpaceDE w:val="0"/>
        <w:autoSpaceDN w:val="0"/>
        <w:adjustRightInd w:val="0"/>
        <w:spacing w:after="0" w:line="240" w:lineRule="auto"/>
        <w:jc w:val="both"/>
        <w:rPr>
          <w:rFonts w:cstheme="minorHAnsi"/>
          <w:b/>
          <w:sz w:val="24"/>
          <w:szCs w:val="24"/>
        </w:rPr>
      </w:pPr>
      <w:r w:rsidRPr="00E75191">
        <w:rPr>
          <w:rFonts w:cstheme="minorHAnsi"/>
          <w:b/>
          <w:sz w:val="24"/>
          <w:szCs w:val="24"/>
        </w:rPr>
        <w:t>Case Study: Access to healthcare</w:t>
      </w:r>
    </w:p>
    <w:p w14:paraId="46349651" w14:textId="77777777" w:rsidR="00681F77" w:rsidRPr="00E75191" w:rsidRDefault="00681F77" w:rsidP="00E75191">
      <w:pPr>
        <w:autoSpaceDE w:val="0"/>
        <w:autoSpaceDN w:val="0"/>
        <w:adjustRightInd w:val="0"/>
        <w:spacing w:after="0" w:line="240" w:lineRule="auto"/>
        <w:jc w:val="both"/>
        <w:rPr>
          <w:rFonts w:cstheme="minorHAnsi"/>
          <w:sz w:val="24"/>
          <w:szCs w:val="24"/>
        </w:rPr>
      </w:pPr>
      <w:r w:rsidRPr="00E75191">
        <w:rPr>
          <w:rFonts w:cstheme="minorHAnsi"/>
          <w:sz w:val="24"/>
          <w:szCs w:val="24"/>
        </w:rPr>
        <w:t>A total of 88.3% of the respondents jointly (agreed and strongly agreed) that boys and girls should have equal access to healthcare while only a total of 7.8% jointly disagreed or strongly disagreed on boys and girls having equal access to healthcare</w:t>
      </w:r>
      <w:r w:rsidR="00812461">
        <w:rPr>
          <w:rFonts w:cstheme="minorHAnsi"/>
          <w:sz w:val="24"/>
          <w:szCs w:val="24"/>
        </w:rPr>
        <w:t xml:space="preserve"> </w:t>
      </w:r>
      <w:r w:rsidRPr="00E75191">
        <w:rPr>
          <w:rFonts w:cstheme="minorHAnsi"/>
          <w:sz w:val="24"/>
          <w:szCs w:val="24"/>
        </w:rPr>
        <w:t>(see Table 3). Only 3.9% of the respondents neither agreed nor disagreed.</w:t>
      </w:r>
    </w:p>
    <w:p w14:paraId="6A778561" w14:textId="77777777" w:rsidR="00681F77" w:rsidRPr="00DC566E" w:rsidRDefault="00681F77" w:rsidP="00E75191">
      <w:pPr>
        <w:autoSpaceDE w:val="0"/>
        <w:autoSpaceDN w:val="0"/>
        <w:adjustRightInd w:val="0"/>
        <w:spacing w:after="0" w:line="240" w:lineRule="auto"/>
        <w:rPr>
          <w:rFonts w:ascii="Times New Roman" w:hAnsi="Times New Roman" w:cs="Times New Roman"/>
          <w:b/>
          <w:sz w:val="24"/>
          <w:szCs w:val="24"/>
        </w:rPr>
      </w:pPr>
    </w:p>
    <w:tbl>
      <w:tblPr>
        <w:tblW w:w="5000" w:type="pct"/>
        <w:tblLook w:val="04A0" w:firstRow="1" w:lastRow="0" w:firstColumn="1" w:lastColumn="0" w:noHBand="0" w:noVBand="1"/>
      </w:tblPr>
      <w:tblGrid>
        <w:gridCol w:w="1740"/>
        <w:gridCol w:w="1137"/>
        <w:gridCol w:w="1067"/>
        <w:gridCol w:w="847"/>
        <w:gridCol w:w="847"/>
        <w:gridCol w:w="847"/>
        <w:gridCol w:w="847"/>
        <w:gridCol w:w="847"/>
        <w:gridCol w:w="847"/>
      </w:tblGrid>
      <w:tr w:rsidR="00C15490" w14:paraId="6A1A558E" w14:textId="77777777" w:rsidTr="006D6A0C">
        <w:tc>
          <w:tcPr>
            <w:tcW w:w="1108" w:type="pct"/>
          </w:tcPr>
          <w:p w14:paraId="0644BFEB" w14:textId="77777777" w:rsidR="00C15490" w:rsidRDefault="00C15490" w:rsidP="006D6A0C">
            <w:pPr>
              <w:autoSpaceDE w:val="0"/>
              <w:autoSpaceDN w:val="0"/>
              <w:adjustRightInd w:val="0"/>
              <w:spacing w:line="240" w:lineRule="auto"/>
              <w:ind w:left="60" w:right="60"/>
              <w:jc w:val="center"/>
              <w:rPr>
                <w:rFonts w:ascii="Arial" w:hAnsi="Arial" w:cs="Arial"/>
                <w:color w:val="264A60"/>
                <w:sz w:val="18"/>
                <w:szCs w:val="18"/>
              </w:rPr>
            </w:pPr>
          </w:p>
        </w:tc>
        <w:tc>
          <w:tcPr>
            <w:tcW w:w="607" w:type="pct"/>
            <w:hideMark/>
          </w:tcPr>
          <w:p w14:paraId="16836082" w14:textId="77777777" w:rsidR="00C15490" w:rsidRDefault="00C15490" w:rsidP="006D6A0C">
            <w:pPr>
              <w:autoSpaceDE w:val="0"/>
              <w:autoSpaceDN w:val="0"/>
              <w:adjustRightInd w:val="0"/>
              <w:spacing w:line="240" w:lineRule="auto"/>
              <w:ind w:left="60" w:right="60"/>
              <w:jc w:val="center"/>
              <w:rPr>
                <w:rFonts w:ascii="Arial" w:hAnsi="Arial" w:cs="Arial"/>
                <w:color w:val="264A60"/>
                <w:sz w:val="18"/>
                <w:szCs w:val="18"/>
              </w:rPr>
            </w:pPr>
            <w:r>
              <w:rPr>
                <w:rFonts w:ascii="Arial" w:hAnsi="Arial" w:cs="Arial"/>
                <w:color w:val="264A60"/>
                <w:sz w:val="18"/>
                <w:szCs w:val="18"/>
              </w:rPr>
              <w:t>Adamawa</w:t>
            </w:r>
          </w:p>
        </w:tc>
        <w:tc>
          <w:tcPr>
            <w:tcW w:w="570" w:type="pct"/>
            <w:hideMark/>
          </w:tcPr>
          <w:p w14:paraId="491A0F4D" w14:textId="77777777" w:rsidR="00C15490" w:rsidRDefault="00C15490" w:rsidP="006D6A0C">
            <w:pPr>
              <w:autoSpaceDE w:val="0"/>
              <w:autoSpaceDN w:val="0"/>
              <w:adjustRightInd w:val="0"/>
              <w:spacing w:line="240" w:lineRule="auto"/>
              <w:ind w:left="60" w:right="60"/>
              <w:jc w:val="center"/>
              <w:rPr>
                <w:rFonts w:ascii="Arial" w:hAnsi="Arial" w:cs="Arial"/>
                <w:color w:val="264A60"/>
                <w:sz w:val="18"/>
                <w:szCs w:val="18"/>
              </w:rPr>
            </w:pPr>
            <w:r>
              <w:rPr>
                <w:rFonts w:ascii="Arial" w:hAnsi="Arial" w:cs="Arial"/>
                <w:color w:val="264A60"/>
                <w:sz w:val="18"/>
                <w:szCs w:val="18"/>
              </w:rPr>
              <w:t>Anambra</w:t>
            </w:r>
          </w:p>
        </w:tc>
        <w:tc>
          <w:tcPr>
            <w:tcW w:w="452" w:type="pct"/>
            <w:hideMark/>
          </w:tcPr>
          <w:p w14:paraId="07C9E008" w14:textId="77777777" w:rsidR="00C15490" w:rsidRDefault="00C15490" w:rsidP="006D6A0C">
            <w:pPr>
              <w:autoSpaceDE w:val="0"/>
              <w:autoSpaceDN w:val="0"/>
              <w:adjustRightInd w:val="0"/>
              <w:spacing w:line="240" w:lineRule="auto"/>
              <w:ind w:left="60" w:right="60"/>
              <w:jc w:val="center"/>
              <w:rPr>
                <w:rFonts w:ascii="Arial" w:hAnsi="Arial" w:cs="Arial"/>
                <w:color w:val="264A60"/>
                <w:sz w:val="18"/>
                <w:szCs w:val="18"/>
              </w:rPr>
            </w:pPr>
            <w:r>
              <w:rPr>
                <w:rFonts w:ascii="Arial" w:hAnsi="Arial" w:cs="Arial"/>
                <w:color w:val="264A60"/>
                <w:sz w:val="18"/>
                <w:szCs w:val="18"/>
              </w:rPr>
              <w:t>Edo</w:t>
            </w:r>
          </w:p>
        </w:tc>
        <w:tc>
          <w:tcPr>
            <w:tcW w:w="452" w:type="pct"/>
            <w:hideMark/>
          </w:tcPr>
          <w:p w14:paraId="66A44B53" w14:textId="77777777" w:rsidR="00C15490" w:rsidRDefault="00C15490" w:rsidP="006D6A0C">
            <w:pPr>
              <w:autoSpaceDE w:val="0"/>
              <w:autoSpaceDN w:val="0"/>
              <w:adjustRightInd w:val="0"/>
              <w:spacing w:line="240" w:lineRule="auto"/>
              <w:ind w:left="60" w:right="60"/>
              <w:jc w:val="center"/>
              <w:rPr>
                <w:rFonts w:ascii="Arial" w:hAnsi="Arial" w:cs="Arial"/>
                <w:color w:val="264A60"/>
                <w:sz w:val="18"/>
                <w:szCs w:val="18"/>
              </w:rPr>
            </w:pPr>
            <w:r>
              <w:rPr>
                <w:rFonts w:ascii="Arial" w:hAnsi="Arial" w:cs="Arial"/>
                <w:color w:val="264A60"/>
                <w:sz w:val="18"/>
                <w:szCs w:val="18"/>
              </w:rPr>
              <w:t>FCT</w:t>
            </w:r>
          </w:p>
        </w:tc>
        <w:tc>
          <w:tcPr>
            <w:tcW w:w="452" w:type="pct"/>
            <w:hideMark/>
          </w:tcPr>
          <w:p w14:paraId="47EAA6BD" w14:textId="77777777" w:rsidR="00C15490" w:rsidRDefault="00C15490" w:rsidP="006D6A0C">
            <w:pPr>
              <w:autoSpaceDE w:val="0"/>
              <w:autoSpaceDN w:val="0"/>
              <w:adjustRightInd w:val="0"/>
              <w:spacing w:line="240" w:lineRule="auto"/>
              <w:ind w:left="60" w:right="60"/>
              <w:jc w:val="center"/>
              <w:rPr>
                <w:rFonts w:ascii="Arial" w:hAnsi="Arial" w:cs="Arial"/>
                <w:color w:val="264A60"/>
                <w:sz w:val="18"/>
                <w:szCs w:val="18"/>
              </w:rPr>
            </w:pPr>
            <w:r>
              <w:rPr>
                <w:rFonts w:ascii="Arial" w:hAnsi="Arial" w:cs="Arial"/>
                <w:color w:val="264A60"/>
                <w:sz w:val="18"/>
                <w:szCs w:val="18"/>
              </w:rPr>
              <w:t>Kano</w:t>
            </w:r>
          </w:p>
        </w:tc>
        <w:tc>
          <w:tcPr>
            <w:tcW w:w="452" w:type="pct"/>
            <w:hideMark/>
          </w:tcPr>
          <w:p w14:paraId="100B769B" w14:textId="77777777" w:rsidR="00C15490" w:rsidRDefault="00C15490" w:rsidP="006D6A0C">
            <w:pPr>
              <w:autoSpaceDE w:val="0"/>
              <w:autoSpaceDN w:val="0"/>
              <w:adjustRightInd w:val="0"/>
              <w:spacing w:line="240" w:lineRule="auto"/>
              <w:ind w:left="60" w:right="60"/>
              <w:jc w:val="center"/>
              <w:rPr>
                <w:rFonts w:ascii="Arial" w:hAnsi="Arial" w:cs="Arial"/>
                <w:color w:val="264A60"/>
                <w:sz w:val="18"/>
                <w:szCs w:val="18"/>
              </w:rPr>
            </w:pPr>
            <w:r>
              <w:rPr>
                <w:rFonts w:ascii="Arial" w:hAnsi="Arial" w:cs="Arial"/>
                <w:color w:val="264A60"/>
                <w:sz w:val="18"/>
                <w:szCs w:val="18"/>
              </w:rPr>
              <w:t>Kwara</w:t>
            </w:r>
          </w:p>
        </w:tc>
        <w:tc>
          <w:tcPr>
            <w:tcW w:w="452" w:type="pct"/>
            <w:hideMark/>
          </w:tcPr>
          <w:p w14:paraId="22D1D8E6" w14:textId="77777777" w:rsidR="00C15490" w:rsidRDefault="00C15490" w:rsidP="006D6A0C">
            <w:pPr>
              <w:autoSpaceDE w:val="0"/>
              <w:autoSpaceDN w:val="0"/>
              <w:adjustRightInd w:val="0"/>
              <w:spacing w:line="240" w:lineRule="auto"/>
              <w:ind w:left="60" w:right="60"/>
              <w:jc w:val="center"/>
              <w:rPr>
                <w:rFonts w:ascii="Arial" w:hAnsi="Arial" w:cs="Arial"/>
                <w:color w:val="264A60"/>
                <w:sz w:val="18"/>
                <w:szCs w:val="18"/>
              </w:rPr>
            </w:pPr>
            <w:r>
              <w:rPr>
                <w:rFonts w:ascii="Arial" w:hAnsi="Arial" w:cs="Arial"/>
                <w:color w:val="264A60"/>
                <w:sz w:val="18"/>
                <w:szCs w:val="18"/>
              </w:rPr>
              <w:t>Lagos</w:t>
            </w:r>
          </w:p>
        </w:tc>
        <w:tc>
          <w:tcPr>
            <w:tcW w:w="452" w:type="pct"/>
            <w:hideMark/>
          </w:tcPr>
          <w:p w14:paraId="677AB90F" w14:textId="77777777" w:rsidR="00C15490" w:rsidRDefault="00C15490" w:rsidP="006D6A0C">
            <w:pPr>
              <w:autoSpaceDE w:val="0"/>
              <w:autoSpaceDN w:val="0"/>
              <w:adjustRightInd w:val="0"/>
              <w:spacing w:line="240" w:lineRule="auto"/>
              <w:rPr>
                <w:rFonts w:ascii="Arial" w:hAnsi="Arial" w:cs="Arial"/>
                <w:color w:val="264A60"/>
                <w:sz w:val="18"/>
                <w:szCs w:val="18"/>
              </w:rPr>
            </w:pPr>
            <w:r>
              <w:rPr>
                <w:rFonts w:ascii="Arial" w:hAnsi="Arial" w:cs="Arial"/>
                <w:color w:val="264A60"/>
                <w:sz w:val="18"/>
                <w:szCs w:val="18"/>
              </w:rPr>
              <w:t>Total</w:t>
            </w:r>
          </w:p>
        </w:tc>
      </w:tr>
      <w:tr w:rsidR="00C15490" w14:paraId="16225EC9" w14:textId="77777777" w:rsidTr="006D6A0C">
        <w:tc>
          <w:tcPr>
            <w:tcW w:w="1108" w:type="pct"/>
            <w:hideMark/>
          </w:tcPr>
          <w:p w14:paraId="0F511203" w14:textId="77777777" w:rsidR="00C15490" w:rsidRDefault="00C15490" w:rsidP="006D6A0C">
            <w:pPr>
              <w:autoSpaceDE w:val="0"/>
              <w:autoSpaceDN w:val="0"/>
              <w:adjustRightInd w:val="0"/>
              <w:spacing w:line="240" w:lineRule="auto"/>
              <w:ind w:left="60" w:right="60"/>
              <w:rPr>
                <w:rFonts w:ascii="Arial" w:hAnsi="Arial" w:cs="Arial"/>
                <w:color w:val="264A60"/>
                <w:sz w:val="18"/>
                <w:szCs w:val="18"/>
              </w:rPr>
            </w:pPr>
            <w:r>
              <w:rPr>
                <w:rFonts w:ascii="Arial" w:hAnsi="Arial" w:cs="Arial"/>
                <w:color w:val="264A60"/>
                <w:sz w:val="18"/>
                <w:szCs w:val="18"/>
              </w:rPr>
              <w:t>I strongly agree</w:t>
            </w:r>
          </w:p>
        </w:tc>
        <w:tc>
          <w:tcPr>
            <w:tcW w:w="607" w:type="pct"/>
            <w:hideMark/>
          </w:tcPr>
          <w:p w14:paraId="342CC65F" w14:textId="77777777" w:rsidR="00C15490" w:rsidRDefault="00C15490"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37.6%</w:t>
            </w:r>
          </w:p>
        </w:tc>
        <w:tc>
          <w:tcPr>
            <w:tcW w:w="570" w:type="pct"/>
            <w:hideMark/>
          </w:tcPr>
          <w:p w14:paraId="34C2F6B7" w14:textId="77777777" w:rsidR="00C15490" w:rsidRDefault="00C15490"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44.2%</w:t>
            </w:r>
          </w:p>
        </w:tc>
        <w:tc>
          <w:tcPr>
            <w:tcW w:w="452" w:type="pct"/>
            <w:hideMark/>
          </w:tcPr>
          <w:p w14:paraId="367F99E8" w14:textId="77777777" w:rsidR="00C15490" w:rsidRDefault="00C15490"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25.2%</w:t>
            </w:r>
          </w:p>
        </w:tc>
        <w:tc>
          <w:tcPr>
            <w:tcW w:w="452" w:type="pct"/>
            <w:hideMark/>
          </w:tcPr>
          <w:p w14:paraId="58402170" w14:textId="77777777" w:rsidR="00C15490" w:rsidRDefault="00C15490"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58.3%</w:t>
            </w:r>
          </w:p>
        </w:tc>
        <w:tc>
          <w:tcPr>
            <w:tcW w:w="452" w:type="pct"/>
            <w:hideMark/>
          </w:tcPr>
          <w:p w14:paraId="2F4F9C75" w14:textId="77777777" w:rsidR="00C15490" w:rsidRDefault="00C15490"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15.2%</w:t>
            </w:r>
          </w:p>
        </w:tc>
        <w:tc>
          <w:tcPr>
            <w:tcW w:w="452" w:type="pct"/>
            <w:hideMark/>
          </w:tcPr>
          <w:p w14:paraId="1C31F505" w14:textId="77777777" w:rsidR="00C15490" w:rsidRDefault="00C15490"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58.9%</w:t>
            </w:r>
          </w:p>
        </w:tc>
        <w:tc>
          <w:tcPr>
            <w:tcW w:w="452" w:type="pct"/>
            <w:hideMark/>
          </w:tcPr>
          <w:p w14:paraId="4391835A" w14:textId="77777777" w:rsidR="00C15490" w:rsidRDefault="00C15490"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68.8%</w:t>
            </w:r>
          </w:p>
        </w:tc>
        <w:tc>
          <w:tcPr>
            <w:tcW w:w="452" w:type="pct"/>
            <w:hideMark/>
          </w:tcPr>
          <w:p w14:paraId="4068F8EC" w14:textId="77777777" w:rsidR="00C15490" w:rsidRDefault="00C15490"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39.4%</w:t>
            </w:r>
          </w:p>
        </w:tc>
      </w:tr>
      <w:tr w:rsidR="00C15490" w14:paraId="6C3E0B60" w14:textId="77777777" w:rsidTr="006D6A0C">
        <w:tc>
          <w:tcPr>
            <w:tcW w:w="1108" w:type="pct"/>
            <w:hideMark/>
          </w:tcPr>
          <w:p w14:paraId="3F9B11D2" w14:textId="77777777" w:rsidR="00C15490" w:rsidRDefault="00C15490" w:rsidP="006D6A0C">
            <w:pPr>
              <w:autoSpaceDE w:val="0"/>
              <w:autoSpaceDN w:val="0"/>
              <w:adjustRightInd w:val="0"/>
              <w:spacing w:line="240" w:lineRule="auto"/>
              <w:ind w:left="60" w:right="60"/>
              <w:rPr>
                <w:rFonts w:ascii="Arial" w:hAnsi="Arial" w:cs="Arial"/>
                <w:color w:val="264A60"/>
                <w:sz w:val="18"/>
                <w:szCs w:val="18"/>
              </w:rPr>
            </w:pPr>
            <w:r>
              <w:rPr>
                <w:rFonts w:ascii="Arial" w:hAnsi="Arial" w:cs="Arial"/>
                <w:color w:val="264A60"/>
                <w:sz w:val="18"/>
                <w:szCs w:val="18"/>
              </w:rPr>
              <w:t>I agree</w:t>
            </w:r>
          </w:p>
        </w:tc>
        <w:tc>
          <w:tcPr>
            <w:tcW w:w="607" w:type="pct"/>
            <w:hideMark/>
          </w:tcPr>
          <w:p w14:paraId="3B078619" w14:textId="77777777" w:rsidR="00C15490" w:rsidRDefault="00C15490"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59.3%</w:t>
            </w:r>
          </w:p>
        </w:tc>
        <w:tc>
          <w:tcPr>
            <w:tcW w:w="570" w:type="pct"/>
            <w:hideMark/>
          </w:tcPr>
          <w:p w14:paraId="2AB03AA2" w14:textId="77777777" w:rsidR="00C15490" w:rsidRDefault="00C15490"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47.1%</w:t>
            </w:r>
          </w:p>
        </w:tc>
        <w:tc>
          <w:tcPr>
            <w:tcW w:w="452" w:type="pct"/>
            <w:hideMark/>
          </w:tcPr>
          <w:p w14:paraId="45C6329E" w14:textId="77777777" w:rsidR="00C15490" w:rsidRDefault="00C15490"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66.1%</w:t>
            </w:r>
          </w:p>
        </w:tc>
        <w:tc>
          <w:tcPr>
            <w:tcW w:w="452" w:type="pct"/>
            <w:hideMark/>
          </w:tcPr>
          <w:p w14:paraId="5F90A21A" w14:textId="77777777" w:rsidR="00C15490" w:rsidRDefault="00C15490"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26.5%</w:t>
            </w:r>
          </w:p>
        </w:tc>
        <w:tc>
          <w:tcPr>
            <w:tcW w:w="452" w:type="pct"/>
            <w:hideMark/>
          </w:tcPr>
          <w:p w14:paraId="4AA79CF5" w14:textId="77777777" w:rsidR="00C15490" w:rsidRDefault="00C15490"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57.9%</w:t>
            </w:r>
          </w:p>
        </w:tc>
        <w:tc>
          <w:tcPr>
            <w:tcW w:w="452" w:type="pct"/>
            <w:hideMark/>
          </w:tcPr>
          <w:p w14:paraId="1B3D30DB" w14:textId="77777777" w:rsidR="00C15490" w:rsidRDefault="00C15490"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35.4%</w:t>
            </w:r>
          </w:p>
        </w:tc>
        <w:tc>
          <w:tcPr>
            <w:tcW w:w="452" w:type="pct"/>
            <w:hideMark/>
          </w:tcPr>
          <w:p w14:paraId="158810D6" w14:textId="77777777" w:rsidR="00C15490" w:rsidRDefault="00C15490"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27.7%</w:t>
            </w:r>
          </w:p>
        </w:tc>
        <w:tc>
          <w:tcPr>
            <w:tcW w:w="452" w:type="pct"/>
            <w:hideMark/>
          </w:tcPr>
          <w:p w14:paraId="1FFA9BF7" w14:textId="77777777" w:rsidR="00C15490" w:rsidRDefault="00C15490"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48.9%</w:t>
            </w:r>
          </w:p>
        </w:tc>
      </w:tr>
      <w:tr w:rsidR="00C15490" w14:paraId="22C2058F" w14:textId="77777777" w:rsidTr="006D6A0C">
        <w:tc>
          <w:tcPr>
            <w:tcW w:w="1108" w:type="pct"/>
            <w:hideMark/>
          </w:tcPr>
          <w:p w14:paraId="23474801" w14:textId="77777777" w:rsidR="00C15490" w:rsidRDefault="00C15490" w:rsidP="006D6A0C">
            <w:pPr>
              <w:autoSpaceDE w:val="0"/>
              <w:autoSpaceDN w:val="0"/>
              <w:adjustRightInd w:val="0"/>
              <w:spacing w:line="240" w:lineRule="auto"/>
              <w:ind w:left="60" w:right="60"/>
              <w:rPr>
                <w:rFonts w:ascii="Arial" w:hAnsi="Arial" w:cs="Arial"/>
                <w:color w:val="264A60"/>
                <w:sz w:val="18"/>
                <w:szCs w:val="18"/>
              </w:rPr>
            </w:pPr>
            <w:r>
              <w:rPr>
                <w:rFonts w:ascii="Arial" w:hAnsi="Arial" w:cs="Arial"/>
                <w:color w:val="264A60"/>
                <w:sz w:val="18"/>
                <w:szCs w:val="18"/>
              </w:rPr>
              <w:t>I neither agree or disagree</w:t>
            </w:r>
          </w:p>
        </w:tc>
        <w:tc>
          <w:tcPr>
            <w:tcW w:w="607" w:type="pct"/>
            <w:hideMark/>
          </w:tcPr>
          <w:p w14:paraId="00A21806" w14:textId="77777777" w:rsidR="00C15490" w:rsidRDefault="00C15490"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1.6%</w:t>
            </w:r>
          </w:p>
        </w:tc>
        <w:tc>
          <w:tcPr>
            <w:tcW w:w="570" w:type="pct"/>
            <w:hideMark/>
          </w:tcPr>
          <w:p w14:paraId="6580407F" w14:textId="77777777" w:rsidR="00C15490" w:rsidRDefault="00C15490"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1.6%</w:t>
            </w:r>
          </w:p>
        </w:tc>
        <w:tc>
          <w:tcPr>
            <w:tcW w:w="452" w:type="pct"/>
            <w:hideMark/>
          </w:tcPr>
          <w:p w14:paraId="04372953" w14:textId="77777777" w:rsidR="00C15490" w:rsidRDefault="00C15490"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4.2%</w:t>
            </w:r>
          </w:p>
        </w:tc>
        <w:tc>
          <w:tcPr>
            <w:tcW w:w="452" w:type="pct"/>
            <w:hideMark/>
          </w:tcPr>
          <w:p w14:paraId="53390448" w14:textId="77777777" w:rsidR="00C15490" w:rsidRDefault="00C15490"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8.4%</w:t>
            </w:r>
          </w:p>
        </w:tc>
        <w:tc>
          <w:tcPr>
            <w:tcW w:w="452" w:type="pct"/>
            <w:hideMark/>
          </w:tcPr>
          <w:p w14:paraId="4D6621A9" w14:textId="77777777" w:rsidR="00C15490" w:rsidRDefault="00C15490"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4.5%</w:t>
            </w:r>
          </w:p>
        </w:tc>
        <w:tc>
          <w:tcPr>
            <w:tcW w:w="452" w:type="pct"/>
            <w:hideMark/>
          </w:tcPr>
          <w:p w14:paraId="622632A0" w14:textId="77777777" w:rsidR="00C15490" w:rsidRDefault="00C15490"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3.8%</w:t>
            </w:r>
          </w:p>
        </w:tc>
        <w:tc>
          <w:tcPr>
            <w:tcW w:w="452" w:type="pct"/>
            <w:hideMark/>
          </w:tcPr>
          <w:p w14:paraId="6E7102FB" w14:textId="77777777" w:rsidR="00C15490" w:rsidRDefault="00C15490"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1.8%</w:t>
            </w:r>
          </w:p>
        </w:tc>
        <w:tc>
          <w:tcPr>
            <w:tcW w:w="452" w:type="pct"/>
            <w:hideMark/>
          </w:tcPr>
          <w:p w14:paraId="008C55BE" w14:textId="77777777" w:rsidR="00C15490" w:rsidRDefault="00C15490"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3.9%</w:t>
            </w:r>
          </w:p>
        </w:tc>
      </w:tr>
      <w:tr w:rsidR="00C15490" w14:paraId="77F1E392" w14:textId="77777777" w:rsidTr="006D6A0C">
        <w:tc>
          <w:tcPr>
            <w:tcW w:w="1108" w:type="pct"/>
            <w:hideMark/>
          </w:tcPr>
          <w:p w14:paraId="085C06E3" w14:textId="77777777" w:rsidR="00C15490" w:rsidRDefault="00C15490" w:rsidP="006D6A0C">
            <w:pPr>
              <w:autoSpaceDE w:val="0"/>
              <w:autoSpaceDN w:val="0"/>
              <w:adjustRightInd w:val="0"/>
              <w:spacing w:line="240" w:lineRule="auto"/>
              <w:ind w:left="60" w:right="60"/>
              <w:rPr>
                <w:rFonts w:ascii="Arial" w:hAnsi="Arial" w:cs="Arial"/>
                <w:color w:val="264A60"/>
                <w:sz w:val="18"/>
                <w:szCs w:val="18"/>
              </w:rPr>
            </w:pPr>
            <w:r>
              <w:rPr>
                <w:rFonts w:ascii="Arial" w:hAnsi="Arial" w:cs="Arial"/>
                <w:color w:val="264A60"/>
                <w:sz w:val="18"/>
                <w:szCs w:val="18"/>
              </w:rPr>
              <w:t>I disagree</w:t>
            </w:r>
          </w:p>
        </w:tc>
        <w:tc>
          <w:tcPr>
            <w:tcW w:w="607" w:type="pct"/>
            <w:hideMark/>
          </w:tcPr>
          <w:p w14:paraId="4D80D977" w14:textId="77777777" w:rsidR="00C15490" w:rsidRDefault="00C15490"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0.9%</w:t>
            </w:r>
          </w:p>
        </w:tc>
        <w:tc>
          <w:tcPr>
            <w:tcW w:w="570" w:type="pct"/>
            <w:hideMark/>
          </w:tcPr>
          <w:p w14:paraId="632385C1" w14:textId="77777777" w:rsidR="00C15490" w:rsidRDefault="00C15490"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4.9%</w:t>
            </w:r>
          </w:p>
        </w:tc>
        <w:tc>
          <w:tcPr>
            <w:tcW w:w="452" w:type="pct"/>
            <w:hideMark/>
          </w:tcPr>
          <w:p w14:paraId="64CF2543" w14:textId="77777777" w:rsidR="00C15490" w:rsidRDefault="00C15490"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3.5%</w:t>
            </w:r>
          </w:p>
        </w:tc>
        <w:tc>
          <w:tcPr>
            <w:tcW w:w="452" w:type="pct"/>
            <w:hideMark/>
          </w:tcPr>
          <w:p w14:paraId="79D5679C" w14:textId="77777777" w:rsidR="00C15490" w:rsidRDefault="00C15490"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3.2%</w:t>
            </w:r>
          </w:p>
        </w:tc>
        <w:tc>
          <w:tcPr>
            <w:tcW w:w="452" w:type="pct"/>
            <w:hideMark/>
          </w:tcPr>
          <w:p w14:paraId="0AF4B792" w14:textId="77777777" w:rsidR="00C15490" w:rsidRDefault="00C15490"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19.4%</w:t>
            </w:r>
          </w:p>
        </w:tc>
        <w:tc>
          <w:tcPr>
            <w:tcW w:w="452" w:type="pct"/>
            <w:hideMark/>
          </w:tcPr>
          <w:p w14:paraId="69332518" w14:textId="77777777" w:rsidR="00C15490" w:rsidRDefault="00C15490"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1.9%</w:t>
            </w:r>
          </w:p>
        </w:tc>
        <w:tc>
          <w:tcPr>
            <w:tcW w:w="452" w:type="pct"/>
            <w:hideMark/>
          </w:tcPr>
          <w:p w14:paraId="6A22E760" w14:textId="77777777" w:rsidR="00C15490" w:rsidRDefault="00C15490"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1.8%</w:t>
            </w:r>
          </w:p>
        </w:tc>
        <w:tc>
          <w:tcPr>
            <w:tcW w:w="452" w:type="pct"/>
            <w:hideMark/>
          </w:tcPr>
          <w:p w14:paraId="58135006" w14:textId="77777777" w:rsidR="00C15490" w:rsidRDefault="00C15490"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6.0%</w:t>
            </w:r>
          </w:p>
        </w:tc>
      </w:tr>
      <w:tr w:rsidR="00C15490" w14:paraId="1FC2784D" w14:textId="77777777" w:rsidTr="006D6A0C">
        <w:tc>
          <w:tcPr>
            <w:tcW w:w="1108" w:type="pct"/>
            <w:hideMark/>
          </w:tcPr>
          <w:p w14:paraId="15B45FBD" w14:textId="77777777" w:rsidR="00C15490" w:rsidRDefault="00C15490" w:rsidP="006D6A0C">
            <w:pPr>
              <w:autoSpaceDE w:val="0"/>
              <w:autoSpaceDN w:val="0"/>
              <w:adjustRightInd w:val="0"/>
              <w:spacing w:line="240" w:lineRule="auto"/>
              <w:ind w:left="60" w:right="60"/>
              <w:rPr>
                <w:rFonts w:ascii="Arial" w:hAnsi="Arial" w:cs="Arial"/>
                <w:color w:val="264A60"/>
                <w:sz w:val="18"/>
                <w:szCs w:val="18"/>
              </w:rPr>
            </w:pPr>
            <w:r>
              <w:rPr>
                <w:rFonts w:ascii="Arial" w:hAnsi="Arial" w:cs="Arial"/>
                <w:color w:val="264A60"/>
                <w:sz w:val="18"/>
                <w:szCs w:val="18"/>
              </w:rPr>
              <w:t>I strongly disagree</w:t>
            </w:r>
          </w:p>
        </w:tc>
        <w:tc>
          <w:tcPr>
            <w:tcW w:w="607" w:type="pct"/>
            <w:hideMark/>
          </w:tcPr>
          <w:p w14:paraId="43C98756" w14:textId="77777777" w:rsidR="00C15490" w:rsidRDefault="00C15490"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0.6%</w:t>
            </w:r>
          </w:p>
        </w:tc>
        <w:tc>
          <w:tcPr>
            <w:tcW w:w="570" w:type="pct"/>
            <w:hideMark/>
          </w:tcPr>
          <w:p w14:paraId="2559D87E" w14:textId="77777777" w:rsidR="00C15490" w:rsidRDefault="00C15490"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2.3%</w:t>
            </w:r>
          </w:p>
        </w:tc>
        <w:tc>
          <w:tcPr>
            <w:tcW w:w="452" w:type="pct"/>
            <w:hideMark/>
          </w:tcPr>
          <w:p w14:paraId="02D322FC" w14:textId="77777777" w:rsidR="00C15490" w:rsidRDefault="00C15490"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1.0%</w:t>
            </w:r>
          </w:p>
        </w:tc>
        <w:tc>
          <w:tcPr>
            <w:tcW w:w="452" w:type="pct"/>
            <w:hideMark/>
          </w:tcPr>
          <w:p w14:paraId="78F1BC6A" w14:textId="77777777" w:rsidR="00C15490" w:rsidRDefault="00C15490"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3.6%</w:t>
            </w:r>
          </w:p>
        </w:tc>
        <w:tc>
          <w:tcPr>
            <w:tcW w:w="452" w:type="pct"/>
            <w:hideMark/>
          </w:tcPr>
          <w:p w14:paraId="6CD6286B" w14:textId="77777777" w:rsidR="00C15490" w:rsidRDefault="00C15490" w:rsidP="006D6A0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3.1%</w:t>
            </w:r>
          </w:p>
        </w:tc>
        <w:tc>
          <w:tcPr>
            <w:tcW w:w="452" w:type="pct"/>
          </w:tcPr>
          <w:p w14:paraId="6ED96FA7" w14:textId="77777777" w:rsidR="00C15490" w:rsidRDefault="00C15490" w:rsidP="006D6A0C">
            <w:pPr>
              <w:autoSpaceDE w:val="0"/>
              <w:autoSpaceDN w:val="0"/>
              <w:adjustRightInd w:val="0"/>
              <w:spacing w:line="240" w:lineRule="auto"/>
              <w:rPr>
                <w:rFonts w:ascii="Times New Roman" w:hAnsi="Times New Roman" w:cs="Times New Roman"/>
                <w:sz w:val="24"/>
                <w:szCs w:val="24"/>
              </w:rPr>
            </w:pPr>
          </w:p>
        </w:tc>
        <w:tc>
          <w:tcPr>
            <w:tcW w:w="452" w:type="pct"/>
          </w:tcPr>
          <w:p w14:paraId="269D5155" w14:textId="77777777" w:rsidR="00C15490" w:rsidRDefault="00C15490" w:rsidP="006D6A0C">
            <w:pPr>
              <w:autoSpaceDE w:val="0"/>
              <w:autoSpaceDN w:val="0"/>
              <w:adjustRightInd w:val="0"/>
              <w:spacing w:line="240" w:lineRule="auto"/>
              <w:rPr>
                <w:rFonts w:ascii="Times New Roman" w:hAnsi="Times New Roman" w:cs="Times New Roman"/>
                <w:sz w:val="24"/>
                <w:szCs w:val="24"/>
              </w:rPr>
            </w:pPr>
          </w:p>
        </w:tc>
        <w:tc>
          <w:tcPr>
            <w:tcW w:w="452" w:type="pct"/>
            <w:hideMark/>
          </w:tcPr>
          <w:p w14:paraId="7C45E080" w14:textId="77777777" w:rsidR="00C15490" w:rsidRDefault="00C15490" w:rsidP="00C15490">
            <w:pPr>
              <w:keepNext/>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1.8%</w:t>
            </w:r>
          </w:p>
        </w:tc>
      </w:tr>
    </w:tbl>
    <w:p w14:paraId="028DE7BC" w14:textId="77777777" w:rsidR="00681F77" w:rsidRPr="001525C4" w:rsidRDefault="00C15490" w:rsidP="00C15490">
      <w:pPr>
        <w:pStyle w:val="Caption"/>
        <w:rPr>
          <w:rFonts w:cstheme="minorHAnsi"/>
          <w:sz w:val="24"/>
          <w:szCs w:val="24"/>
        </w:rPr>
      </w:pPr>
      <w:r>
        <w:t xml:space="preserve">Figure </w:t>
      </w:r>
      <w:fldSimple w:instr=" SEQ Figure \* ARABIC ">
        <w:r>
          <w:rPr>
            <w:noProof/>
          </w:rPr>
          <w:t>12</w:t>
        </w:r>
      </w:fldSimple>
      <w:r>
        <w:t xml:space="preserve"> </w:t>
      </w:r>
      <w:r w:rsidRPr="002C5C74">
        <w:t>: Boys and girls should have equal access to social services such as healthcare by states</w:t>
      </w:r>
    </w:p>
    <w:p w14:paraId="18FFCEE5" w14:textId="77777777" w:rsidR="005A0831" w:rsidRPr="001525C4" w:rsidRDefault="005A0831" w:rsidP="00E75191">
      <w:pPr>
        <w:spacing w:line="240" w:lineRule="auto"/>
        <w:jc w:val="both"/>
        <w:rPr>
          <w:rFonts w:cstheme="minorHAnsi"/>
          <w:sz w:val="24"/>
          <w:szCs w:val="24"/>
        </w:rPr>
      </w:pPr>
      <w:r w:rsidRPr="001525C4">
        <w:rPr>
          <w:rFonts w:cstheme="minorHAnsi"/>
          <w:sz w:val="24"/>
          <w:szCs w:val="24"/>
        </w:rPr>
        <w:t xml:space="preserve">Catastrophic health expenditure in the general population is astronomically high with out of pocket expenditure being as high as 80%. </w:t>
      </w:r>
      <w:r>
        <w:rPr>
          <w:rFonts w:cstheme="minorHAnsi"/>
          <w:sz w:val="24"/>
          <w:szCs w:val="24"/>
        </w:rPr>
        <w:t xml:space="preserve">Uptake of health insurance has continued to be poor. Attempts to correct poor uptake of the National Health Insurance Scheme through the establishment of </w:t>
      </w:r>
      <w:r w:rsidRPr="001525C4">
        <w:rPr>
          <w:rFonts w:cstheme="minorHAnsi"/>
          <w:sz w:val="24"/>
          <w:szCs w:val="24"/>
        </w:rPr>
        <w:t>state level insurance schemes are bearing little fruit with insurance uptake still being below 20% in most states.</w:t>
      </w:r>
      <w:r w:rsidRPr="001525C4">
        <w:rPr>
          <w:rStyle w:val="FootnoteReference"/>
          <w:rFonts w:cstheme="minorHAnsi"/>
          <w:sz w:val="24"/>
          <w:szCs w:val="24"/>
        </w:rPr>
        <w:footnoteReference w:id="147"/>
      </w:r>
      <w:r w:rsidRPr="001525C4">
        <w:rPr>
          <w:rFonts w:cstheme="minorHAnsi"/>
          <w:sz w:val="24"/>
          <w:szCs w:val="24"/>
        </w:rPr>
        <w:t xml:space="preserve"> By implication</w:t>
      </w:r>
      <w:r w:rsidR="00812461">
        <w:rPr>
          <w:rFonts w:cstheme="minorHAnsi"/>
          <w:sz w:val="24"/>
          <w:szCs w:val="24"/>
        </w:rPr>
        <w:t>,</w:t>
      </w:r>
      <w:r w:rsidRPr="001525C4">
        <w:rPr>
          <w:rFonts w:cstheme="minorHAnsi"/>
          <w:sz w:val="24"/>
          <w:szCs w:val="24"/>
        </w:rPr>
        <w:t xml:space="preserve"> women who represent a sizable sum of the informal sector </w:t>
      </w:r>
      <w:r w:rsidR="00812461">
        <w:rPr>
          <w:rFonts w:cstheme="minorHAnsi"/>
          <w:sz w:val="24"/>
          <w:szCs w:val="24"/>
        </w:rPr>
        <w:t>have</w:t>
      </w:r>
      <w:r w:rsidRPr="001525C4">
        <w:rPr>
          <w:rFonts w:cstheme="minorHAnsi"/>
          <w:sz w:val="24"/>
          <w:szCs w:val="24"/>
        </w:rPr>
        <w:t xml:space="preserve"> even lower access to insurance .</w:t>
      </w:r>
    </w:p>
    <w:p w14:paraId="2839C753" w14:textId="77777777" w:rsidR="00681F77" w:rsidRDefault="006234F0" w:rsidP="00E75191">
      <w:pPr>
        <w:spacing w:line="240" w:lineRule="auto"/>
        <w:jc w:val="both"/>
        <w:rPr>
          <w:rFonts w:cstheme="minorHAnsi"/>
          <w:sz w:val="24"/>
          <w:szCs w:val="24"/>
        </w:rPr>
      </w:pPr>
      <w:r>
        <w:rPr>
          <w:rFonts w:cstheme="minorHAnsi"/>
          <w:sz w:val="24"/>
          <w:szCs w:val="24"/>
        </w:rPr>
        <w:t xml:space="preserve">Men and women, boys and girls are often vulnerable to different disease conditions. In addition, they also experience ill health and health care services differently. Their abilities to access health care can also differ, often dependent on income and employment status.  With poorer economic status, more financial dependence on men, and gender norms that privilege </w:t>
      </w:r>
      <w:r>
        <w:rPr>
          <w:rFonts w:cstheme="minorHAnsi"/>
          <w:sz w:val="24"/>
          <w:szCs w:val="24"/>
        </w:rPr>
        <w:lastRenderedPageBreak/>
        <w:t xml:space="preserve">men’s decision-making as superior, women may be restricted in health care decision-making and access to health care services. On the other hand, men may be more vulnerable to occupational health challenges including accidents, stress-related ill health, and unhealthy sexual practices when they undertake certain jobs to fulfil roles as providers and breadwinners. Men’s health care seeking behaviour is also often impacted by social norms that expect men to be strong in the face of illness and to avoid being weak by seeking health care. </w:t>
      </w:r>
      <w:r w:rsidR="00963661" w:rsidRPr="001525C4">
        <w:rPr>
          <w:rFonts w:cstheme="minorHAnsi"/>
          <w:sz w:val="24"/>
          <w:szCs w:val="24"/>
        </w:rPr>
        <w:t xml:space="preserve">Health </w:t>
      </w:r>
      <w:r w:rsidR="00812461">
        <w:rPr>
          <w:rFonts w:cstheme="minorHAnsi"/>
          <w:sz w:val="24"/>
          <w:szCs w:val="24"/>
        </w:rPr>
        <w:t xml:space="preserve">care </w:t>
      </w:r>
      <w:r w:rsidR="00963661" w:rsidRPr="001525C4">
        <w:rPr>
          <w:rFonts w:cstheme="minorHAnsi"/>
          <w:sz w:val="24"/>
          <w:szCs w:val="24"/>
        </w:rPr>
        <w:t>seeking behavio</w:t>
      </w:r>
      <w:r>
        <w:rPr>
          <w:rFonts w:cstheme="minorHAnsi"/>
          <w:sz w:val="24"/>
          <w:szCs w:val="24"/>
        </w:rPr>
        <w:t>u</w:t>
      </w:r>
      <w:r w:rsidR="00963661" w:rsidRPr="001525C4">
        <w:rPr>
          <w:rFonts w:cstheme="minorHAnsi"/>
          <w:sz w:val="24"/>
          <w:szCs w:val="24"/>
        </w:rPr>
        <w:t xml:space="preserve">r continues to be determined by cultural and social norms with women being more likely to access healthcare services than men. This is observable in key outcomes such as life expectancy . </w:t>
      </w:r>
      <w:r w:rsidR="00563729">
        <w:rPr>
          <w:rFonts w:cstheme="minorHAnsi"/>
          <w:sz w:val="24"/>
          <w:szCs w:val="24"/>
        </w:rPr>
        <w:t>As noted by a respondent:</w:t>
      </w:r>
    </w:p>
    <w:p w14:paraId="4BA094EB" w14:textId="77777777" w:rsidR="006234F0" w:rsidRPr="006234F0" w:rsidRDefault="00681F77" w:rsidP="00E75191">
      <w:pPr>
        <w:spacing w:line="240" w:lineRule="auto"/>
        <w:jc w:val="both"/>
      </w:pPr>
      <w:r>
        <w:rPr>
          <w:rFonts w:cstheme="minorHAnsi"/>
          <w:noProof/>
          <w:sz w:val="24"/>
          <w:szCs w:val="24"/>
          <w:lang w:val="en-IE" w:eastAsia="en-IE"/>
        </w:rPr>
        <mc:AlternateContent>
          <mc:Choice Requires="wps">
            <w:drawing>
              <wp:inline distT="0" distB="0" distL="0" distR="0" wp14:anchorId="4719A5CE" wp14:editId="3DFAAE2C">
                <wp:extent cx="5651500" cy="1745673"/>
                <wp:effectExtent l="0" t="0" r="25400" b="26035"/>
                <wp:docPr id="57" name="Rectangle 57"/>
                <wp:cNvGraphicFramePr/>
                <a:graphic xmlns:a="http://schemas.openxmlformats.org/drawingml/2006/main">
                  <a:graphicData uri="http://schemas.microsoft.com/office/word/2010/wordprocessingShape">
                    <wps:wsp>
                      <wps:cNvSpPr/>
                      <wps:spPr>
                        <a:xfrm>
                          <a:off x="0" y="0"/>
                          <a:ext cx="5651500" cy="1745673"/>
                        </a:xfrm>
                        <a:prstGeom prst="rec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txbx>
                        <w:txbxContent>
                          <w:p w14:paraId="76C4445B" w14:textId="77777777" w:rsidR="006D6A0C" w:rsidRDefault="006D6A0C" w:rsidP="00E05B89">
                            <w:pPr>
                              <w:jc w:val="center"/>
                            </w:pPr>
                            <w:r w:rsidRPr="00681F77">
                              <w:t>Men generally see themselves as people who are not supposed to requir</w:t>
                            </w:r>
                            <w:r>
                              <w:t>e</w:t>
                            </w:r>
                            <w:r w:rsidRPr="00681F77">
                              <w:t xml:space="preserve"> health care…a man is often very close to death before he is going to be taken to the hospital…the fact that the man is supposed to be masculine</w:t>
                            </w:r>
                            <w:r>
                              <w:t xml:space="preserve"> and</w:t>
                            </w:r>
                            <w:r w:rsidRPr="00681F77">
                              <w:t xml:space="preserve"> strong, he is not supposed to show that he is sick…our health programs have definitely emphasized the fact that men should seek health care, do necessary tests, go for medical checkups, because they're not doing these things, it hamper their health, and generally make them have reduced lifespan.</w:t>
                            </w:r>
                          </w:p>
                          <w:p w14:paraId="627F4CC5" w14:textId="77777777" w:rsidR="006D6A0C" w:rsidRDefault="006D6A0C" w:rsidP="006E3C5B">
                            <w:pPr>
                              <w:pStyle w:val="ListParagraph"/>
                              <w:numPr>
                                <w:ilvl w:val="0"/>
                                <w:numId w:val="23"/>
                              </w:numPr>
                              <w:jc w:val="center"/>
                            </w:pPr>
                            <w:r>
                              <w:rPr>
                                <w:lang w:val="en-US"/>
                              </w:rPr>
                              <w:t>Male Key Informant, FCT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719A5CE" id="Rectangle 57" o:spid="_x0000_s1049" style="width:445pt;height:137.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" fillcolor="#002060" strokecolor="#1f4d78 [1604]" strokeweight="1pt">
                <v:textbox>
                  <w:txbxContent>
                    <w:p w:rsidR="006D6A0C" w:rsidRDefault="006D6A0C" w:rsidP="00E05B89">
                      <w:pPr>
                        <w:jc w:val="center"/>
                      </w:pPr>
                      <w:r w:rsidRPr="00681F77">
                        <w:t>Men generally see themselves as people who are not supposed to requir</w:t>
                      </w:r>
                      <w:r>
                        <w:t>e</w:t>
                      </w:r>
                      <w:r w:rsidRPr="00681F77">
                        <w:t xml:space="preserve"> health care…a man is often very close to death before he is going to be taken to the hospital…the fact that the man is supposed to be masculine</w:t>
                      </w:r>
                      <w:r>
                        <w:t xml:space="preserve"> and</w:t>
                      </w:r>
                      <w:r w:rsidRPr="00681F77">
                        <w:t xml:space="preserve"> strong, he is not supposed to show that he is sick…our health programs have definitely emphasized the fact that men should seek health care, do necessary tests, go for medical checkups, because they're not doing these things, it hamper their health, and generally make them have reduced lifespan.</w:t>
                      </w:r>
                    </w:p>
                    <w:p w:rsidR="006D6A0C" w:rsidRDefault="006D6A0C" w:rsidP="006E3C5B">
                      <w:pPr>
                        <w:pStyle w:val="ListParagraph"/>
                        <w:numPr>
                          <w:ilvl w:val="0"/>
                          <w:numId w:val="23"/>
                        </w:numPr>
                        <w:jc w:val="center"/>
                      </w:pPr>
                      <w:r>
                        <w:rPr>
                          <w:lang w:val="en-US"/>
                        </w:rPr>
                        <w:t>Male Key Informant, FCT</w:t>
                      </w:r>
                    </w:p>
                  </w:txbxContent>
                </v:textbox>
                <w10:anchorlock/>
              </v:rect>
            </w:pict>
          </mc:Fallback>
        </mc:AlternateContent>
      </w:r>
    </w:p>
    <w:p w14:paraId="48B10931" w14:textId="77777777" w:rsidR="00E1389D" w:rsidRDefault="00963661" w:rsidP="00E75191">
      <w:pPr>
        <w:spacing w:line="240" w:lineRule="auto"/>
        <w:jc w:val="both"/>
        <w:rPr>
          <w:rFonts w:cstheme="minorHAnsi"/>
          <w:sz w:val="24"/>
          <w:szCs w:val="24"/>
        </w:rPr>
      </w:pPr>
      <w:r w:rsidRPr="001525C4">
        <w:rPr>
          <w:rFonts w:cstheme="minorHAnsi"/>
          <w:sz w:val="24"/>
          <w:szCs w:val="24"/>
        </w:rPr>
        <w:t>Although women are more likely to engage in health seeking behaviour, in parts of the north, women have diminished autonomy in account of the fact that they require male permission or guardianship in order to access health services. This limits their access to contraception, or likelihood to access care following spousal rape or domestic violence. In the data provide</w:t>
      </w:r>
      <w:r w:rsidR="008A5539">
        <w:rPr>
          <w:rFonts w:cstheme="minorHAnsi"/>
          <w:sz w:val="24"/>
          <w:szCs w:val="24"/>
        </w:rPr>
        <w:t>d</w:t>
      </w:r>
      <w:r w:rsidRPr="001525C4">
        <w:rPr>
          <w:rFonts w:cstheme="minorHAnsi"/>
          <w:sz w:val="24"/>
          <w:szCs w:val="24"/>
        </w:rPr>
        <w:t xml:space="preserve"> above, the high prevalence of HIV/AIDS and unwanted pregnancies stems from the inability of women to negotiate the circumstances surrounding sexual encounters compared to men, lack of education and access to information on ways to prevent contraction of the diseases especially amongst women in rural areas, harmful practices such as female genital mutilation and the prevalence of sexual violence against women.</w:t>
      </w:r>
      <w:r w:rsidRPr="001525C4">
        <w:rPr>
          <w:rStyle w:val="FootnoteReference"/>
          <w:rFonts w:cstheme="minorHAnsi"/>
          <w:sz w:val="24"/>
          <w:szCs w:val="24"/>
        </w:rPr>
        <w:footnoteReference w:id="148"/>
      </w:r>
    </w:p>
    <w:p w14:paraId="6F99D569" w14:textId="77777777" w:rsidR="00E1389D" w:rsidRPr="00E1389D" w:rsidRDefault="00E1389D" w:rsidP="00E1389D">
      <w:pPr>
        <w:spacing w:line="240" w:lineRule="auto"/>
        <w:jc w:val="both"/>
        <w:rPr>
          <w:rFonts w:cstheme="minorHAnsi"/>
          <w:b/>
          <w:sz w:val="24"/>
          <w:szCs w:val="24"/>
        </w:rPr>
      </w:pPr>
      <w:r>
        <w:rPr>
          <w:rFonts w:cstheme="minorHAnsi"/>
          <w:sz w:val="24"/>
          <w:szCs w:val="24"/>
        </w:rPr>
        <w:t xml:space="preserve">Further, </w:t>
      </w:r>
      <w:r w:rsidRPr="00E1389D">
        <w:rPr>
          <w:rFonts w:cstheme="minorHAnsi"/>
          <w:sz w:val="24"/>
          <w:szCs w:val="24"/>
        </w:rPr>
        <w:t>93% of midwives across the world are women themselves and women constitute more than 70% of the global health workforce.</w:t>
      </w:r>
      <w:r>
        <w:rPr>
          <w:rFonts w:cstheme="minorHAnsi"/>
          <w:sz w:val="24"/>
          <w:szCs w:val="24"/>
        </w:rPr>
        <w:t xml:space="preserve">  </w:t>
      </w:r>
      <w:r w:rsidRPr="00E1389D">
        <w:rPr>
          <w:rFonts w:cstheme="minorHAnsi"/>
          <w:sz w:val="24"/>
          <w:szCs w:val="24"/>
        </w:rPr>
        <w:t>They play an important role in responding to cases of gender-based violence, but also in advocating against harmful practices, and provision of sexual and reproductive health services.</w:t>
      </w:r>
      <w:r>
        <w:rPr>
          <w:rFonts w:cstheme="minorHAnsi"/>
          <w:sz w:val="24"/>
          <w:szCs w:val="24"/>
        </w:rPr>
        <w:t xml:space="preserve">  M</w:t>
      </w:r>
      <w:r w:rsidRPr="00E1389D">
        <w:rPr>
          <w:rFonts w:cstheme="minorHAnsi"/>
          <w:sz w:val="24"/>
          <w:szCs w:val="24"/>
        </w:rPr>
        <w:t>idwives</w:t>
      </w:r>
      <w:r w:rsidR="00354519">
        <w:rPr>
          <w:rFonts w:cstheme="minorHAnsi"/>
          <w:sz w:val="24"/>
          <w:szCs w:val="24"/>
        </w:rPr>
        <w:t xml:space="preserve"> and nurses are mostly female.  They</w:t>
      </w:r>
      <w:r w:rsidRPr="00E1389D">
        <w:rPr>
          <w:rFonts w:cstheme="minorHAnsi"/>
          <w:sz w:val="24"/>
          <w:szCs w:val="24"/>
        </w:rPr>
        <w:t xml:space="preserve"> are central figures in the fight for the rights of women, children and communities. </w:t>
      </w:r>
      <w:r>
        <w:rPr>
          <w:rFonts w:cstheme="minorHAnsi"/>
          <w:sz w:val="24"/>
          <w:szCs w:val="24"/>
        </w:rPr>
        <w:t xml:space="preserve"> </w:t>
      </w:r>
      <w:r w:rsidRPr="00E1389D">
        <w:rPr>
          <w:rFonts w:cstheme="minorHAnsi"/>
          <w:sz w:val="24"/>
          <w:szCs w:val="24"/>
        </w:rPr>
        <w:t>At the same time, they are often deprived of their own rights: to rest and self-care, to decent work and pay, and protection from discrimination.</w:t>
      </w:r>
      <w:r w:rsidR="00354519">
        <w:rPr>
          <w:rFonts w:cstheme="minorHAnsi"/>
          <w:sz w:val="24"/>
          <w:szCs w:val="24"/>
        </w:rPr>
        <w:t xml:space="preserve"> In the same light, male nurses, often relatively fewer in number, also face gender-based discrimination.</w:t>
      </w:r>
      <w:r w:rsidR="00354519">
        <w:rPr>
          <w:rStyle w:val="FootnoteReference"/>
          <w:rFonts w:cstheme="minorHAnsi"/>
          <w:sz w:val="24"/>
          <w:szCs w:val="24"/>
        </w:rPr>
        <w:footnoteReference w:id="149"/>
      </w:r>
      <w:r w:rsidR="00354519">
        <w:rPr>
          <w:rFonts w:cstheme="minorHAnsi"/>
          <w:sz w:val="24"/>
          <w:szCs w:val="24"/>
        </w:rPr>
        <w:t xml:space="preserve"> </w:t>
      </w:r>
    </w:p>
    <w:p w14:paraId="52933280" w14:textId="77777777" w:rsidR="00681F77" w:rsidRDefault="00681F77" w:rsidP="00E75191">
      <w:pPr>
        <w:spacing w:line="240" w:lineRule="auto"/>
        <w:jc w:val="both"/>
        <w:rPr>
          <w:rFonts w:cstheme="minorHAnsi"/>
          <w:sz w:val="24"/>
          <w:szCs w:val="24"/>
        </w:rPr>
      </w:pPr>
      <w:r>
        <w:rPr>
          <w:rFonts w:cstheme="minorHAnsi"/>
          <w:noProof/>
          <w:sz w:val="24"/>
          <w:szCs w:val="24"/>
          <w:lang w:val="en-IE" w:eastAsia="en-IE"/>
        </w:rPr>
        <w:lastRenderedPageBreak/>
        <mc:AlternateContent>
          <mc:Choice Requires="wps">
            <w:drawing>
              <wp:inline distT="0" distB="0" distL="0" distR="0" wp14:anchorId="54F89BC2" wp14:editId="607C5025">
                <wp:extent cx="5537200" cy="1301750"/>
                <wp:effectExtent l="0" t="0" r="25400" b="12700"/>
                <wp:docPr id="58" name="Rectangle 58"/>
                <wp:cNvGraphicFramePr/>
                <a:graphic xmlns:a="http://schemas.openxmlformats.org/drawingml/2006/main">
                  <a:graphicData uri="http://schemas.microsoft.com/office/word/2010/wordprocessingShape">
                    <wps:wsp>
                      <wps:cNvSpPr/>
                      <wps:spPr>
                        <a:xfrm>
                          <a:off x="0" y="0"/>
                          <a:ext cx="5537200" cy="1301750"/>
                        </a:xfrm>
                        <a:prstGeom prst="rect">
                          <a:avLst/>
                        </a:prstGeom>
                        <a:solidFill>
                          <a:srgbClr val="002060"/>
                        </a:solidFill>
                        <a:ln w="12700" cap="flat" cmpd="sng" algn="ctr">
                          <a:solidFill>
                            <a:srgbClr val="5B9BD5">
                              <a:shade val="50000"/>
                            </a:srgbClr>
                          </a:solidFill>
                          <a:prstDash val="solid"/>
                          <a:miter lim="800000"/>
                        </a:ln>
                        <a:effectLst/>
                      </wps:spPr>
                      <wps:txbx>
                        <w:txbxContent>
                          <w:p w14:paraId="2B9498D5" w14:textId="77777777" w:rsidR="006D6A0C" w:rsidRPr="00E75191" w:rsidRDefault="006D6A0C" w:rsidP="00681F77">
                            <w:pPr>
                              <w:jc w:val="center"/>
                              <w:rPr>
                                <w:iCs/>
                                <w:color w:val="FFFFFF" w:themeColor="background1"/>
                              </w:rPr>
                            </w:pPr>
                            <w:r w:rsidRPr="00E75191">
                              <w:rPr>
                                <w:i/>
                                <w:iCs/>
                                <w:color w:val="FFFFFF" w:themeColor="background1"/>
                              </w:rPr>
                              <w:t xml:space="preserve">There is a certain assumption that women are more like under men, and any decision... major decisions that usually border on the health of the child, and sometimes even the health of the woman has, has to be taken by the head of the family, who is the man. And so that, that is what that therefore, keeps the woman at a level where she cannot take major health decisions on her health. </w:t>
                            </w:r>
                          </w:p>
                          <w:p w14:paraId="7EB7DB92" w14:textId="77777777" w:rsidR="006D6A0C" w:rsidRPr="00681F77" w:rsidRDefault="006D6A0C" w:rsidP="00681F77">
                            <w:pPr>
                              <w:jc w:val="center"/>
                            </w:pPr>
                            <w:r>
                              <w:t>Male Key Informant</w:t>
                            </w:r>
                            <w:r w:rsidRPr="00681F77">
                              <w:t>, Kwara</w:t>
                            </w:r>
                          </w:p>
                          <w:p w14:paraId="6E6F7915" w14:textId="77777777" w:rsidR="006D6A0C" w:rsidRDefault="006D6A0C" w:rsidP="00E7519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4F89BC2" id="Rectangle 58" o:spid="_x0000_s1050" style="width:436pt;height:1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" fillcolor="#002060" strokecolor="#41719c" strokeweight="1pt">
                <v:textbox>
                  <w:txbxContent>
                    <w:p w:rsidR="006D6A0C" w:rsidRPr="00E75191" w:rsidRDefault="006D6A0C" w:rsidP="00681F77">
                      <w:pPr>
                        <w:jc w:val="center"/>
                        <w:rPr>
                          <w:iCs/>
                          <w:color w:val="FFFFFF" w:themeColor="background1"/>
                        </w:rPr>
                      </w:pPr>
                      <w:r w:rsidRPr="00E75191">
                        <w:rPr>
                          <w:i/>
                          <w:iCs/>
                          <w:color w:val="FFFFFF" w:themeColor="background1"/>
                        </w:rPr>
                        <w:t xml:space="preserve">There is a certain assumption that women are more like under men, and any decision... major decisions that usually border on the health of the child, and sometimes even the health of the woman has, has to be taken by the head of the family, who is the man. And so that, that is what that therefore, keeps the woman at a level where she cannot take major health decisions on her health. </w:t>
                      </w:r>
                    </w:p>
                    <w:p w:rsidR="006D6A0C" w:rsidRPr="00681F77" w:rsidRDefault="006D6A0C" w:rsidP="00681F77">
                      <w:pPr>
                        <w:jc w:val="center"/>
                      </w:pPr>
                      <w:r>
                        <w:t>Male Key Informant</w:t>
                      </w:r>
                      <w:r w:rsidRPr="00681F77">
                        <w:t>, Kwara</w:t>
                      </w:r>
                    </w:p>
                    <w:p w:rsidR="006D6A0C" w:rsidRDefault="006D6A0C" w:rsidP="00E75191">
                      <w:pPr>
                        <w:jc w:val="center"/>
                      </w:pPr>
                    </w:p>
                  </w:txbxContent>
                </v:textbox>
                <w10:anchorlock/>
              </v:rect>
            </w:pict>
          </mc:Fallback>
        </mc:AlternateContent>
      </w:r>
    </w:p>
    <w:p w14:paraId="4584FD02" w14:textId="77777777" w:rsidR="00E75191" w:rsidRPr="00E75191" w:rsidRDefault="00E75191" w:rsidP="00E75191">
      <w:pPr>
        <w:spacing w:line="240" w:lineRule="auto"/>
        <w:jc w:val="both"/>
        <w:rPr>
          <w:rFonts w:cstheme="minorHAnsi"/>
          <w:sz w:val="24"/>
          <w:szCs w:val="24"/>
        </w:rPr>
      </w:pPr>
      <w:r w:rsidRPr="00E75191">
        <w:rPr>
          <w:rFonts w:cstheme="minorHAnsi"/>
          <w:sz w:val="24"/>
          <w:szCs w:val="24"/>
        </w:rPr>
        <w:t>In response to the health disparity between the genders, the Nigerian government has put in place several policies, each addressing specific issues pertaining to women’s health. Most recently, the Nationa</w:t>
      </w:r>
      <w:r w:rsidR="00354519">
        <w:rPr>
          <w:rFonts w:cstheme="minorHAnsi"/>
          <w:sz w:val="24"/>
          <w:szCs w:val="24"/>
        </w:rPr>
        <w:t>l Gender and Health Policy, 2021-2025</w:t>
      </w:r>
      <w:r w:rsidRPr="00E75191">
        <w:rPr>
          <w:rFonts w:cstheme="minorHAnsi"/>
          <w:sz w:val="24"/>
          <w:szCs w:val="24"/>
        </w:rPr>
        <w:t xml:space="preserve"> has been adopted.</w:t>
      </w:r>
      <w:r w:rsidR="00354519">
        <w:rPr>
          <w:rFonts w:cstheme="minorHAnsi"/>
          <w:sz w:val="24"/>
          <w:szCs w:val="24"/>
        </w:rPr>
        <w:t xml:space="preserve"> With principles such as the right to health for all, a life-course approach recognising the different vulnerabilities of men and women at different points in life, non-discrimination</w:t>
      </w:r>
      <w:r w:rsidR="00EA1EBD">
        <w:rPr>
          <w:rFonts w:cstheme="minorHAnsi"/>
          <w:sz w:val="24"/>
          <w:szCs w:val="24"/>
        </w:rPr>
        <w:t xml:space="preserve"> a</w:t>
      </w:r>
      <w:r w:rsidR="00354519">
        <w:rPr>
          <w:rFonts w:cstheme="minorHAnsi"/>
          <w:sz w:val="24"/>
          <w:szCs w:val="24"/>
        </w:rPr>
        <w:t>nd professionalism, the Policy aims to ensure that “</w:t>
      </w:r>
      <w:r w:rsidR="00354519" w:rsidRPr="00354519">
        <w:rPr>
          <w:rFonts w:cstheme="minorHAnsi"/>
          <w:sz w:val="24"/>
          <w:szCs w:val="24"/>
        </w:rPr>
        <w:t>ensure that men and women, boys and girls in all their diversity are able to have equal and equitable access to quality, gender responsive  healthcare free of gender based discrimination.</w:t>
      </w:r>
      <w:r w:rsidR="00354519">
        <w:rPr>
          <w:rFonts w:cstheme="minorHAnsi"/>
          <w:sz w:val="24"/>
          <w:szCs w:val="24"/>
        </w:rPr>
        <w:t>”</w:t>
      </w:r>
      <w:r w:rsidR="00354519">
        <w:rPr>
          <w:rStyle w:val="FootnoteReference"/>
          <w:rFonts w:cstheme="minorHAnsi"/>
          <w:sz w:val="24"/>
          <w:szCs w:val="24"/>
        </w:rPr>
        <w:footnoteReference w:id="150"/>
      </w:r>
      <w:r w:rsidR="00FC133D">
        <w:rPr>
          <w:rFonts w:cstheme="minorHAnsi"/>
          <w:sz w:val="24"/>
          <w:szCs w:val="24"/>
        </w:rPr>
        <w:t xml:space="preserve"> </w:t>
      </w:r>
      <w:r w:rsidRPr="00E75191">
        <w:rPr>
          <w:rFonts w:cstheme="minorHAnsi"/>
          <w:sz w:val="24"/>
          <w:szCs w:val="24"/>
        </w:rPr>
        <w:t>Other policies include the Family Planning Pledge, 2020 (FP 2020) which aims to improve contraceptive uptake, and the National Family Planning Communication Plan which aims to support more effective communication in order to stimulate more demand for contraceptives.  The National Task-Shifting and Task-Sharing Policy aims to provide a broader framework that allows certain kinds of care, including MNCH and family planning care to be shared or shifted, creating a larger number of supportive health care professionals and workers. The Basic Health Care Provision Fund guidelines, 2020 gives significant attention to MNCH. Also the National Policy on the Elimination of Female Genital Policy in Nigeria has been revised and updated. The National Reproductive Health Policy and Strategy of 2001 seeks to reduce the risk of maternal and perinatal death by improving access to Emergency Obstetric Care (EOC), improve access to information, skills and means for the prevention of HIV and other sexually transmitted diseases amongst others,</w:t>
      </w:r>
      <w:r w:rsidRPr="00E75191">
        <w:rPr>
          <w:rFonts w:cstheme="minorHAnsi"/>
          <w:sz w:val="24"/>
          <w:szCs w:val="24"/>
          <w:vertAlign w:val="superscript"/>
        </w:rPr>
        <w:t xml:space="preserve"> </w:t>
      </w:r>
      <w:r w:rsidRPr="00E75191">
        <w:rPr>
          <w:rFonts w:cstheme="minorHAnsi"/>
          <w:sz w:val="24"/>
          <w:szCs w:val="24"/>
          <w:vertAlign w:val="superscript"/>
        </w:rPr>
        <w:footnoteReference w:id="151"/>
      </w:r>
      <w:r w:rsidRPr="00E75191">
        <w:rPr>
          <w:rFonts w:cstheme="minorHAnsi"/>
          <w:sz w:val="24"/>
          <w:szCs w:val="24"/>
        </w:rPr>
        <w:t xml:space="preserve"> limit all forms of gender-based violence and other practices that are harmful to the health of women and children and reduce gender imbalance In availability of reproductive health services.</w:t>
      </w:r>
      <w:r w:rsidRPr="00E75191">
        <w:rPr>
          <w:rFonts w:cstheme="minorHAnsi"/>
          <w:sz w:val="24"/>
          <w:szCs w:val="24"/>
          <w:vertAlign w:val="superscript"/>
        </w:rPr>
        <w:footnoteReference w:id="152"/>
      </w:r>
      <w:r w:rsidRPr="00E75191">
        <w:rPr>
          <w:rFonts w:cstheme="minorHAnsi"/>
          <w:sz w:val="24"/>
          <w:szCs w:val="24"/>
        </w:rPr>
        <w:t xml:space="preserve"> Other relevant policies include National Guidelines on the Health Management of Victims of Violence, the Minimum Essential Health Package for the Management of Women who Have Suffered GBV, National Policy on Health and Development of Adolescents and Young People, 2007 and the Integrated Maternal Newborn and Child Health Strategy, 2007. These policy measures though laudable must be integrated and fully implemented if positive effects are to be observed on health outcomes.</w:t>
      </w:r>
    </w:p>
    <w:p w14:paraId="62286502" w14:textId="77777777" w:rsidR="00E75191" w:rsidRPr="00E75191" w:rsidRDefault="00E75191" w:rsidP="00E75191">
      <w:pPr>
        <w:spacing w:line="240" w:lineRule="auto"/>
        <w:jc w:val="both"/>
        <w:rPr>
          <w:rFonts w:cstheme="minorHAnsi"/>
          <w:sz w:val="24"/>
          <w:szCs w:val="24"/>
        </w:rPr>
      </w:pPr>
      <w:r w:rsidRPr="00E75191">
        <w:rPr>
          <w:rFonts w:cstheme="minorHAnsi"/>
          <w:sz w:val="24"/>
          <w:szCs w:val="24"/>
        </w:rPr>
        <w:t>These policy measures are in line with Nigeria’s commitment under the AU Solemn Declaration on Gender Equality in Africa. Under this Declaration, State Parties commit to accelerate the implementation of gender specific, social and legal measures aimed at combating the HIV/AIDS pandemic and to effectively implement both Abuja and Maputo Declarations on Malaria, HIV/AIDS, tuberculosis and other related infectious diseases.</w:t>
      </w:r>
      <w:r w:rsidRPr="00E75191">
        <w:rPr>
          <w:rFonts w:cstheme="minorHAnsi"/>
          <w:sz w:val="24"/>
          <w:szCs w:val="24"/>
          <w:vertAlign w:val="superscript"/>
        </w:rPr>
        <w:footnoteReference w:id="153"/>
      </w:r>
      <w:r w:rsidRPr="00E75191">
        <w:rPr>
          <w:rFonts w:cstheme="minorHAnsi"/>
          <w:sz w:val="24"/>
          <w:szCs w:val="24"/>
        </w:rPr>
        <w:t xml:space="preserve"> It also requires that State Parties ensure that treatment and social services are available to women at the local level and budgetary allocations are increased to alleviate women’s burden </w:t>
      </w:r>
      <w:r w:rsidRPr="00E75191">
        <w:rPr>
          <w:rFonts w:cstheme="minorHAnsi"/>
          <w:sz w:val="24"/>
          <w:szCs w:val="24"/>
        </w:rPr>
        <w:lastRenderedPageBreak/>
        <w:t>of care.</w:t>
      </w:r>
      <w:r w:rsidRPr="00E75191">
        <w:rPr>
          <w:rFonts w:cstheme="minorHAnsi"/>
          <w:sz w:val="24"/>
          <w:szCs w:val="24"/>
          <w:vertAlign w:val="superscript"/>
        </w:rPr>
        <w:footnoteReference w:id="154"/>
      </w:r>
      <w:r w:rsidRPr="00E75191">
        <w:rPr>
          <w:rFonts w:cstheme="minorHAnsi"/>
          <w:sz w:val="24"/>
          <w:szCs w:val="24"/>
        </w:rPr>
        <w:t xml:space="preserve"> This is also in tandem with Nigeria’s obligation to uphold the highest standard of physical and mental health for all persons – including women and girls – under the International Covenant on Social, Economic and Cultural Rights.</w:t>
      </w:r>
      <w:r w:rsidRPr="00E75191">
        <w:rPr>
          <w:rFonts w:cstheme="minorHAnsi"/>
          <w:sz w:val="24"/>
          <w:szCs w:val="24"/>
          <w:vertAlign w:val="superscript"/>
        </w:rPr>
        <w:footnoteReference w:id="155"/>
      </w:r>
      <w:r w:rsidRPr="00E75191">
        <w:rPr>
          <w:rFonts w:cstheme="minorHAnsi"/>
          <w:sz w:val="24"/>
          <w:szCs w:val="24"/>
        </w:rPr>
        <w:t xml:space="preserve"> </w:t>
      </w:r>
    </w:p>
    <w:p w14:paraId="05B49D24" w14:textId="77777777" w:rsidR="00963661" w:rsidRDefault="00963661" w:rsidP="00E75191">
      <w:pPr>
        <w:spacing w:line="240" w:lineRule="auto"/>
        <w:jc w:val="both"/>
        <w:rPr>
          <w:rFonts w:cstheme="minorHAnsi"/>
          <w:sz w:val="24"/>
          <w:szCs w:val="24"/>
        </w:rPr>
      </w:pPr>
      <w:r w:rsidRPr="001525C4">
        <w:rPr>
          <w:rFonts w:cstheme="minorHAnsi"/>
          <w:sz w:val="24"/>
          <w:szCs w:val="24"/>
        </w:rPr>
        <w:t xml:space="preserve">The COVID-19 pandemic further highlighted gaps within the health sector and the attendant impact on gender in Nigeria. For instance, while sexual </w:t>
      </w:r>
      <w:r w:rsidR="00FC133D">
        <w:rPr>
          <w:rFonts w:cstheme="minorHAnsi"/>
          <w:sz w:val="24"/>
          <w:szCs w:val="24"/>
        </w:rPr>
        <w:t xml:space="preserve">and </w:t>
      </w:r>
      <w:r w:rsidRPr="001525C4">
        <w:rPr>
          <w:rFonts w:cstheme="minorHAnsi"/>
          <w:sz w:val="24"/>
          <w:szCs w:val="24"/>
        </w:rPr>
        <w:t>reproductive health has been identified as a priority area for action</w:t>
      </w:r>
      <w:r w:rsidR="00FC133D">
        <w:rPr>
          <w:rFonts w:cstheme="minorHAnsi"/>
          <w:sz w:val="24"/>
          <w:szCs w:val="24"/>
        </w:rPr>
        <w:t xml:space="preserve"> by the Nigerian government</w:t>
      </w:r>
      <w:r w:rsidRPr="001525C4">
        <w:rPr>
          <w:rFonts w:cstheme="minorHAnsi"/>
          <w:sz w:val="24"/>
          <w:szCs w:val="24"/>
        </w:rPr>
        <w:t>, the COVID-19 pandemic necessitated a prioritization of emergency health care services putting sexual and reproductive services in jeopardy. Maternal healthcare service delivery only worsened with the outbreak of the COVID-19 pandemic as many harboured scepticism in visiting healthcare centres for fear of contracting the virus.</w:t>
      </w:r>
      <w:r w:rsidRPr="001525C4">
        <w:rPr>
          <w:rStyle w:val="FootnoteReference"/>
          <w:rFonts w:cstheme="minorHAnsi"/>
          <w:sz w:val="24"/>
          <w:szCs w:val="24"/>
        </w:rPr>
        <w:footnoteReference w:id="156"/>
      </w:r>
    </w:p>
    <w:p w14:paraId="174A8742" w14:textId="77777777" w:rsidR="00963661" w:rsidRPr="001525C4" w:rsidRDefault="00C87CB6" w:rsidP="00E75191">
      <w:pPr>
        <w:spacing w:line="240" w:lineRule="auto"/>
        <w:jc w:val="both"/>
        <w:rPr>
          <w:rFonts w:cstheme="minorHAnsi"/>
          <w:sz w:val="24"/>
          <w:szCs w:val="24"/>
        </w:rPr>
      </w:pPr>
      <w:r>
        <w:rPr>
          <w:rFonts w:cstheme="minorHAnsi"/>
          <w:sz w:val="24"/>
          <w:szCs w:val="24"/>
        </w:rPr>
        <w:t>Respondents also noted that m</w:t>
      </w:r>
      <w:r w:rsidR="00396096">
        <w:rPr>
          <w:rFonts w:cstheme="minorHAnsi"/>
          <w:sz w:val="24"/>
          <w:szCs w:val="24"/>
        </w:rPr>
        <w:t>ore concerted effort continue to be needed to addr</w:t>
      </w:r>
      <w:r>
        <w:rPr>
          <w:rFonts w:cstheme="minorHAnsi"/>
          <w:sz w:val="24"/>
          <w:szCs w:val="24"/>
        </w:rPr>
        <w:t xml:space="preserve">ess the gender issues in health including </w:t>
      </w:r>
      <w:r w:rsidRPr="00615377">
        <w:rPr>
          <w:rFonts w:cstheme="minorHAnsi"/>
          <w:sz w:val="24"/>
          <w:szCs w:val="24"/>
        </w:rPr>
        <w:t>mainstreaming</w:t>
      </w:r>
      <w:r w:rsidR="00396096" w:rsidRPr="00615377">
        <w:rPr>
          <w:rFonts w:cstheme="minorHAnsi"/>
          <w:sz w:val="24"/>
          <w:szCs w:val="24"/>
        </w:rPr>
        <w:t xml:space="preserve"> </w:t>
      </w:r>
      <w:r w:rsidRPr="00615377">
        <w:rPr>
          <w:rFonts w:cstheme="minorHAnsi"/>
          <w:sz w:val="24"/>
          <w:szCs w:val="24"/>
        </w:rPr>
        <w:t>gender in health care delivery</w:t>
      </w:r>
      <w:r w:rsidR="00AB60F2" w:rsidRPr="00615377">
        <w:rPr>
          <w:rFonts w:cstheme="minorHAnsi"/>
          <w:sz w:val="24"/>
          <w:szCs w:val="24"/>
        </w:rPr>
        <w:t xml:space="preserve"> and building the capacity of health care workers in gender equality</w:t>
      </w:r>
      <w:r w:rsidR="00416CB2" w:rsidRPr="00615377">
        <w:rPr>
          <w:rFonts w:cstheme="minorHAnsi"/>
          <w:sz w:val="24"/>
          <w:szCs w:val="24"/>
        </w:rPr>
        <w:t xml:space="preserve"> and gender-based violence</w:t>
      </w:r>
      <w:r w:rsidRPr="00615377">
        <w:rPr>
          <w:rFonts w:cstheme="minorHAnsi"/>
          <w:sz w:val="24"/>
          <w:szCs w:val="24"/>
        </w:rPr>
        <w:t xml:space="preserve">. </w:t>
      </w:r>
      <w:r w:rsidR="00416CB2" w:rsidRPr="00615377">
        <w:rPr>
          <w:rFonts w:cstheme="minorHAnsi"/>
          <w:sz w:val="24"/>
          <w:szCs w:val="24"/>
        </w:rPr>
        <w:t>As first responders, midwives and nurses are a key focal point for women and their families</w:t>
      </w:r>
      <w:r w:rsidR="00615377">
        <w:rPr>
          <w:rFonts w:cstheme="minorHAnsi"/>
          <w:sz w:val="24"/>
          <w:szCs w:val="24"/>
        </w:rPr>
        <w:t xml:space="preserve"> and concerted efforts to address issues they may have from a gender perspective must be made</w:t>
      </w:r>
      <w:r w:rsidR="00416CB2" w:rsidRPr="00416CB2">
        <w:rPr>
          <w:rFonts w:cstheme="minorHAnsi"/>
          <w:sz w:val="24"/>
          <w:szCs w:val="24"/>
        </w:rPr>
        <w:t>.</w:t>
      </w:r>
      <w:r w:rsidR="00416CB2">
        <w:rPr>
          <w:rFonts w:cstheme="minorHAnsi"/>
          <w:sz w:val="24"/>
          <w:szCs w:val="24"/>
        </w:rPr>
        <w:t xml:space="preserve"> </w:t>
      </w:r>
      <w:r w:rsidR="00AB60F2">
        <w:rPr>
          <w:rFonts w:cstheme="minorHAnsi"/>
          <w:sz w:val="24"/>
          <w:szCs w:val="24"/>
        </w:rPr>
        <w:t>Some r</w:t>
      </w:r>
      <w:r>
        <w:rPr>
          <w:rFonts w:cstheme="minorHAnsi"/>
          <w:sz w:val="24"/>
          <w:szCs w:val="24"/>
        </w:rPr>
        <w:t xml:space="preserve">espondents also noted the need to engage </w:t>
      </w:r>
      <w:r w:rsidR="00416CB2">
        <w:rPr>
          <w:rFonts w:cstheme="minorHAnsi"/>
          <w:sz w:val="24"/>
          <w:szCs w:val="24"/>
        </w:rPr>
        <w:t>s</w:t>
      </w:r>
      <w:r>
        <w:rPr>
          <w:rFonts w:cstheme="minorHAnsi"/>
          <w:sz w:val="24"/>
          <w:szCs w:val="24"/>
        </w:rPr>
        <w:t>tates</w:t>
      </w:r>
      <w:r w:rsidR="00AB60F2">
        <w:rPr>
          <w:rFonts w:cstheme="minorHAnsi"/>
          <w:sz w:val="24"/>
          <w:szCs w:val="24"/>
        </w:rPr>
        <w:t xml:space="preserve"> more effectively</w:t>
      </w:r>
      <w:r>
        <w:rPr>
          <w:rFonts w:cstheme="minorHAnsi"/>
          <w:sz w:val="24"/>
          <w:szCs w:val="24"/>
        </w:rPr>
        <w:t xml:space="preserve"> in gender initiatives</w:t>
      </w:r>
      <w:r w:rsidR="00AB60F2">
        <w:rPr>
          <w:rFonts w:cstheme="minorHAnsi"/>
          <w:sz w:val="24"/>
          <w:szCs w:val="24"/>
        </w:rPr>
        <w:t xml:space="preserve">, including adoption of federal policies on gender and health. </w:t>
      </w:r>
    </w:p>
    <w:p w14:paraId="2133B6D6" w14:textId="77777777" w:rsidR="002006B6" w:rsidRDefault="00E75191" w:rsidP="00E75191">
      <w:pPr>
        <w:rPr>
          <w:b/>
          <w:sz w:val="24"/>
          <w:szCs w:val="24"/>
        </w:rPr>
      </w:pPr>
      <w:r>
        <w:rPr>
          <w:b/>
          <w:sz w:val="24"/>
          <w:szCs w:val="24"/>
        </w:rPr>
        <w:br w:type="page"/>
      </w:r>
    </w:p>
    <w:p w14:paraId="57F9EAA2" w14:textId="77777777" w:rsidR="002006B6" w:rsidRDefault="002006B6" w:rsidP="00E75191">
      <w:pPr>
        <w:spacing w:line="240" w:lineRule="auto"/>
        <w:jc w:val="both"/>
        <w:rPr>
          <w:b/>
          <w:sz w:val="24"/>
          <w:szCs w:val="24"/>
        </w:rPr>
      </w:pPr>
    </w:p>
    <w:p w14:paraId="29AB4037" w14:textId="77777777" w:rsidR="002006B6" w:rsidRDefault="002006B6" w:rsidP="00E75191">
      <w:pPr>
        <w:spacing w:line="240" w:lineRule="auto"/>
        <w:jc w:val="both"/>
        <w:rPr>
          <w:b/>
          <w:sz w:val="24"/>
          <w:szCs w:val="24"/>
        </w:rPr>
      </w:pPr>
    </w:p>
    <w:p w14:paraId="29CB3F05" w14:textId="77777777" w:rsidR="00955BA4" w:rsidRDefault="002006B6" w:rsidP="00E75191">
      <w:pPr>
        <w:spacing w:line="240" w:lineRule="auto"/>
        <w:jc w:val="both"/>
        <w:rPr>
          <w:sz w:val="24"/>
          <w:szCs w:val="24"/>
        </w:rPr>
      </w:pPr>
      <w:r w:rsidRPr="00744F56">
        <w:rPr>
          <w:b/>
          <w:noProof/>
          <w:sz w:val="24"/>
          <w:szCs w:val="24"/>
          <w:lang w:val="en-IE" w:eastAsia="en-IE"/>
        </w:rPr>
        <mc:AlternateContent>
          <mc:Choice Requires="wps">
            <w:drawing>
              <wp:anchor distT="0" distB="0" distL="114300" distR="114300" simplePos="0" relativeHeight="251679744" behindDoc="0" locked="0" layoutInCell="1" allowOverlap="1" wp14:anchorId="1C1B8026" wp14:editId="660FEA13">
                <wp:simplePos x="0" y="0"/>
                <wp:positionH relativeFrom="column">
                  <wp:posOffset>-19050</wp:posOffset>
                </wp:positionH>
                <wp:positionV relativeFrom="paragraph">
                  <wp:posOffset>-552450</wp:posOffset>
                </wp:positionV>
                <wp:extent cx="5819775" cy="1403985"/>
                <wp:effectExtent l="0" t="0" r="28575" b="1270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1403985"/>
                        </a:xfrm>
                        <a:prstGeom prst="rect">
                          <a:avLst/>
                        </a:prstGeom>
                        <a:solidFill>
                          <a:schemeClr val="accent1">
                            <a:lumMod val="60000"/>
                            <a:lumOff val="40000"/>
                          </a:schemeClr>
                        </a:solidFill>
                        <a:ln w="9525">
                          <a:solidFill>
                            <a:schemeClr val="accent1">
                              <a:lumMod val="60000"/>
                              <a:lumOff val="40000"/>
                            </a:schemeClr>
                          </a:solidFill>
                          <a:miter lim="800000"/>
                          <a:headEnd/>
                          <a:tailEnd/>
                        </a:ln>
                      </wps:spPr>
                      <wps:txbx>
                        <w:txbxContent>
                          <w:p w14:paraId="7A2C4FBC" w14:textId="77777777" w:rsidR="006D6A0C" w:rsidRPr="005667FD" w:rsidRDefault="006D6A0C" w:rsidP="005667FD">
                            <w:pPr>
                              <w:pStyle w:val="Heading1"/>
                              <w:rPr>
                                <w:color w:val="auto"/>
                                <w:sz w:val="56"/>
                                <w:szCs w:val="56"/>
                              </w:rPr>
                            </w:pPr>
                            <w:bookmarkStart w:id="37" w:name="_Toc81228176"/>
                            <w:bookmarkStart w:id="38" w:name="_Toc81228287"/>
                            <w:bookmarkStart w:id="39" w:name="_Toc81229098"/>
                            <w:r w:rsidRPr="005667FD">
                              <w:rPr>
                                <w:color w:val="auto"/>
                                <w:sz w:val="56"/>
                                <w:szCs w:val="56"/>
                              </w:rPr>
                              <w:t>3.8 Education</w:t>
                            </w:r>
                            <w:bookmarkEnd w:id="37"/>
                            <w:bookmarkEnd w:id="38"/>
                            <w:bookmarkEnd w:id="39"/>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1B8026" id="_x0000_s1051" type="#_x0000_t202" style="position:absolute;left:0;text-align:left;margin-left:-1.5pt;margin-top:-43.5pt;width:458.25pt;height:110.55pt;z-index:2516797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" fillcolor="#9cc2e5 [1940]" strokecolor="#9cc2e5 [1940]">
                <v:textbox style="mso-fit-shape-to-text:t">
                  <w:txbxContent>
                    <w:p w:rsidR="006D6A0C" w:rsidRPr="005667FD" w:rsidRDefault="006D6A0C" w:rsidP="005667FD">
                      <w:pPr>
                        <w:pStyle w:val="Heading1"/>
                        <w:rPr>
                          <w:color w:val="auto"/>
                          <w:sz w:val="56"/>
                          <w:szCs w:val="56"/>
                        </w:rPr>
                      </w:pPr>
                      <w:bookmarkStart w:id="68" w:name="_Toc81228176"/>
                      <w:bookmarkStart w:id="69" w:name="_Toc81228287"/>
                      <w:bookmarkStart w:id="70" w:name="_Toc81229098"/>
                      <w:r w:rsidRPr="005667FD">
                        <w:rPr>
                          <w:color w:val="auto"/>
                          <w:sz w:val="56"/>
                          <w:szCs w:val="56"/>
                        </w:rPr>
                        <w:t>3.8 Education</w:t>
                      </w:r>
                      <w:bookmarkEnd w:id="68"/>
                      <w:bookmarkEnd w:id="69"/>
                      <w:bookmarkEnd w:id="70"/>
                    </w:p>
                  </w:txbxContent>
                </v:textbox>
              </v:shape>
            </w:pict>
          </mc:Fallback>
        </mc:AlternateContent>
      </w:r>
      <w:r w:rsidR="00955BA4" w:rsidRPr="002529F7">
        <w:rPr>
          <w:sz w:val="24"/>
          <w:szCs w:val="24"/>
        </w:rPr>
        <w:t xml:space="preserve">Education is </w:t>
      </w:r>
      <w:r w:rsidR="00955BA4">
        <w:rPr>
          <w:sz w:val="24"/>
          <w:szCs w:val="24"/>
        </w:rPr>
        <w:t xml:space="preserve">perhaps the most </w:t>
      </w:r>
      <w:r w:rsidR="00955BA4" w:rsidRPr="002529F7">
        <w:rPr>
          <w:sz w:val="24"/>
          <w:szCs w:val="24"/>
        </w:rPr>
        <w:t>important factor</w:t>
      </w:r>
      <w:r w:rsidR="00955BA4">
        <w:rPr>
          <w:sz w:val="24"/>
          <w:szCs w:val="24"/>
        </w:rPr>
        <w:t xml:space="preserve"> in determining an individual’s behaviour and choices, including health care seeking behaviour</w:t>
      </w:r>
      <w:r w:rsidR="00E1168E">
        <w:rPr>
          <w:sz w:val="24"/>
          <w:szCs w:val="24"/>
        </w:rPr>
        <w:t xml:space="preserve"> and</w:t>
      </w:r>
      <w:r w:rsidR="00955BA4">
        <w:rPr>
          <w:sz w:val="24"/>
          <w:szCs w:val="24"/>
        </w:rPr>
        <w:t xml:space="preserve"> understanding gender norms. Just as importantly, in the contemporary</w:t>
      </w:r>
      <w:r w:rsidR="00C81099">
        <w:rPr>
          <w:sz w:val="24"/>
          <w:szCs w:val="24"/>
        </w:rPr>
        <w:t xml:space="preserve"> and increasingly technology-driven</w:t>
      </w:r>
      <w:r w:rsidR="00955BA4">
        <w:rPr>
          <w:sz w:val="24"/>
          <w:szCs w:val="24"/>
        </w:rPr>
        <w:t xml:space="preserve"> world, education provides the foundation for </w:t>
      </w:r>
      <w:r w:rsidR="00AB60F2">
        <w:rPr>
          <w:sz w:val="24"/>
          <w:szCs w:val="24"/>
        </w:rPr>
        <w:t xml:space="preserve">many </w:t>
      </w:r>
      <w:r w:rsidR="00955BA4">
        <w:rPr>
          <w:sz w:val="24"/>
          <w:szCs w:val="24"/>
        </w:rPr>
        <w:t>opportunities.</w:t>
      </w:r>
      <w:r w:rsidR="00E1168E">
        <w:rPr>
          <w:sz w:val="24"/>
          <w:szCs w:val="24"/>
        </w:rPr>
        <w:t xml:space="preserve"> </w:t>
      </w:r>
      <w:r w:rsidR="00FB5B9A">
        <w:rPr>
          <w:sz w:val="24"/>
          <w:szCs w:val="24"/>
        </w:rPr>
        <w:t xml:space="preserve">Apart from job opportunities, higher education is </w:t>
      </w:r>
      <w:r w:rsidR="00C1613C">
        <w:rPr>
          <w:sz w:val="24"/>
          <w:szCs w:val="24"/>
        </w:rPr>
        <w:t xml:space="preserve">strongly associated </w:t>
      </w:r>
      <w:r w:rsidR="00FB5B9A">
        <w:rPr>
          <w:sz w:val="24"/>
          <w:szCs w:val="24"/>
        </w:rPr>
        <w:t xml:space="preserve">with </w:t>
      </w:r>
      <w:r w:rsidR="009470D0">
        <w:rPr>
          <w:sz w:val="24"/>
          <w:szCs w:val="24"/>
        </w:rPr>
        <w:t xml:space="preserve">better health care seeking behaviour, </w:t>
      </w:r>
      <w:r w:rsidR="00EF6A52">
        <w:rPr>
          <w:sz w:val="24"/>
          <w:szCs w:val="24"/>
        </w:rPr>
        <w:t>immunisation, exclusive breastfeeding, contraceptive uptake, amongst other markers of health and wellbeing.</w:t>
      </w:r>
      <w:r w:rsidR="00EF6A52">
        <w:rPr>
          <w:rStyle w:val="FootnoteReference"/>
          <w:sz w:val="24"/>
          <w:szCs w:val="24"/>
        </w:rPr>
        <w:footnoteReference w:id="157"/>
      </w:r>
      <w:r w:rsidR="00EF6A52">
        <w:rPr>
          <w:sz w:val="24"/>
          <w:szCs w:val="24"/>
        </w:rPr>
        <w:t xml:space="preserve"> </w:t>
      </w:r>
    </w:p>
    <w:p w14:paraId="262ACC52" w14:textId="77777777" w:rsidR="00C40B7B" w:rsidRDefault="00C40B7B" w:rsidP="00E75191">
      <w:pPr>
        <w:spacing w:line="240" w:lineRule="auto"/>
        <w:jc w:val="both"/>
        <w:rPr>
          <w:sz w:val="24"/>
          <w:szCs w:val="24"/>
        </w:rPr>
      </w:pPr>
      <w:r w:rsidRPr="00C40B7B">
        <w:rPr>
          <w:sz w:val="24"/>
          <w:szCs w:val="24"/>
        </w:rPr>
        <w:t>One of the 17 Sustainable Development Goals (SDGs) adopted by the General Assembly of the United Nations in September 2015 under the principle of “leaving no one behind” is to ensure inclusive and equitable quality education and promote life-long learning.</w:t>
      </w:r>
      <w:r w:rsidR="0081720F">
        <w:rPr>
          <w:rStyle w:val="FootnoteReference"/>
          <w:sz w:val="24"/>
          <w:szCs w:val="24"/>
        </w:rPr>
        <w:footnoteReference w:id="158"/>
      </w:r>
      <w:r w:rsidRPr="00C40B7B">
        <w:rPr>
          <w:sz w:val="24"/>
          <w:szCs w:val="24"/>
        </w:rPr>
        <w:t xml:space="preserve"> To achieve this overarching objective, the </w:t>
      </w:r>
      <w:r w:rsidR="00AE4055">
        <w:rPr>
          <w:sz w:val="24"/>
          <w:szCs w:val="24"/>
        </w:rPr>
        <w:t>SDGs define</w:t>
      </w:r>
      <w:r w:rsidRPr="00C40B7B">
        <w:rPr>
          <w:sz w:val="24"/>
          <w:szCs w:val="24"/>
        </w:rPr>
        <w:t xml:space="preserve"> several targets including eliminating gender disparities in education and ensuring equal access to all levels of education and vocational training for the vulnerable, including persons with disabilities, indigenous peoples and children in vulnerable situations.</w:t>
      </w:r>
      <w:r w:rsidR="0081720F">
        <w:rPr>
          <w:rStyle w:val="FootnoteReference"/>
          <w:sz w:val="24"/>
          <w:szCs w:val="24"/>
        </w:rPr>
        <w:footnoteReference w:id="159"/>
      </w:r>
      <w:r w:rsidR="00AE4055">
        <w:rPr>
          <w:sz w:val="24"/>
          <w:szCs w:val="24"/>
        </w:rPr>
        <w:t xml:space="preserve"> They also identify </w:t>
      </w:r>
      <w:r w:rsidRPr="00C40B7B">
        <w:rPr>
          <w:sz w:val="24"/>
          <w:szCs w:val="24"/>
        </w:rPr>
        <w:t>achieving literacy and numeracy among all youth and a substantial proportion of adults, both men and women, by 2030.</w:t>
      </w:r>
      <w:r w:rsidR="003E6AA2">
        <w:rPr>
          <w:rStyle w:val="FootnoteReference"/>
          <w:sz w:val="24"/>
          <w:szCs w:val="24"/>
        </w:rPr>
        <w:footnoteReference w:id="160"/>
      </w:r>
      <w:r w:rsidRPr="00C40B7B">
        <w:rPr>
          <w:sz w:val="24"/>
          <w:szCs w:val="24"/>
        </w:rPr>
        <w:t xml:space="preserve"> However, Nigeria still lags behind in the provision of equitable and inclusive education. </w:t>
      </w:r>
    </w:p>
    <w:p w14:paraId="5E4CB3E6" w14:textId="77777777" w:rsidR="00C1228A" w:rsidRDefault="00955BA4" w:rsidP="00E75191">
      <w:pPr>
        <w:spacing w:line="240" w:lineRule="auto"/>
        <w:jc w:val="both"/>
        <w:rPr>
          <w:sz w:val="24"/>
          <w:szCs w:val="24"/>
        </w:rPr>
      </w:pPr>
      <w:r>
        <w:rPr>
          <w:sz w:val="24"/>
          <w:szCs w:val="24"/>
        </w:rPr>
        <w:t>In Nigeria</w:t>
      </w:r>
      <w:r w:rsidR="00AB60F2">
        <w:rPr>
          <w:sz w:val="24"/>
          <w:szCs w:val="24"/>
        </w:rPr>
        <w:t>, although basic education is free and compulsory,</w:t>
      </w:r>
      <w:r>
        <w:rPr>
          <w:sz w:val="24"/>
          <w:szCs w:val="24"/>
        </w:rPr>
        <w:t xml:space="preserve"> at least 10.5 million school age children</w:t>
      </w:r>
      <w:r w:rsidR="00C1228A">
        <w:rPr>
          <w:sz w:val="24"/>
          <w:szCs w:val="24"/>
        </w:rPr>
        <w:t xml:space="preserve">, </w:t>
      </w:r>
      <w:r w:rsidR="00C1228A" w:rsidRPr="00C6536D">
        <w:rPr>
          <w:sz w:val="24"/>
          <w:szCs w:val="24"/>
        </w:rPr>
        <w:t>aged 5-14 years</w:t>
      </w:r>
      <w:r w:rsidR="00C1228A">
        <w:rPr>
          <w:sz w:val="24"/>
          <w:szCs w:val="24"/>
        </w:rPr>
        <w:t>,</w:t>
      </w:r>
      <w:r>
        <w:rPr>
          <w:sz w:val="24"/>
          <w:szCs w:val="24"/>
        </w:rPr>
        <w:t xml:space="preserve"> </w:t>
      </w:r>
      <w:r w:rsidR="00AB60F2">
        <w:rPr>
          <w:sz w:val="24"/>
          <w:szCs w:val="24"/>
        </w:rPr>
        <w:t>are out of school</w:t>
      </w:r>
      <w:r>
        <w:rPr>
          <w:sz w:val="24"/>
          <w:szCs w:val="24"/>
        </w:rPr>
        <w:t>,</w:t>
      </w:r>
      <w:r w:rsidR="00AB60F2">
        <w:rPr>
          <w:sz w:val="24"/>
          <w:szCs w:val="24"/>
        </w:rPr>
        <w:t xml:space="preserve"> the highest number in the world.</w:t>
      </w:r>
      <w:r w:rsidR="00AE4055">
        <w:rPr>
          <w:rStyle w:val="FootnoteReference"/>
          <w:sz w:val="24"/>
          <w:szCs w:val="24"/>
        </w:rPr>
        <w:footnoteReference w:id="161"/>
      </w:r>
      <w:r w:rsidR="00AB60F2">
        <w:rPr>
          <w:sz w:val="24"/>
          <w:szCs w:val="24"/>
        </w:rPr>
        <w:t xml:space="preserve">  </w:t>
      </w:r>
      <w:r>
        <w:rPr>
          <w:sz w:val="24"/>
          <w:szCs w:val="24"/>
        </w:rPr>
        <w:t>Only 61</w:t>
      </w:r>
      <w:r w:rsidR="00E1168E">
        <w:rPr>
          <w:sz w:val="24"/>
          <w:szCs w:val="24"/>
        </w:rPr>
        <w:t xml:space="preserve">% </w:t>
      </w:r>
      <w:r>
        <w:rPr>
          <w:sz w:val="24"/>
          <w:szCs w:val="24"/>
        </w:rPr>
        <w:t>of 6-11 year-olds regularly attend primary school. In Northern Nigeria only about 53</w:t>
      </w:r>
      <w:r w:rsidR="00E1168E">
        <w:rPr>
          <w:sz w:val="24"/>
          <w:szCs w:val="24"/>
        </w:rPr>
        <w:t xml:space="preserve">% </w:t>
      </w:r>
      <w:r>
        <w:rPr>
          <w:sz w:val="24"/>
          <w:szCs w:val="24"/>
        </w:rPr>
        <w:t xml:space="preserve">of children are in school an indicator of the disparity observed between Northern and Southern Nigeria. </w:t>
      </w:r>
      <w:r w:rsidR="00353700">
        <w:rPr>
          <w:sz w:val="24"/>
          <w:szCs w:val="24"/>
        </w:rPr>
        <w:t>T</w:t>
      </w:r>
      <w:r w:rsidR="00353700" w:rsidRPr="00353700">
        <w:rPr>
          <w:sz w:val="24"/>
          <w:szCs w:val="24"/>
        </w:rPr>
        <w:t>he North West</w:t>
      </w:r>
      <w:r w:rsidR="00353700">
        <w:rPr>
          <w:sz w:val="24"/>
          <w:szCs w:val="24"/>
        </w:rPr>
        <w:t>, (with 55</w:t>
      </w:r>
      <w:r w:rsidR="00E1168E">
        <w:rPr>
          <w:sz w:val="24"/>
          <w:szCs w:val="24"/>
        </w:rPr>
        <w:t>%</w:t>
      </w:r>
      <w:r w:rsidR="00353700">
        <w:rPr>
          <w:sz w:val="24"/>
          <w:szCs w:val="24"/>
        </w:rPr>
        <w:t>)</w:t>
      </w:r>
      <w:r w:rsidR="00353700" w:rsidRPr="00353700">
        <w:rPr>
          <w:sz w:val="24"/>
          <w:szCs w:val="24"/>
        </w:rPr>
        <w:t xml:space="preserve"> and North East</w:t>
      </w:r>
      <w:r w:rsidR="00353700">
        <w:rPr>
          <w:sz w:val="24"/>
          <w:szCs w:val="24"/>
        </w:rPr>
        <w:t xml:space="preserve"> (with 57</w:t>
      </w:r>
      <w:r w:rsidR="00E1168E">
        <w:rPr>
          <w:sz w:val="24"/>
          <w:szCs w:val="24"/>
        </w:rPr>
        <w:t>%</w:t>
      </w:r>
      <w:r w:rsidR="00353700">
        <w:rPr>
          <w:sz w:val="24"/>
          <w:szCs w:val="24"/>
        </w:rPr>
        <w:t>)</w:t>
      </w:r>
      <w:r w:rsidR="00353700" w:rsidRPr="00353700">
        <w:rPr>
          <w:sz w:val="24"/>
          <w:szCs w:val="24"/>
        </w:rPr>
        <w:t xml:space="preserve"> have the highest percentag</w:t>
      </w:r>
      <w:r w:rsidR="00353700">
        <w:rPr>
          <w:sz w:val="24"/>
          <w:szCs w:val="24"/>
        </w:rPr>
        <w:t>es of females with no education. The same is similar for males, the North West</w:t>
      </w:r>
      <w:r w:rsidR="00353700" w:rsidRPr="00353700">
        <w:rPr>
          <w:sz w:val="24"/>
          <w:szCs w:val="24"/>
        </w:rPr>
        <w:t xml:space="preserve"> </w:t>
      </w:r>
      <w:r w:rsidR="00353700">
        <w:rPr>
          <w:sz w:val="24"/>
          <w:szCs w:val="24"/>
        </w:rPr>
        <w:t xml:space="preserve"> 40</w:t>
      </w:r>
      <w:r w:rsidR="00E1168E">
        <w:rPr>
          <w:sz w:val="24"/>
          <w:szCs w:val="24"/>
        </w:rPr>
        <w:t>% of men</w:t>
      </w:r>
      <w:r w:rsidR="00353700">
        <w:rPr>
          <w:sz w:val="24"/>
          <w:szCs w:val="24"/>
        </w:rPr>
        <w:t xml:space="preserve"> and </w:t>
      </w:r>
      <w:r w:rsidR="00E1168E">
        <w:rPr>
          <w:sz w:val="24"/>
          <w:szCs w:val="24"/>
        </w:rPr>
        <w:t xml:space="preserve">in the </w:t>
      </w:r>
      <w:r w:rsidR="00353700">
        <w:rPr>
          <w:sz w:val="24"/>
          <w:szCs w:val="24"/>
        </w:rPr>
        <w:t>North East 47</w:t>
      </w:r>
      <w:r w:rsidR="00E1168E">
        <w:rPr>
          <w:sz w:val="24"/>
          <w:szCs w:val="24"/>
        </w:rPr>
        <w:t xml:space="preserve">% of men have </w:t>
      </w:r>
      <w:r w:rsidR="00353700" w:rsidRPr="00353700">
        <w:rPr>
          <w:sz w:val="24"/>
          <w:szCs w:val="24"/>
        </w:rPr>
        <w:t>with no education</w:t>
      </w:r>
      <w:r w:rsidR="00353700">
        <w:rPr>
          <w:sz w:val="24"/>
          <w:szCs w:val="24"/>
        </w:rPr>
        <w:t>.</w:t>
      </w:r>
      <w:r w:rsidR="00353700">
        <w:rPr>
          <w:rStyle w:val="FootnoteReference"/>
          <w:sz w:val="24"/>
          <w:szCs w:val="24"/>
        </w:rPr>
        <w:footnoteReference w:id="162"/>
      </w:r>
      <w:r w:rsidR="00353700">
        <w:rPr>
          <w:sz w:val="24"/>
          <w:szCs w:val="24"/>
        </w:rPr>
        <w:t xml:space="preserve"> </w:t>
      </w:r>
      <w:r w:rsidR="00C1228A" w:rsidRPr="00C6536D">
        <w:rPr>
          <w:sz w:val="24"/>
          <w:szCs w:val="24"/>
        </w:rPr>
        <w:t>Therefore, there are clear disparities in the literacy levels in different parts of the country which can hardly be remedied by instruments like the National Gender Policy which emphasizes the government’s obligation to provide equal access to education at all levels.</w:t>
      </w:r>
      <w:r w:rsidR="00C1228A" w:rsidRPr="00C6536D">
        <w:rPr>
          <w:rStyle w:val="FootnoteReference"/>
          <w:sz w:val="24"/>
          <w:szCs w:val="24"/>
        </w:rPr>
        <w:footnoteReference w:id="163"/>
      </w:r>
      <w:r w:rsidR="00C1228A" w:rsidRPr="00C6536D">
        <w:rPr>
          <w:sz w:val="24"/>
          <w:szCs w:val="24"/>
        </w:rPr>
        <w:t xml:space="preserve"> For instance, whilst the primary school net attendance ratio is highest in the South East (82%), it is lowest in the North East (46%).</w:t>
      </w:r>
      <w:r w:rsidR="00C1228A" w:rsidRPr="00C6536D">
        <w:rPr>
          <w:rStyle w:val="FootnoteReference"/>
          <w:sz w:val="24"/>
          <w:szCs w:val="24"/>
        </w:rPr>
        <w:footnoteReference w:id="164"/>
      </w:r>
      <w:r w:rsidR="00C1228A" w:rsidRPr="00C6536D">
        <w:rPr>
          <w:sz w:val="24"/>
          <w:szCs w:val="24"/>
        </w:rPr>
        <w:t xml:space="preserve"> Similarly, the secondary school net attendance ratio is highest in the South East (75%) and lowest in the North East (31%).</w:t>
      </w:r>
      <w:r w:rsidR="00C1228A" w:rsidRPr="00C6536D">
        <w:rPr>
          <w:rStyle w:val="FootnoteReference"/>
          <w:sz w:val="24"/>
          <w:szCs w:val="24"/>
        </w:rPr>
        <w:footnoteReference w:id="165"/>
      </w:r>
      <w:r w:rsidR="00C1228A" w:rsidRPr="00C6536D">
        <w:rPr>
          <w:sz w:val="24"/>
          <w:szCs w:val="24"/>
        </w:rPr>
        <w:t xml:space="preserve"> Moreover, at the national level, existing data indicates that beyond the enactment of appropriate legislation, there is a need for greater commitment to education especially as it relates to the girl child.</w:t>
      </w:r>
      <w:r w:rsidR="004F6B4F">
        <w:rPr>
          <w:sz w:val="24"/>
          <w:szCs w:val="24"/>
        </w:rPr>
        <w:t xml:space="preserve"> </w:t>
      </w:r>
    </w:p>
    <w:p w14:paraId="1E8A614B" w14:textId="77777777" w:rsidR="00C1228A" w:rsidRPr="00C40B7B" w:rsidRDefault="00FB5B9A" w:rsidP="00E75191">
      <w:pPr>
        <w:spacing w:line="240" w:lineRule="auto"/>
        <w:jc w:val="both"/>
        <w:rPr>
          <w:sz w:val="24"/>
          <w:szCs w:val="24"/>
        </w:rPr>
      </w:pPr>
      <w:r>
        <w:rPr>
          <w:sz w:val="24"/>
          <w:szCs w:val="24"/>
        </w:rPr>
        <w:t xml:space="preserve">The disparity between the North and the South in terms of education is driven in part by socio-cultural norms that discourage education, in particular for girls and economic hurdles. </w:t>
      </w:r>
      <w:r w:rsidR="00955BA4">
        <w:rPr>
          <w:sz w:val="24"/>
          <w:szCs w:val="24"/>
        </w:rPr>
        <w:t xml:space="preserve">For those who drop out for reasons such as financial difficulty, displacement, integrating back </w:t>
      </w:r>
      <w:r w:rsidR="00955BA4">
        <w:rPr>
          <w:sz w:val="24"/>
          <w:szCs w:val="24"/>
        </w:rPr>
        <w:lastRenderedPageBreak/>
        <w:t>into the education/school system</w:t>
      </w:r>
      <w:r w:rsidR="004108D7">
        <w:rPr>
          <w:sz w:val="24"/>
          <w:szCs w:val="24"/>
        </w:rPr>
        <w:t xml:space="preserve"> is often difficult</w:t>
      </w:r>
      <w:r w:rsidR="00955BA4">
        <w:rPr>
          <w:sz w:val="24"/>
          <w:szCs w:val="24"/>
        </w:rPr>
        <w:t>.</w:t>
      </w:r>
      <w:r w:rsidR="00955BA4">
        <w:rPr>
          <w:rStyle w:val="FootnoteReference"/>
          <w:sz w:val="24"/>
          <w:szCs w:val="24"/>
        </w:rPr>
        <w:footnoteReference w:id="166"/>
      </w:r>
      <w:r w:rsidR="00C1613C">
        <w:rPr>
          <w:sz w:val="24"/>
          <w:szCs w:val="24"/>
        </w:rPr>
        <w:t xml:space="preserve"> Urban residents are more likely to be educated than rural residents.</w:t>
      </w:r>
      <w:r w:rsidR="00C1613C">
        <w:rPr>
          <w:rStyle w:val="FootnoteReference"/>
          <w:sz w:val="24"/>
          <w:szCs w:val="24"/>
        </w:rPr>
        <w:footnoteReference w:id="167"/>
      </w:r>
      <w:r w:rsidR="00353700">
        <w:rPr>
          <w:sz w:val="24"/>
          <w:szCs w:val="24"/>
        </w:rPr>
        <w:t xml:space="preserve"> </w:t>
      </w:r>
      <w:r w:rsidR="00C1228A" w:rsidRPr="00C6536D">
        <w:rPr>
          <w:sz w:val="24"/>
          <w:szCs w:val="24"/>
        </w:rPr>
        <w:t>Also, the gender parity index in Nigeria is 0.95 at the primary school level and 0.91 at the secondary school level, with a higher proportion of males than females attending both levels of schooling/at both levels of education.</w:t>
      </w:r>
      <w:r w:rsidR="00C1228A" w:rsidRPr="00C6536D">
        <w:rPr>
          <w:rStyle w:val="FootnoteReference"/>
          <w:sz w:val="24"/>
          <w:szCs w:val="24"/>
        </w:rPr>
        <w:footnoteReference w:id="168"/>
      </w:r>
    </w:p>
    <w:p w14:paraId="1655738D" w14:textId="77777777" w:rsidR="00955BA4" w:rsidRDefault="00955BA4" w:rsidP="00E75191">
      <w:pPr>
        <w:spacing w:line="240" w:lineRule="auto"/>
        <w:jc w:val="both"/>
        <w:rPr>
          <w:sz w:val="24"/>
          <w:szCs w:val="24"/>
        </w:rPr>
      </w:pPr>
      <w:r>
        <w:rPr>
          <w:sz w:val="24"/>
          <w:szCs w:val="24"/>
        </w:rPr>
        <w:t>As with other</w:t>
      </w:r>
      <w:r w:rsidR="00C81099">
        <w:rPr>
          <w:sz w:val="24"/>
          <w:szCs w:val="24"/>
        </w:rPr>
        <w:t xml:space="preserve"> issues, education has </w:t>
      </w:r>
      <w:r>
        <w:rPr>
          <w:sz w:val="24"/>
          <w:szCs w:val="24"/>
        </w:rPr>
        <w:t xml:space="preserve">gender </w:t>
      </w:r>
      <w:r w:rsidR="00C81099">
        <w:rPr>
          <w:sz w:val="24"/>
          <w:szCs w:val="24"/>
        </w:rPr>
        <w:t>facets</w:t>
      </w:r>
      <w:r>
        <w:rPr>
          <w:sz w:val="24"/>
          <w:szCs w:val="24"/>
        </w:rPr>
        <w:t xml:space="preserve">. </w:t>
      </w:r>
      <w:r w:rsidR="003C455A" w:rsidRPr="002529F7">
        <w:rPr>
          <w:sz w:val="24"/>
          <w:szCs w:val="24"/>
        </w:rPr>
        <w:t xml:space="preserve">In general, men are better educated than women. </w:t>
      </w:r>
      <w:r w:rsidR="003C455A" w:rsidRPr="00955BA4">
        <w:rPr>
          <w:sz w:val="24"/>
          <w:szCs w:val="24"/>
        </w:rPr>
        <w:t>According to the NDHS, 35</w:t>
      </w:r>
      <w:r w:rsidR="00E1168E">
        <w:rPr>
          <w:sz w:val="24"/>
          <w:szCs w:val="24"/>
        </w:rPr>
        <w:t>%</w:t>
      </w:r>
      <w:r w:rsidR="003C455A" w:rsidRPr="00955BA4">
        <w:rPr>
          <w:sz w:val="24"/>
          <w:szCs w:val="24"/>
        </w:rPr>
        <w:t xml:space="preserve"> of women and 22% of men age 15-49 have no formal education, while 11% of women and 17% of men have</w:t>
      </w:r>
      <w:r>
        <w:rPr>
          <w:sz w:val="24"/>
          <w:szCs w:val="24"/>
        </w:rPr>
        <w:t xml:space="preserve"> more than a secondary education.</w:t>
      </w:r>
      <w:r w:rsidR="00353700">
        <w:rPr>
          <w:sz w:val="24"/>
          <w:szCs w:val="24"/>
        </w:rPr>
        <w:t xml:space="preserve"> </w:t>
      </w:r>
      <w:r w:rsidR="006F0790">
        <w:rPr>
          <w:sz w:val="24"/>
          <w:szCs w:val="24"/>
        </w:rPr>
        <w:t>D</w:t>
      </w:r>
      <w:r w:rsidR="000A075B" w:rsidRPr="00955BA4">
        <w:rPr>
          <w:sz w:val="24"/>
          <w:szCs w:val="24"/>
        </w:rPr>
        <w:t xml:space="preserve">ata from the </w:t>
      </w:r>
      <w:r w:rsidR="000A075B">
        <w:rPr>
          <w:sz w:val="24"/>
          <w:szCs w:val="24"/>
        </w:rPr>
        <w:t>MICS5 survey (2016/2017)</w:t>
      </w:r>
      <w:r w:rsidR="000A075B" w:rsidRPr="00955BA4">
        <w:rPr>
          <w:sz w:val="24"/>
          <w:szCs w:val="24"/>
        </w:rPr>
        <w:t xml:space="preserve"> shows that the literacy level of women stand at 59.3% compared to 70.9% of men</w:t>
      </w:r>
      <w:r w:rsidR="000A075B">
        <w:rPr>
          <w:sz w:val="24"/>
          <w:szCs w:val="24"/>
        </w:rPr>
        <w:t xml:space="preserve"> between the ages of 15 and 24.</w:t>
      </w:r>
      <w:r w:rsidR="000A075B">
        <w:rPr>
          <w:rStyle w:val="FootnoteReference"/>
          <w:sz w:val="24"/>
          <w:szCs w:val="24"/>
        </w:rPr>
        <w:footnoteReference w:id="169"/>
      </w:r>
      <w:r w:rsidR="000A075B">
        <w:rPr>
          <w:sz w:val="24"/>
          <w:szCs w:val="24"/>
        </w:rPr>
        <w:t xml:space="preserve"> </w:t>
      </w:r>
      <w:r w:rsidR="00FB5B9A">
        <w:rPr>
          <w:sz w:val="24"/>
          <w:szCs w:val="24"/>
        </w:rPr>
        <w:t>In 2018, t</w:t>
      </w:r>
      <w:r w:rsidR="000A075B">
        <w:rPr>
          <w:sz w:val="24"/>
          <w:szCs w:val="24"/>
        </w:rPr>
        <w:t>he completion rate for secondary school in Nigeria is</w:t>
      </w:r>
      <w:r w:rsidR="000A075B" w:rsidRPr="000A075B">
        <w:rPr>
          <w:sz w:val="24"/>
          <w:szCs w:val="24"/>
        </w:rPr>
        <w:t xml:space="preserve"> </w:t>
      </w:r>
      <w:r w:rsidR="000A075B">
        <w:rPr>
          <w:sz w:val="24"/>
          <w:szCs w:val="24"/>
        </w:rPr>
        <w:t>57</w:t>
      </w:r>
      <w:r w:rsidR="00654466">
        <w:rPr>
          <w:sz w:val="24"/>
          <w:szCs w:val="24"/>
        </w:rPr>
        <w:t>%</w:t>
      </w:r>
      <w:r w:rsidR="000A075B">
        <w:rPr>
          <w:sz w:val="24"/>
          <w:szCs w:val="24"/>
        </w:rPr>
        <w:t xml:space="preserve"> among</w:t>
      </w:r>
      <w:r w:rsidR="000A075B" w:rsidRPr="000A075B">
        <w:rPr>
          <w:sz w:val="24"/>
          <w:szCs w:val="24"/>
        </w:rPr>
        <w:t xml:space="preserve"> male students</w:t>
      </w:r>
      <w:r w:rsidR="000A075B">
        <w:rPr>
          <w:sz w:val="24"/>
          <w:szCs w:val="24"/>
        </w:rPr>
        <w:t xml:space="preserve"> while this figure is</w:t>
      </w:r>
      <w:r w:rsidR="000A075B" w:rsidRPr="000A075B">
        <w:rPr>
          <w:sz w:val="24"/>
          <w:szCs w:val="24"/>
        </w:rPr>
        <w:t xml:space="preserve"> 43</w:t>
      </w:r>
      <w:r w:rsidR="00654466">
        <w:rPr>
          <w:sz w:val="24"/>
          <w:szCs w:val="24"/>
        </w:rPr>
        <w:t>%</w:t>
      </w:r>
      <w:r w:rsidR="000A075B" w:rsidRPr="000A075B">
        <w:rPr>
          <w:sz w:val="24"/>
          <w:szCs w:val="24"/>
        </w:rPr>
        <w:t xml:space="preserve"> among female students</w:t>
      </w:r>
      <w:r w:rsidR="000A075B">
        <w:rPr>
          <w:sz w:val="24"/>
          <w:szCs w:val="24"/>
        </w:rPr>
        <w:t>.</w:t>
      </w:r>
      <w:r w:rsidR="000A075B">
        <w:rPr>
          <w:rStyle w:val="FootnoteReference"/>
          <w:sz w:val="24"/>
          <w:szCs w:val="24"/>
        </w:rPr>
        <w:footnoteReference w:id="170"/>
      </w:r>
      <w:r w:rsidR="000A075B">
        <w:rPr>
          <w:sz w:val="24"/>
          <w:szCs w:val="24"/>
        </w:rPr>
        <w:t xml:space="preserve"> </w:t>
      </w:r>
    </w:p>
    <w:p w14:paraId="67488BC2" w14:textId="77777777" w:rsidR="007A0E9F" w:rsidRDefault="007A0E9F" w:rsidP="00E75191">
      <w:pPr>
        <w:spacing w:after="0" w:line="240" w:lineRule="auto"/>
        <w:jc w:val="both"/>
        <w:rPr>
          <w:rFonts w:ascii="Calibri" w:hAnsi="Calibri" w:cs="Calibri"/>
          <w:sz w:val="24"/>
          <w:szCs w:val="24"/>
        </w:rPr>
      </w:pPr>
      <w:r>
        <w:rPr>
          <w:rFonts w:ascii="Calibri" w:hAnsi="Calibri" w:cs="Calibri"/>
          <w:sz w:val="24"/>
          <w:szCs w:val="24"/>
        </w:rPr>
        <w:t xml:space="preserve">Gender, like geography and poverty, is an important factor in the pattern of educational marginalization. States in the </w:t>
      </w:r>
      <w:r w:rsidR="00654466">
        <w:rPr>
          <w:rFonts w:ascii="Calibri" w:hAnsi="Calibri" w:cs="Calibri"/>
          <w:sz w:val="24"/>
          <w:szCs w:val="24"/>
        </w:rPr>
        <w:t>N</w:t>
      </w:r>
      <w:r>
        <w:rPr>
          <w:rFonts w:ascii="Calibri" w:hAnsi="Calibri" w:cs="Calibri"/>
          <w:sz w:val="24"/>
          <w:szCs w:val="24"/>
        </w:rPr>
        <w:t>orth-</w:t>
      </w:r>
      <w:r w:rsidR="00654466">
        <w:rPr>
          <w:rFonts w:ascii="Calibri" w:hAnsi="Calibri" w:cs="Calibri"/>
          <w:sz w:val="24"/>
          <w:szCs w:val="24"/>
        </w:rPr>
        <w:t>E</w:t>
      </w:r>
      <w:r>
        <w:rPr>
          <w:rFonts w:ascii="Calibri" w:hAnsi="Calibri" w:cs="Calibri"/>
          <w:sz w:val="24"/>
          <w:szCs w:val="24"/>
        </w:rPr>
        <w:t xml:space="preserve">ast and </w:t>
      </w:r>
      <w:r w:rsidR="00654466">
        <w:rPr>
          <w:rFonts w:ascii="Calibri" w:hAnsi="Calibri" w:cs="Calibri"/>
          <w:sz w:val="24"/>
          <w:szCs w:val="24"/>
        </w:rPr>
        <w:t>N</w:t>
      </w:r>
      <w:r>
        <w:rPr>
          <w:rFonts w:ascii="Calibri" w:hAnsi="Calibri" w:cs="Calibri"/>
          <w:sz w:val="24"/>
          <w:szCs w:val="24"/>
        </w:rPr>
        <w:t>orth-</w:t>
      </w:r>
      <w:r w:rsidR="00654466">
        <w:rPr>
          <w:rFonts w:ascii="Calibri" w:hAnsi="Calibri" w:cs="Calibri"/>
          <w:sz w:val="24"/>
          <w:szCs w:val="24"/>
        </w:rPr>
        <w:t>W</w:t>
      </w:r>
      <w:r>
        <w:rPr>
          <w:rFonts w:ascii="Calibri" w:hAnsi="Calibri" w:cs="Calibri"/>
          <w:sz w:val="24"/>
          <w:szCs w:val="24"/>
        </w:rPr>
        <w:t>est have female primary net attendance rates of 47.7</w:t>
      </w:r>
      <w:r w:rsidR="00654466">
        <w:rPr>
          <w:rFonts w:ascii="Calibri" w:hAnsi="Calibri" w:cs="Calibri"/>
          <w:sz w:val="24"/>
          <w:szCs w:val="24"/>
        </w:rPr>
        <w:t>%</w:t>
      </w:r>
      <w:r>
        <w:rPr>
          <w:rFonts w:ascii="Calibri" w:hAnsi="Calibri" w:cs="Calibri"/>
          <w:sz w:val="24"/>
          <w:szCs w:val="24"/>
        </w:rPr>
        <w:t xml:space="preserve"> and 47.3</w:t>
      </w:r>
      <w:r w:rsidR="00654466">
        <w:rPr>
          <w:rFonts w:ascii="Calibri" w:hAnsi="Calibri" w:cs="Calibri"/>
          <w:sz w:val="24"/>
          <w:szCs w:val="24"/>
        </w:rPr>
        <w:t>%</w:t>
      </w:r>
      <w:r>
        <w:rPr>
          <w:rFonts w:ascii="Calibri" w:hAnsi="Calibri" w:cs="Calibri"/>
          <w:sz w:val="24"/>
          <w:szCs w:val="24"/>
        </w:rPr>
        <w:t>, respectively, meaning that more than half o</w:t>
      </w:r>
      <w:r w:rsidR="00FB5B9A">
        <w:rPr>
          <w:rFonts w:ascii="Calibri" w:hAnsi="Calibri" w:cs="Calibri"/>
          <w:sz w:val="24"/>
          <w:szCs w:val="24"/>
        </w:rPr>
        <w:t>f the girls are not in school. A</w:t>
      </w:r>
      <w:r>
        <w:rPr>
          <w:rFonts w:ascii="Calibri" w:hAnsi="Calibri" w:cs="Calibri"/>
          <w:sz w:val="24"/>
          <w:szCs w:val="24"/>
        </w:rPr>
        <w:t xml:space="preserve"> higher percentage of the 5 million children aged 12-17 years who are out of school are girls, a figure which is unsurprising as Nigeria has the largest number of child brides in Africa with 23 million girls and women </w:t>
      </w:r>
      <w:r w:rsidR="00654466">
        <w:rPr>
          <w:rFonts w:ascii="Calibri" w:hAnsi="Calibri" w:cs="Calibri"/>
          <w:sz w:val="24"/>
          <w:szCs w:val="24"/>
        </w:rPr>
        <w:t xml:space="preserve">who </w:t>
      </w:r>
      <w:r>
        <w:rPr>
          <w:rFonts w:ascii="Calibri" w:hAnsi="Calibri" w:cs="Calibri"/>
          <w:sz w:val="24"/>
          <w:szCs w:val="24"/>
        </w:rPr>
        <w:t>were married off as children.</w:t>
      </w:r>
      <w:r>
        <w:rPr>
          <w:rStyle w:val="FootnoteReference"/>
          <w:rFonts w:ascii="Calibri" w:hAnsi="Calibri" w:cs="Calibri"/>
          <w:sz w:val="24"/>
          <w:szCs w:val="24"/>
        </w:rPr>
        <w:footnoteReference w:id="171"/>
      </w:r>
      <w:r w:rsidR="0081725E">
        <w:rPr>
          <w:rFonts w:ascii="Calibri" w:hAnsi="Calibri" w:cs="Calibri"/>
          <w:sz w:val="24"/>
          <w:szCs w:val="24"/>
        </w:rPr>
        <w:t xml:space="preserve"> Child marriage continues to affect </w:t>
      </w:r>
      <w:r w:rsidR="00AB43EF">
        <w:rPr>
          <w:rFonts w:ascii="Calibri" w:hAnsi="Calibri" w:cs="Calibri"/>
          <w:sz w:val="24"/>
          <w:szCs w:val="24"/>
        </w:rPr>
        <w:t xml:space="preserve">education among women, especially in Northern Nigeria. </w:t>
      </w:r>
      <w:r w:rsidR="00A85D03">
        <w:rPr>
          <w:rFonts w:ascii="Calibri" w:hAnsi="Calibri" w:cs="Calibri"/>
          <w:sz w:val="24"/>
          <w:szCs w:val="24"/>
        </w:rPr>
        <w:t>E</w:t>
      </w:r>
      <w:r w:rsidR="00AB43EF">
        <w:rPr>
          <w:rFonts w:ascii="Calibri" w:hAnsi="Calibri" w:cs="Calibri"/>
          <w:sz w:val="24"/>
          <w:szCs w:val="24"/>
        </w:rPr>
        <w:t xml:space="preserve">ducation deprivation in northern Nigeria is driven by socio-cultural norms </w:t>
      </w:r>
      <w:r w:rsidR="00A85D03">
        <w:rPr>
          <w:rFonts w:ascii="Calibri" w:hAnsi="Calibri" w:cs="Calibri"/>
          <w:sz w:val="24"/>
          <w:szCs w:val="24"/>
        </w:rPr>
        <w:t>which</w:t>
      </w:r>
      <w:r w:rsidR="00AB43EF">
        <w:rPr>
          <w:rFonts w:ascii="Calibri" w:hAnsi="Calibri" w:cs="Calibri"/>
          <w:sz w:val="24"/>
          <w:szCs w:val="24"/>
        </w:rPr>
        <w:t xml:space="preserve"> discourage attendance in formal education (especially for girls) and economic barriers.</w:t>
      </w:r>
      <w:r w:rsidR="00AB43EF">
        <w:rPr>
          <w:rStyle w:val="FootnoteReference"/>
          <w:rFonts w:ascii="Calibri" w:hAnsi="Calibri" w:cs="Calibri"/>
          <w:sz w:val="24"/>
          <w:szCs w:val="24"/>
        </w:rPr>
        <w:footnoteReference w:id="172"/>
      </w:r>
      <w:r w:rsidR="00AB43EF">
        <w:rPr>
          <w:rFonts w:ascii="Calibri" w:hAnsi="Calibri" w:cs="Calibri"/>
          <w:sz w:val="24"/>
          <w:szCs w:val="24"/>
        </w:rPr>
        <w:t xml:space="preserve"> Thus, there </w:t>
      </w:r>
      <w:r w:rsidR="00A85D03">
        <w:rPr>
          <w:rFonts w:ascii="Calibri" w:hAnsi="Calibri" w:cs="Calibri"/>
          <w:sz w:val="24"/>
          <w:szCs w:val="24"/>
        </w:rPr>
        <w:t xml:space="preserve">are </w:t>
      </w:r>
      <w:r>
        <w:rPr>
          <w:rFonts w:ascii="Calibri" w:hAnsi="Calibri" w:cs="Calibri"/>
          <w:sz w:val="24"/>
          <w:szCs w:val="24"/>
        </w:rPr>
        <w:t>significant disparities between the richest and poorest women</w:t>
      </w:r>
      <w:r w:rsidR="0081725E">
        <w:rPr>
          <w:rFonts w:ascii="Calibri" w:hAnsi="Calibri" w:cs="Calibri"/>
          <w:sz w:val="24"/>
          <w:szCs w:val="24"/>
        </w:rPr>
        <w:t>.</w:t>
      </w:r>
      <w:r>
        <w:rPr>
          <w:rFonts w:ascii="Calibri" w:hAnsi="Calibri" w:cs="Calibri"/>
          <w:sz w:val="24"/>
          <w:szCs w:val="24"/>
        </w:rPr>
        <w:t xml:space="preserve"> </w:t>
      </w:r>
      <w:r w:rsidR="00AB43EF">
        <w:rPr>
          <w:rFonts w:ascii="Calibri" w:hAnsi="Calibri" w:cs="Calibri"/>
          <w:sz w:val="24"/>
          <w:szCs w:val="24"/>
        </w:rPr>
        <w:t xml:space="preserve">About </w:t>
      </w:r>
      <w:r>
        <w:rPr>
          <w:rFonts w:ascii="Calibri" w:hAnsi="Calibri" w:cs="Calibri"/>
          <w:sz w:val="24"/>
          <w:szCs w:val="24"/>
        </w:rPr>
        <w:t>80</w:t>
      </w:r>
      <w:r w:rsidR="00654466">
        <w:rPr>
          <w:rFonts w:ascii="Calibri" w:hAnsi="Calibri" w:cs="Calibri"/>
          <w:sz w:val="24"/>
          <w:szCs w:val="24"/>
        </w:rPr>
        <w:t>%</w:t>
      </w:r>
      <w:r>
        <w:rPr>
          <w:rFonts w:ascii="Calibri" w:hAnsi="Calibri" w:cs="Calibri"/>
          <w:sz w:val="24"/>
          <w:szCs w:val="24"/>
        </w:rPr>
        <w:t xml:space="preserve"> </w:t>
      </w:r>
      <w:r w:rsidR="0081725E">
        <w:rPr>
          <w:rFonts w:ascii="Calibri" w:hAnsi="Calibri" w:cs="Calibri"/>
          <w:sz w:val="24"/>
          <w:szCs w:val="24"/>
        </w:rPr>
        <w:t xml:space="preserve">of women classified as poorest women are </w:t>
      </w:r>
      <w:r>
        <w:rPr>
          <w:rFonts w:ascii="Calibri" w:hAnsi="Calibri" w:cs="Calibri"/>
          <w:sz w:val="24"/>
          <w:szCs w:val="24"/>
        </w:rPr>
        <w:t>likely to be married off as children</w:t>
      </w:r>
      <w:r w:rsidR="00AB43EF">
        <w:rPr>
          <w:rFonts w:ascii="Calibri" w:hAnsi="Calibri" w:cs="Calibri"/>
          <w:sz w:val="24"/>
          <w:szCs w:val="24"/>
        </w:rPr>
        <w:t xml:space="preserve"> while o</w:t>
      </w:r>
      <w:r w:rsidR="0081725E">
        <w:rPr>
          <w:rFonts w:ascii="Calibri" w:hAnsi="Calibri" w:cs="Calibri"/>
          <w:sz w:val="24"/>
          <w:szCs w:val="24"/>
        </w:rPr>
        <w:t xml:space="preserve">nly </w:t>
      </w:r>
      <w:r w:rsidR="00AB43EF">
        <w:rPr>
          <w:rFonts w:ascii="Calibri" w:hAnsi="Calibri" w:cs="Calibri"/>
          <w:sz w:val="24"/>
          <w:szCs w:val="24"/>
        </w:rPr>
        <w:t xml:space="preserve">10% </w:t>
      </w:r>
      <w:r w:rsidR="0081725E">
        <w:rPr>
          <w:rFonts w:ascii="Calibri" w:hAnsi="Calibri" w:cs="Calibri"/>
          <w:sz w:val="24"/>
          <w:szCs w:val="24"/>
        </w:rPr>
        <w:t>of those in the richest quintile stand the risk of becoming girl brides.</w:t>
      </w:r>
      <w:r>
        <w:rPr>
          <w:rStyle w:val="FootnoteReference"/>
          <w:rFonts w:ascii="Calibri" w:hAnsi="Calibri" w:cs="Calibri"/>
          <w:sz w:val="24"/>
          <w:szCs w:val="24"/>
        </w:rPr>
        <w:footnoteReference w:id="173"/>
      </w:r>
      <w:r>
        <w:rPr>
          <w:rFonts w:ascii="Calibri" w:hAnsi="Calibri" w:cs="Calibri"/>
          <w:sz w:val="24"/>
          <w:szCs w:val="24"/>
        </w:rPr>
        <w:t xml:space="preserve"> </w:t>
      </w:r>
    </w:p>
    <w:p w14:paraId="5BEB47FA" w14:textId="77777777" w:rsidR="007A0E9F" w:rsidRDefault="007A0E9F" w:rsidP="00E75191">
      <w:pPr>
        <w:spacing w:after="0" w:line="240" w:lineRule="auto"/>
        <w:jc w:val="both"/>
        <w:rPr>
          <w:rFonts w:ascii="Calibri" w:hAnsi="Calibri" w:cs="Calibri"/>
          <w:sz w:val="24"/>
          <w:szCs w:val="24"/>
        </w:rPr>
      </w:pPr>
    </w:p>
    <w:p w14:paraId="6C353A87" w14:textId="77777777" w:rsidR="007A0E9F" w:rsidRDefault="007A0E9F" w:rsidP="00E75191">
      <w:pPr>
        <w:spacing w:line="240" w:lineRule="auto"/>
        <w:jc w:val="both"/>
        <w:rPr>
          <w:sz w:val="24"/>
          <w:szCs w:val="24"/>
        </w:rPr>
      </w:pPr>
      <w:r w:rsidRPr="00D109B3">
        <w:rPr>
          <w:sz w:val="24"/>
          <w:szCs w:val="24"/>
        </w:rPr>
        <w:t>School closures at the height of the pandemic, and continuing strike actions, have affected primary, secondary and tertiary education leading to more girls than boys dropping out of school</w:t>
      </w:r>
      <w:r w:rsidRPr="00D109B3">
        <w:rPr>
          <w:sz w:val="24"/>
          <w:szCs w:val="24"/>
          <w:lang w:val="en-US"/>
        </w:rPr>
        <w:t>.</w:t>
      </w:r>
      <w:r w:rsidR="005C6FAA">
        <w:rPr>
          <w:rStyle w:val="FootnoteReference"/>
          <w:sz w:val="24"/>
          <w:szCs w:val="24"/>
          <w:lang w:val="en-US"/>
        </w:rPr>
        <w:footnoteReference w:id="174"/>
      </w:r>
      <w:r>
        <w:rPr>
          <w:sz w:val="24"/>
          <w:szCs w:val="24"/>
          <w:lang w:val="en-US"/>
        </w:rPr>
        <w:t xml:space="preserve"> With</w:t>
      </w:r>
      <w:r>
        <w:rPr>
          <w:sz w:val="24"/>
          <w:szCs w:val="24"/>
        </w:rPr>
        <w:t xml:space="preserve"> </w:t>
      </w:r>
      <w:r w:rsidR="00EA1EBD">
        <w:rPr>
          <w:sz w:val="24"/>
          <w:szCs w:val="24"/>
        </w:rPr>
        <w:t>high rates</w:t>
      </w:r>
      <w:r w:rsidR="004234DE">
        <w:rPr>
          <w:sz w:val="24"/>
          <w:szCs w:val="24"/>
        </w:rPr>
        <w:t xml:space="preserve"> </w:t>
      </w:r>
      <w:r>
        <w:rPr>
          <w:sz w:val="24"/>
          <w:szCs w:val="24"/>
        </w:rPr>
        <w:t>teenage pregnancies, unsafe abortions, substance abuse</w:t>
      </w:r>
      <w:r w:rsidR="00654466">
        <w:rPr>
          <w:sz w:val="24"/>
          <w:szCs w:val="24"/>
        </w:rPr>
        <w:t xml:space="preserve">, </w:t>
      </w:r>
      <w:r>
        <w:rPr>
          <w:sz w:val="24"/>
          <w:szCs w:val="24"/>
        </w:rPr>
        <w:t>plac</w:t>
      </w:r>
      <w:r w:rsidR="00654466">
        <w:rPr>
          <w:sz w:val="24"/>
          <w:szCs w:val="24"/>
        </w:rPr>
        <w:t>ing</w:t>
      </w:r>
      <w:r>
        <w:rPr>
          <w:sz w:val="24"/>
          <w:szCs w:val="24"/>
        </w:rPr>
        <w:t xml:space="preserve"> many children at risk of becoming economically disadvantaged, commitment to educational in budget and implementation remains low.</w:t>
      </w:r>
      <w:r w:rsidR="00BA4F3E">
        <w:rPr>
          <w:rStyle w:val="FootnoteReference"/>
          <w:sz w:val="24"/>
          <w:szCs w:val="24"/>
        </w:rPr>
        <w:footnoteReference w:id="175"/>
      </w:r>
      <w:r>
        <w:rPr>
          <w:sz w:val="24"/>
          <w:szCs w:val="24"/>
        </w:rPr>
        <w:t xml:space="preserve"> On June 13, 2021, the President of the Federal Republic of Nigeria announced that there are no funds to revive schools.</w:t>
      </w:r>
      <w:r>
        <w:rPr>
          <w:rStyle w:val="FootnoteReference"/>
          <w:sz w:val="24"/>
          <w:szCs w:val="24"/>
        </w:rPr>
        <w:footnoteReference w:id="176"/>
      </w:r>
      <w:r>
        <w:rPr>
          <w:sz w:val="24"/>
          <w:szCs w:val="24"/>
        </w:rPr>
        <w:t xml:space="preserve">This dire situation </w:t>
      </w:r>
      <w:r>
        <w:rPr>
          <w:sz w:val="24"/>
          <w:szCs w:val="24"/>
        </w:rPr>
        <w:lastRenderedPageBreak/>
        <w:t>is</w:t>
      </w:r>
      <w:r>
        <w:rPr>
          <w:sz w:val="24"/>
          <w:szCs w:val="24"/>
          <w:lang w:val="en-US"/>
        </w:rPr>
        <w:t xml:space="preserve"> made even worse by </w:t>
      </w:r>
      <w:r>
        <w:rPr>
          <w:sz w:val="24"/>
          <w:szCs w:val="24"/>
        </w:rPr>
        <w:t>heightened insecurity in parts of the country. Cases of kidnap</w:t>
      </w:r>
      <w:r w:rsidR="00E850CC">
        <w:rPr>
          <w:sz w:val="24"/>
          <w:szCs w:val="24"/>
        </w:rPr>
        <w:t>ping of school children, often</w:t>
      </w:r>
      <w:r>
        <w:rPr>
          <w:sz w:val="24"/>
          <w:szCs w:val="24"/>
        </w:rPr>
        <w:t xml:space="preserve"> girls</w:t>
      </w:r>
      <w:r w:rsidR="00E850CC">
        <w:rPr>
          <w:sz w:val="24"/>
          <w:szCs w:val="24"/>
        </w:rPr>
        <w:t>,</w:t>
      </w:r>
      <w:r>
        <w:rPr>
          <w:sz w:val="24"/>
          <w:szCs w:val="24"/>
        </w:rPr>
        <w:t xml:space="preserve"> are high in Northern Nigeria widening the gap in education between north and south, boys and girls.</w:t>
      </w:r>
    </w:p>
    <w:p w14:paraId="7ED85279" w14:textId="77777777" w:rsidR="00E75191" w:rsidRPr="00E75191" w:rsidRDefault="00E75191" w:rsidP="00E75191">
      <w:pPr>
        <w:spacing w:line="240" w:lineRule="auto"/>
        <w:jc w:val="both"/>
        <w:rPr>
          <w:rFonts w:ascii="Calibri" w:eastAsia="Calibri" w:hAnsi="Calibri" w:cs="Times New Roman"/>
          <w:sz w:val="24"/>
          <w:szCs w:val="24"/>
        </w:rPr>
      </w:pPr>
      <w:r w:rsidRPr="00E75191">
        <w:rPr>
          <w:rFonts w:ascii="Calibri" w:eastAsia="Calibri" w:hAnsi="Calibri" w:cs="Times New Roman"/>
          <w:sz w:val="24"/>
          <w:szCs w:val="24"/>
        </w:rPr>
        <w:t xml:space="preserve">The outbreak of the COVID-19 pandemic has also caused a significant setback in education in Nigeria. Upon the closure of schools in March 2020, the government, private sector and key education stakeholders devised different strategies to promote continued learning during the lockdown. In particular, the Federal Ministry of Education and the Universal Basic Education Commission set up the Nigeria Education Sector COVID-19 Response Strategy in 2020, with a separate strategy for the </w:t>
      </w:r>
      <w:r w:rsidR="003D58F3">
        <w:rPr>
          <w:rFonts w:ascii="Calibri" w:eastAsia="Calibri" w:hAnsi="Calibri" w:cs="Times New Roman"/>
          <w:sz w:val="24"/>
          <w:szCs w:val="24"/>
        </w:rPr>
        <w:t>N</w:t>
      </w:r>
      <w:r w:rsidRPr="00E75191">
        <w:rPr>
          <w:rFonts w:ascii="Calibri" w:eastAsia="Calibri" w:hAnsi="Calibri" w:cs="Times New Roman"/>
          <w:sz w:val="24"/>
          <w:szCs w:val="24"/>
        </w:rPr>
        <w:t>orth</w:t>
      </w:r>
      <w:r w:rsidR="00036232">
        <w:rPr>
          <w:rFonts w:ascii="Calibri" w:eastAsia="Calibri" w:hAnsi="Calibri" w:cs="Times New Roman"/>
          <w:sz w:val="24"/>
          <w:szCs w:val="24"/>
        </w:rPr>
        <w:t xml:space="preserve"> </w:t>
      </w:r>
      <w:r w:rsidR="003D58F3">
        <w:rPr>
          <w:rFonts w:ascii="Calibri" w:eastAsia="Calibri" w:hAnsi="Calibri" w:cs="Times New Roman"/>
          <w:sz w:val="24"/>
          <w:szCs w:val="24"/>
        </w:rPr>
        <w:t>E</w:t>
      </w:r>
      <w:r w:rsidRPr="00E75191">
        <w:rPr>
          <w:rFonts w:ascii="Calibri" w:eastAsia="Calibri" w:hAnsi="Calibri" w:cs="Times New Roman"/>
          <w:sz w:val="24"/>
          <w:szCs w:val="24"/>
        </w:rPr>
        <w:t>ast which has experienced extreme violence in recent years.</w:t>
      </w:r>
      <w:r w:rsidRPr="00E75191">
        <w:rPr>
          <w:rFonts w:ascii="Calibri" w:eastAsia="Calibri" w:hAnsi="Calibri" w:cs="Times New Roman"/>
          <w:sz w:val="24"/>
          <w:szCs w:val="24"/>
          <w:vertAlign w:val="superscript"/>
        </w:rPr>
        <w:footnoteReference w:id="177"/>
      </w:r>
      <w:r w:rsidRPr="00E75191">
        <w:rPr>
          <w:rFonts w:ascii="Calibri" w:eastAsia="Calibri" w:hAnsi="Calibri" w:cs="Times New Roman"/>
          <w:sz w:val="24"/>
          <w:szCs w:val="24"/>
        </w:rPr>
        <w:t xml:space="preserve"> Through the Learn at Home Programme which is embedded in the overarching Strategy and in partnership with educational technology companies, the Ministry of Education has launched virtual learning platforms and provided links to e-learning resources.</w:t>
      </w:r>
      <w:r w:rsidRPr="00E75191">
        <w:rPr>
          <w:rFonts w:ascii="Calibri" w:eastAsia="Calibri" w:hAnsi="Calibri" w:cs="Times New Roman"/>
          <w:sz w:val="24"/>
          <w:szCs w:val="24"/>
          <w:vertAlign w:val="superscript"/>
        </w:rPr>
        <w:footnoteReference w:id="178"/>
      </w:r>
      <w:r w:rsidRPr="00E75191">
        <w:rPr>
          <w:rFonts w:ascii="Calibri" w:eastAsia="Calibri" w:hAnsi="Calibri" w:cs="Times New Roman"/>
          <w:sz w:val="24"/>
          <w:szCs w:val="24"/>
        </w:rPr>
        <w:t xml:space="preserve"> These efforts have been complemented by state governments such as Lagos and Ogun who have not only organised workshops to equip teachers with remote teaching skills but also have broadcasted learning programs on radio.</w:t>
      </w:r>
      <w:r w:rsidRPr="00E75191">
        <w:rPr>
          <w:rFonts w:ascii="Calibri" w:eastAsia="Calibri" w:hAnsi="Calibri" w:cs="Times New Roman"/>
          <w:sz w:val="24"/>
          <w:szCs w:val="24"/>
          <w:vertAlign w:val="superscript"/>
        </w:rPr>
        <w:footnoteReference w:id="179"/>
      </w:r>
      <w:r w:rsidRPr="00E75191">
        <w:rPr>
          <w:rFonts w:ascii="Calibri" w:eastAsia="Calibri" w:hAnsi="Calibri" w:cs="Times New Roman"/>
          <w:sz w:val="24"/>
          <w:szCs w:val="24"/>
        </w:rPr>
        <w:t xml:space="preserve"> In spite of these measures, many students in Nigeria - especially those in rural areas or from low-income households - are still likely to be left behind as they have limited or no access to resources like data, digital tools or electricity.</w:t>
      </w:r>
      <w:r w:rsidRPr="00E75191">
        <w:rPr>
          <w:rFonts w:ascii="Calibri" w:eastAsia="Calibri" w:hAnsi="Calibri" w:cs="Times New Roman"/>
          <w:sz w:val="24"/>
          <w:szCs w:val="24"/>
          <w:vertAlign w:val="superscript"/>
        </w:rPr>
        <w:footnoteReference w:id="180"/>
      </w:r>
    </w:p>
    <w:p w14:paraId="7245C37B" w14:textId="77777777" w:rsidR="00E75191" w:rsidRPr="00E75191" w:rsidRDefault="00E75191" w:rsidP="00E75191">
      <w:pPr>
        <w:spacing w:line="240" w:lineRule="auto"/>
        <w:jc w:val="both"/>
        <w:rPr>
          <w:rFonts w:ascii="Calibri" w:eastAsia="Calibri" w:hAnsi="Calibri" w:cs="Times New Roman"/>
          <w:sz w:val="24"/>
          <w:szCs w:val="24"/>
        </w:rPr>
      </w:pPr>
      <w:r w:rsidRPr="00E75191">
        <w:rPr>
          <w:rFonts w:ascii="Calibri" w:eastAsia="Calibri" w:hAnsi="Calibri" w:cs="Times New Roman"/>
          <w:sz w:val="24"/>
          <w:szCs w:val="24"/>
        </w:rPr>
        <w:t>In sum, Nigeria is significantly underperforming with respect to its international and regional commitments relating to the education of children, especially the girl child. One of the commitments made by Nigeria as a signatory to the Convention on the Rights of a Child is to ensure equal education for the girl child.  Article 11(3) of the African Charter on the Rights and Welfare of the Child also focuses on education, placing a specific responsibility on Member States such as Nigeria to take all appropriate measures to ensure that female children also enjoy equal access to education. Similarly, the AU Solemn Declaration on Gender Equality in Africa requires State Parties to adopt concrete measures to guarantee the education of girls and literacy of women, especially in the rural areas.</w:t>
      </w:r>
      <w:r w:rsidRPr="00E75191">
        <w:rPr>
          <w:rFonts w:ascii="Calibri" w:eastAsia="Calibri" w:hAnsi="Calibri" w:cs="Times New Roman"/>
          <w:sz w:val="24"/>
          <w:szCs w:val="24"/>
          <w:vertAlign w:val="superscript"/>
        </w:rPr>
        <w:footnoteReference w:id="181"/>
      </w:r>
      <w:r w:rsidRPr="00E75191">
        <w:rPr>
          <w:rFonts w:ascii="Calibri" w:eastAsia="Calibri" w:hAnsi="Calibri" w:cs="Times New Roman"/>
          <w:sz w:val="24"/>
          <w:szCs w:val="24"/>
        </w:rPr>
        <w:t xml:space="preserve"> Pursuant to these provisions, Nigeria has committed to provide free and compulsory universal primary education, free university education as well as free adult literacy programme under the 1999 Constitution of the Federal Republic of Nigeria (as amended).</w:t>
      </w:r>
      <w:r w:rsidRPr="00E75191">
        <w:rPr>
          <w:rFonts w:ascii="Calibri" w:eastAsia="Calibri" w:hAnsi="Calibri" w:cs="Times New Roman"/>
          <w:sz w:val="24"/>
          <w:szCs w:val="24"/>
          <w:vertAlign w:val="superscript"/>
        </w:rPr>
        <w:footnoteReference w:id="182"/>
      </w:r>
      <w:r w:rsidRPr="00E75191">
        <w:rPr>
          <w:rFonts w:ascii="Calibri" w:eastAsia="Calibri" w:hAnsi="Calibri" w:cs="Times New Roman"/>
          <w:sz w:val="24"/>
          <w:szCs w:val="24"/>
        </w:rPr>
        <w:t xml:space="preserve"> However, by virtue of the provisions of Section 6(6)(c) of the same Constitution, no one can sue to enforce the performance of this obligation by the government.</w:t>
      </w:r>
    </w:p>
    <w:p w14:paraId="2F0AFF0B" w14:textId="77777777" w:rsidR="00E75191" w:rsidRPr="00E75191" w:rsidRDefault="00E75191" w:rsidP="00E75191">
      <w:pPr>
        <w:spacing w:line="240" w:lineRule="auto"/>
        <w:jc w:val="both"/>
        <w:rPr>
          <w:rFonts w:ascii="Calibri" w:eastAsia="Calibri" w:hAnsi="Calibri" w:cs="Times New Roman"/>
          <w:sz w:val="24"/>
          <w:szCs w:val="24"/>
        </w:rPr>
      </w:pPr>
      <w:r w:rsidRPr="00E75191">
        <w:rPr>
          <w:rFonts w:ascii="Calibri" w:eastAsia="Calibri" w:hAnsi="Calibri" w:cs="Times New Roman"/>
          <w:sz w:val="24"/>
          <w:szCs w:val="24"/>
        </w:rPr>
        <w:t>Nonetheless, the Universal Basic Education Act was enacted to ensure free access to six years of primary education and three years of junior secondary education to children of school age.</w:t>
      </w:r>
      <w:r w:rsidRPr="00E75191">
        <w:rPr>
          <w:rFonts w:ascii="Calibri" w:eastAsia="Calibri" w:hAnsi="Calibri" w:cs="Times New Roman"/>
          <w:sz w:val="24"/>
          <w:szCs w:val="24"/>
          <w:vertAlign w:val="superscript"/>
        </w:rPr>
        <w:footnoteReference w:id="183"/>
      </w:r>
      <w:r w:rsidRPr="00E75191">
        <w:rPr>
          <w:rFonts w:ascii="Calibri" w:eastAsia="Calibri" w:hAnsi="Calibri" w:cs="Times New Roman"/>
          <w:sz w:val="24"/>
          <w:szCs w:val="24"/>
        </w:rPr>
        <w:t xml:space="preserve"> The provisions of the Act have been domesticated in all of the 36 States; thus the Act applies nationally. However, its implementation is dependent on the state governments through the local government authorities responsible for grass-root level education. Similarly, the Child Rights Act, 2003 makes provision for the right of children to free and compulsory </w:t>
      </w:r>
      <w:r w:rsidRPr="00E75191">
        <w:rPr>
          <w:rFonts w:ascii="Calibri" w:eastAsia="Calibri" w:hAnsi="Calibri" w:cs="Times New Roman"/>
          <w:sz w:val="24"/>
          <w:szCs w:val="24"/>
        </w:rPr>
        <w:lastRenderedPageBreak/>
        <w:t>primary education.</w:t>
      </w:r>
      <w:r w:rsidRPr="00E75191">
        <w:rPr>
          <w:rFonts w:ascii="Calibri" w:eastAsia="Calibri" w:hAnsi="Calibri" w:cs="Times New Roman"/>
          <w:sz w:val="24"/>
          <w:szCs w:val="24"/>
          <w:vertAlign w:val="superscript"/>
        </w:rPr>
        <w:footnoteReference w:id="184"/>
      </w:r>
      <w:r w:rsidRPr="00E75191">
        <w:rPr>
          <w:rFonts w:ascii="Calibri" w:eastAsia="Calibri" w:hAnsi="Calibri" w:cs="Times New Roman"/>
          <w:sz w:val="24"/>
          <w:szCs w:val="24"/>
        </w:rPr>
        <w:t xml:space="preserve"> This reflects the provisions of the Constitution in this regard, but unlike the Universal Basic Education Act that has been adopted in all of the 36 States, the Child Rights Act has not been nationally adopted. Currently, only 25 States have adopted the provisions of the Child Rights Act. Significantly, the rest of the States yet to adopt the law are Northern States wherein child marriage, conflict events and gender norms and stereotypes still constitute barriers to the education of the girl child.</w:t>
      </w:r>
    </w:p>
    <w:p w14:paraId="5A189BAE" w14:textId="77777777" w:rsidR="00E75191" w:rsidRDefault="00E75191" w:rsidP="00E75191">
      <w:pPr>
        <w:spacing w:line="240" w:lineRule="auto"/>
        <w:jc w:val="both"/>
        <w:rPr>
          <w:rFonts w:ascii="Calibri" w:eastAsia="Calibri" w:hAnsi="Calibri" w:cs="Times New Roman"/>
          <w:sz w:val="24"/>
          <w:szCs w:val="24"/>
        </w:rPr>
      </w:pPr>
      <w:r w:rsidRPr="00E75191">
        <w:rPr>
          <w:rFonts w:ascii="Calibri" w:eastAsia="Calibri" w:hAnsi="Calibri" w:cs="Times New Roman"/>
          <w:sz w:val="24"/>
          <w:szCs w:val="24"/>
        </w:rPr>
        <w:t>Most respondents noted the need for education for both girls and boys.  One FGD respondent in Kano noted that:</w:t>
      </w:r>
    </w:p>
    <w:p w14:paraId="7D193E25" w14:textId="77777777" w:rsidR="00E75191" w:rsidRPr="00E75191" w:rsidRDefault="00E75191" w:rsidP="00E75191">
      <w:pPr>
        <w:spacing w:line="240" w:lineRule="auto"/>
        <w:jc w:val="both"/>
        <w:rPr>
          <w:rFonts w:ascii="Calibri" w:eastAsia="Calibri" w:hAnsi="Calibri" w:cs="Times New Roman"/>
          <w:sz w:val="24"/>
          <w:szCs w:val="24"/>
        </w:rPr>
      </w:pPr>
      <w:r>
        <w:rPr>
          <w:rFonts w:ascii="Calibri" w:eastAsia="Calibri" w:hAnsi="Calibri" w:cs="Times New Roman"/>
          <w:noProof/>
          <w:sz w:val="24"/>
          <w:szCs w:val="24"/>
          <w:lang w:val="en-IE" w:eastAsia="en-IE"/>
        </w:rPr>
        <mc:AlternateContent>
          <mc:Choice Requires="wps">
            <w:drawing>
              <wp:inline distT="0" distB="0" distL="0" distR="0" wp14:anchorId="0B93C48E" wp14:editId="3EE83368">
                <wp:extent cx="5999018" cy="755650"/>
                <wp:effectExtent l="0" t="0" r="20955" b="25400"/>
                <wp:docPr id="477" name="Rectangle 477"/>
                <wp:cNvGraphicFramePr/>
                <a:graphic xmlns:a="http://schemas.openxmlformats.org/drawingml/2006/main">
                  <a:graphicData uri="http://schemas.microsoft.com/office/word/2010/wordprocessingShape">
                    <wps:wsp>
                      <wps:cNvSpPr/>
                      <wps:spPr>
                        <a:xfrm>
                          <a:off x="0" y="0"/>
                          <a:ext cx="5999018" cy="7556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5AB1545" w14:textId="77777777" w:rsidR="006D6A0C" w:rsidRDefault="006D6A0C" w:rsidP="00E75191">
                            <w:pPr>
                              <w:spacing w:line="256" w:lineRule="auto"/>
                              <w:jc w:val="center"/>
                              <w:rPr>
                                <w:rFonts w:ascii="Calibri" w:eastAsia="Calibri" w:hAnsi="Calibri" w:cs="Times New Roman"/>
                                <w:i/>
                              </w:rPr>
                            </w:pPr>
                            <w:r w:rsidRPr="00780278">
                              <w:rPr>
                                <w:rFonts w:ascii="Calibri" w:eastAsia="Calibri" w:hAnsi="Calibri" w:cs="Times New Roman"/>
                                <w:i/>
                              </w:rPr>
                              <w:t>We want our children to have quality education so as to help us and be able to depend on themselves in future.</w:t>
                            </w:r>
                          </w:p>
                          <w:p w14:paraId="3F5BF26D" w14:textId="77777777" w:rsidR="006D6A0C" w:rsidRPr="00E75191" w:rsidRDefault="006D6A0C" w:rsidP="00E75191">
                            <w:pPr>
                              <w:pStyle w:val="ListParagraph"/>
                              <w:numPr>
                                <w:ilvl w:val="0"/>
                                <w:numId w:val="13"/>
                              </w:numPr>
                              <w:spacing w:line="256" w:lineRule="auto"/>
                              <w:jc w:val="center"/>
                              <w:rPr>
                                <w:rFonts w:ascii="Calibri" w:eastAsia="Calibri" w:hAnsi="Calibri" w:cs="Times New Roman"/>
                                <w:i/>
                              </w:rPr>
                            </w:pPr>
                            <w:r>
                              <w:rPr>
                                <w:rFonts w:ascii="Calibri" w:eastAsia="Calibri" w:hAnsi="Calibri" w:cs="Times New Roman"/>
                                <w:lang w:val="en-US"/>
                              </w:rPr>
                              <w:t xml:space="preserve">Male FGD Participant, </w:t>
                            </w:r>
                            <w:r w:rsidRPr="00E75191">
                              <w:rPr>
                                <w:rFonts w:ascii="Calibri" w:eastAsia="Calibri" w:hAnsi="Calibri" w:cs="Times New Roman"/>
                              </w:rPr>
                              <w:t>Kano</w:t>
                            </w:r>
                          </w:p>
                          <w:p w14:paraId="45700AE7" w14:textId="77777777" w:rsidR="006D6A0C" w:rsidRDefault="006D6A0C" w:rsidP="00E7519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B93C48E" id="Rectangle 477" o:spid="_x0000_s1052" style="width:472.35pt;height:5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" fillcolor="#5b9bd5 [3204]" strokecolor="#1f4d78 [1604]" strokeweight="1pt">
                <v:textbox>
                  <w:txbxContent>
                    <w:p w:rsidR="006D6A0C" w:rsidRDefault="006D6A0C" w:rsidP="00E75191">
                      <w:pPr>
                        <w:spacing w:line="256" w:lineRule="auto"/>
                        <w:jc w:val="center"/>
                        <w:rPr>
                          <w:rFonts w:ascii="Calibri" w:eastAsia="Calibri" w:hAnsi="Calibri" w:cs="Times New Roman"/>
                          <w:i/>
                        </w:rPr>
                      </w:pPr>
                      <w:r w:rsidRPr="00780278">
                        <w:rPr>
                          <w:rFonts w:ascii="Calibri" w:eastAsia="Calibri" w:hAnsi="Calibri" w:cs="Times New Roman"/>
                          <w:i/>
                        </w:rPr>
                        <w:t>We want our children to have quality education so as to help us and be able to depend on themselves in future.</w:t>
                      </w:r>
                    </w:p>
                    <w:p w:rsidR="006D6A0C" w:rsidRPr="00E75191" w:rsidRDefault="006D6A0C" w:rsidP="00E75191">
                      <w:pPr>
                        <w:pStyle w:val="ListParagraph"/>
                        <w:numPr>
                          <w:ilvl w:val="0"/>
                          <w:numId w:val="13"/>
                        </w:numPr>
                        <w:spacing w:line="256" w:lineRule="auto"/>
                        <w:jc w:val="center"/>
                        <w:rPr>
                          <w:rFonts w:ascii="Calibri" w:eastAsia="Calibri" w:hAnsi="Calibri" w:cs="Times New Roman"/>
                          <w:i/>
                        </w:rPr>
                      </w:pPr>
                      <w:r>
                        <w:rPr>
                          <w:rFonts w:ascii="Calibri" w:eastAsia="Calibri" w:hAnsi="Calibri" w:cs="Times New Roman"/>
                          <w:lang w:val="en-US"/>
                        </w:rPr>
                        <w:t xml:space="preserve">Male FGD Participant, </w:t>
                      </w:r>
                      <w:r w:rsidRPr="00E75191">
                        <w:rPr>
                          <w:rFonts w:ascii="Calibri" w:eastAsia="Calibri" w:hAnsi="Calibri" w:cs="Times New Roman"/>
                        </w:rPr>
                        <w:t>Kano</w:t>
                      </w:r>
                    </w:p>
                    <w:p w:rsidR="006D6A0C" w:rsidRDefault="006D6A0C" w:rsidP="00E75191">
                      <w:pPr>
                        <w:jc w:val="center"/>
                      </w:pPr>
                    </w:p>
                  </w:txbxContent>
                </v:textbox>
                <w10:anchorlock/>
              </v:rect>
            </w:pict>
          </mc:Fallback>
        </mc:AlternateContent>
      </w:r>
    </w:p>
    <w:p w14:paraId="765F0872" w14:textId="77777777" w:rsidR="00E75191" w:rsidRDefault="00E75191" w:rsidP="00E75191">
      <w:pPr>
        <w:spacing w:line="240" w:lineRule="auto"/>
        <w:jc w:val="both"/>
        <w:rPr>
          <w:sz w:val="24"/>
          <w:szCs w:val="24"/>
        </w:rPr>
      </w:pPr>
      <w:r>
        <w:rPr>
          <w:noProof/>
          <w:sz w:val="24"/>
          <w:szCs w:val="24"/>
          <w:lang w:val="en-IE" w:eastAsia="en-IE"/>
        </w:rPr>
        <mc:AlternateContent>
          <mc:Choice Requires="wps">
            <w:drawing>
              <wp:anchor distT="0" distB="0" distL="114300" distR="114300" simplePos="0" relativeHeight="251727872" behindDoc="0" locked="0" layoutInCell="1" allowOverlap="1" wp14:anchorId="6D0902FB" wp14:editId="0DC44E19">
                <wp:simplePos x="0" y="0"/>
                <wp:positionH relativeFrom="margin">
                  <wp:align>left</wp:align>
                </wp:positionH>
                <wp:positionV relativeFrom="paragraph">
                  <wp:posOffset>483235</wp:posOffset>
                </wp:positionV>
                <wp:extent cx="6026150" cy="857250"/>
                <wp:effectExtent l="0" t="0" r="12700" b="19050"/>
                <wp:wrapSquare wrapText="bothSides"/>
                <wp:docPr id="478" name="Rectangle 478"/>
                <wp:cNvGraphicFramePr/>
                <a:graphic xmlns:a="http://schemas.openxmlformats.org/drawingml/2006/main">
                  <a:graphicData uri="http://schemas.microsoft.com/office/word/2010/wordprocessingShape">
                    <wps:wsp>
                      <wps:cNvSpPr/>
                      <wps:spPr>
                        <a:xfrm>
                          <a:off x="0" y="0"/>
                          <a:ext cx="6026727" cy="857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B34CD6C" w14:textId="77777777" w:rsidR="006D6A0C" w:rsidRPr="00E75191" w:rsidRDefault="006D6A0C" w:rsidP="00E75191">
                            <w:pPr>
                              <w:spacing w:line="240" w:lineRule="auto"/>
                              <w:jc w:val="both"/>
                              <w:rPr>
                                <w:bCs/>
                                <w:i/>
                                <w:iCs/>
                              </w:rPr>
                            </w:pPr>
                            <w:r w:rsidRPr="00E75191">
                              <w:rPr>
                                <w:bCs/>
                                <w:i/>
                                <w:iCs/>
                              </w:rPr>
                              <w:t>There are cultures that believe that once a girl attains puberty, she should be married off. There are cultures that do not even allow a girl to have a say or to be heard. For instance, when we visited some schools in a particular state, the girls sit separately from the boys. There are places where girls go to school in the morning and the boys in the afternoon.</w:t>
                            </w:r>
                            <w:r>
                              <w:rPr>
                                <w:bCs/>
                                <w:i/>
                                <w:iCs/>
                              </w:rPr>
                              <w:t xml:space="preserve"> – Female FGD Participant, Adamawa</w:t>
                            </w:r>
                          </w:p>
                          <w:p w14:paraId="43B977E2" w14:textId="77777777" w:rsidR="006D6A0C" w:rsidRPr="00E75191" w:rsidRDefault="006D6A0C" w:rsidP="00E7519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0902FB" id="Rectangle 478" o:spid="_x0000_s1053" style="position:absolute;left:0;text-align:left;margin-left:0;margin-top:38.05pt;width:474.5pt;height:67.5pt;z-index:251727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" fillcolor="#5b9bd5 [3204]" strokecolor="#1f4d78 [1604]" strokeweight="1pt">
                <v:textbox>
                  <w:txbxContent>
                    <w:p w:rsidR="006D6A0C" w:rsidRPr="00E75191" w:rsidRDefault="006D6A0C" w:rsidP="00E75191">
                      <w:pPr>
                        <w:spacing w:line="240" w:lineRule="auto"/>
                        <w:jc w:val="both"/>
                        <w:rPr>
                          <w:bCs/>
                          <w:i/>
                          <w:iCs/>
                        </w:rPr>
                      </w:pPr>
                      <w:r w:rsidRPr="00E75191">
                        <w:rPr>
                          <w:bCs/>
                          <w:i/>
                          <w:iCs/>
                        </w:rPr>
                        <w:t>There are cultures that believe that once a girl attains puberty, she should be married off. There are cultures that do not even allow a girl to have a say or to be heard. For instance, when we visited some schools in a particular state, the girls sit separately from the boys. There are places where girls go to school in the morning and the boys in the afternoon.</w:t>
                      </w:r>
                      <w:r>
                        <w:rPr>
                          <w:bCs/>
                          <w:i/>
                          <w:iCs/>
                        </w:rPr>
                        <w:t xml:space="preserve"> – Female FGD Participant, Adamawa</w:t>
                      </w:r>
                    </w:p>
                    <w:p w:rsidR="006D6A0C" w:rsidRPr="00E75191" w:rsidRDefault="006D6A0C" w:rsidP="00E75191">
                      <w:pPr>
                        <w:jc w:val="center"/>
                      </w:pPr>
                    </w:p>
                  </w:txbxContent>
                </v:textbox>
                <w10:wrap type="square" anchorx="margin"/>
              </v:rect>
            </w:pict>
          </mc:Fallback>
        </mc:AlternateContent>
      </w:r>
      <w:r w:rsidR="00C94238">
        <w:rPr>
          <w:sz w:val="24"/>
          <w:szCs w:val="24"/>
        </w:rPr>
        <w:t xml:space="preserve">However, several respondents also noted that </w:t>
      </w:r>
      <w:r w:rsidR="00F220E4">
        <w:rPr>
          <w:sz w:val="24"/>
          <w:szCs w:val="24"/>
        </w:rPr>
        <w:t xml:space="preserve">gender norms which militate against the education of girls persist. </w:t>
      </w:r>
    </w:p>
    <w:p w14:paraId="3D38F62A" w14:textId="77777777" w:rsidR="00681F77" w:rsidRPr="00EB6159" w:rsidRDefault="00E75191" w:rsidP="00EB6159">
      <w:pPr>
        <w:rPr>
          <w:rStyle w:val="IntenseEmphasis"/>
        </w:rPr>
      </w:pPr>
      <w:r w:rsidRPr="00EB6159">
        <w:rPr>
          <w:rStyle w:val="IntenseEmphasis"/>
        </w:rPr>
        <w:t xml:space="preserve">Illustrative Finding: </w:t>
      </w:r>
      <w:r w:rsidR="00681F77" w:rsidRPr="00EB6159">
        <w:rPr>
          <w:rStyle w:val="IntenseEmphasis"/>
        </w:rPr>
        <w:t>Education</w:t>
      </w:r>
    </w:p>
    <w:p w14:paraId="4D4873A9" w14:textId="77777777" w:rsidR="00681F77" w:rsidRPr="00681F77" w:rsidRDefault="00E75191" w:rsidP="00E75191">
      <w:pPr>
        <w:spacing w:line="240" w:lineRule="auto"/>
        <w:jc w:val="both"/>
        <w:rPr>
          <w:bCs/>
          <w:iCs/>
          <w:sz w:val="24"/>
          <w:szCs w:val="24"/>
        </w:rPr>
      </w:pPr>
      <w:r>
        <w:rPr>
          <w:bCs/>
          <w:iCs/>
          <w:sz w:val="24"/>
          <w:szCs w:val="24"/>
        </w:rPr>
        <w:t xml:space="preserve">Regardless of gender norms, the survey findings indicate that majority of the people surveyed felt that boys and girls should have equal access to education. </w:t>
      </w:r>
      <w:r w:rsidR="00681F77" w:rsidRPr="00681F77">
        <w:rPr>
          <w:bCs/>
          <w:iCs/>
          <w:sz w:val="24"/>
          <w:szCs w:val="24"/>
        </w:rPr>
        <w:t xml:space="preserve">A total of 88.3% of study participants </w:t>
      </w:r>
      <w:r>
        <w:rPr>
          <w:bCs/>
          <w:iCs/>
          <w:sz w:val="24"/>
          <w:szCs w:val="24"/>
        </w:rPr>
        <w:t xml:space="preserve">expressed </w:t>
      </w:r>
      <w:r w:rsidR="00681F77" w:rsidRPr="00681F77">
        <w:rPr>
          <w:bCs/>
          <w:iCs/>
          <w:sz w:val="24"/>
          <w:szCs w:val="24"/>
        </w:rPr>
        <w:t xml:space="preserve">support </w:t>
      </w:r>
      <w:r w:rsidR="003D58F3">
        <w:rPr>
          <w:bCs/>
          <w:iCs/>
          <w:sz w:val="24"/>
          <w:szCs w:val="24"/>
        </w:rPr>
        <w:t xml:space="preserve">to </w:t>
      </w:r>
      <w:r w:rsidR="00681F77" w:rsidRPr="00681F77">
        <w:rPr>
          <w:bCs/>
          <w:iCs/>
          <w:sz w:val="24"/>
          <w:szCs w:val="24"/>
        </w:rPr>
        <w:t>equal access to education</w:t>
      </w:r>
      <w:r w:rsidR="003D58F3">
        <w:rPr>
          <w:bCs/>
          <w:iCs/>
          <w:sz w:val="24"/>
          <w:szCs w:val="24"/>
        </w:rPr>
        <w:t xml:space="preserve">, while </w:t>
      </w:r>
      <w:r w:rsidR="00681F77" w:rsidRPr="00681F77">
        <w:rPr>
          <w:bCs/>
          <w:iCs/>
          <w:sz w:val="24"/>
          <w:szCs w:val="24"/>
        </w:rPr>
        <w:t xml:space="preserve">21.3% of respondents </w:t>
      </w:r>
      <w:r>
        <w:rPr>
          <w:bCs/>
          <w:iCs/>
          <w:sz w:val="24"/>
          <w:szCs w:val="24"/>
        </w:rPr>
        <w:t xml:space="preserve">disagreed </w:t>
      </w:r>
      <w:r w:rsidR="00681F77" w:rsidRPr="00681F77">
        <w:rPr>
          <w:bCs/>
          <w:iCs/>
          <w:sz w:val="24"/>
          <w:szCs w:val="24"/>
        </w:rPr>
        <w:t xml:space="preserve">. </w:t>
      </w:r>
    </w:p>
    <w:tbl>
      <w:tblPr>
        <w:tblStyle w:val="PlainTable11"/>
        <w:tblW w:w="5000" w:type="pct"/>
        <w:tblLook w:val="04A0" w:firstRow="1" w:lastRow="0" w:firstColumn="1" w:lastColumn="0" w:noHBand="0" w:noVBand="1"/>
      </w:tblPr>
      <w:tblGrid>
        <w:gridCol w:w="1720"/>
        <w:gridCol w:w="1220"/>
        <w:gridCol w:w="1137"/>
        <w:gridCol w:w="818"/>
        <w:gridCol w:w="818"/>
        <w:gridCol w:w="818"/>
        <w:gridCol w:w="849"/>
        <w:gridCol w:w="818"/>
        <w:gridCol w:w="818"/>
      </w:tblGrid>
      <w:tr w:rsidR="00C15490" w14:paraId="5967D8D2" w14:textId="77777777" w:rsidTr="006D6A0C">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8A0264" w14:textId="77777777" w:rsidR="00C15490" w:rsidRDefault="00C15490" w:rsidP="006D6A0C">
            <w:pPr>
              <w:jc w:val="both"/>
              <w:rPr>
                <w:iCs/>
                <w:sz w:val="24"/>
                <w:szCs w:val="24"/>
              </w:rPr>
            </w:pPr>
          </w:p>
        </w:tc>
        <w:tc>
          <w:tcPr>
            <w:tcW w:w="66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C8ABB07" w14:textId="77777777" w:rsidR="00C15490" w:rsidRDefault="00C15490" w:rsidP="006D6A0C">
            <w:pPr>
              <w:jc w:val="both"/>
              <w:cnfStyle w:val="100000000000" w:firstRow="1" w:lastRow="0" w:firstColumn="0" w:lastColumn="0" w:oddVBand="0" w:evenVBand="0" w:oddHBand="0" w:evenHBand="0" w:firstRowFirstColumn="0" w:firstRowLastColumn="0" w:lastRowFirstColumn="0" w:lastRowLastColumn="0"/>
              <w:rPr>
                <w:bCs w:val="0"/>
                <w:iCs/>
                <w:sz w:val="24"/>
                <w:szCs w:val="24"/>
              </w:rPr>
            </w:pPr>
            <w:r>
              <w:rPr>
                <w:bCs w:val="0"/>
                <w:iCs/>
                <w:sz w:val="24"/>
                <w:szCs w:val="24"/>
              </w:rPr>
              <w:t>Adamawa</w:t>
            </w:r>
          </w:p>
        </w:tc>
        <w:tc>
          <w:tcPr>
            <w:tcW w:w="62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135C966" w14:textId="77777777" w:rsidR="00C15490" w:rsidRDefault="00C15490" w:rsidP="006D6A0C">
            <w:pPr>
              <w:jc w:val="both"/>
              <w:cnfStyle w:val="100000000000" w:firstRow="1" w:lastRow="0" w:firstColumn="0" w:lastColumn="0" w:oddVBand="0" w:evenVBand="0" w:oddHBand="0" w:evenHBand="0" w:firstRowFirstColumn="0" w:firstRowLastColumn="0" w:lastRowFirstColumn="0" w:lastRowLastColumn="0"/>
              <w:rPr>
                <w:bCs w:val="0"/>
                <w:iCs/>
                <w:sz w:val="24"/>
                <w:szCs w:val="24"/>
              </w:rPr>
            </w:pPr>
            <w:r>
              <w:rPr>
                <w:bCs w:val="0"/>
                <w:iCs/>
                <w:sz w:val="24"/>
                <w:szCs w:val="24"/>
              </w:rPr>
              <w:t>Anambra</w:t>
            </w:r>
          </w:p>
        </w:tc>
        <w:tc>
          <w:tcPr>
            <w:tcW w:w="45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77BF6F7" w14:textId="77777777" w:rsidR="00C15490" w:rsidRDefault="00C15490" w:rsidP="006D6A0C">
            <w:pPr>
              <w:jc w:val="both"/>
              <w:cnfStyle w:val="100000000000" w:firstRow="1" w:lastRow="0" w:firstColumn="0" w:lastColumn="0" w:oddVBand="0" w:evenVBand="0" w:oddHBand="0" w:evenHBand="0" w:firstRowFirstColumn="0" w:firstRowLastColumn="0" w:lastRowFirstColumn="0" w:lastRowLastColumn="0"/>
              <w:rPr>
                <w:bCs w:val="0"/>
                <w:iCs/>
                <w:sz w:val="24"/>
                <w:szCs w:val="24"/>
              </w:rPr>
            </w:pPr>
            <w:r>
              <w:rPr>
                <w:bCs w:val="0"/>
                <w:iCs/>
                <w:sz w:val="24"/>
                <w:szCs w:val="24"/>
              </w:rPr>
              <w:t>Edo</w:t>
            </w:r>
          </w:p>
        </w:tc>
        <w:tc>
          <w:tcPr>
            <w:tcW w:w="45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9BE4250" w14:textId="77777777" w:rsidR="00C15490" w:rsidRDefault="00C15490" w:rsidP="006D6A0C">
            <w:pPr>
              <w:jc w:val="both"/>
              <w:cnfStyle w:val="100000000000" w:firstRow="1" w:lastRow="0" w:firstColumn="0" w:lastColumn="0" w:oddVBand="0" w:evenVBand="0" w:oddHBand="0" w:evenHBand="0" w:firstRowFirstColumn="0" w:firstRowLastColumn="0" w:lastRowFirstColumn="0" w:lastRowLastColumn="0"/>
              <w:rPr>
                <w:bCs w:val="0"/>
                <w:iCs/>
                <w:sz w:val="24"/>
                <w:szCs w:val="24"/>
              </w:rPr>
            </w:pPr>
            <w:r>
              <w:rPr>
                <w:bCs w:val="0"/>
                <w:iCs/>
                <w:sz w:val="24"/>
                <w:szCs w:val="24"/>
              </w:rPr>
              <w:t>FCT</w:t>
            </w:r>
          </w:p>
        </w:tc>
        <w:tc>
          <w:tcPr>
            <w:tcW w:w="45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302D613" w14:textId="77777777" w:rsidR="00C15490" w:rsidRDefault="00C15490" w:rsidP="006D6A0C">
            <w:pPr>
              <w:jc w:val="both"/>
              <w:cnfStyle w:val="100000000000" w:firstRow="1" w:lastRow="0" w:firstColumn="0" w:lastColumn="0" w:oddVBand="0" w:evenVBand="0" w:oddHBand="0" w:evenHBand="0" w:firstRowFirstColumn="0" w:firstRowLastColumn="0" w:lastRowFirstColumn="0" w:lastRowLastColumn="0"/>
              <w:rPr>
                <w:bCs w:val="0"/>
                <w:iCs/>
                <w:sz w:val="24"/>
                <w:szCs w:val="24"/>
              </w:rPr>
            </w:pPr>
            <w:r>
              <w:rPr>
                <w:bCs w:val="0"/>
                <w:iCs/>
                <w:sz w:val="24"/>
                <w:szCs w:val="24"/>
              </w:rPr>
              <w:t>Kano</w:t>
            </w:r>
          </w:p>
        </w:tc>
        <w:tc>
          <w:tcPr>
            <w:tcW w:w="46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EDB56AB" w14:textId="77777777" w:rsidR="00C15490" w:rsidRDefault="00C15490" w:rsidP="006D6A0C">
            <w:pPr>
              <w:jc w:val="both"/>
              <w:cnfStyle w:val="100000000000" w:firstRow="1" w:lastRow="0" w:firstColumn="0" w:lastColumn="0" w:oddVBand="0" w:evenVBand="0" w:oddHBand="0" w:evenHBand="0" w:firstRowFirstColumn="0" w:firstRowLastColumn="0" w:lastRowFirstColumn="0" w:lastRowLastColumn="0"/>
              <w:rPr>
                <w:bCs w:val="0"/>
                <w:iCs/>
                <w:sz w:val="24"/>
                <w:szCs w:val="24"/>
              </w:rPr>
            </w:pPr>
            <w:r>
              <w:rPr>
                <w:bCs w:val="0"/>
                <w:iCs/>
                <w:sz w:val="24"/>
                <w:szCs w:val="24"/>
              </w:rPr>
              <w:t>Kwara</w:t>
            </w:r>
          </w:p>
        </w:tc>
        <w:tc>
          <w:tcPr>
            <w:tcW w:w="45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F98A7B2" w14:textId="77777777" w:rsidR="00C15490" w:rsidRDefault="00C15490" w:rsidP="006D6A0C">
            <w:pPr>
              <w:jc w:val="both"/>
              <w:cnfStyle w:val="100000000000" w:firstRow="1" w:lastRow="0" w:firstColumn="0" w:lastColumn="0" w:oddVBand="0" w:evenVBand="0" w:oddHBand="0" w:evenHBand="0" w:firstRowFirstColumn="0" w:firstRowLastColumn="0" w:lastRowFirstColumn="0" w:lastRowLastColumn="0"/>
              <w:rPr>
                <w:bCs w:val="0"/>
                <w:iCs/>
                <w:sz w:val="24"/>
                <w:szCs w:val="24"/>
              </w:rPr>
            </w:pPr>
            <w:r>
              <w:rPr>
                <w:bCs w:val="0"/>
                <w:iCs/>
                <w:sz w:val="24"/>
                <w:szCs w:val="24"/>
              </w:rPr>
              <w:t>Lagos</w:t>
            </w:r>
          </w:p>
        </w:tc>
        <w:tc>
          <w:tcPr>
            <w:tcW w:w="45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E66661B" w14:textId="77777777" w:rsidR="00C15490" w:rsidRDefault="00C15490" w:rsidP="006D6A0C">
            <w:pPr>
              <w:jc w:val="both"/>
              <w:cnfStyle w:val="100000000000" w:firstRow="1" w:lastRow="0" w:firstColumn="0" w:lastColumn="0" w:oddVBand="0" w:evenVBand="0" w:oddHBand="0" w:evenHBand="0" w:firstRowFirstColumn="0" w:firstRowLastColumn="0" w:lastRowFirstColumn="0" w:lastRowLastColumn="0"/>
              <w:rPr>
                <w:bCs w:val="0"/>
                <w:iCs/>
                <w:sz w:val="24"/>
                <w:szCs w:val="24"/>
              </w:rPr>
            </w:pPr>
            <w:r>
              <w:rPr>
                <w:bCs w:val="0"/>
                <w:iCs/>
                <w:sz w:val="24"/>
                <w:szCs w:val="24"/>
              </w:rPr>
              <w:t>Total</w:t>
            </w:r>
          </w:p>
        </w:tc>
      </w:tr>
      <w:tr w:rsidR="00C15490" w14:paraId="025E00A7" w14:textId="77777777" w:rsidTr="006D6A0C">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95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FF5E746" w14:textId="77777777" w:rsidR="00C15490" w:rsidRDefault="00C15490" w:rsidP="006D6A0C">
            <w:pPr>
              <w:jc w:val="both"/>
              <w:rPr>
                <w:bCs w:val="0"/>
                <w:iCs/>
                <w:sz w:val="24"/>
                <w:szCs w:val="24"/>
              </w:rPr>
            </w:pPr>
            <w:r>
              <w:rPr>
                <w:bCs w:val="0"/>
                <w:iCs/>
                <w:sz w:val="24"/>
                <w:szCs w:val="24"/>
              </w:rPr>
              <w:t>I strongly agree</w:t>
            </w:r>
          </w:p>
        </w:tc>
        <w:tc>
          <w:tcPr>
            <w:tcW w:w="66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7B6535B" w14:textId="77777777" w:rsidR="00C15490" w:rsidRDefault="00C15490" w:rsidP="006D6A0C">
            <w:pPr>
              <w:jc w:val="both"/>
              <w:cnfStyle w:val="000000100000" w:firstRow="0" w:lastRow="0" w:firstColumn="0" w:lastColumn="0" w:oddVBand="0" w:evenVBand="0" w:oddHBand="1" w:evenHBand="0" w:firstRowFirstColumn="0" w:firstRowLastColumn="0" w:lastRowFirstColumn="0" w:lastRowLastColumn="0"/>
              <w:rPr>
                <w:bCs/>
                <w:iCs/>
                <w:sz w:val="24"/>
                <w:szCs w:val="24"/>
              </w:rPr>
            </w:pPr>
            <w:r>
              <w:rPr>
                <w:bCs/>
                <w:iCs/>
                <w:sz w:val="24"/>
                <w:szCs w:val="24"/>
              </w:rPr>
              <w:t>37.6%</w:t>
            </w:r>
          </w:p>
        </w:tc>
        <w:tc>
          <w:tcPr>
            <w:tcW w:w="62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8A88554" w14:textId="77777777" w:rsidR="00C15490" w:rsidRDefault="00C15490" w:rsidP="006D6A0C">
            <w:pPr>
              <w:jc w:val="both"/>
              <w:cnfStyle w:val="000000100000" w:firstRow="0" w:lastRow="0" w:firstColumn="0" w:lastColumn="0" w:oddVBand="0" w:evenVBand="0" w:oddHBand="1" w:evenHBand="0" w:firstRowFirstColumn="0" w:firstRowLastColumn="0" w:lastRowFirstColumn="0" w:lastRowLastColumn="0"/>
              <w:rPr>
                <w:bCs/>
                <w:iCs/>
                <w:sz w:val="24"/>
                <w:szCs w:val="24"/>
              </w:rPr>
            </w:pPr>
            <w:r>
              <w:rPr>
                <w:bCs/>
                <w:iCs/>
                <w:sz w:val="24"/>
                <w:szCs w:val="24"/>
              </w:rPr>
              <w:t>52.6%</w:t>
            </w:r>
          </w:p>
        </w:tc>
        <w:tc>
          <w:tcPr>
            <w:tcW w:w="45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40FB4FF" w14:textId="77777777" w:rsidR="00C15490" w:rsidRDefault="00C15490" w:rsidP="006D6A0C">
            <w:pPr>
              <w:jc w:val="both"/>
              <w:cnfStyle w:val="000000100000" w:firstRow="0" w:lastRow="0" w:firstColumn="0" w:lastColumn="0" w:oddVBand="0" w:evenVBand="0" w:oddHBand="1" w:evenHBand="0" w:firstRowFirstColumn="0" w:firstRowLastColumn="0" w:lastRowFirstColumn="0" w:lastRowLastColumn="0"/>
              <w:rPr>
                <w:bCs/>
                <w:iCs/>
                <w:sz w:val="24"/>
                <w:szCs w:val="24"/>
              </w:rPr>
            </w:pPr>
            <w:r>
              <w:rPr>
                <w:bCs/>
                <w:iCs/>
                <w:sz w:val="24"/>
                <w:szCs w:val="24"/>
              </w:rPr>
              <w:t>30.0%</w:t>
            </w:r>
          </w:p>
        </w:tc>
        <w:tc>
          <w:tcPr>
            <w:tcW w:w="45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99F4711" w14:textId="77777777" w:rsidR="00C15490" w:rsidRDefault="00C15490" w:rsidP="006D6A0C">
            <w:pPr>
              <w:jc w:val="both"/>
              <w:cnfStyle w:val="000000100000" w:firstRow="0" w:lastRow="0" w:firstColumn="0" w:lastColumn="0" w:oddVBand="0" w:evenVBand="0" w:oddHBand="1" w:evenHBand="0" w:firstRowFirstColumn="0" w:firstRowLastColumn="0" w:lastRowFirstColumn="0" w:lastRowLastColumn="0"/>
              <w:rPr>
                <w:bCs/>
                <w:iCs/>
                <w:sz w:val="24"/>
                <w:szCs w:val="24"/>
              </w:rPr>
            </w:pPr>
            <w:r>
              <w:rPr>
                <w:bCs/>
                <w:iCs/>
                <w:sz w:val="24"/>
                <w:szCs w:val="24"/>
              </w:rPr>
              <w:t>61.8%</w:t>
            </w:r>
          </w:p>
        </w:tc>
        <w:tc>
          <w:tcPr>
            <w:tcW w:w="45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E764C5E" w14:textId="77777777" w:rsidR="00C15490" w:rsidRDefault="00C15490" w:rsidP="006D6A0C">
            <w:pPr>
              <w:jc w:val="both"/>
              <w:cnfStyle w:val="000000100000" w:firstRow="0" w:lastRow="0" w:firstColumn="0" w:lastColumn="0" w:oddVBand="0" w:evenVBand="0" w:oddHBand="1" w:evenHBand="0" w:firstRowFirstColumn="0" w:firstRowLastColumn="0" w:lastRowFirstColumn="0" w:lastRowLastColumn="0"/>
              <w:rPr>
                <w:bCs/>
                <w:iCs/>
                <w:sz w:val="24"/>
                <w:szCs w:val="24"/>
              </w:rPr>
            </w:pPr>
            <w:r>
              <w:rPr>
                <w:bCs/>
                <w:iCs/>
                <w:sz w:val="24"/>
                <w:szCs w:val="24"/>
              </w:rPr>
              <w:t>19.4%</w:t>
            </w:r>
          </w:p>
        </w:tc>
        <w:tc>
          <w:tcPr>
            <w:tcW w:w="46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B5C68EC" w14:textId="77777777" w:rsidR="00C15490" w:rsidRDefault="00C15490" w:rsidP="006D6A0C">
            <w:pPr>
              <w:jc w:val="both"/>
              <w:cnfStyle w:val="000000100000" w:firstRow="0" w:lastRow="0" w:firstColumn="0" w:lastColumn="0" w:oddVBand="0" w:evenVBand="0" w:oddHBand="1" w:evenHBand="0" w:firstRowFirstColumn="0" w:firstRowLastColumn="0" w:lastRowFirstColumn="0" w:lastRowLastColumn="0"/>
              <w:rPr>
                <w:bCs/>
                <w:iCs/>
                <w:sz w:val="24"/>
                <w:szCs w:val="24"/>
              </w:rPr>
            </w:pPr>
            <w:r>
              <w:rPr>
                <w:bCs/>
                <w:iCs/>
                <w:sz w:val="24"/>
                <w:szCs w:val="24"/>
              </w:rPr>
              <w:t>64.6%</w:t>
            </w:r>
          </w:p>
        </w:tc>
        <w:tc>
          <w:tcPr>
            <w:tcW w:w="45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331F71B" w14:textId="77777777" w:rsidR="00C15490" w:rsidRDefault="00C15490" w:rsidP="006D6A0C">
            <w:pPr>
              <w:jc w:val="both"/>
              <w:cnfStyle w:val="000000100000" w:firstRow="0" w:lastRow="0" w:firstColumn="0" w:lastColumn="0" w:oddVBand="0" w:evenVBand="0" w:oddHBand="1" w:evenHBand="0" w:firstRowFirstColumn="0" w:firstRowLastColumn="0" w:lastRowFirstColumn="0" w:lastRowLastColumn="0"/>
              <w:rPr>
                <w:bCs/>
                <w:iCs/>
                <w:sz w:val="24"/>
                <w:szCs w:val="24"/>
              </w:rPr>
            </w:pPr>
            <w:r>
              <w:rPr>
                <w:bCs/>
                <w:iCs/>
                <w:sz w:val="24"/>
                <w:szCs w:val="24"/>
              </w:rPr>
              <w:t>72.3%</w:t>
            </w:r>
          </w:p>
        </w:tc>
        <w:tc>
          <w:tcPr>
            <w:tcW w:w="45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EE1AAB1" w14:textId="77777777" w:rsidR="00C15490" w:rsidRDefault="00C15490" w:rsidP="006D6A0C">
            <w:pPr>
              <w:jc w:val="both"/>
              <w:cnfStyle w:val="000000100000" w:firstRow="0" w:lastRow="0" w:firstColumn="0" w:lastColumn="0" w:oddVBand="0" w:evenVBand="0" w:oddHBand="1" w:evenHBand="0" w:firstRowFirstColumn="0" w:firstRowLastColumn="0" w:lastRowFirstColumn="0" w:lastRowLastColumn="0"/>
              <w:rPr>
                <w:bCs/>
                <w:iCs/>
                <w:sz w:val="24"/>
                <w:szCs w:val="24"/>
              </w:rPr>
            </w:pPr>
            <w:r>
              <w:rPr>
                <w:bCs/>
                <w:iCs/>
                <w:sz w:val="24"/>
                <w:szCs w:val="24"/>
              </w:rPr>
              <w:t>43.6%</w:t>
            </w:r>
          </w:p>
        </w:tc>
      </w:tr>
      <w:tr w:rsidR="00C15490" w14:paraId="0D3B1A2D" w14:textId="77777777" w:rsidTr="006D6A0C">
        <w:trPr>
          <w:trHeight w:val="460"/>
        </w:trPr>
        <w:tc>
          <w:tcPr>
            <w:cnfStyle w:val="001000000000" w:firstRow="0" w:lastRow="0" w:firstColumn="1" w:lastColumn="0" w:oddVBand="0" w:evenVBand="0" w:oddHBand="0" w:evenHBand="0" w:firstRowFirstColumn="0" w:firstRowLastColumn="0" w:lastRowFirstColumn="0" w:lastRowLastColumn="0"/>
            <w:tcW w:w="95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6B4BAA8E" w14:textId="77777777" w:rsidR="00C15490" w:rsidRDefault="00C15490" w:rsidP="006D6A0C">
            <w:pPr>
              <w:jc w:val="both"/>
              <w:rPr>
                <w:bCs w:val="0"/>
                <w:iCs/>
                <w:sz w:val="24"/>
                <w:szCs w:val="24"/>
              </w:rPr>
            </w:pPr>
            <w:r>
              <w:rPr>
                <w:bCs w:val="0"/>
                <w:iCs/>
                <w:sz w:val="24"/>
                <w:szCs w:val="24"/>
              </w:rPr>
              <w:t>I agree</w:t>
            </w:r>
          </w:p>
        </w:tc>
        <w:tc>
          <w:tcPr>
            <w:tcW w:w="66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0DB0A04" w14:textId="77777777" w:rsidR="00C15490" w:rsidRDefault="00C15490" w:rsidP="006D6A0C">
            <w:pPr>
              <w:jc w:val="both"/>
              <w:cnfStyle w:val="000000000000" w:firstRow="0" w:lastRow="0" w:firstColumn="0" w:lastColumn="0" w:oddVBand="0" w:evenVBand="0" w:oddHBand="0" w:evenHBand="0" w:firstRowFirstColumn="0" w:firstRowLastColumn="0" w:lastRowFirstColumn="0" w:lastRowLastColumn="0"/>
              <w:rPr>
                <w:bCs/>
                <w:iCs/>
                <w:sz w:val="24"/>
                <w:szCs w:val="24"/>
              </w:rPr>
            </w:pPr>
            <w:r>
              <w:rPr>
                <w:bCs/>
                <w:iCs/>
                <w:sz w:val="24"/>
                <w:szCs w:val="24"/>
              </w:rPr>
              <w:t>59.6%</w:t>
            </w:r>
          </w:p>
        </w:tc>
        <w:tc>
          <w:tcPr>
            <w:tcW w:w="62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7E1C12BE" w14:textId="77777777" w:rsidR="00C15490" w:rsidRDefault="00C15490" w:rsidP="006D6A0C">
            <w:pPr>
              <w:jc w:val="both"/>
              <w:cnfStyle w:val="000000000000" w:firstRow="0" w:lastRow="0" w:firstColumn="0" w:lastColumn="0" w:oddVBand="0" w:evenVBand="0" w:oddHBand="0" w:evenHBand="0" w:firstRowFirstColumn="0" w:firstRowLastColumn="0" w:lastRowFirstColumn="0" w:lastRowLastColumn="0"/>
              <w:rPr>
                <w:bCs/>
                <w:iCs/>
                <w:sz w:val="24"/>
                <w:szCs w:val="24"/>
              </w:rPr>
            </w:pPr>
            <w:r>
              <w:rPr>
                <w:bCs/>
                <w:iCs/>
                <w:sz w:val="24"/>
                <w:szCs w:val="24"/>
              </w:rPr>
              <w:t>42.2%</w:t>
            </w:r>
          </w:p>
        </w:tc>
        <w:tc>
          <w:tcPr>
            <w:tcW w:w="45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607F451" w14:textId="77777777" w:rsidR="00C15490" w:rsidRDefault="00C15490" w:rsidP="006D6A0C">
            <w:pPr>
              <w:jc w:val="both"/>
              <w:cnfStyle w:val="000000000000" w:firstRow="0" w:lastRow="0" w:firstColumn="0" w:lastColumn="0" w:oddVBand="0" w:evenVBand="0" w:oddHBand="0" w:evenHBand="0" w:firstRowFirstColumn="0" w:firstRowLastColumn="0" w:lastRowFirstColumn="0" w:lastRowLastColumn="0"/>
              <w:rPr>
                <w:bCs/>
                <w:iCs/>
                <w:sz w:val="24"/>
                <w:szCs w:val="24"/>
              </w:rPr>
            </w:pPr>
            <w:r>
              <w:rPr>
                <w:bCs/>
                <w:iCs/>
                <w:sz w:val="24"/>
                <w:szCs w:val="24"/>
              </w:rPr>
              <w:t>63.3%</w:t>
            </w:r>
          </w:p>
        </w:tc>
        <w:tc>
          <w:tcPr>
            <w:tcW w:w="45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4A34937A" w14:textId="77777777" w:rsidR="00C15490" w:rsidRDefault="00C15490" w:rsidP="006D6A0C">
            <w:pPr>
              <w:jc w:val="both"/>
              <w:cnfStyle w:val="000000000000" w:firstRow="0" w:lastRow="0" w:firstColumn="0" w:lastColumn="0" w:oddVBand="0" w:evenVBand="0" w:oddHBand="0" w:evenHBand="0" w:firstRowFirstColumn="0" w:firstRowLastColumn="0" w:lastRowFirstColumn="0" w:lastRowLastColumn="0"/>
              <w:rPr>
                <w:bCs/>
                <w:iCs/>
                <w:sz w:val="24"/>
                <w:szCs w:val="24"/>
              </w:rPr>
            </w:pPr>
            <w:r>
              <w:rPr>
                <w:bCs/>
                <w:iCs/>
                <w:sz w:val="24"/>
                <w:szCs w:val="24"/>
              </w:rPr>
              <w:t>25.2%</w:t>
            </w:r>
          </w:p>
        </w:tc>
        <w:tc>
          <w:tcPr>
            <w:tcW w:w="45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E0A972B" w14:textId="77777777" w:rsidR="00C15490" w:rsidRDefault="00C15490" w:rsidP="006D6A0C">
            <w:pPr>
              <w:jc w:val="both"/>
              <w:cnfStyle w:val="000000000000" w:firstRow="0" w:lastRow="0" w:firstColumn="0" w:lastColumn="0" w:oddVBand="0" w:evenVBand="0" w:oddHBand="0" w:evenHBand="0" w:firstRowFirstColumn="0" w:firstRowLastColumn="0" w:lastRowFirstColumn="0" w:lastRowLastColumn="0"/>
              <w:rPr>
                <w:bCs/>
                <w:iCs/>
                <w:sz w:val="24"/>
                <w:szCs w:val="24"/>
              </w:rPr>
            </w:pPr>
            <w:r>
              <w:rPr>
                <w:bCs/>
                <w:iCs/>
                <w:sz w:val="24"/>
                <w:szCs w:val="24"/>
              </w:rPr>
              <w:t>49.2%</w:t>
            </w:r>
          </w:p>
        </w:tc>
        <w:tc>
          <w:tcPr>
            <w:tcW w:w="46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57564362" w14:textId="77777777" w:rsidR="00C15490" w:rsidRDefault="00C15490" w:rsidP="006D6A0C">
            <w:pPr>
              <w:jc w:val="both"/>
              <w:cnfStyle w:val="000000000000" w:firstRow="0" w:lastRow="0" w:firstColumn="0" w:lastColumn="0" w:oddVBand="0" w:evenVBand="0" w:oddHBand="0" w:evenHBand="0" w:firstRowFirstColumn="0" w:firstRowLastColumn="0" w:lastRowFirstColumn="0" w:lastRowLastColumn="0"/>
              <w:rPr>
                <w:bCs/>
                <w:iCs/>
                <w:sz w:val="24"/>
                <w:szCs w:val="24"/>
              </w:rPr>
            </w:pPr>
            <w:r>
              <w:rPr>
                <w:bCs/>
                <w:iCs/>
                <w:sz w:val="24"/>
                <w:szCs w:val="24"/>
              </w:rPr>
              <w:t>29.7%</w:t>
            </w:r>
          </w:p>
        </w:tc>
        <w:tc>
          <w:tcPr>
            <w:tcW w:w="45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363DC9F" w14:textId="77777777" w:rsidR="00C15490" w:rsidRDefault="00C15490" w:rsidP="006D6A0C">
            <w:pPr>
              <w:jc w:val="both"/>
              <w:cnfStyle w:val="000000000000" w:firstRow="0" w:lastRow="0" w:firstColumn="0" w:lastColumn="0" w:oddVBand="0" w:evenVBand="0" w:oddHBand="0" w:evenHBand="0" w:firstRowFirstColumn="0" w:firstRowLastColumn="0" w:lastRowFirstColumn="0" w:lastRowLastColumn="0"/>
              <w:rPr>
                <w:bCs/>
                <w:iCs/>
                <w:sz w:val="24"/>
                <w:szCs w:val="24"/>
              </w:rPr>
            </w:pPr>
            <w:r>
              <w:rPr>
                <w:bCs/>
                <w:iCs/>
                <w:sz w:val="24"/>
                <w:szCs w:val="24"/>
              </w:rPr>
              <w:t>25.0%</w:t>
            </w:r>
          </w:p>
        </w:tc>
        <w:tc>
          <w:tcPr>
            <w:tcW w:w="45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49138751" w14:textId="77777777" w:rsidR="00C15490" w:rsidRDefault="00C15490" w:rsidP="006D6A0C">
            <w:pPr>
              <w:jc w:val="both"/>
              <w:cnfStyle w:val="000000000000" w:firstRow="0" w:lastRow="0" w:firstColumn="0" w:lastColumn="0" w:oddVBand="0" w:evenVBand="0" w:oddHBand="0" w:evenHBand="0" w:firstRowFirstColumn="0" w:firstRowLastColumn="0" w:lastRowFirstColumn="0" w:lastRowLastColumn="0"/>
              <w:rPr>
                <w:bCs/>
                <w:iCs/>
                <w:sz w:val="24"/>
                <w:szCs w:val="24"/>
              </w:rPr>
            </w:pPr>
            <w:r>
              <w:rPr>
                <w:bCs/>
                <w:iCs/>
                <w:sz w:val="24"/>
                <w:szCs w:val="24"/>
              </w:rPr>
              <w:t>45.1%</w:t>
            </w:r>
          </w:p>
        </w:tc>
      </w:tr>
      <w:tr w:rsidR="00C15490" w14:paraId="70025331" w14:textId="77777777" w:rsidTr="006D6A0C">
        <w:trPr>
          <w:cnfStyle w:val="000000100000" w:firstRow="0" w:lastRow="0" w:firstColumn="0" w:lastColumn="0" w:oddVBand="0" w:evenVBand="0" w:oddHBand="1" w:evenHBand="0" w:firstRowFirstColumn="0" w:firstRowLastColumn="0" w:lastRowFirstColumn="0" w:lastRowLastColumn="0"/>
          <w:trHeight w:val="740"/>
        </w:trPr>
        <w:tc>
          <w:tcPr>
            <w:cnfStyle w:val="001000000000" w:firstRow="0" w:lastRow="0" w:firstColumn="1" w:lastColumn="0" w:oddVBand="0" w:evenVBand="0" w:oddHBand="0" w:evenHBand="0" w:firstRowFirstColumn="0" w:firstRowLastColumn="0" w:lastRowFirstColumn="0" w:lastRowLastColumn="0"/>
            <w:tcW w:w="95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F67EB78" w14:textId="77777777" w:rsidR="00C15490" w:rsidRDefault="00C15490" w:rsidP="006D6A0C">
            <w:pPr>
              <w:jc w:val="both"/>
              <w:rPr>
                <w:bCs w:val="0"/>
                <w:iCs/>
                <w:sz w:val="24"/>
                <w:szCs w:val="24"/>
              </w:rPr>
            </w:pPr>
            <w:r>
              <w:rPr>
                <w:bCs w:val="0"/>
                <w:iCs/>
                <w:sz w:val="24"/>
                <w:szCs w:val="24"/>
              </w:rPr>
              <w:t>I neither agree or disagree</w:t>
            </w:r>
          </w:p>
        </w:tc>
        <w:tc>
          <w:tcPr>
            <w:tcW w:w="66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0C11A22" w14:textId="77777777" w:rsidR="00C15490" w:rsidRDefault="00C15490" w:rsidP="006D6A0C">
            <w:pPr>
              <w:jc w:val="both"/>
              <w:cnfStyle w:val="000000100000" w:firstRow="0" w:lastRow="0" w:firstColumn="0" w:lastColumn="0" w:oddVBand="0" w:evenVBand="0" w:oddHBand="1" w:evenHBand="0" w:firstRowFirstColumn="0" w:firstRowLastColumn="0" w:lastRowFirstColumn="0" w:lastRowLastColumn="0"/>
              <w:rPr>
                <w:bCs/>
                <w:iCs/>
                <w:sz w:val="24"/>
                <w:szCs w:val="24"/>
              </w:rPr>
            </w:pPr>
            <w:r>
              <w:rPr>
                <w:bCs/>
                <w:iCs/>
                <w:sz w:val="24"/>
                <w:szCs w:val="24"/>
              </w:rPr>
              <w:t>1.9%</w:t>
            </w:r>
          </w:p>
        </w:tc>
        <w:tc>
          <w:tcPr>
            <w:tcW w:w="62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146564" w14:textId="77777777" w:rsidR="00C15490" w:rsidRDefault="00C15490" w:rsidP="006D6A0C">
            <w:pPr>
              <w:jc w:val="both"/>
              <w:cnfStyle w:val="000000100000" w:firstRow="0" w:lastRow="0" w:firstColumn="0" w:lastColumn="0" w:oddVBand="0" w:evenVBand="0" w:oddHBand="1" w:evenHBand="0" w:firstRowFirstColumn="0" w:firstRowLastColumn="0" w:lastRowFirstColumn="0" w:lastRowLastColumn="0"/>
              <w:rPr>
                <w:bCs/>
                <w:iCs/>
                <w:sz w:val="24"/>
                <w:szCs w:val="24"/>
              </w:rPr>
            </w:pPr>
            <w:r>
              <w:rPr>
                <w:bCs/>
                <w:iCs/>
                <w:sz w:val="24"/>
                <w:szCs w:val="24"/>
              </w:rPr>
              <w:t>1.3%</w:t>
            </w:r>
          </w:p>
        </w:tc>
        <w:tc>
          <w:tcPr>
            <w:tcW w:w="45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827B67" w14:textId="77777777" w:rsidR="00C15490" w:rsidRDefault="00C15490" w:rsidP="006D6A0C">
            <w:pPr>
              <w:jc w:val="both"/>
              <w:cnfStyle w:val="000000100000" w:firstRow="0" w:lastRow="0" w:firstColumn="0" w:lastColumn="0" w:oddVBand="0" w:evenVBand="0" w:oddHBand="1" w:evenHBand="0" w:firstRowFirstColumn="0" w:firstRowLastColumn="0" w:lastRowFirstColumn="0" w:lastRowLastColumn="0"/>
              <w:rPr>
                <w:bCs/>
                <w:iCs/>
                <w:sz w:val="24"/>
                <w:szCs w:val="24"/>
              </w:rPr>
            </w:pPr>
            <w:r>
              <w:rPr>
                <w:bCs/>
                <w:iCs/>
                <w:sz w:val="24"/>
                <w:szCs w:val="24"/>
              </w:rPr>
              <w:t>4.8%</w:t>
            </w:r>
          </w:p>
        </w:tc>
        <w:tc>
          <w:tcPr>
            <w:tcW w:w="45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0C50298" w14:textId="77777777" w:rsidR="00C15490" w:rsidRDefault="00C15490" w:rsidP="006D6A0C">
            <w:pPr>
              <w:jc w:val="both"/>
              <w:cnfStyle w:val="000000100000" w:firstRow="0" w:lastRow="0" w:firstColumn="0" w:lastColumn="0" w:oddVBand="0" w:evenVBand="0" w:oddHBand="1" w:evenHBand="0" w:firstRowFirstColumn="0" w:firstRowLastColumn="0" w:lastRowFirstColumn="0" w:lastRowLastColumn="0"/>
              <w:rPr>
                <w:bCs/>
                <w:iCs/>
                <w:sz w:val="24"/>
                <w:szCs w:val="24"/>
              </w:rPr>
            </w:pPr>
            <w:r>
              <w:rPr>
                <w:bCs/>
                <w:iCs/>
                <w:sz w:val="24"/>
                <w:szCs w:val="24"/>
              </w:rPr>
              <w:t>5.5%</w:t>
            </w:r>
          </w:p>
        </w:tc>
        <w:tc>
          <w:tcPr>
            <w:tcW w:w="45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1017BCD" w14:textId="77777777" w:rsidR="00C15490" w:rsidRDefault="00C15490" w:rsidP="006D6A0C">
            <w:pPr>
              <w:jc w:val="both"/>
              <w:cnfStyle w:val="000000100000" w:firstRow="0" w:lastRow="0" w:firstColumn="0" w:lastColumn="0" w:oddVBand="0" w:evenVBand="0" w:oddHBand="1" w:evenHBand="0" w:firstRowFirstColumn="0" w:firstRowLastColumn="0" w:lastRowFirstColumn="0" w:lastRowLastColumn="0"/>
              <w:rPr>
                <w:bCs/>
                <w:iCs/>
                <w:sz w:val="24"/>
                <w:szCs w:val="24"/>
              </w:rPr>
            </w:pPr>
            <w:r>
              <w:rPr>
                <w:bCs/>
                <w:iCs/>
                <w:sz w:val="24"/>
                <w:szCs w:val="24"/>
              </w:rPr>
              <w:t>5.1%</w:t>
            </w:r>
          </w:p>
        </w:tc>
        <w:tc>
          <w:tcPr>
            <w:tcW w:w="46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0F7479B" w14:textId="77777777" w:rsidR="00C15490" w:rsidRDefault="00C15490" w:rsidP="006D6A0C">
            <w:pPr>
              <w:jc w:val="both"/>
              <w:cnfStyle w:val="000000100000" w:firstRow="0" w:lastRow="0" w:firstColumn="0" w:lastColumn="0" w:oddVBand="0" w:evenVBand="0" w:oddHBand="1" w:evenHBand="0" w:firstRowFirstColumn="0" w:firstRowLastColumn="0" w:lastRowFirstColumn="0" w:lastRowLastColumn="0"/>
              <w:rPr>
                <w:bCs/>
                <w:iCs/>
                <w:sz w:val="24"/>
                <w:szCs w:val="24"/>
              </w:rPr>
            </w:pPr>
            <w:r>
              <w:rPr>
                <w:bCs/>
                <w:iCs/>
                <w:sz w:val="24"/>
                <w:szCs w:val="24"/>
              </w:rPr>
              <w:t>2.5%</w:t>
            </w:r>
          </w:p>
        </w:tc>
        <w:tc>
          <w:tcPr>
            <w:tcW w:w="45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982E0DE" w14:textId="77777777" w:rsidR="00C15490" w:rsidRDefault="00C15490" w:rsidP="006D6A0C">
            <w:pPr>
              <w:jc w:val="both"/>
              <w:cnfStyle w:val="000000100000" w:firstRow="0" w:lastRow="0" w:firstColumn="0" w:lastColumn="0" w:oddVBand="0" w:evenVBand="0" w:oddHBand="1" w:evenHBand="0" w:firstRowFirstColumn="0" w:firstRowLastColumn="0" w:lastRowFirstColumn="0" w:lastRowLastColumn="0"/>
              <w:rPr>
                <w:bCs/>
                <w:iCs/>
                <w:sz w:val="24"/>
                <w:szCs w:val="24"/>
              </w:rPr>
            </w:pPr>
            <w:r>
              <w:rPr>
                <w:bCs/>
                <w:iCs/>
                <w:sz w:val="24"/>
                <w:szCs w:val="24"/>
              </w:rPr>
              <w:t>1.8%</w:t>
            </w:r>
          </w:p>
        </w:tc>
        <w:tc>
          <w:tcPr>
            <w:tcW w:w="45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CF9A380" w14:textId="77777777" w:rsidR="00C15490" w:rsidRDefault="00C15490" w:rsidP="006D6A0C">
            <w:pPr>
              <w:jc w:val="both"/>
              <w:cnfStyle w:val="000000100000" w:firstRow="0" w:lastRow="0" w:firstColumn="0" w:lastColumn="0" w:oddVBand="0" w:evenVBand="0" w:oddHBand="1" w:evenHBand="0" w:firstRowFirstColumn="0" w:firstRowLastColumn="0" w:lastRowFirstColumn="0" w:lastRowLastColumn="0"/>
              <w:rPr>
                <w:bCs/>
                <w:iCs/>
                <w:sz w:val="24"/>
                <w:szCs w:val="24"/>
              </w:rPr>
            </w:pPr>
            <w:r>
              <w:rPr>
                <w:bCs/>
                <w:iCs/>
                <w:sz w:val="24"/>
                <w:szCs w:val="24"/>
              </w:rPr>
              <w:t>3.5%</w:t>
            </w:r>
          </w:p>
        </w:tc>
      </w:tr>
      <w:tr w:rsidR="00C15490" w14:paraId="25C5541A" w14:textId="77777777" w:rsidTr="006D6A0C">
        <w:trPr>
          <w:trHeight w:val="450"/>
        </w:trPr>
        <w:tc>
          <w:tcPr>
            <w:cnfStyle w:val="001000000000" w:firstRow="0" w:lastRow="0" w:firstColumn="1" w:lastColumn="0" w:oddVBand="0" w:evenVBand="0" w:oddHBand="0" w:evenHBand="0" w:firstRowFirstColumn="0" w:firstRowLastColumn="0" w:lastRowFirstColumn="0" w:lastRowLastColumn="0"/>
            <w:tcW w:w="95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43E7C02" w14:textId="77777777" w:rsidR="00C15490" w:rsidRDefault="00C15490" w:rsidP="006D6A0C">
            <w:pPr>
              <w:jc w:val="both"/>
              <w:rPr>
                <w:bCs w:val="0"/>
                <w:iCs/>
                <w:sz w:val="24"/>
                <w:szCs w:val="24"/>
              </w:rPr>
            </w:pPr>
            <w:r>
              <w:rPr>
                <w:bCs w:val="0"/>
                <w:iCs/>
                <w:sz w:val="24"/>
                <w:szCs w:val="24"/>
              </w:rPr>
              <w:t>I disagree</w:t>
            </w:r>
          </w:p>
        </w:tc>
        <w:tc>
          <w:tcPr>
            <w:tcW w:w="66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C282049" w14:textId="77777777" w:rsidR="00C15490" w:rsidRDefault="00C15490" w:rsidP="006D6A0C">
            <w:pPr>
              <w:jc w:val="both"/>
              <w:cnfStyle w:val="000000000000" w:firstRow="0" w:lastRow="0" w:firstColumn="0" w:lastColumn="0" w:oddVBand="0" w:evenVBand="0" w:oddHBand="0" w:evenHBand="0" w:firstRowFirstColumn="0" w:firstRowLastColumn="0" w:lastRowFirstColumn="0" w:lastRowLastColumn="0"/>
              <w:rPr>
                <w:bCs/>
                <w:iCs/>
                <w:sz w:val="24"/>
                <w:szCs w:val="24"/>
              </w:rPr>
            </w:pPr>
            <w:r>
              <w:rPr>
                <w:bCs/>
                <w:iCs/>
                <w:sz w:val="24"/>
                <w:szCs w:val="24"/>
              </w:rPr>
              <w:t>0.6%</w:t>
            </w:r>
          </w:p>
        </w:tc>
        <w:tc>
          <w:tcPr>
            <w:tcW w:w="62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A6B55E6" w14:textId="77777777" w:rsidR="00C15490" w:rsidRDefault="00C15490" w:rsidP="006D6A0C">
            <w:pPr>
              <w:jc w:val="both"/>
              <w:cnfStyle w:val="000000000000" w:firstRow="0" w:lastRow="0" w:firstColumn="0" w:lastColumn="0" w:oddVBand="0" w:evenVBand="0" w:oddHBand="0" w:evenHBand="0" w:firstRowFirstColumn="0" w:firstRowLastColumn="0" w:lastRowFirstColumn="0" w:lastRowLastColumn="0"/>
              <w:rPr>
                <w:bCs/>
                <w:iCs/>
                <w:sz w:val="24"/>
                <w:szCs w:val="24"/>
              </w:rPr>
            </w:pPr>
            <w:r>
              <w:rPr>
                <w:bCs/>
                <w:iCs/>
                <w:sz w:val="24"/>
                <w:szCs w:val="24"/>
              </w:rPr>
              <w:t>2.6%</w:t>
            </w:r>
          </w:p>
        </w:tc>
        <w:tc>
          <w:tcPr>
            <w:tcW w:w="45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CB6067" w14:textId="77777777" w:rsidR="00C15490" w:rsidRDefault="00C15490" w:rsidP="006D6A0C">
            <w:pPr>
              <w:jc w:val="both"/>
              <w:cnfStyle w:val="000000000000" w:firstRow="0" w:lastRow="0" w:firstColumn="0" w:lastColumn="0" w:oddVBand="0" w:evenVBand="0" w:oddHBand="0" w:evenHBand="0" w:firstRowFirstColumn="0" w:firstRowLastColumn="0" w:lastRowFirstColumn="0" w:lastRowLastColumn="0"/>
              <w:rPr>
                <w:bCs/>
                <w:iCs/>
                <w:sz w:val="24"/>
                <w:szCs w:val="24"/>
              </w:rPr>
            </w:pPr>
            <w:r>
              <w:rPr>
                <w:bCs/>
                <w:iCs/>
                <w:sz w:val="24"/>
                <w:szCs w:val="24"/>
              </w:rPr>
              <w:t>1.6%</w:t>
            </w:r>
          </w:p>
        </w:tc>
        <w:tc>
          <w:tcPr>
            <w:tcW w:w="45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F3E0F08" w14:textId="77777777" w:rsidR="00C15490" w:rsidRDefault="00C15490" w:rsidP="006D6A0C">
            <w:pPr>
              <w:jc w:val="both"/>
              <w:cnfStyle w:val="000000000000" w:firstRow="0" w:lastRow="0" w:firstColumn="0" w:lastColumn="0" w:oddVBand="0" w:evenVBand="0" w:oddHBand="0" w:evenHBand="0" w:firstRowFirstColumn="0" w:firstRowLastColumn="0" w:lastRowFirstColumn="0" w:lastRowLastColumn="0"/>
              <w:rPr>
                <w:bCs/>
                <w:iCs/>
                <w:sz w:val="24"/>
                <w:szCs w:val="24"/>
              </w:rPr>
            </w:pPr>
            <w:r>
              <w:rPr>
                <w:bCs/>
                <w:iCs/>
                <w:sz w:val="24"/>
                <w:szCs w:val="24"/>
              </w:rPr>
              <w:t>5.2%</w:t>
            </w:r>
          </w:p>
        </w:tc>
        <w:tc>
          <w:tcPr>
            <w:tcW w:w="45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AD387EB" w14:textId="77777777" w:rsidR="00C15490" w:rsidRDefault="00C15490" w:rsidP="006D6A0C">
            <w:pPr>
              <w:jc w:val="both"/>
              <w:cnfStyle w:val="000000000000" w:firstRow="0" w:lastRow="0" w:firstColumn="0" w:lastColumn="0" w:oddVBand="0" w:evenVBand="0" w:oddHBand="0" w:evenHBand="0" w:firstRowFirstColumn="0" w:firstRowLastColumn="0" w:lastRowFirstColumn="0" w:lastRowLastColumn="0"/>
              <w:rPr>
                <w:bCs/>
                <w:iCs/>
                <w:sz w:val="24"/>
                <w:szCs w:val="24"/>
              </w:rPr>
            </w:pPr>
            <w:r>
              <w:rPr>
                <w:bCs/>
                <w:iCs/>
                <w:sz w:val="24"/>
                <w:szCs w:val="24"/>
              </w:rPr>
              <w:t>21.3%</w:t>
            </w:r>
          </w:p>
        </w:tc>
        <w:tc>
          <w:tcPr>
            <w:tcW w:w="46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011FCF7" w14:textId="77777777" w:rsidR="00C15490" w:rsidRDefault="00C15490" w:rsidP="006D6A0C">
            <w:pPr>
              <w:jc w:val="both"/>
              <w:cnfStyle w:val="000000000000" w:firstRow="0" w:lastRow="0" w:firstColumn="0" w:lastColumn="0" w:oddVBand="0" w:evenVBand="0" w:oddHBand="0" w:evenHBand="0" w:firstRowFirstColumn="0" w:firstRowLastColumn="0" w:lastRowFirstColumn="0" w:lastRowLastColumn="0"/>
              <w:rPr>
                <w:bCs/>
                <w:iCs/>
                <w:sz w:val="24"/>
                <w:szCs w:val="24"/>
              </w:rPr>
            </w:pPr>
            <w:r>
              <w:rPr>
                <w:bCs/>
                <w:iCs/>
                <w:sz w:val="24"/>
                <w:szCs w:val="24"/>
              </w:rPr>
              <w:t>2.5%</w:t>
            </w:r>
          </w:p>
        </w:tc>
        <w:tc>
          <w:tcPr>
            <w:tcW w:w="45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D226B39" w14:textId="77777777" w:rsidR="00C15490" w:rsidRDefault="00C15490" w:rsidP="006D6A0C">
            <w:pPr>
              <w:jc w:val="both"/>
              <w:cnfStyle w:val="000000000000" w:firstRow="0" w:lastRow="0" w:firstColumn="0" w:lastColumn="0" w:oddVBand="0" w:evenVBand="0" w:oddHBand="0" w:evenHBand="0" w:firstRowFirstColumn="0" w:firstRowLastColumn="0" w:lastRowFirstColumn="0" w:lastRowLastColumn="0"/>
              <w:rPr>
                <w:bCs/>
                <w:iCs/>
                <w:sz w:val="24"/>
                <w:szCs w:val="24"/>
              </w:rPr>
            </w:pPr>
            <w:r>
              <w:rPr>
                <w:bCs/>
                <w:iCs/>
                <w:sz w:val="24"/>
                <w:szCs w:val="24"/>
              </w:rPr>
              <w:t>0.9%</w:t>
            </w:r>
          </w:p>
        </w:tc>
        <w:tc>
          <w:tcPr>
            <w:tcW w:w="45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C7814DD" w14:textId="77777777" w:rsidR="00C15490" w:rsidRDefault="00C15490" w:rsidP="006D6A0C">
            <w:pPr>
              <w:jc w:val="both"/>
              <w:cnfStyle w:val="000000000000" w:firstRow="0" w:lastRow="0" w:firstColumn="0" w:lastColumn="0" w:oddVBand="0" w:evenVBand="0" w:oddHBand="0" w:evenHBand="0" w:firstRowFirstColumn="0" w:firstRowLastColumn="0" w:lastRowFirstColumn="0" w:lastRowLastColumn="0"/>
              <w:rPr>
                <w:bCs/>
                <w:iCs/>
                <w:sz w:val="24"/>
                <w:szCs w:val="24"/>
              </w:rPr>
            </w:pPr>
            <w:r>
              <w:rPr>
                <w:bCs/>
                <w:iCs/>
                <w:sz w:val="24"/>
                <w:szCs w:val="24"/>
              </w:rPr>
              <w:t>6.0%</w:t>
            </w:r>
          </w:p>
        </w:tc>
      </w:tr>
      <w:tr w:rsidR="00C15490" w14:paraId="44BB228F" w14:textId="77777777" w:rsidTr="006D6A0C">
        <w:trPr>
          <w:cnfStyle w:val="000000100000" w:firstRow="0" w:lastRow="0" w:firstColumn="0" w:lastColumn="0" w:oddVBand="0" w:evenVBand="0" w:oddHBand="1" w:evenHBand="0" w:firstRowFirstColumn="0" w:firstRowLastColumn="0" w:lastRowFirstColumn="0" w:lastRowLastColumn="0"/>
          <w:trHeight w:val="740"/>
        </w:trPr>
        <w:tc>
          <w:tcPr>
            <w:cnfStyle w:val="001000000000" w:firstRow="0" w:lastRow="0" w:firstColumn="1" w:lastColumn="0" w:oddVBand="0" w:evenVBand="0" w:oddHBand="0" w:evenHBand="0" w:firstRowFirstColumn="0" w:firstRowLastColumn="0" w:lastRowFirstColumn="0" w:lastRowLastColumn="0"/>
            <w:tcW w:w="95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E383FFD" w14:textId="77777777" w:rsidR="00C15490" w:rsidRDefault="00C15490" w:rsidP="006D6A0C">
            <w:pPr>
              <w:jc w:val="both"/>
              <w:rPr>
                <w:bCs w:val="0"/>
                <w:iCs/>
                <w:sz w:val="24"/>
                <w:szCs w:val="24"/>
              </w:rPr>
            </w:pPr>
            <w:r>
              <w:rPr>
                <w:bCs w:val="0"/>
                <w:iCs/>
                <w:sz w:val="24"/>
                <w:szCs w:val="24"/>
              </w:rPr>
              <w:t>I strongly disagree</w:t>
            </w:r>
          </w:p>
        </w:tc>
        <w:tc>
          <w:tcPr>
            <w:tcW w:w="66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EFB9EE1" w14:textId="77777777" w:rsidR="00C15490" w:rsidRDefault="00C15490" w:rsidP="006D6A0C">
            <w:pPr>
              <w:jc w:val="both"/>
              <w:cnfStyle w:val="000000100000" w:firstRow="0" w:lastRow="0" w:firstColumn="0" w:lastColumn="0" w:oddVBand="0" w:evenVBand="0" w:oddHBand="1" w:evenHBand="0" w:firstRowFirstColumn="0" w:firstRowLastColumn="0" w:lastRowFirstColumn="0" w:lastRowLastColumn="0"/>
              <w:rPr>
                <w:bCs/>
                <w:iCs/>
                <w:sz w:val="24"/>
                <w:szCs w:val="24"/>
              </w:rPr>
            </w:pPr>
            <w:r>
              <w:rPr>
                <w:bCs/>
                <w:iCs/>
                <w:sz w:val="24"/>
                <w:szCs w:val="24"/>
              </w:rPr>
              <w:t>0.3%</w:t>
            </w:r>
          </w:p>
        </w:tc>
        <w:tc>
          <w:tcPr>
            <w:tcW w:w="62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60B1300" w14:textId="77777777" w:rsidR="00C15490" w:rsidRDefault="00C15490" w:rsidP="006D6A0C">
            <w:pPr>
              <w:jc w:val="both"/>
              <w:cnfStyle w:val="000000100000" w:firstRow="0" w:lastRow="0" w:firstColumn="0" w:lastColumn="0" w:oddVBand="0" w:evenVBand="0" w:oddHBand="1" w:evenHBand="0" w:firstRowFirstColumn="0" w:firstRowLastColumn="0" w:lastRowFirstColumn="0" w:lastRowLastColumn="0"/>
              <w:rPr>
                <w:bCs/>
                <w:iCs/>
                <w:sz w:val="24"/>
                <w:szCs w:val="24"/>
              </w:rPr>
            </w:pPr>
            <w:r>
              <w:rPr>
                <w:bCs/>
                <w:iCs/>
                <w:sz w:val="24"/>
                <w:szCs w:val="24"/>
              </w:rPr>
              <w:t>1.3%</w:t>
            </w:r>
          </w:p>
        </w:tc>
        <w:tc>
          <w:tcPr>
            <w:tcW w:w="45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1E4CB2E" w14:textId="77777777" w:rsidR="00C15490" w:rsidRDefault="00C15490" w:rsidP="006D6A0C">
            <w:pPr>
              <w:jc w:val="both"/>
              <w:cnfStyle w:val="000000100000" w:firstRow="0" w:lastRow="0" w:firstColumn="0" w:lastColumn="0" w:oddVBand="0" w:evenVBand="0" w:oddHBand="1" w:evenHBand="0" w:firstRowFirstColumn="0" w:firstRowLastColumn="0" w:lastRowFirstColumn="0" w:lastRowLastColumn="0"/>
              <w:rPr>
                <w:bCs/>
                <w:iCs/>
                <w:sz w:val="24"/>
                <w:szCs w:val="24"/>
              </w:rPr>
            </w:pPr>
            <w:r>
              <w:rPr>
                <w:bCs/>
                <w:iCs/>
                <w:sz w:val="24"/>
                <w:szCs w:val="24"/>
              </w:rPr>
              <w:t>0.3%</w:t>
            </w:r>
          </w:p>
        </w:tc>
        <w:tc>
          <w:tcPr>
            <w:tcW w:w="45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15377EE" w14:textId="77777777" w:rsidR="00C15490" w:rsidRDefault="00C15490" w:rsidP="006D6A0C">
            <w:pPr>
              <w:jc w:val="both"/>
              <w:cnfStyle w:val="000000100000" w:firstRow="0" w:lastRow="0" w:firstColumn="0" w:lastColumn="0" w:oddVBand="0" w:evenVBand="0" w:oddHBand="1" w:evenHBand="0" w:firstRowFirstColumn="0" w:firstRowLastColumn="0" w:lastRowFirstColumn="0" w:lastRowLastColumn="0"/>
              <w:rPr>
                <w:bCs/>
                <w:iCs/>
                <w:sz w:val="24"/>
                <w:szCs w:val="24"/>
              </w:rPr>
            </w:pPr>
            <w:r>
              <w:rPr>
                <w:bCs/>
                <w:iCs/>
                <w:sz w:val="24"/>
                <w:szCs w:val="24"/>
              </w:rPr>
              <w:t>2.3%</w:t>
            </w:r>
          </w:p>
        </w:tc>
        <w:tc>
          <w:tcPr>
            <w:tcW w:w="45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A2CC597" w14:textId="77777777" w:rsidR="00C15490" w:rsidRDefault="00C15490" w:rsidP="006D6A0C">
            <w:pPr>
              <w:jc w:val="both"/>
              <w:cnfStyle w:val="000000100000" w:firstRow="0" w:lastRow="0" w:firstColumn="0" w:lastColumn="0" w:oddVBand="0" w:evenVBand="0" w:oddHBand="1" w:evenHBand="0" w:firstRowFirstColumn="0" w:firstRowLastColumn="0" w:lastRowFirstColumn="0" w:lastRowLastColumn="0"/>
              <w:rPr>
                <w:bCs/>
                <w:iCs/>
                <w:sz w:val="24"/>
                <w:szCs w:val="24"/>
              </w:rPr>
            </w:pPr>
            <w:r>
              <w:rPr>
                <w:bCs/>
                <w:iCs/>
                <w:sz w:val="24"/>
                <w:szCs w:val="24"/>
              </w:rPr>
              <w:t>5.1%</w:t>
            </w:r>
          </w:p>
        </w:tc>
        <w:tc>
          <w:tcPr>
            <w:tcW w:w="46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2A533C8" w14:textId="77777777" w:rsidR="00C15490" w:rsidRDefault="00C15490" w:rsidP="006D6A0C">
            <w:pPr>
              <w:jc w:val="both"/>
              <w:cnfStyle w:val="000000100000" w:firstRow="0" w:lastRow="0" w:firstColumn="0" w:lastColumn="0" w:oddVBand="0" w:evenVBand="0" w:oddHBand="1" w:evenHBand="0" w:firstRowFirstColumn="0" w:firstRowLastColumn="0" w:lastRowFirstColumn="0" w:lastRowLastColumn="0"/>
              <w:rPr>
                <w:bCs/>
                <w:iCs/>
                <w:sz w:val="24"/>
                <w:szCs w:val="24"/>
              </w:rPr>
            </w:pPr>
            <w:r>
              <w:rPr>
                <w:bCs/>
                <w:iCs/>
                <w:sz w:val="24"/>
                <w:szCs w:val="24"/>
              </w:rPr>
              <w:t>0.6%</w:t>
            </w:r>
          </w:p>
        </w:tc>
        <w:tc>
          <w:tcPr>
            <w:tcW w:w="45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C05826" w14:textId="77777777" w:rsidR="00C15490" w:rsidRDefault="00C15490" w:rsidP="006D6A0C">
            <w:pPr>
              <w:jc w:val="both"/>
              <w:cnfStyle w:val="000000100000" w:firstRow="0" w:lastRow="0" w:firstColumn="0" w:lastColumn="0" w:oddVBand="0" w:evenVBand="0" w:oddHBand="1" w:evenHBand="0" w:firstRowFirstColumn="0" w:firstRowLastColumn="0" w:lastRowFirstColumn="0" w:lastRowLastColumn="0"/>
              <w:rPr>
                <w:bCs/>
                <w:iCs/>
                <w:sz w:val="24"/>
                <w:szCs w:val="24"/>
              </w:rPr>
            </w:pPr>
          </w:p>
        </w:tc>
        <w:tc>
          <w:tcPr>
            <w:tcW w:w="45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C027123" w14:textId="77777777" w:rsidR="00C15490" w:rsidRDefault="00C15490" w:rsidP="00C15490">
            <w:pPr>
              <w:keepNext/>
              <w:jc w:val="both"/>
              <w:cnfStyle w:val="000000100000" w:firstRow="0" w:lastRow="0" w:firstColumn="0" w:lastColumn="0" w:oddVBand="0" w:evenVBand="0" w:oddHBand="1" w:evenHBand="0" w:firstRowFirstColumn="0" w:firstRowLastColumn="0" w:lastRowFirstColumn="0" w:lastRowLastColumn="0"/>
              <w:rPr>
                <w:bCs/>
                <w:iCs/>
                <w:sz w:val="24"/>
                <w:szCs w:val="24"/>
              </w:rPr>
            </w:pPr>
            <w:r>
              <w:rPr>
                <w:bCs/>
                <w:iCs/>
                <w:sz w:val="24"/>
                <w:szCs w:val="24"/>
              </w:rPr>
              <w:t>1.7%</w:t>
            </w:r>
          </w:p>
        </w:tc>
      </w:tr>
    </w:tbl>
    <w:p w14:paraId="5A298F6E" w14:textId="77777777" w:rsidR="009A4FD6" w:rsidRDefault="00C15490" w:rsidP="00C15490">
      <w:pPr>
        <w:pStyle w:val="Caption"/>
      </w:pPr>
      <w:r>
        <w:t xml:space="preserve">Figure </w:t>
      </w:r>
      <w:fldSimple w:instr=" SEQ Figure \* ARABIC ">
        <w:r>
          <w:rPr>
            <w:noProof/>
          </w:rPr>
          <w:t>13</w:t>
        </w:r>
      </w:fldSimple>
      <w:r>
        <w:t xml:space="preserve">  </w:t>
      </w:r>
      <w:r w:rsidRPr="00CA7652">
        <w:t>Boys and girls sh</w:t>
      </w:r>
      <w:r>
        <w:t>ould have equal access to education</w:t>
      </w:r>
    </w:p>
    <w:p w14:paraId="077053BE" w14:textId="77777777" w:rsidR="009A4FD6" w:rsidRDefault="009A4FD6" w:rsidP="009A4FD6">
      <w:pPr>
        <w:rPr>
          <w:color w:val="44546A" w:themeColor="text2"/>
          <w:sz w:val="18"/>
          <w:szCs w:val="18"/>
        </w:rPr>
      </w:pPr>
      <w:r>
        <w:br w:type="page"/>
      </w:r>
    </w:p>
    <w:p w14:paraId="7B495F42" w14:textId="77777777" w:rsidR="00F220E4" w:rsidRPr="00F220E4" w:rsidRDefault="00F220E4" w:rsidP="00C15490">
      <w:pPr>
        <w:pStyle w:val="Caption"/>
        <w:rPr>
          <w:bCs/>
          <w:iCs w:val="0"/>
          <w:sz w:val="24"/>
          <w:szCs w:val="24"/>
        </w:rPr>
      </w:pPr>
    </w:p>
    <w:p w14:paraId="48D872DE" w14:textId="77777777" w:rsidR="00E82ED0" w:rsidRDefault="00E82ED0" w:rsidP="00E75191">
      <w:pPr>
        <w:spacing w:line="240" w:lineRule="auto"/>
        <w:jc w:val="both"/>
        <w:rPr>
          <w:b/>
          <w:sz w:val="24"/>
          <w:szCs w:val="24"/>
        </w:rPr>
      </w:pPr>
    </w:p>
    <w:p w14:paraId="32BB8D49" w14:textId="77777777" w:rsidR="00E82ED0" w:rsidRDefault="00EB6159" w:rsidP="00E75191">
      <w:pPr>
        <w:spacing w:line="240" w:lineRule="auto"/>
        <w:jc w:val="both"/>
        <w:rPr>
          <w:sz w:val="24"/>
          <w:szCs w:val="24"/>
        </w:rPr>
      </w:pPr>
      <w:r w:rsidRPr="00744F56">
        <w:rPr>
          <w:b/>
          <w:noProof/>
          <w:sz w:val="24"/>
          <w:szCs w:val="24"/>
          <w:lang w:val="en-IE" w:eastAsia="en-IE"/>
        </w:rPr>
        <mc:AlternateContent>
          <mc:Choice Requires="wps">
            <w:drawing>
              <wp:anchor distT="0" distB="0" distL="114300" distR="114300" simplePos="0" relativeHeight="251681792" behindDoc="0" locked="0" layoutInCell="1" allowOverlap="1" wp14:anchorId="3EF4D2C0" wp14:editId="5145D608">
                <wp:simplePos x="0" y="0"/>
                <wp:positionH relativeFrom="margin">
                  <wp:align>right</wp:align>
                </wp:positionH>
                <wp:positionV relativeFrom="paragraph">
                  <wp:posOffset>-316865</wp:posOffset>
                </wp:positionV>
                <wp:extent cx="5857875" cy="1403985"/>
                <wp:effectExtent l="0" t="0" r="28575" b="1270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1403985"/>
                        </a:xfrm>
                        <a:prstGeom prst="rect">
                          <a:avLst/>
                        </a:prstGeom>
                        <a:solidFill>
                          <a:schemeClr val="accent1">
                            <a:lumMod val="60000"/>
                            <a:lumOff val="40000"/>
                          </a:schemeClr>
                        </a:solidFill>
                        <a:ln w="9525">
                          <a:solidFill>
                            <a:schemeClr val="accent1">
                              <a:lumMod val="60000"/>
                              <a:lumOff val="40000"/>
                            </a:schemeClr>
                          </a:solidFill>
                          <a:miter lim="800000"/>
                          <a:headEnd/>
                          <a:tailEnd/>
                        </a:ln>
                      </wps:spPr>
                      <wps:txbx>
                        <w:txbxContent>
                          <w:p w14:paraId="04939B06" w14:textId="77777777" w:rsidR="006D6A0C" w:rsidRPr="005667FD" w:rsidRDefault="006D6A0C" w:rsidP="005667FD">
                            <w:pPr>
                              <w:pStyle w:val="Heading1"/>
                              <w:rPr>
                                <w:color w:val="auto"/>
                                <w:sz w:val="56"/>
                                <w:szCs w:val="56"/>
                              </w:rPr>
                            </w:pPr>
                            <w:bookmarkStart w:id="40" w:name="_Toc81228178"/>
                            <w:bookmarkStart w:id="41" w:name="_Toc81228288"/>
                            <w:bookmarkStart w:id="42" w:name="_Toc81229099"/>
                            <w:r w:rsidRPr="005667FD">
                              <w:rPr>
                                <w:color w:val="auto"/>
                                <w:sz w:val="56"/>
                                <w:szCs w:val="56"/>
                              </w:rPr>
                              <w:t>3.9 Digitalisation</w:t>
                            </w:r>
                            <w:bookmarkEnd w:id="40"/>
                            <w:bookmarkEnd w:id="41"/>
                            <w:bookmarkEnd w:id="42"/>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F4D2C0" id="_x0000_s1054" type="#_x0000_t202" style="position:absolute;left:0;text-align:left;margin-left:410.05pt;margin-top:-24.95pt;width:461.25pt;height:110.55pt;z-index:251681792;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" fillcolor="#9cc2e5 [1940]" strokecolor="#9cc2e5 [1940]">
                <v:textbox style="mso-fit-shape-to-text:t">
                  <w:txbxContent>
                    <w:p w:rsidR="006D6A0C" w:rsidRPr="005667FD" w:rsidRDefault="006D6A0C" w:rsidP="005667FD">
                      <w:pPr>
                        <w:pStyle w:val="Heading1"/>
                        <w:rPr>
                          <w:color w:val="auto"/>
                          <w:sz w:val="56"/>
                          <w:szCs w:val="56"/>
                        </w:rPr>
                      </w:pPr>
                      <w:bookmarkStart w:id="74" w:name="_Toc81228178"/>
                      <w:bookmarkStart w:id="75" w:name="_Toc81228288"/>
                      <w:bookmarkStart w:id="76" w:name="_Toc81229099"/>
                      <w:r w:rsidRPr="005667FD">
                        <w:rPr>
                          <w:color w:val="auto"/>
                          <w:sz w:val="56"/>
                          <w:szCs w:val="56"/>
                        </w:rPr>
                        <w:t>3.9 Digitalisation</w:t>
                      </w:r>
                      <w:bookmarkEnd w:id="74"/>
                      <w:bookmarkEnd w:id="75"/>
                      <w:bookmarkEnd w:id="76"/>
                    </w:p>
                  </w:txbxContent>
                </v:textbox>
                <w10:wrap anchorx="margin"/>
              </v:shape>
            </w:pict>
          </mc:Fallback>
        </mc:AlternateContent>
      </w:r>
    </w:p>
    <w:p w14:paraId="2DAEDF5E" w14:textId="77777777" w:rsidR="005667FD" w:rsidRDefault="005667FD" w:rsidP="00E75191">
      <w:pPr>
        <w:spacing w:line="240" w:lineRule="auto"/>
        <w:jc w:val="both"/>
        <w:rPr>
          <w:sz w:val="24"/>
          <w:szCs w:val="24"/>
        </w:rPr>
      </w:pPr>
    </w:p>
    <w:p w14:paraId="28BBD6BE" w14:textId="77777777" w:rsidR="00E75191" w:rsidRDefault="00E75191" w:rsidP="00E75191">
      <w:pPr>
        <w:spacing w:line="240" w:lineRule="auto"/>
        <w:jc w:val="both"/>
        <w:rPr>
          <w:sz w:val="24"/>
          <w:szCs w:val="24"/>
        </w:rPr>
      </w:pPr>
      <w:r>
        <w:rPr>
          <w:sz w:val="24"/>
          <w:szCs w:val="24"/>
        </w:rPr>
        <w:t>One of the targets of SDGs 5 is to “enhance the use of enabling technology, in particular information and communications technology, to promote the empowerment of women.”</w:t>
      </w:r>
      <w:r>
        <w:rPr>
          <w:rStyle w:val="FootnoteReference"/>
          <w:sz w:val="24"/>
          <w:szCs w:val="24"/>
        </w:rPr>
        <w:footnoteReference w:id="185"/>
      </w:r>
      <w:r>
        <w:rPr>
          <w:sz w:val="24"/>
          <w:szCs w:val="24"/>
        </w:rPr>
        <w:t xml:space="preserve"> Digitalisation has many benefits from a sustainability perspective: digital technologies are typically low cost, and </w:t>
      </w:r>
      <w:r w:rsidR="00AF2F57">
        <w:rPr>
          <w:sz w:val="24"/>
          <w:szCs w:val="24"/>
        </w:rPr>
        <w:t>have far-reaching</w:t>
      </w:r>
      <w:r>
        <w:rPr>
          <w:sz w:val="24"/>
          <w:szCs w:val="24"/>
        </w:rPr>
        <w:t xml:space="preserve"> impacts. </w:t>
      </w:r>
      <w:r w:rsidR="00AF2F57">
        <w:rPr>
          <w:sz w:val="24"/>
          <w:szCs w:val="24"/>
        </w:rPr>
        <w:t>Benefits can include</w:t>
      </w:r>
      <w:r>
        <w:rPr>
          <w:sz w:val="24"/>
          <w:szCs w:val="24"/>
        </w:rPr>
        <w:t xml:space="preserve"> labour market participation, greater financial digital inclusion, access to health care through telemedicine, access to information on a range of issues, promoting freedom of expression, with potential for economic benefit and overall wellbeing. Through ease of communication and greater room for advocacy, digitalisation can promote gender equality. There is much potential for digitalisation in Nigeria with the growth of technology.  Nigeria accounts for almost a quarter of internet users in Africa.</w:t>
      </w:r>
      <w:r>
        <w:rPr>
          <w:rStyle w:val="FootnoteReference"/>
          <w:sz w:val="24"/>
          <w:szCs w:val="24"/>
        </w:rPr>
        <w:footnoteReference w:id="186"/>
      </w:r>
      <w:r>
        <w:rPr>
          <w:sz w:val="24"/>
          <w:szCs w:val="24"/>
        </w:rPr>
        <w:t xml:space="preserve"> According to the National Bureau of Statistics, the Information and Communications Technology (ICT) sector experienced the most growth in 2020.  It accounts for 17.83 per cent of the GDP. </w:t>
      </w:r>
      <w:r>
        <w:rPr>
          <w:rStyle w:val="FootnoteReference"/>
          <w:sz w:val="24"/>
          <w:szCs w:val="24"/>
        </w:rPr>
        <w:footnoteReference w:id="187"/>
      </w:r>
    </w:p>
    <w:p w14:paraId="53CC5023" w14:textId="77777777" w:rsidR="00E75191" w:rsidRDefault="00E75191" w:rsidP="00E75191">
      <w:pPr>
        <w:spacing w:line="240" w:lineRule="auto"/>
        <w:jc w:val="both"/>
        <w:rPr>
          <w:sz w:val="24"/>
          <w:szCs w:val="24"/>
        </w:rPr>
      </w:pPr>
      <w:r>
        <w:rPr>
          <w:sz w:val="24"/>
          <w:szCs w:val="24"/>
        </w:rPr>
        <w:t>However, digitalisation can also be an avenue for inequality if deliberate attempts are not made towards inclusion and access. Challenges can also arise in situations where digitalisation makes existing jobs susceptible to attrition</w:t>
      </w:r>
      <w:r w:rsidR="00E3596E">
        <w:rPr>
          <w:sz w:val="24"/>
          <w:szCs w:val="24"/>
        </w:rPr>
        <w:t>, with potentially negative impacts on women</w:t>
      </w:r>
      <w:r>
        <w:rPr>
          <w:sz w:val="24"/>
          <w:szCs w:val="24"/>
        </w:rPr>
        <w:t xml:space="preserve">.  </w:t>
      </w:r>
      <w:r>
        <w:rPr>
          <w:rFonts w:eastAsia="Times New Roman"/>
          <w:sz w:val="24"/>
          <w:szCs w:val="24"/>
        </w:rPr>
        <w:t xml:space="preserve">In the context of this Report, various aspects of digitalisation are considered including </w:t>
      </w:r>
      <w:r>
        <w:rPr>
          <w:sz w:val="24"/>
          <w:szCs w:val="24"/>
        </w:rPr>
        <w:t>use of mobile and other digital technologies, internet use, social media, digital skills, ICT/tech business, artificial intelligence etc.</w:t>
      </w:r>
      <w:r w:rsidR="00E3596E">
        <w:rPr>
          <w:sz w:val="24"/>
          <w:szCs w:val="24"/>
        </w:rPr>
        <w:t xml:space="preserve"> With regards to ensuring women’s empowerment, </w:t>
      </w:r>
      <w:r>
        <w:rPr>
          <w:sz w:val="24"/>
          <w:szCs w:val="24"/>
        </w:rPr>
        <w:t xml:space="preserve">three </w:t>
      </w:r>
      <w:r w:rsidR="00E3596E">
        <w:rPr>
          <w:sz w:val="24"/>
          <w:szCs w:val="24"/>
        </w:rPr>
        <w:t>key aspects need to be considered</w:t>
      </w:r>
      <w:r>
        <w:rPr>
          <w:sz w:val="24"/>
          <w:szCs w:val="24"/>
        </w:rPr>
        <w:t>:</w:t>
      </w:r>
    </w:p>
    <w:p w14:paraId="602B2D7F" w14:textId="77777777" w:rsidR="00E75191" w:rsidRDefault="00E75191" w:rsidP="00E75191">
      <w:pPr>
        <w:pStyle w:val="ListParagraph"/>
        <w:numPr>
          <w:ilvl w:val="0"/>
          <w:numId w:val="14"/>
        </w:numPr>
        <w:spacing w:line="240" w:lineRule="auto"/>
        <w:jc w:val="both"/>
        <w:rPr>
          <w:sz w:val="24"/>
          <w:szCs w:val="24"/>
        </w:rPr>
      </w:pPr>
      <w:r>
        <w:rPr>
          <w:sz w:val="24"/>
          <w:szCs w:val="24"/>
        </w:rPr>
        <w:t>Access and the utilization of digital technologies</w:t>
      </w:r>
    </w:p>
    <w:p w14:paraId="737D58B8" w14:textId="77777777" w:rsidR="00E75191" w:rsidRDefault="00E75191" w:rsidP="00E75191">
      <w:pPr>
        <w:pStyle w:val="ListParagraph"/>
        <w:numPr>
          <w:ilvl w:val="0"/>
          <w:numId w:val="14"/>
        </w:numPr>
        <w:spacing w:line="240" w:lineRule="auto"/>
        <w:jc w:val="both"/>
        <w:rPr>
          <w:sz w:val="24"/>
          <w:szCs w:val="24"/>
        </w:rPr>
      </w:pPr>
      <w:r>
        <w:rPr>
          <w:sz w:val="24"/>
          <w:szCs w:val="24"/>
        </w:rPr>
        <w:t>The development of the skills needed to use digital technologies</w:t>
      </w:r>
    </w:p>
    <w:p w14:paraId="2AC18727" w14:textId="77777777" w:rsidR="00E75191" w:rsidRDefault="00E75191" w:rsidP="00E75191">
      <w:pPr>
        <w:pStyle w:val="ListParagraph"/>
        <w:numPr>
          <w:ilvl w:val="0"/>
          <w:numId w:val="14"/>
        </w:numPr>
        <w:spacing w:line="240" w:lineRule="auto"/>
        <w:jc w:val="both"/>
        <w:rPr>
          <w:sz w:val="24"/>
          <w:szCs w:val="24"/>
        </w:rPr>
      </w:pPr>
      <w:r>
        <w:rPr>
          <w:sz w:val="24"/>
          <w:szCs w:val="24"/>
        </w:rPr>
        <w:t>The advancement of women to leadership and decision-making roles in the digital sector.</w:t>
      </w:r>
      <w:r>
        <w:rPr>
          <w:rStyle w:val="FootnoteReference"/>
          <w:sz w:val="24"/>
          <w:szCs w:val="24"/>
        </w:rPr>
        <w:footnoteReference w:id="188"/>
      </w:r>
    </w:p>
    <w:p w14:paraId="5F1BF2DA" w14:textId="77777777" w:rsidR="00E75191" w:rsidRDefault="00E75191" w:rsidP="00E75191">
      <w:pPr>
        <w:spacing w:line="240" w:lineRule="auto"/>
        <w:jc w:val="both"/>
        <w:rPr>
          <w:rFonts w:eastAsia="Times New Roman"/>
          <w:sz w:val="24"/>
          <w:szCs w:val="24"/>
        </w:rPr>
      </w:pPr>
      <w:r>
        <w:rPr>
          <w:rFonts w:eastAsia="Times New Roman"/>
          <w:sz w:val="24"/>
          <w:szCs w:val="24"/>
        </w:rPr>
        <w:t>According to the 2021 Digital Global, Nigeria has the fifth largest number of people who are unconnected to the internet. It estimates that about 104,376,786 persons - about 50% of the nation's population - do not have access to the internet. 15.8</w:t>
      </w:r>
      <w:r w:rsidR="00E3596E">
        <w:rPr>
          <w:rFonts w:eastAsia="Times New Roman"/>
          <w:sz w:val="24"/>
          <w:szCs w:val="24"/>
        </w:rPr>
        <w:t>%</w:t>
      </w:r>
      <w:r>
        <w:rPr>
          <w:rFonts w:eastAsia="Times New Roman"/>
          <w:sz w:val="24"/>
          <w:szCs w:val="24"/>
        </w:rPr>
        <w:t xml:space="preserve"> </w:t>
      </w:r>
      <w:r w:rsidR="00E3596E">
        <w:rPr>
          <w:rFonts w:eastAsia="Times New Roman"/>
          <w:sz w:val="24"/>
          <w:szCs w:val="24"/>
        </w:rPr>
        <w:t xml:space="preserve">of the Nigerian population </w:t>
      </w:r>
      <w:r>
        <w:rPr>
          <w:rFonts w:eastAsia="Times New Roman"/>
          <w:sz w:val="24"/>
          <w:szCs w:val="24"/>
        </w:rPr>
        <w:t>are social media users.</w:t>
      </w:r>
      <w:r>
        <w:rPr>
          <w:rStyle w:val="FootnoteReference"/>
          <w:rFonts w:eastAsia="Times New Roman"/>
          <w:sz w:val="24"/>
          <w:szCs w:val="24"/>
        </w:rPr>
        <w:footnoteReference w:id="189"/>
      </w:r>
      <w:r>
        <w:rPr>
          <w:rFonts w:eastAsia="Times New Roman"/>
          <w:sz w:val="24"/>
          <w:szCs w:val="24"/>
        </w:rPr>
        <w:t xml:space="preserve"> These figures show that while internet use is significant, there are still a significant number of Nigerians, women and men, who are not digitally connected.  The Mobile Gender Gap Report of 2020 indicates that there is a 7</w:t>
      </w:r>
      <w:r w:rsidR="00E3596E">
        <w:rPr>
          <w:rFonts w:eastAsia="Times New Roman"/>
          <w:sz w:val="24"/>
          <w:szCs w:val="24"/>
        </w:rPr>
        <w:t>%</w:t>
      </w:r>
      <w:r>
        <w:rPr>
          <w:rFonts w:eastAsia="Times New Roman"/>
          <w:sz w:val="24"/>
          <w:szCs w:val="24"/>
        </w:rPr>
        <w:t xml:space="preserve"> phone ownership gap between men and women as 89</w:t>
      </w:r>
      <w:r w:rsidR="00E3596E">
        <w:rPr>
          <w:rFonts w:eastAsia="Times New Roman"/>
          <w:sz w:val="24"/>
          <w:szCs w:val="24"/>
        </w:rPr>
        <w:t>%</w:t>
      </w:r>
      <w:r>
        <w:rPr>
          <w:rFonts w:eastAsia="Times New Roman"/>
          <w:sz w:val="24"/>
          <w:szCs w:val="24"/>
        </w:rPr>
        <w:t xml:space="preserve"> of the male population own a mobile phone while 83</w:t>
      </w:r>
      <w:r w:rsidR="00E3596E">
        <w:rPr>
          <w:rFonts w:eastAsia="Times New Roman"/>
          <w:sz w:val="24"/>
          <w:szCs w:val="24"/>
        </w:rPr>
        <w:t>%</w:t>
      </w:r>
      <w:r>
        <w:rPr>
          <w:rFonts w:eastAsia="Times New Roman"/>
          <w:sz w:val="24"/>
          <w:szCs w:val="24"/>
        </w:rPr>
        <w:t xml:space="preserve"> of the female population own a phone. The report further stated that for smartphone ownership 87</w:t>
      </w:r>
      <w:r w:rsidR="00E3596E">
        <w:rPr>
          <w:rFonts w:eastAsia="Times New Roman"/>
          <w:sz w:val="24"/>
          <w:szCs w:val="24"/>
        </w:rPr>
        <w:t>%</w:t>
      </w:r>
      <w:r>
        <w:rPr>
          <w:rFonts w:eastAsia="Times New Roman"/>
          <w:sz w:val="24"/>
          <w:szCs w:val="24"/>
        </w:rPr>
        <w:t xml:space="preserve"> of </w:t>
      </w:r>
      <w:r>
        <w:rPr>
          <w:rFonts w:eastAsia="Times New Roman"/>
          <w:sz w:val="24"/>
          <w:szCs w:val="24"/>
        </w:rPr>
        <w:lastRenderedPageBreak/>
        <w:t>the male population own a smartphone while 69</w:t>
      </w:r>
      <w:r w:rsidR="00E3596E">
        <w:rPr>
          <w:rFonts w:eastAsia="Times New Roman"/>
          <w:sz w:val="24"/>
          <w:szCs w:val="24"/>
        </w:rPr>
        <w:t>%</w:t>
      </w:r>
      <w:r>
        <w:rPr>
          <w:rFonts w:eastAsia="Times New Roman"/>
          <w:sz w:val="24"/>
          <w:szCs w:val="24"/>
        </w:rPr>
        <w:t xml:space="preserve"> of the female population own a smartphone.</w:t>
      </w:r>
      <w:r>
        <w:rPr>
          <w:rStyle w:val="FootnoteReference"/>
          <w:rFonts w:eastAsia="Times New Roman"/>
          <w:sz w:val="24"/>
          <w:szCs w:val="24"/>
        </w:rPr>
        <w:footnoteReference w:id="190"/>
      </w:r>
    </w:p>
    <w:p w14:paraId="74A9BF58" w14:textId="77777777" w:rsidR="00E75191" w:rsidRDefault="00E75191" w:rsidP="00E75191">
      <w:pPr>
        <w:spacing w:line="240" w:lineRule="auto"/>
        <w:jc w:val="both"/>
        <w:rPr>
          <w:rFonts w:eastAsia="Times New Roman"/>
          <w:sz w:val="24"/>
          <w:szCs w:val="24"/>
        </w:rPr>
      </w:pPr>
      <w:r>
        <w:rPr>
          <w:rFonts w:eastAsia="Times New Roman"/>
          <w:sz w:val="24"/>
          <w:szCs w:val="24"/>
        </w:rPr>
        <w:t xml:space="preserve">Apart from access, utilisation is differentiated by gender. The NDHS shows that about 30% of women and 31% of men age 15-49 use the internet at least once a week, with significant variations in the extent of internet usage in rural and urban areas. It showed that urban women and men (31% and 55% respectively) are more likely than rural women and men (6% and 25% respectively) to have ever used the internet. </w:t>
      </w:r>
      <w:r w:rsidR="00C96052">
        <w:rPr>
          <w:rFonts w:eastAsia="Times New Roman"/>
          <w:sz w:val="24"/>
          <w:szCs w:val="24"/>
        </w:rPr>
        <w:t xml:space="preserve">For example, only about 1% of women and 11% of men in Kebbi and 1% of women and 14% of men in Sokoto have ever used the internet. </w:t>
      </w:r>
      <w:r>
        <w:rPr>
          <w:rFonts w:eastAsia="Times New Roman"/>
          <w:sz w:val="24"/>
          <w:szCs w:val="24"/>
        </w:rPr>
        <w:t>In contrast</w:t>
      </w:r>
      <w:r w:rsidR="00E3596E">
        <w:rPr>
          <w:rFonts w:eastAsia="Times New Roman"/>
          <w:sz w:val="24"/>
          <w:szCs w:val="24"/>
        </w:rPr>
        <w:t>,</w:t>
      </w:r>
      <w:r>
        <w:rPr>
          <w:rFonts w:eastAsia="Times New Roman"/>
          <w:sz w:val="24"/>
          <w:szCs w:val="24"/>
        </w:rPr>
        <w:t xml:space="preserve"> in cosmopolitan areas like Lagos about 60% of women and 74% of men use the internet.</w:t>
      </w:r>
      <w:r>
        <w:rPr>
          <w:rStyle w:val="FootnoteReference"/>
          <w:rFonts w:eastAsia="Times New Roman"/>
          <w:sz w:val="24"/>
          <w:szCs w:val="24"/>
        </w:rPr>
        <w:footnoteReference w:id="191"/>
      </w:r>
      <w:r>
        <w:rPr>
          <w:rFonts w:eastAsia="Times New Roman"/>
          <w:sz w:val="24"/>
          <w:szCs w:val="24"/>
        </w:rPr>
        <w:t xml:space="preserve"> Other studies on access to internet in the North show that </w:t>
      </w:r>
      <w:r w:rsidR="00C96052">
        <w:rPr>
          <w:rFonts w:eastAsia="Times New Roman"/>
          <w:sz w:val="24"/>
          <w:szCs w:val="24"/>
        </w:rPr>
        <w:t>men</w:t>
      </w:r>
      <w:r>
        <w:rPr>
          <w:rFonts w:eastAsia="Times New Roman"/>
          <w:sz w:val="24"/>
          <w:szCs w:val="24"/>
        </w:rPr>
        <w:t>, including fathers and husbands dictate the internet use of their daughters and wives and restrain them from using the internet, and a significant number of women refrain from using the internet themselves based on religious and other reasons.</w:t>
      </w:r>
      <w:r>
        <w:rPr>
          <w:rStyle w:val="FootnoteReference"/>
          <w:rFonts w:eastAsia="Times New Roman"/>
          <w:sz w:val="24"/>
          <w:szCs w:val="24"/>
        </w:rPr>
        <w:footnoteReference w:id="192"/>
      </w:r>
      <w:r>
        <w:rPr>
          <w:rFonts w:eastAsia="Times New Roman"/>
          <w:sz w:val="24"/>
          <w:szCs w:val="24"/>
        </w:rPr>
        <w:t xml:space="preserve"> These figures have significant implications in a world that has become increasingly dependent on the internet for information and widely utilized in several sectors including commerce, education, business and health.  </w:t>
      </w:r>
    </w:p>
    <w:p w14:paraId="42781626" w14:textId="77777777" w:rsidR="00E75191" w:rsidRDefault="00E75191" w:rsidP="00E75191">
      <w:pPr>
        <w:spacing w:line="240" w:lineRule="auto"/>
        <w:jc w:val="both"/>
        <w:rPr>
          <w:rFonts w:ascii="Times New Roman" w:hAnsi="Times New Roman" w:cs="Times New Roman"/>
          <w:sz w:val="24"/>
          <w:szCs w:val="24"/>
          <w:lang w:val="en"/>
        </w:rPr>
      </w:pPr>
      <w:r w:rsidRPr="00E75191">
        <w:rPr>
          <w:rFonts w:eastAsia="Times New Roman" w:cstheme="minorHAnsi"/>
          <w:sz w:val="24"/>
          <w:szCs w:val="24"/>
        </w:rPr>
        <w:t xml:space="preserve">The skills necessary for exploitation of digital businesses and innovation are also a matter that has raised gender equality concerns. Basic education and literacy are crucial, as are skills in ICT. </w:t>
      </w:r>
      <w:r w:rsidR="00C96052">
        <w:rPr>
          <w:rFonts w:cstheme="minorHAnsi"/>
          <w:sz w:val="24"/>
          <w:szCs w:val="24"/>
          <w:lang w:val="en"/>
        </w:rPr>
        <w:t>I</w:t>
      </w:r>
      <w:r w:rsidRPr="00E75191">
        <w:rPr>
          <w:rFonts w:cstheme="minorHAnsi"/>
          <w:sz w:val="24"/>
          <w:szCs w:val="24"/>
          <w:lang w:val="en"/>
        </w:rPr>
        <w:t>n Nigeria</w:t>
      </w:r>
      <w:r w:rsidR="00C96052">
        <w:rPr>
          <w:rFonts w:cstheme="minorHAnsi"/>
          <w:sz w:val="24"/>
          <w:szCs w:val="24"/>
          <w:lang w:val="en"/>
        </w:rPr>
        <w:t>,</w:t>
      </w:r>
      <w:r w:rsidRPr="00E75191">
        <w:rPr>
          <w:rFonts w:cstheme="minorHAnsi"/>
          <w:sz w:val="24"/>
          <w:szCs w:val="24"/>
          <w:lang w:val="en"/>
        </w:rPr>
        <w:t xml:space="preserve"> men are </w:t>
      </w:r>
      <w:r w:rsidR="00C96052" w:rsidRPr="00E75191">
        <w:rPr>
          <w:rFonts w:cstheme="minorHAnsi"/>
          <w:sz w:val="24"/>
          <w:szCs w:val="24"/>
          <w:lang w:val="en"/>
        </w:rPr>
        <w:t xml:space="preserve">twice </w:t>
      </w:r>
      <w:r w:rsidR="00C96052">
        <w:rPr>
          <w:rFonts w:cstheme="minorHAnsi"/>
          <w:sz w:val="24"/>
          <w:szCs w:val="24"/>
          <w:lang w:val="en"/>
        </w:rPr>
        <w:t xml:space="preserve">as </w:t>
      </w:r>
      <w:r w:rsidRPr="00E75191">
        <w:rPr>
          <w:rFonts w:cstheme="minorHAnsi"/>
          <w:sz w:val="24"/>
          <w:szCs w:val="24"/>
          <w:lang w:val="en"/>
        </w:rPr>
        <w:t>likely to have a career in computer science and technology-related fields</w:t>
      </w:r>
      <w:r w:rsidR="006828EB">
        <w:rPr>
          <w:rFonts w:cstheme="minorHAnsi"/>
          <w:sz w:val="24"/>
          <w:szCs w:val="24"/>
          <w:lang w:val="en"/>
        </w:rPr>
        <w:t xml:space="preserve"> </w:t>
      </w:r>
      <w:r w:rsidRPr="00E75191">
        <w:rPr>
          <w:rFonts w:cstheme="minorHAnsi"/>
          <w:sz w:val="24"/>
          <w:szCs w:val="24"/>
          <w:lang w:val="en"/>
        </w:rPr>
        <w:t>than women.</w:t>
      </w:r>
      <w:r w:rsidRPr="00E75191">
        <w:rPr>
          <w:rStyle w:val="FootnoteReference"/>
          <w:rFonts w:cstheme="minorHAnsi"/>
          <w:sz w:val="24"/>
          <w:szCs w:val="24"/>
          <w:lang w:val="en"/>
        </w:rPr>
        <w:footnoteReference w:id="193"/>
      </w:r>
      <w:r w:rsidRPr="00E75191">
        <w:rPr>
          <w:rFonts w:cstheme="minorHAnsi"/>
          <w:sz w:val="24"/>
          <w:szCs w:val="24"/>
          <w:lang w:val="en"/>
        </w:rPr>
        <w:t xml:space="preserve"> This was also seen in the statistics released by the National Bureau of Statistics, which stated that women in Nigeria comprise only 22% of the number of engineering and technology university graduates in totality yearly. This report further stated that in the totality of people specializing in the sector of information and communication technology, women make up approximately a fifth of them.</w:t>
      </w:r>
      <w:r w:rsidRPr="00E75191">
        <w:rPr>
          <w:rStyle w:val="FootnoteReference"/>
          <w:rFonts w:cstheme="minorHAnsi"/>
          <w:sz w:val="24"/>
          <w:szCs w:val="24"/>
          <w:lang w:val="en"/>
        </w:rPr>
        <w:footnoteReference w:id="194"/>
      </w:r>
      <w:r w:rsidRPr="00E75191">
        <w:rPr>
          <w:rFonts w:eastAsia="Times New Roman" w:cstheme="minorHAnsi"/>
          <w:sz w:val="24"/>
          <w:szCs w:val="24"/>
        </w:rPr>
        <w:t xml:space="preserve"> </w:t>
      </w:r>
      <w:r w:rsidRPr="00E75191">
        <w:rPr>
          <w:rFonts w:cstheme="minorHAnsi"/>
          <w:sz w:val="24"/>
          <w:szCs w:val="24"/>
        </w:rPr>
        <w:t xml:space="preserve">The digital skills gap is emblematic of the gap in </w:t>
      </w:r>
      <w:r w:rsidR="00036232">
        <w:rPr>
          <w:rFonts w:cstheme="minorHAnsi"/>
          <w:sz w:val="24"/>
          <w:szCs w:val="24"/>
        </w:rPr>
        <w:t>Science, Technology, Engineering and Mathematics (</w:t>
      </w:r>
      <w:r w:rsidRPr="00E75191">
        <w:rPr>
          <w:rFonts w:cstheme="minorHAnsi"/>
          <w:sz w:val="24"/>
          <w:szCs w:val="24"/>
        </w:rPr>
        <w:t>STEM</w:t>
      </w:r>
      <w:r w:rsidR="00036232">
        <w:rPr>
          <w:rFonts w:cstheme="minorHAnsi"/>
          <w:sz w:val="24"/>
          <w:szCs w:val="24"/>
        </w:rPr>
        <w:t>)</w:t>
      </w:r>
      <w:r w:rsidRPr="00E75191">
        <w:rPr>
          <w:rFonts w:cstheme="minorHAnsi"/>
          <w:sz w:val="24"/>
          <w:szCs w:val="24"/>
        </w:rPr>
        <w:t xml:space="preserve"> education and uptake by women and girls. As the world moves towards artificial intelligence, computing and robotics, the workforce will need diffe</w:t>
      </w:r>
      <w:r>
        <w:rPr>
          <w:rFonts w:cstheme="minorHAnsi"/>
          <w:sz w:val="24"/>
          <w:szCs w:val="24"/>
        </w:rPr>
        <w:t>rent skillsets</w:t>
      </w:r>
      <w:r w:rsidRPr="00E75191">
        <w:rPr>
          <w:rFonts w:cstheme="minorHAnsi"/>
          <w:sz w:val="24"/>
          <w:szCs w:val="24"/>
        </w:rPr>
        <w:t>. A significant number of jobs available in today’s world will likely require digitalization in the near future. This means that digitalization has the potential to significantly improve the social and economic upshot for women. Gaps</w:t>
      </w:r>
      <w:r>
        <w:rPr>
          <w:sz w:val="24"/>
          <w:szCs w:val="24"/>
        </w:rPr>
        <w:t xml:space="preserve"> in digital skills will lead to inequality in employment, education, and other opportunities. The digital skills gap can also lead to the embedding of gender biases in technology.</w:t>
      </w:r>
    </w:p>
    <w:p w14:paraId="3FE09355" w14:textId="77777777" w:rsidR="00E75191" w:rsidRDefault="00E75191" w:rsidP="00E75191">
      <w:pPr>
        <w:spacing w:line="240" w:lineRule="auto"/>
        <w:jc w:val="both"/>
        <w:rPr>
          <w:sz w:val="24"/>
          <w:szCs w:val="24"/>
        </w:rPr>
      </w:pPr>
      <w:r>
        <w:rPr>
          <w:sz w:val="24"/>
          <w:szCs w:val="24"/>
        </w:rPr>
        <w:t>Women’s participation in tech business is also low. A 2019 study of emerging tech start-ups in Nigeria by ONE Campaign and the Center for Global Development observed that only 30% of organisations were women-owned, with most concentrat</w:t>
      </w:r>
      <w:r w:rsidR="001D494E">
        <w:rPr>
          <w:sz w:val="24"/>
          <w:szCs w:val="24"/>
        </w:rPr>
        <w:t>ing on</w:t>
      </w:r>
      <w:r>
        <w:rPr>
          <w:sz w:val="24"/>
          <w:szCs w:val="24"/>
        </w:rPr>
        <w:t xml:space="preserve"> e-commerce and enterprise solutions. </w:t>
      </w:r>
      <w:r>
        <w:rPr>
          <w:rStyle w:val="FootnoteReference"/>
          <w:sz w:val="24"/>
          <w:szCs w:val="24"/>
        </w:rPr>
        <w:footnoteReference w:id="195"/>
      </w:r>
      <w:r>
        <w:rPr>
          <w:sz w:val="24"/>
          <w:szCs w:val="24"/>
        </w:rPr>
        <w:t xml:space="preserve"> Besides ownership, limited numbers of women are in management </w:t>
      </w:r>
      <w:r w:rsidR="001D494E">
        <w:rPr>
          <w:sz w:val="24"/>
          <w:szCs w:val="24"/>
        </w:rPr>
        <w:lastRenderedPageBreak/>
        <w:t>of</w:t>
      </w:r>
      <w:r>
        <w:rPr>
          <w:sz w:val="24"/>
          <w:szCs w:val="24"/>
        </w:rPr>
        <w:t xml:space="preserve"> tech companies: out of 93 surveyed tech firms, only six had a woman in a top management position.</w:t>
      </w:r>
      <w:r>
        <w:rPr>
          <w:rStyle w:val="FootnoteReference"/>
          <w:sz w:val="24"/>
          <w:szCs w:val="24"/>
        </w:rPr>
        <w:footnoteReference w:id="196"/>
      </w:r>
      <w:r>
        <w:rPr>
          <w:sz w:val="24"/>
          <w:szCs w:val="24"/>
        </w:rPr>
        <w:t xml:space="preserve"> Outside ownership and management, few women are employed in the tech industry with implications for women’s economic empowerment. The gaps are driven by socio-cultural norms</w:t>
      </w:r>
      <w:r w:rsidR="00036232">
        <w:rPr>
          <w:sz w:val="24"/>
          <w:szCs w:val="24"/>
        </w:rPr>
        <w:t xml:space="preserve">, </w:t>
      </w:r>
      <w:r>
        <w:rPr>
          <w:sz w:val="24"/>
          <w:szCs w:val="24"/>
        </w:rPr>
        <w:t>biases and financial barriers. There are ongoing steps to ensure women’s participation in technology and digitalisation through training programmes</w:t>
      </w:r>
      <w:r w:rsidR="00036232">
        <w:rPr>
          <w:sz w:val="24"/>
          <w:szCs w:val="24"/>
        </w:rPr>
        <w:t xml:space="preserve"> largely championed by Civils Society Organizations (CSOs)</w:t>
      </w:r>
      <w:r>
        <w:rPr>
          <w:sz w:val="24"/>
          <w:szCs w:val="24"/>
        </w:rPr>
        <w:t xml:space="preserve">. </w:t>
      </w:r>
    </w:p>
    <w:p w14:paraId="1B1995B7" w14:textId="77777777" w:rsidR="00E75191" w:rsidRDefault="00E75191" w:rsidP="00E75191">
      <w:pPr>
        <w:keepNext/>
        <w:spacing w:line="240" w:lineRule="auto"/>
        <w:jc w:val="center"/>
      </w:pPr>
      <w:r>
        <w:rPr>
          <w:noProof/>
          <w:lang w:val="en-IE" w:eastAsia="en-IE"/>
        </w:rPr>
        <w:drawing>
          <wp:inline distT="0" distB="0" distL="0" distR="0" wp14:anchorId="7F30D947" wp14:editId="100C79F9">
            <wp:extent cx="4831596" cy="3454400"/>
            <wp:effectExtent l="0" t="0" r="7620" b="0"/>
            <wp:docPr id="479" name="Picture 479" descr="https://www.cgdev.org/sites/default/files/ramachandran-masood-nigeria-tech-fig-9.png?itok=LbhdkPl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www.cgdev.org/sites/default/files/ramachandran-masood-nigeria-tech-fig-9.png?itok=LbhdkPl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852469" cy="3469324"/>
                    </a:xfrm>
                    <a:prstGeom prst="rect">
                      <a:avLst/>
                    </a:prstGeom>
                    <a:noFill/>
                    <a:ln>
                      <a:noFill/>
                    </a:ln>
                  </pic:spPr>
                </pic:pic>
              </a:graphicData>
            </a:graphic>
          </wp:inline>
        </w:drawing>
      </w:r>
    </w:p>
    <w:p w14:paraId="3F915B1B" w14:textId="77777777" w:rsidR="00E75191" w:rsidRPr="00E75191" w:rsidRDefault="00E75191" w:rsidP="00E75191">
      <w:pPr>
        <w:pStyle w:val="Caption"/>
        <w:jc w:val="center"/>
      </w:pPr>
      <w:r>
        <w:t xml:space="preserve">Figure </w:t>
      </w:r>
      <w:fldSimple w:instr=" SEQ Figure \* ARABIC ">
        <w:r w:rsidR="00C15490">
          <w:rPr>
            <w:noProof/>
          </w:rPr>
          <w:t>14</w:t>
        </w:r>
      </w:fldSimple>
      <w:r>
        <w:t xml:space="preserve"> Percentage Share of Tech firms held by women. </w:t>
      </w:r>
      <w:r w:rsidRPr="00BF4338">
        <w:t>Source: The New Economy of Africa: Opportunities for Nigeria’s Emerging Technology Sector, 2019</w:t>
      </w:r>
    </w:p>
    <w:p w14:paraId="4660FB8A" w14:textId="77777777" w:rsidR="00E75191" w:rsidRDefault="00E75191" w:rsidP="00E75191">
      <w:pPr>
        <w:spacing w:line="240" w:lineRule="auto"/>
        <w:jc w:val="both"/>
        <w:rPr>
          <w:sz w:val="24"/>
          <w:szCs w:val="24"/>
        </w:rPr>
      </w:pPr>
      <w:r>
        <w:rPr>
          <w:sz w:val="24"/>
          <w:szCs w:val="24"/>
        </w:rPr>
        <w:t>A recent study on digital technologies and gender based violence confirmed that gender norms also play a role  in  how women are viewed within the tech industry noting that: “The gender norms that both exclude women from the sector and facilitate GBV within it include the beliefs that men are superior to and more intelligent than women, that women should not take on physically tasking ICT jobs, that older employees should command respect – particularly from younger women – and the perception of women as home-makers.”</w:t>
      </w:r>
      <w:r>
        <w:rPr>
          <w:rStyle w:val="FootnoteReference"/>
          <w:sz w:val="24"/>
          <w:szCs w:val="24"/>
        </w:rPr>
        <w:footnoteReference w:id="197"/>
      </w:r>
      <w:r>
        <w:rPr>
          <w:sz w:val="24"/>
          <w:szCs w:val="24"/>
        </w:rPr>
        <w:t xml:space="preserve"> </w:t>
      </w:r>
    </w:p>
    <w:p w14:paraId="13BB3F27" w14:textId="77777777" w:rsidR="00E75191" w:rsidRDefault="00E75191" w:rsidP="00E75191">
      <w:pPr>
        <w:spacing w:line="240" w:lineRule="auto"/>
        <w:jc w:val="both"/>
        <w:rPr>
          <w:sz w:val="24"/>
          <w:szCs w:val="24"/>
        </w:rPr>
      </w:pPr>
      <w:r>
        <w:rPr>
          <w:sz w:val="24"/>
          <w:szCs w:val="24"/>
        </w:rPr>
        <w:t>Respondents</w:t>
      </w:r>
      <w:r w:rsidR="00036232">
        <w:rPr>
          <w:sz w:val="24"/>
          <w:szCs w:val="24"/>
        </w:rPr>
        <w:t xml:space="preserve"> to the primary data collection of this study w</w:t>
      </w:r>
      <w:r>
        <w:rPr>
          <w:sz w:val="24"/>
          <w:szCs w:val="24"/>
        </w:rPr>
        <w:t>ere asked questions relating to access to digital technologies and the potential benefits of digitalisation in supporting gender equality. There was general enthusiasm for digitalisation, with all of the respondents noting that it was crucial for improving gender equality in the country.  However, some noted that it is underutilised and observed that there is limited use of digital platforms by the government in spreading awareness. A notable exception is the Report GBV, that is, the National Data Situation Room/National Gender Based Violence Dashboard for collecting information on GBV incidents housed at the Federal Ministry of Women’s Affairs website. Digital tools are being used by entities working in gender</w:t>
      </w:r>
      <w:r w:rsidR="002D4BE0">
        <w:rPr>
          <w:sz w:val="24"/>
          <w:szCs w:val="24"/>
        </w:rPr>
        <w:t>-</w:t>
      </w:r>
      <w:r>
        <w:rPr>
          <w:sz w:val="24"/>
          <w:szCs w:val="24"/>
        </w:rPr>
        <w:t xml:space="preserve">based violence, including through applications for </w:t>
      </w:r>
      <w:r>
        <w:rPr>
          <w:sz w:val="24"/>
          <w:szCs w:val="24"/>
        </w:rPr>
        <w:lastRenderedPageBreak/>
        <w:t>seeking assistance.</w:t>
      </w:r>
      <w:r>
        <w:rPr>
          <w:rStyle w:val="FootnoteReference"/>
          <w:sz w:val="24"/>
          <w:szCs w:val="24"/>
        </w:rPr>
        <w:footnoteReference w:id="198"/>
      </w:r>
      <w:r>
        <w:rPr>
          <w:sz w:val="24"/>
          <w:szCs w:val="24"/>
        </w:rPr>
        <w:t xml:space="preserve">  Some noted the need for greater use of digital platforms for engaging and interacting with the public on gender equality related matters in addition to physical platforms.  </w:t>
      </w:r>
    </w:p>
    <w:p w14:paraId="71783A2B" w14:textId="77777777" w:rsidR="00E75191" w:rsidRDefault="00E75191" w:rsidP="00E75191">
      <w:pPr>
        <w:spacing w:line="240" w:lineRule="auto"/>
        <w:jc w:val="both"/>
        <w:rPr>
          <w:sz w:val="24"/>
          <w:szCs w:val="24"/>
        </w:rPr>
      </w:pPr>
      <w:r>
        <w:rPr>
          <w:sz w:val="24"/>
          <w:szCs w:val="24"/>
        </w:rPr>
        <w:t xml:space="preserve">Others noted the negative impact of women’s lower literacy levels on the acquisition of digital skills.  About half of all respondents noted the issue of access to technology and the internet for women in rural areas. </w:t>
      </w:r>
    </w:p>
    <w:p w14:paraId="2C5C6614" w14:textId="77777777" w:rsidR="00E75191" w:rsidRDefault="00E75191" w:rsidP="00E75191">
      <w:pPr>
        <w:spacing w:line="240" w:lineRule="auto"/>
        <w:jc w:val="both"/>
        <w:rPr>
          <w:sz w:val="24"/>
          <w:szCs w:val="24"/>
        </w:rPr>
      </w:pPr>
      <w:r>
        <w:rPr>
          <w:sz w:val="24"/>
          <w:szCs w:val="24"/>
        </w:rPr>
        <w:t xml:space="preserve">In essence, there are gender gaps in all aspects of digitalisation, from access to utilisation and to participation in tech business. There is need to bridge the gaps and increase women’s participation in, and gains from, digitalisation. This will require gender norms transformation, educational and financial support to boost digitalisation for both women and men, with additional efforts in support of women. There is also need to understand digital education at the level of schools from the earliest ages – from primary school onwards, and to ensure digital inclusion alongside gender norms transformation. </w:t>
      </w:r>
    </w:p>
    <w:p w14:paraId="6FC4DAD0" w14:textId="77777777" w:rsidR="00681F77" w:rsidRDefault="00681F77" w:rsidP="00E75191">
      <w:pPr>
        <w:spacing w:line="240" w:lineRule="auto"/>
        <w:jc w:val="both"/>
        <w:rPr>
          <w:rFonts w:eastAsia="Times New Roman"/>
          <w:sz w:val="24"/>
          <w:szCs w:val="24"/>
        </w:rPr>
      </w:pPr>
    </w:p>
    <w:p w14:paraId="6E0B5DB0" w14:textId="77777777" w:rsidR="00681F77" w:rsidRPr="00E75191" w:rsidRDefault="00036232" w:rsidP="00E75191">
      <w:pPr>
        <w:spacing w:line="240" w:lineRule="auto"/>
        <w:jc w:val="both"/>
        <w:rPr>
          <w:rFonts w:cstheme="minorHAnsi"/>
          <w:b/>
          <w:sz w:val="24"/>
          <w:szCs w:val="24"/>
        </w:rPr>
      </w:pPr>
      <w:r>
        <w:rPr>
          <w:rFonts w:cstheme="minorHAnsi"/>
          <w:b/>
          <w:sz w:val="24"/>
          <w:szCs w:val="24"/>
        </w:rPr>
        <w:t>Illustrative Finding</w:t>
      </w:r>
      <w:r w:rsidR="00681F77" w:rsidRPr="00E75191">
        <w:rPr>
          <w:rFonts w:cstheme="minorHAnsi"/>
          <w:b/>
          <w:sz w:val="24"/>
          <w:szCs w:val="24"/>
        </w:rPr>
        <w:t>: ICT and Gender Equality Promotion</w:t>
      </w:r>
    </w:p>
    <w:p w14:paraId="45161A27" w14:textId="77777777" w:rsidR="00681F77" w:rsidRDefault="00681F77" w:rsidP="00E75191">
      <w:pPr>
        <w:autoSpaceDE w:val="0"/>
        <w:autoSpaceDN w:val="0"/>
        <w:adjustRightInd w:val="0"/>
        <w:spacing w:after="0" w:line="240" w:lineRule="auto"/>
        <w:jc w:val="both"/>
        <w:rPr>
          <w:rFonts w:cstheme="minorHAnsi"/>
          <w:sz w:val="24"/>
          <w:szCs w:val="24"/>
        </w:rPr>
      </w:pPr>
      <w:r w:rsidRPr="00E75191">
        <w:rPr>
          <w:rFonts w:cstheme="minorHAnsi"/>
          <w:sz w:val="24"/>
          <w:szCs w:val="24"/>
        </w:rPr>
        <w:t xml:space="preserve">The percentage of respondents that indicated the impact of ICT education on gender equality stands at 40.0% which is higher than other </w:t>
      </w:r>
      <w:r w:rsidR="008F0773">
        <w:rPr>
          <w:rFonts w:cstheme="minorHAnsi"/>
          <w:sz w:val="24"/>
          <w:szCs w:val="24"/>
        </w:rPr>
        <w:t>categories/</w:t>
      </w:r>
      <w:r w:rsidRPr="00E75191">
        <w:rPr>
          <w:rFonts w:cstheme="minorHAnsi"/>
          <w:sz w:val="24"/>
          <w:szCs w:val="24"/>
        </w:rPr>
        <w:t>sectors</w:t>
      </w:r>
      <w:r w:rsidR="008F0773">
        <w:rPr>
          <w:rFonts w:cstheme="minorHAnsi"/>
          <w:sz w:val="24"/>
          <w:szCs w:val="24"/>
        </w:rPr>
        <w:t xml:space="preserve"> (healthcare, social services)</w:t>
      </w:r>
      <w:r w:rsidR="004B145B">
        <w:rPr>
          <w:rFonts w:cstheme="minorHAnsi"/>
          <w:sz w:val="24"/>
          <w:szCs w:val="24"/>
        </w:rPr>
        <w:t>. This may</w:t>
      </w:r>
      <w:r w:rsidRPr="00E75191">
        <w:rPr>
          <w:rFonts w:cstheme="minorHAnsi"/>
          <w:sz w:val="24"/>
          <w:szCs w:val="24"/>
        </w:rPr>
        <w:t xml:space="preserve"> be associated with the prevalence of ICT mediated education tools and education technology platforms, which may be readily available and accessible to the respondents. It is also worthy to note that the </w:t>
      </w:r>
      <w:r w:rsidR="00332DEF">
        <w:rPr>
          <w:rFonts w:cstheme="minorHAnsi"/>
          <w:sz w:val="24"/>
          <w:szCs w:val="24"/>
        </w:rPr>
        <w:t>percentage</w:t>
      </w:r>
      <w:r w:rsidR="00332DEF" w:rsidRPr="00E75191">
        <w:rPr>
          <w:rFonts w:cstheme="minorHAnsi"/>
          <w:sz w:val="24"/>
          <w:szCs w:val="24"/>
        </w:rPr>
        <w:t xml:space="preserve"> </w:t>
      </w:r>
      <w:r w:rsidRPr="00E75191">
        <w:rPr>
          <w:rFonts w:cstheme="minorHAnsi"/>
          <w:sz w:val="24"/>
          <w:szCs w:val="24"/>
        </w:rPr>
        <w:t xml:space="preserve">for education </w:t>
      </w:r>
      <w:r w:rsidR="008F0773">
        <w:rPr>
          <w:rFonts w:cstheme="minorHAnsi"/>
          <w:sz w:val="24"/>
          <w:szCs w:val="24"/>
        </w:rPr>
        <w:t xml:space="preserve">sector </w:t>
      </w:r>
      <w:r w:rsidRPr="00E75191">
        <w:rPr>
          <w:rFonts w:cstheme="minorHAnsi"/>
          <w:sz w:val="24"/>
          <w:szCs w:val="24"/>
        </w:rPr>
        <w:t>are higher in states</w:t>
      </w:r>
      <w:r w:rsidR="008F0773">
        <w:rPr>
          <w:rFonts w:cstheme="minorHAnsi"/>
          <w:sz w:val="24"/>
          <w:szCs w:val="24"/>
        </w:rPr>
        <w:t xml:space="preserve"> (particularly Anambra: 50.0% , FCT: 52.1% and Lagos states: 40.2% respectively),</w:t>
      </w:r>
      <w:r w:rsidR="004B145B">
        <w:rPr>
          <w:rFonts w:cstheme="minorHAnsi"/>
          <w:sz w:val="24"/>
          <w:szCs w:val="24"/>
        </w:rPr>
        <w:t xml:space="preserve"> which are</w:t>
      </w:r>
      <w:r w:rsidRPr="00E75191">
        <w:rPr>
          <w:rFonts w:cstheme="minorHAnsi"/>
          <w:sz w:val="24"/>
          <w:szCs w:val="24"/>
        </w:rPr>
        <w:t xml:space="preserve"> known for reasonable </w:t>
      </w:r>
      <w:r w:rsidR="004B145B">
        <w:rPr>
          <w:rFonts w:cstheme="minorHAnsi"/>
          <w:sz w:val="24"/>
          <w:szCs w:val="24"/>
        </w:rPr>
        <w:t>achievement in</w:t>
      </w:r>
      <w:r w:rsidR="002D4BE0">
        <w:rPr>
          <w:rFonts w:cstheme="minorHAnsi"/>
          <w:sz w:val="24"/>
          <w:szCs w:val="24"/>
        </w:rPr>
        <w:t>b</w:t>
      </w:r>
      <w:r w:rsidRPr="00E75191">
        <w:rPr>
          <w:rFonts w:cstheme="minorHAnsi"/>
          <w:sz w:val="24"/>
          <w:szCs w:val="24"/>
        </w:rPr>
        <w:t>asic education</w:t>
      </w:r>
      <w:r w:rsidR="002D4BE0">
        <w:rPr>
          <w:rFonts w:cstheme="minorHAnsi"/>
          <w:sz w:val="24"/>
          <w:szCs w:val="24"/>
        </w:rPr>
        <w:t>,</w:t>
      </w:r>
      <w:r w:rsidR="008F0773">
        <w:rPr>
          <w:rFonts w:cstheme="minorHAnsi"/>
          <w:sz w:val="24"/>
          <w:szCs w:val="24"/>
        </w:rPr>
        <w:t xml:space="preserve"> including</w:t>
      </w:r>
      <w:r w:rsidRPr="00E75191">
        <w:rPr>
          <w:rFonts w:cstheme="minorHAnsi"/>
          <w:sz w:val="24"/>
          <w:szCs w:val="24"/>
        </w:rPr>
        <w:t xml:space="preserve"> students enrolment</w:t>
      </w:r>
      <w:r w:rsidR="008F0773">
        <w:rPr>
          <w:rFonts w:cstheme="minorHAnsi"/>
          <w:sz w:val="24"/>
          <w:szCs w:val="24"/>
        </w:rPr>
        <w:t xml:space="preserve"> </w:t>
      </w:r>
      <w:r w:rsidR="002D4BE0">
        <w:rPr>
          <w:rFonts w:cstheme="minorHAnsi"/>
          <w:sz w:val="24"/>
          <w:szCs w:val="24"/>
        </w:rPr>
        <w:t>,</w:t>
      </w:r>
      <w:r w:rsidRPr="00E75191">
        <w:rPr>
          <w:rFonts w:cstheme="minorHAnsi"/>
          <w:sz w:val="24"/>
          <w:szCs w:val="24"/>
        </w:rPr>
        <w:t xml:space="preserve"> and completion</w:t>
      </w:r>
      <w:r w:rsidR="002D4BE0">
        <w:rPr>
          <w:rFonts w:cstheme="minorHAnsi"/>
          <w:sz w:val="24"/>
          <w:szCs w:val="24"/>
        </w:rPr>
        <w:t xml:space="preserve"> of education</w:t>
      </w:r>
      <w:r w:rsidRPr="00E75191">
        <w:rPr>
          <w:rFonts w:cstheme="minorHAnsi"/>
          <w:sz w:val="24"/>
          <w:szCs w:val="24"/>
        </w:rPr>
        <w:t>. Further, access to social services indic</w:t>
      </w:r>
      <w:r w:rsidRPr="00681F77">
        <w:rPr>
          <w:rFonts w:cstheme="minorHAnsi"/>
          <w:sz w:val="24"/>
          <w:szCs w:val="24"/>
        </w:rPr>
        <w:t xml:space="preserve">ates 28.1% while healthcare is </w:t>
      </w:r>
      <w:r w:rsidRPr="00E75191">
        <w:rPr>
          <w:rFonts w:cstheme="minorHAnsi"/>
          <w:sz w:val="24"/>
          <w:szCs w:val="24"/>
        </w:rPr>
        <w:t xml:space="preserve">19.9%. From the data, it presents that ICT in healthcare is not </w:t>
      </w:r>
      <w:r w:rsidR="00D6022A">
        <w:rPr>
          <w:rFonts w:cstheme="minorHAnsi"/>
          <w:sz w:val="24"/>
          <w:szCs w:val="24"/>
        </w:rPr>
        <w:t>perceived to be significantly impactful in addressing</w:t>
      </w:r>
      <w:r w:rsidRPr="00E75191">
        <w:rPr>
          <w:rFonts w:cstheme="minorHAnsi"/>
          <w:sz w:val="24"/>
          <w:szCs w:val="24"/>
        </w:rPr>
        <w:t xml:space="preserve"> gender inequality – See Figure 8</w:t>
      </w:r>
    </w:p>
    <w:p w14:paraId="7BF635B0" w14:textId="77777777" w:rsidR="008F0773" w:rsidRDefault="008F0773" w:rsidP="008F0773"/>
    <w:tbl>
      <w:tblPr>
        <w:tblStyle w:val="TableGrid"/>
        <w:tblW w:w="10469" w:type="dxa"/>
        <w:tblInd w:w="-727" w:type="dxa"/>
        <w:tblLayout w:type="fixed"/>
        <w:tblLook w:val="0000" w:firstRow="0" w:lastRow="0" w:firstColumn="0" w:lastColumn="0" w:noHBand="0" w:noVBand="0"/>
      </w:tblPr>
      <w:tblGrid>
        <w:gridCol w:w="1252"/>
        <w:gridCol w:w="1252"/>
        <w:gridCol w:w="1167"/>
        <w:gridCol w:w="1133"/>
        <w:gridCol w:w="1133"/>
        <w:gridCol w:w="1133"/>
        <w:gridCol w:w="1133"/>
        <w:gridCol w:w="1133"/>
        <w:gridCol w:w="1133"/>
      </w:tblGrid>
      <w:tr w:rsidR="008F0773" w:rsidRPr="008A6DD2" w14:paraId="722F4F02" w14:textId="77777777" w:rsidTr="00D6022A">
        <w:tc>
          <w:tcPr>
            <w:tcW w:w="1252" w:type="dxa"/>
          </w:tcPr>
          <w:p w14:paraId="2F7693E1" w14:textId="77777777" w:rsidR="008F0773" w:rsidRPr="008A6DD2" w:rsidRDefault="008F0773" w:rsidP="009024DA">
            <w:pPr>
              <w:autoSpaceDE w:val="0"/>
              <w:autoSpaceDN w:val="0"/>
              <w:adjustRightInd w:val="0"/>
              <w:spacing w:line="320" w:lineRule="atLeast"/>
              <w:ind w:left="60" w:right="60"/>
              <w:jc w:val="center"/>
              <w:rPr>
                <w:rFonts w:ascii="Arial" w:hAnsi="Arial" w:cs="Arial"/>
                <w:color w:val="264A60"/>
                <w:sz w:val="18"/>
                <w:szCs w:val="18"/>
              </w:rPr>
            </w:pPr>
          </w:p>
        </w:tc>
        <w:tc>
          <w:tcPr>
            <w:tcW w:w="1252" w:type="dxa"/>
          </w:tcPr>
          <w:p w14:paraId="7313EACA" w14:textId="77777777" w:rsidR="008F0773" w:rsidRPr="008A6DD2" w:rsidRDefault="008F0773" w:rsidP="009024DA">
            <w:pPr>
              <w:autoSpaceDE w:val="0"/>
              <w:autoSpaceDN w:val="0"/>
              <w:adjustRightInd w:val="0"/>
              <w:spacing w:line="320" w:lineRule="atLeast"/>
              <w:ind w:left="60" w:right="60"/>
              <w:jc w:val="center"/>
              <w:rPr>
                <w:rFonts w:ascii="Arial" w:hAnsi="Arial" w:cs="Arial"/>
                <w:color w:val="264A60"/>
                <w:sz w:val="18"/>
                <w:szCs w:val="18"/>
              </w:rPr>
            </w:pPr>
            <w:r w:rsidRPr="008A6DD2">
              <w:rPr>
                <w:rFonts w:ascii="Arial" w:hAnsi="Arial" w:cs="Arial"/>
                <w:color w:val="264A60"/>
                <w:sz w:val="18"/>
                <w:szCs w:val="18"/>
              </w:rPr>
              <w:t>Adamawa</w:t>
            </w:r>
          </w:p>
        </w:tc>
        <w:tc>
          <w:tcPr>
            <w:tcW w:w="1167" w:type="dxa"/>
          </w:tcPr>
          <w:p w14:paraId="5E232F3B" w14:textId="77777777" w:rsidR="008F0773" w:rsidRPr="008A6DD2" w:rsidRDefault="008F0773" w:rsidP="009024DA">
            <w:pPr>
              <w:autoSpaceDE w:val="0"/>
              <w:autoSpaceDN w:val="0"/>
              <w:adjustRightInd w:val="0"/>
              <w:spacing w:line="320" w:lineRule="atLeast"/>
              <w:ind w:left="60" w:right="60"/>
              <w:jc w:val="center"/>
              <w:rPr>
                <w:rFonts w:ascii="Arial" w:hAnsi="Arial" w:cs="Arial"/>
                <w:color w:val="264A60"/>
                <w:sz w:val="18"/>
                <w:szCs w:val="18"/>
              </w:rPr>
            </w:pPr>
            <w:r w:rsidRPr="008A6DD2">
              <w:rPr>
                <w:rFonts w:ascii="Arial" w:hAnsi="Arial" w:cs="Arial"/>
                <w:color w:val="264A60"/>
                <w:sz w:val="18"/>
                <w:szCs w:val="18"/>
              </w:rPr>
              <w:t>Anambra</w:t>
            </w:r>
          </w:p>
        </w:tc>
        <w:tc>
          <w:tcPr>
            <w:tcW w:w="1133" w:type="dxa"/>
          </w:tcPr>
          <w:p w14:paraId="06D7E159" w14:textId="77777777" w:rsidR="008F0773" w:rsidRPr="008A6DD2" w:rsidRDefault="008F0773" w:rsidP="009024DA">
            <w:pPr>
              <w:autoSpaceDE w:val="0"/>
              <w:autoSpaceDN w:val="0"/>
              <w:adjustRightInd w:val="0"/>
              <w:spacing w:line="320" w:lineRule="atLeast"/>
              <w:ind w:left="60" w:right="60"/>
              <w:jc w:val="center"/>
              <w:rPr>
                <w:rFonts w:ascii="Arial" w:hAnsi="Arial" w:cs="Arial"/>
                <w:color w:val="264A60"/>
                <w:sz w:val="18"/>
                <w:szCs w:val="18"/>
              </w:rPr>
            </w:pPr>
            <w:r w:rsidRPr="008A6DD2">
              <w:rPr>
                <w:rFonts w:ascii="Arial" w:hAnsi="Arial" w:cs="Arial"/>
                <w:color w:val="264A60"/>
                <w:sz w:val="18"/>
                <w:szCs w:val="18"/>
              </w:rPr>
              <w:t>Edo</w:t>
            </w:r>
          </w:p>
        </w:tc>
        <w:tc>
          <w:tcPr>
            <w:tcW w:w="1133" w:type="dxa"/>
          </w:tcPr>
          <w:p w14:paraId="22ECD0ED" w14:textId="77777777" w:rsidR="008F0773" w:rsidRPr="008A6DD2" w:rsidRDefault="008F0773" w:rsidP="009024DA">
            <w:pPr>
              <w:autoSpaceDE w:val="0"/>
              <w:autoSpaceDN w:val="0"/>
              <w:adjustRightInd w:val="0"/>
              <w:spacing w:line="320" w:lineRule="atLeast"/>
              <w:ind w:left="60" w:right="60"/>
              <w:jc w:val="center"/>
              <w:rPr>
                <w:rFonts w:ascii="Arial" w:hAnsi="Arial" w:cs="Arial"/>
                <w:color w:val="264A60"/>
                <w:sz w:val="18"/>
                <w:szCs w:val="18"/>
              </w:rPr>
            </w:pPr>
            <w:r w:rsidRPr="008A6DD2">
              <w:rPr>
                <w:rFonts w:ascii="Arial" w:hAnsi="Arial" w:cs="Arial"/>
                <w:color w:val="264A60"/>
                <w:sz w:val="18"/>
                <w:szCs w:val="18"/>
              </w:rPr>
              <w:t>FCT</w:t>
            </w:r>
          </w:p>
        </w:tc>
        <w:tc>
          <w:tcPr>
            <w:tcW w:w="1133" w:type="dxa"/>
          </w:tcPr>
          <w:p w14:paraId="7217D369" w14:textId="77777777" w:rsidR="008F0773" w:rsidRPr="008A6DD2" w:rsidRDefault="008F0773" w:rsidP="009024DA">
            <w:pPr>
              <w:autoSpaceDE w:val="0"/>
              <w:autoSpaceDN w:val="0"/>
              <w:adjustRightInd w:val="0"/>
              <w:spacing w:line="320" w:lineRule="atLeast"/>
              <w:ind w:left="60" w:right="60"/>
              <w:jc w:val="center"/>
              <w:rPr>
                <w:rFonts w:ascii="Arial" w:hAnsi="Arial" w:cs="Arial"/>
                <w:color w:val="264A60"/>
                <w:sz w:val="18"/>
                <w:szCs w:val="18"/>
              </w:rPr>
            </w:pPr>
            <w:r w:rsidRPr="008A6DD2">
              <w:rPr>
                <w:rFonts w:ascii="Arial" w:hAnsi="Arial" w:cs="Arial"/>
                <w:color w:val="264A60"/>
                <w:sz w:val="18"/>
                <w:szCs w:val="18"/>
              </w:rPr>
              <w:t>Kano</w:t>
            </w:r>
          </w:p>
        </w:tc>
        <w:tc>
          <w:tcPr>
            <w:tcW w:w="1133" w:type="dxa"/>
          </w:tcPr>
          <w:p w14:paraId="17164FA5" w14:textId="77777777" w:rsidR="008F0773" w:rsidRPr="008A6DD2" w:rsidRDefault="008F0773" w:rsidP="009024DA">
            <w:pPr>
              <w:autoSpaceDE w:val="0"/>
              <w:autoSpaceDN w:val="0"/>
              <w:adjustRightInd w:val="0"/>
              <w:spacing w:line="320" w:lineRule="atLeast"/>
              <w:ind w:left="60" w:right="60"/>
              <w:jc w:val="center"/>
              <w:rPr>
                <w:rFonts w:ascii="Arial" w:hAnsi="Arial" w:cs="Arial"/>
                <w:color w:val="264A60"/>
                <w:sz w:val="18"/>
                <w:szCs w:val="18"/>
              </w:rPr>
            </w:pPr>
            <w:r w:rsidRPr="008A6DD2">
              <w:rPr>
                <w:rFonts w:ascii="Arial" w:hAnsi="Arial" w:cs="Arial"/>
                <w:color w:val="264A60"/>
                <w:sz w:val="18"/>
                <w:szCs w:val="18"/>
              </w:rPr>
              <w:t>Kwara</w:t>
            </w:r>
          </w:p>
        </w:tc>
        <w:tc>
          <w:tcPr>
            <w:tcW w:w="1133" w:type="dxa"/>
          </w:tcPr>
          <w:p w14:paraId="4DFA2104" w14:textId="77777777" w:rsidR="008F0773" w:rsidRPr="008A6DD2" w:rsidRDefault="008F0773" w:rsidP="009024DA">
            <w:pPr>
              <w:autoSpaceDE w:val="0"/>
              <w:autoSpaceDN w:val="0"/>
              <w:adjustRightInd w:val="0"/>
              <w:spacing w:line="320" w:lineRule="atLeast"/>
              <w:ind w:left="60" w:right="60"/>
              <w:jc w:val="center"/>
              <w:rPr>
                <w:rFonts w:ascii="Arial" w:hAnsi="Arial" w:cs="Arial"/>
                <w:color w:val="264A60"/>
                <w:sz w:val="18"/>
                <w:szCs w:val="18"/>
              </w:rPr>
            </w:pPr>
            <w:r w:rsidRPr="008A6DD2">
              <w:rPr>
                <w:rFonts w:ascii="Arial" w:hAnsi="Arial" w:cs="Arial"/>
                <w:color w:val="264A60"/>
                <w:sz w:val="18"/>
                <w:szCs w:val="18"/>
              </w:rPr>
              <w:t>Lagos</w:t>
            </w:r>
          </w:p>
        </w:tc>
        <w:tc>
          <w:tcPr>
            <w:tcW w:w="1133" w:type="dxa"/>
          </w:tcPr>
          <w:p w14:paraId="0FD17983" w14:textId="77777777" w:rsidR="008F0773" w:rsidRPr="008A6DD2" w:rsidRDefault="008F0773" w:rsidP="009024DA">
            <w:pPr>
              <w:autoSpaceDE w:val="0"/>
              <w:autoSpaceDN w:val="0"/>
              <w:adjustRightInd w:val="0"/>
              <w:rPr>
                <w:rFonts w:ascii="Arial" w:hAnsi="Arial" w:cs="Arial"/>
                <w:color w:val="264A60"/>
                <w:sz w:val="18"/>
                <w:szCs w:val="18"/>
              </w:rPr>
            </w:pPr>
            <w:r>
              <w:rPr>
                <w:rFonts w:ascii="Arial" w:hAnsi="Arial" w:cs="Arial"/>
                <w:color w:val="264A60"/>
                <w:sz w:val="18"/>
                <w:szCs w:val="18"/>
              </w:rPr>
              <w:t>Total</w:t>
            </w:r>
          </w:p>
        </w:tc>
      </w:tr>
      <w:tr w:rsidR="008F0773" w:rsidRPr="008A6DD2" w14:paraId="5519D022" w14:textId="77777777" w:rsidTr="00D6022A">
        <w:tc>
          <w:tcPr>
            <w:tcW w:w="1252" w:type="dxa"/>
          </w:tcPr>
          <w:p w14:paraId="1BF6F751" w14:textId="77777777" w:rsidR="008F0773" w:rsidRPr="008A6DD2" w:rsidRDefault="008F0773" w:rsidP="009024DA">
            <w:pPr>
              <w:autoSpaceDE w:val="0"/>
              <w:autoSpaceDN w:val="0"/>
              <w:adjustRightInd w:val="0"/>
              <w:spacing w:line="320" w:lineRule="atLeast"/>
              <w:ind w:left="60" w:right="60"/>
              <w:jc w:val="right"/>
              <w:rPr>
                <w:rFonts w:ascii="Arial" w:hAnsi="Arial" w:cs="Arial"/>
                <w:color w:val="010205"/>
                <w:sz w:val="18"/>
                <w:szCs w:val="18"/>
              </w:rPr>
            </w:pPr>
            <w:r w:rsidRPr="008A6DD2">
              <w:rPr>
                <w:rFonts w:ascii="Arial" w:hAnsi="Arial" w:cs="Arial"/>
                <w:color w:val="264A60"/>
                <w:sz w:val="18"/>
                <w:szCs w:val="18"/>
              </w:rPr>
              <w:t>Access social services</w:t>
            </w:r>
          </w:p>
        </w:tc>
        <w:tc>
          <w:tcPr>
            <w:tcW w:w="1252" w:type="dxa"/>
          </w:tcPr>
          <w:p w14:paraId="6C7A8E01" w14:textId="77777777" w:rsidR="008F0773" w:rsidRPr="008A6DD2" w:rsidRDefault="008F0773" w:rsidP="009024DA">
            <w:pPr>
              <w:autoSpaceDE w:val="0"/>
              <w:autoSpaceDN w:val="0"/>
              <w:adjustRightInd w:val="0"/>
              <w:spacing w:line="320" w:lineRule="atLeast"/>
              <w:ind w:left="60" w:right="60"/>
              <w:jc w:val="right"/>
              <w:rPr>
                <w:rFonts w:ascii="Arial" w:hAnsi="Arial" w:cs="Arial"/>
                <w:color w:val="010205"/>
                <w:sz w:val="18"/>
                <w:szCs w:val="18"/>
              </w:rPr>
            </w:pPr>
            <w:r w:rsidRPr="008A6DD2">
              <w:rPr>
                <w:rFonts w:ascii="Arial" w:hAnsi="Arial" w:cs="Arial"/>
                <w:color w:val="010205"/>
                <w:sz w:val="18"/>
                <w:szCs w:val="18"/>
              </w:rPr>
              <w:t>38.8%</w:t>
            </w:r>
          </w:p>
        </w:tc>
        <w:tc>
          <w:tcPr>
            <w:tcW w:w="1167" w:type="dxa"/>
          </w:tcPr>
          <w:p w14:paraId="34A6A351" w14:textId="77777777" w:rsidR="008F0773" w:rsidRPr="008A6DD2" w:rsidRDefault="008F0773" w:rsidP="009024DA">
            <w:pPr>
              <w:autoSpaceDE w:val="0"/>
              <w:autoSpaceDN w:val="0"/>
              <w:adjustRightInd w:val="0"/>
              <w:spacing w:line="320" w:lineRule="atLeast"/>
              <w:ind w:left="60" w:right="60"/>
              <w:jc w:val="right"/>
              <w:rPr>
                <w:rFonts w:ascii="Arial" w:hAnsi="Arial" w:cs="Arial"/>
                <w:color w:val="010205"/>
                <w:sz w:val="18"/>
                <w:szCs w:val="18"/>
              </w:rPr>
            </w:pPr>
            <w:r w:rsidRPr="008A6DD2">
              <w:rPr>
                <w:rFonts w:ascii="Arial" w:hAnsi="Arial" w:cs="Arial"/>
                <w:color w:val="010205"/>
                <w:sz w:val="18"/>
                <w:szCs w:val="18"/>
              </w:rPr>
              <w:t>21.4%</w:t>
            </w:r>
          </w:p>
        </w:tc>
        <w:tc>
          <w:tcPr>
            <w:tcW w:w="1133" w:type="dxa"/>
          </w:tcPr>
          <w:p w14:paraId="77D42414" w14:textId="77777777" w:rsidR="008F0773" w:rsidRPr="008A6DD2" w:rsidRDefault="008F0773" w:rsidP="009024DA">
            <w:pPr>
              <w:autoSpaceDE w:val="0"/>
              <w:autoSpaceDN w:val="0"/>
              <w:adjustRightInd w:val="0"/>
              <w:spacing w:line="320" w:lineRule="atLeast"/>
              <w:ind w:left="60" w:right="60"/>
              <w:jc w:val="right"/>
              <w:rPr>
                <w:rFonts w:ascii="Arial" w:hAnsi="Arial" w:cs="Arial"/>
                <w:color w:val="010205"/>
                <w:sz w:val="18"/>
                <w:szCs w:val="18"/>
              </w:rPr>
            </w:pPr>
            <w:r w:rsidRPr="008A6DD2">
              <w:rPr>
                <w:rFonts w:ascii="Arial" w:hAnsi="Arial" w:cs="Arial"/>
                <w:color w:val="010205"/>
                <w:sz w:val="18"/>
                <w:szCs w:val="18"/>
              </w:rPr>
              <w:t>44.1%</w:t>
            </w:r>
          </w:p>
        </w:tc>
        <w:tc>
          <w:tcPr>
            <w:tcW w:w="1133" w:type="dxa"/>
          </w:tcPr>
          <w:p w14:paraId="20790250" w14:textId="77777777" w:rsidR="008F0773" w:rsidRPr="008A6DD2" w:rsidRDefault="008F0773" w:rsidP="009024DA">
            <w:pPr>
              <w:autoSpaceDE w:val="0"/>
              <w:autoSpaceDN w:val="0"/>
              <w:adjustRightInd w:val="0"/>
              <w:spacing w:line="320" w:lineRule="atLeast"/>
              <w:ind w:left="60" w:right="60"/>
              <w:jc w:val="right"/>
              <w:rPr>
                <w:rFonts w:ascii="Arial" w:hAnsi="Arial" w:cs="Arial"/>
                <w:color w:val="010205"/>
                <w:sz w:val="18"/>
                <w:szCs w:val="18"/>
              </w:rPr>
            </w:pPr>
            <w:r w:rsidRPr="008A6DD2">
              <w:rPr>
                <w:rFonts w:ascii="Arial" w:hAnsi="Arial" w:cs="Arial"/>
                <w:color w:val="010205"/>
                <w:sz w:val="18"/>
                <w:szCs w:val="18"/>
              </w:rPr>
              <w:t>23.9%</w:t>
            </w:r>
          </w:p>
        </w:tc>
        <w:tc>
          <w:tcPr>
            <w:tcW w:w="1133" w:type="dxa"/>
          </w:tcPr>
          <w:p w14:paraId="5D5A7208" w14:textId="77777777" w:rsidR="008F0773" w:rsidRPr="008A6DD2" w:rsidRDefault="008F0773" w:rsidP="009024DA">
            <w:pPr>
              <w:autoSpaceDE w:val="0"/>
              <w:autoSpaceDN w:val="0"/>
              <w:adjustRightInd w:val="0"/>
              <w:spacing w:line="320" w:lineRule="atLeast"/>
              <w:ind w:left="60" w:right="60"/>
              <w:jc w:val="right"/>
              <w:rPr>
                <w:rFonts w:ascii="Arial" w:hAnsi="Arial" w:cs="Arial"/>
                <w:color w:val="010205"/>
                <w:sz w:val="18"/>
                <w:szCs w:val="18"/>
              </w:rPr>
            </w:pPr>
            <w:r w:rsidRPr="008A6DD2">
              <w:rPr>
                <w:rFonts w:ascii="Arial" w:hAnsi="Arial" w:cs="Arial"/>
                <w:color w:val="010205"/>
                <w:sz w:val="18"/>
                <w:szCs w:val="18"/>
              </w:rPr>
              <w:t>12.1%</w:t>
            </w:r>
          </w:p>
        </w:tc>
        <w:tc>
          <w:tcPr>
            <w:tcW w:w="1133" w:type="dxa"/>
          </w:tcPr>
          <w:p w14:paraId="71D574DF" w14:textId="77777777" w:rsidR="008F0773" w:rsidRPr="008A6DD2" w:rsidRDefault="008F0773" w:rsidP="009024DA">
            <w:pPr>
              <w:autoSpaceDE w:val="0"/>
              <w:autoSpaceDN w:val="0"/>
              <w:adjustRightInd w:val="0"/>
              <w:spacing w:line="320" w:lineRule="atLeast"/>
              <w:ind w:left="60" w:right="60"/>
              <w:jc w:val="right"/>
              <w:rPr>
                <w:rFonts w:ascii="Arial" w:hAnsi="Arial" w:cs="Arial"/>
                <w:color w:val="010205"/>
                <w:sz w:val="18"/>
                <w:szCs w:val="18"/>
              </w:rPr>
            </w:pPr>
            <w:r w:rsidRPr="008A6DD2">
              <w:rPr>
                <w:rFonts w:ascii="Arial" w:hAnsi="Arial" w:cs="Arial"/>
                <w:color w:val="010205"/>
                <w:sz w:val="18"/>
                <w:szCs w:val="18"/>
              </w:rPr>
              <w:t>31.0%</w:t>
            </w:r>
          </w:p>
        </w:tc>
        <w:tc>
          <w:tcPr>
            <w:tcW w:w="1133" w:type="dxa"/>
          </w:tcPr>
          <w:p w14:paraId="24F1724B" w14:textId="77777777" w:rsidR="008F0773" w:rsidRPr="008A6DD2" w:rsidRDefault="008F0773" w:rsidP="009024DA">
            <w:pPr>
              <w:autoSpaceDE w:val="0"/>
              <w:autoSpaceDN w:val="0"/>
              <w:adjustRightInd w:val="0"/>
              <w:spacing w:line="320" w:lineRule="atLeast"/>
              <w:ind w:left="60" w:right="60"/>
              <w:jc w:val="right"/>
              <w:rPr>
                <w:rFonts w:ascii="Arial" w:hAnsi="Arial" w:cs="Arial"/>
                <w:color w:val="010205"/>
                <w:sz w:val="18"/>
                <w:szCs w:val="18"/>
              </w:rPr>
            </w:pPr>
            <w:r w:rsidRPr="008A6DD2">
              <w:rPr>
                <w:rFonts w:ascii="Arial" w:hAnsi="Arial" w:cs="Arial"/>
                <w:color w:val="010205"/>
                <w:sz w:val="18"/>
                <w:szCs w:val="18"/>
              </w:rPr>
              <w:t>29.5%</w:t>
            </w:r>
          </w:p>
        </w:tc>
        <w:tc>
          <w:tcPr>
            <w:tcW w:w="1133" w:type="dxa"/>
          </w:tcPr>
          <w:p w14:paraId="5DBA74A5" w14:textId="77777777" w:rsidR="008F0773" w:rsidRPr="008A6DD2" w:rsidRDefault="008F0773" w:rsidP="009024DA">
            <w:pPr>
              <w:autoSpaceDE w:val="0"/>
              <w:autoSpaceDN w:val="0"/>
              <w:adjustRightInd w:val="0"/>
              <w:spacing w:line="320" w:lineRule="atLeast"/>
              <w:ind w:left="60" w:right="60"/>
              <w:jc w:val="right"/>
              <w:rPr>
                <w:rFonts w:ascii="Arial" w:hAnsi="Arial" w:cs="Arial"/>
                <w:color w:val="010205"/>
                <w:sz w:val="18"/>
                <w:szCs w:val="18"/>
              </w:rPr>
            </w:pPr>
            <w:r w:rsidRPr="008A6DD2">
              <w:rPr>
                <w:rFonts w:ascii="Arial" w:hAnsi="Arial" w:cs="Arial"/>
                <w:color w:val="010205"/>
                <w:sz w:val="18"/>
                <w:szCs w:val="18"/>
              </w:rPr>
              <w:t>28.1%</w:t>
            </w:r>
          </w:p>
        </w:tc>
      </w:tr>
      <w:tr w:rsidR="008F0773" w:rsidRPr="008A6DD2" w14:paraId="6BC30DE2" w14:textId="77777777" w:rsidTr="00D6022A">
        <w:tc>
          <w:tcPr>
            <w:tcW w:w="1252" w:type="dxa"/>
          </w:tcPr>
          <w:p w14:paraId="5A527B4C" w14:textId="77777777" w:rsidR="008F0773" w:rsidRPr="008A6DD2" w:rsidRDefault="008F0773" w:rsidP="009024DA">
            <w:pPr>
              <w:autoSpaceDE w:val="0"/>
              <w:autoSpaceDN w:val="0"/>
              <w:adjustRightInd w:val="0"/>
              <w:spacing w:line="320" w:lineRule="atLeast"/>
              <w:ind w:left="60" w:right="60"/>
              <w:jc w:val="right"/>
              <w:rPr>
                <w:rFonts w:ascii="Arial" w:hAnsi="Arial" w:cs="Arial"/>
                <w:color w:val="010205"/>
                <w:sz w:val="18"/>
                <w:szCs w:val="18"/>
              </w:rPr>
            </w:pPr>
            <w:r w:rsidRPr="008A6DD2">
              <w:rPr>
                <w:rFonts w:ascii="Arial" w:hAnsi="Arial" w:cs="Arial"/>
                <w:color w:val="264A60"/>
                <w:sz w:val="18"/>
                <w:szCs w:val="18"/>
              </w:rPr>
              <w:t>Education</w:t>
            </w:r>
          </w:p>
        </w:tc>
        <w:tc>
          <w:tcPr>
            <w:tcW w:w="1252" w:type="dxa"/>
          </w:tcPr>
          <w:p w14:paraId="2950EF5F" w14:textId="77777777" w:rsidR="008F0773" w:rsidRPr="008A6DD2" w:rsidRDefault="008F0773" w:rsidP="009024DA">
            <w:pPr>
              <w:autoSpaceDE w:val="0"/>
              <w:autoSpaceDN w:val="0"/>
              <w:adjustRightInd w:val="0"/>
              <w:spacing w:line="320" w:lineRule="atLeast"/>
              <w:ind w:left="60" w:right="60"/>
              <w:jc w:val="right"/>
              <w:rPr>
                <w:rFonts w:ascii="Arial" w:hAnsi="Arial" w:cs="Arial"/>
                <w:color w:val="010205"/>
                <w:sz w:val="18"/>
                <w:szCs w:val="18"/>
              </w:rPr>
            </w:pPr>
            <w:r w:rsidRPr="008A6DD2">
              <w:rPr>
                <w:rFonts w:ascii="Arial" w:hAnsi="Arial" w:cs="Arial"/>
                <w:color w:val="010205"/>
                <w:sz w:val="18"/>
                <w:szCs w:val="18"/>
              </w:rPr>
              <w:t>32.3%</w:t>
            </w:r>
          </w:p>
        </w:tc>
        <w:tc>
          <w:tcPr>
            <w:tcW w:w="1167" w:type="dxa"/>
          </w:tcPr>
          <w:p w14:paraId="20FBE468" w14:textId="77777777" w:rsidR="008F0773" w:rsidRPr="008A6DD2" w:rsidRDefault="008F0773" w:rsidP="009024DA">
            <w:pPr>
              <w:autoSpaceDE w:val="0"/>
              <w:autoSpaceDN w:val="0"/>
              <w:adjustRightInd w:val="0"/>
              <w:spacing w:line="320" w:lineRule="atLeast"/>
              <w:ind w:left="60" w:right="60"/>
              <w:jc w:val="right"/>
              <w:rPr>
                <w:rFonts w:ascii="Arial" w:hAnsi="Arial" w:cs="Arial"/>
                <w:color w:val="010205"/>
                <w:sz w:val="18"/>
                <w:szCs w:val="18"/>
              </w:rPr>
            </w:pPr>
            <w:r w:rsidRPr="008A6DD2">
              <w:rPr>
                <w:rFonts w:ascii="Arial" w:hAnsi="Arial" w:cs="Arial"/>
                <w:color w:val="010205"/>
                <w:sz w:val="18"/>
                <w:szCs w:val="18"/>
              </w:rPr>
              <w:t>50.0%</w:t>
            </w:r>
          </w:p>
        </w:tc>
        <w:tc>
          <w:tcPr>
            <w:tcW w:w="1133" w:type="dxa"/>
          </w:tcPr>
          <w:p w14:paraId="7A763BE6" w14:textId="77777777" w:rsidR="008F0773" w:rsidRPr="008A6DD2" w:rsidRDefault="008F0773" w:rsidP="009024DA">
            <w:pPr>
              <w:autoSpaceDE w:val="0"/>
              <w:autoSpaceDN w:val="0"/>
              <w:adjustRightInd w:val="0"/>
              <w:spacing w:line="320" w:lineRule="atLeast"/>
              <w:ind w:left="60" w:right="60"/>
              <w:jc w:val="right"/>
              <w:rPr>
                <w:rFonts w:ascii="Arial" w:hAnsi="Arial" w:cs="Arial"/>
                <w:color w:val="010205"/>
                <w:sz w:val="18"/>
                <w:szCs w:val="18"/>
              </w:rPr>
            </w:pPr>
            <w:r w:rsidRPr="008A6DD2">
              <w:rPr>
                <w:rFonts w:ascii="Arial" w:hAnsi="Arial" w:cs="Arial"/>
                <w:color w:val="010205"/>
                <w:sz w:val="18"/>
                <w:szCs w:val="18"/>
              </w:rPr>
              <w:t>36.7%</w:t>
            </w:r>
          </w:p>
        </w:tc>
        <w:tc>
          <w:tcPr>
            <w:tcW w:w="1133" w:type="dxa"/>
          </w:tcPr>
          <w:p w14:paraId="24E4E9C2" w14:textId="77777777" w:rsidR="008F0773" w:rsidRPr="008A6DD2" w:rsidRDefault="008F0773" w:rsidP="009024DA">
            <w:pPr>
              <w:autoSpaceDE w:val="0"/>
              <w:autoSpaceDN w:val="0"/>
              <w:adjustRightInd w:val="0"/>
              <w:spacing w:line="320" w:lineRule="atLeast"/>
              <w:ind w:left="60" w:right="60"/>
              <w:jc w:val="right"/>
              <w:rPr>
                <w:rFonts w:ascii="Arial" w:hAnsi="Arial" w:cs="Arial"/>
                <w:color w:val="010205"/>
                <w:sz w:val="18"/>
                <w:szCs w:val="18"/>
              </w:rPr>
            </w:pPr>
            <w:r w:rsidRPr="008A6DD2">
              <w:rPr>
                <w:rFonts w:ascii="Arial" w:hAnsi="Arial" w:cs="Arial"/>
                <w:color w:val="010205"/>
                <w:sz w:val="18"/>
                <w:szCs w:val="18"/>
              </w:rPr>
              <w:t>52.1%</w:t>
            </w:r>
          </w:p>
        </w:tc>
        <w:tc>
          <w:tcPr>
            <w:tcW w:w="1133" w:type="dxa"/>
          </w:tcPr>
          <w:p w14:paraId="7CE86D0C" w14:textId="77777777" w:rsidR="008F0773" w:rsidRPr="008A6DD2" w:rsidRDefault="008F0773" w:rsidP="009024DA">
            <w:pPr>
              <w:autoSpaceDE w:val="0"/>
              <w:autoSpaceDN w:val="0"/>
              <w:adjustRightInd w:val="0"/>
              <w:spacing w:line="320" w:lineRule="atLeast"/>
              <w:ind w:left="60" w:right="60"/>
              <w:jc w:val="right"/>
              <w:rPr>
                <w:rFonts w:ascii="Arial" w:hAnsi="Arial" w:cs="Arial"/>
                <w:color w:val="010205"/>
                <w:sz w:val="18"/>
                <w:szCs w:val="18"/>
              </w:rPr>
            </w:pPr>
            <w:r w:rsidRPr="008A6DD2">
              <w:rPr>
                <w:rFonts w:ascii="Arial" w:hAnsi="Arial" w:cs="Arial"/>
                <w:color w:val="010205"/>
                <w:sz w:val="18"/>
                <w:szCs w:val="18"/>
              </w:rPr>
              <w:t>31.5%</w:t>
            </w:r>
          </w:p>
        </w:tc>
        <w:tc>
          <w:tcPr>
            <w:tcW w:w="1133" w:type="dxa"/>
          </w:tcPr>
          <w:p w14:paraId="7BAC60B0" w14:textId="77777777" w:rsidR="008F0773" w:rsidRPr="008A6DD2" w:rsidRDefault="008F0773" w:rsidP="009024DA">
            <w:pPr>
              <w:autoSpaceDE w:val="0"/>
              <w:autoSpaceDN w:val="0"/>
              <w:adjustRightInd w:val="0"/>
              <w:spacing w:line="320" w:lineRule="atLeast"/>
              <w:ind w:left="60" w:right="60"/>
              <w:jc w:val="right"/>
              <w:rPr>
                <w:rFonts w:ascii="Arial" w:hAnsi="Arial" w:cs="Arial"/>
                <w:color w:val="010205"/>
                <w:sz w:val="18"/>
                <w:szCs w:val="18"/>
              </w:rPr>
            </w:pPr>
            <w:r w:rsidRPr="008A6DD2">
              <w:rPr>
                <w:rFonts w:ascii="Arial" w:hAnsi="Arial" w:cs="Arial"/>
                <w:color w:val="010205"/>
                <w:sz w:val="18"/>
                <w:szCs w:val="18"/>
              </w:rPr>
              <w:t>38.6%</w:t>
            </w:r>
          </w:p>
        </w:tc>
        <w:tc>
          <w:tcPr>
            <w:tcW w:w="1133" w:type="dxa"/>
          </w:tcPr>
          <w:p w14:paraId="1F063F8B" w14:textId="77777777" w:rsidR="008F0773" w:rsidRPr="008A6DD2" w:rsidRDefault="008F0773" w:rsidP="009024DA">
            <w:pPr>
              <w:autoSpaceDE w:val="0"/>
              <w:autoSpaceDN w:val="0"/>
              <w:adjustRightInd w:val="0"/>
              <w:spacing w:line="320" w:lineRule="atLeast"/>
              <w:ind w:left="60" w:right="60"/>
              <w:jc w:val="right"/>
              <w:rPr>
                <w:rFonts w:ascii="Arial" w:hAnsi="Arial" w:cs="Arial"/>
                <w:color w:val="010205"/>
                <w:sz w:val="18"/>
                <w:szCs w:val="18"/>
              </w:rPr>
            </w:pPr>
            <w:r w:rsidRPr="008A6DD2">
              <w:rPr>
                <w:rFonts w:ascii="Arial" w:hAnsi="Arial" w:cs="Arial"/>
                <w:color w:val="010205"/>
                <w:sz w:val="18"/>
                <w:szCs w:val="18"/>
              </w:rPr>
              <w:t>40.2%</w:t>
            </w:r>
          </w:p>
        </w:tc>
        <w:tc>
          <w:tcPr>
            <w:tcW w:w="1133" w:type="dxa"/>
          </w:tcPr>
          <w:p w14:paraId="4DC077DC" w14:textId="77777777" w:rsidR="008F0773" w:rsidRPr="008A6DD2" w:rsidRDefault="008F0773" w:rsidP="009024DA">
            <w:pPr>
              <w:autoSpaceDE w:val="0"/>
              <w:autoSpaceDN w:val="0"/>
              <w:adjustRightInd w:val="0"/>
              <w:spacing w:line="320" w:lineRule="atLeast"/>
              <w:ind w:left="60" w:right="60"/>
              <w:jc w:val="right"/>
              <w:rPr>
                <w:rFonts w:ascii="Arial" w:hAnsi="Arial" w:cs="Arial"/>
                <w:color w:val="010205"/>
                <w:sz w:val="18"/>
                <w:szCs w:val="18"/>
              </w:rPr>
            </w:pPr>
            <w:r w:rsidRPr="008A6DD2">
              <w:rPr>
                <w:rFonts w:ascii="Arial" w:hAnsi="Arial" w:cs="Arial"/>
                <w:color w:val="010205"/>
                <w:sz w:val="18"/>
                <w:szCs w:val="18"/>
              </w:rPr>
              <w:t>40.0%</w:t>
            </w:r>
          </w:p>
        </w:tc>
      </w:tr>
      <w:tr w:rsidR="008F0773" w:rsidRPr="008A6DD2" w14:paraId="11E7BCB6" w14:textId="77777777" w:rsidTr="00D6022A">
        <w:tc>
          <w:tcPr>
            <w:tcW w:w="1252" w:type="dxa"/>
          </w:tcPr>
          <w:p w14:paraId="34F88493" w14:textId="77777777" w:rsidR="008F0773" w:rsidRPr="008A6DD2" w:rsidRDefault="008F0773" w:rsidP="009024DA">
            <w:pPr>
              <w:autoSpaceDE w:val="0"/>
              <w:autoSpaceDN w:val="0"/>
              <w:adjustRightInd w:val="0"/>
              <w:spacing w:line="320" w:lineRule="atLeast"/>
              <w:ind w:left="60" w:right="60"/>
              <w:jc w:val="right"/>
              <w:rPr>
                <w:rFonts w:ascii="Arial" w:hAnsi="Arial" w:cs="Arial"/>
                <w:color w:val="010205"/>
                <w:sz w:val="18"/>
                <w:szCs w:val="18"/>
              </w:rPr>
            </w:pPr>
            <w:r w:rsidRPr="008A6DD2">
              <w:rPr>
                <w:rFonts w:ascii="Arial" w:hAnsi="Arial" w:cs="Arial"/>
                <w:color w:val="264A60"/>
                <w:sz w:val="18"/>
                <w:szCs w:val="18"/>
              </w:rPr>
              <w:t>Healthcare</w:t>
            </w:r>
          </w:p>
        </w:tc>
        <w:tc>
          <w:tcPr>
            <w:tcW w:w="1252" w:type="dxa"/>
          </w:tcPr>
          <w:p w14:paraId="3D02BD6A" w14:textId="77777777" w:rsidR="008F0773" w:rsidRPr="008A6DD2" w:rsidRDefault="008F0773" w:rsidP="009024DA">
            <w:pPr>
              <w:autoSpaceDE w:val="0"/>
              <w:autoSpaceDN w:val="0"/>
              <w:adjustRightInd w:val="0"/>
              <w:spacing w:line="320" w:lineRule="atLeast"/>
              <w:ind w:left="60" w:right="60"/>
              <w:jc w:val="right"/>
              <w:rPr>
                <w:rFonts w:ascii="Arial" w:hAnsi="Arial" w:cs="Arial"/>
                <w:color w:val="010205"/>
                <w:sz w:val="18"/>
                <w:szCs w:val="18"/>
              </w:rPr>
            </w:pPr>
            <w:r w:rsidRPr="008A6DD2">
              <w:rPr>
                <w:rFonts w:ascii="Arial" w:hAnsi="Arial" w:cs="Arial"/>
                <w:color w:val="010205"/>
                <w:sz w:val="18"/>
                <w:szCs w:val="18"/>
              </w:rPr>
              <w:t>24.5%</w:t>
            </w:r>
          </w:p>
        </w:tc>
        <w:tc>
          <w:tcPr>
            <w:tcW w:w="1167" w:type="dxa"/>
          </w:tcPr>
          <w:p w14:paraId="2D296653" w14:textId="77777777" w:rsidR="008F0773" w:rsidRPr="008A6DD2" w:rsidRDefault="008F0773" w:rsidP="009024DA">
            <w:pPr>
              <w:autoSpaceDE w:val="0"/>
              <w:autoSpaceDN w:val="0"/>
              <w:adjustRightInd w:val="0"/>
              <w:spacing w:line="320" w:lineRule="atLeast"/>
              <w:ind w:left="60" w:right="60"/>
              <w:jc w:val="right"/>
              <w:rPr>
                <w:rFonts w:ascii="Arial" w:hAnsi="Arial" w:cs="Arial"/>
                <w:color w:val="010205"/>
                <w:sz w:val="18"/>
                <w:szCs w:val="18"/>
              </w:rPr>
            </w:pPr>
            <w:r w:rsidRPr="008A6DD2">
              <w:rPr>
                <w:rFonts w:ascii="Arial" w:hAnsi="Arial" w:cs="Arial"/>
                <w:color w:val="010205"/>
                <w:sz w:val="18"/>
                <w:szCs w:val="18"/>
              </w:rPr>
              <w:t>15.3%</w:t>
            </w:r>
          </w:p>
        </w:tc>
        <w:tc>
          <w:tcPr>
            <w:tcW w:w="1133" w:type="dxa"/>
          </w:tcPr>
          <w:p w14:paraId="28473753" w14:textId="77777777" w:rsidR="008F0773" w:rsidRPr="008A6DD2" w:rsidRDefault="008F0773" w:rsidP="009024DA">
            <w:pPr>
              <w:autoSpaceDE w:val="0"/>
              <w:autoSpaceDN w:val="0"/>
              <w:adjustRightInd w:val="0"/>
              <w:spacing w:line="320" w:lineRule="atLeast"/>
              <w:ind w:left="60" w:right="60"/>
              <w:jc w:val="right"/>
              <w:rPr>
                <w:rFonts w:ascii="Arial" w:hAnsi="Arial" w:cs="Arial"/>
                <w:color w:val="010205"/>
                <w:sz w:val="18"/>
                <w:szCs w:val="18"/>
              </w:rPr>
            </w:pPr>
            <w:r w:rsidRPr="008A6DD2">
              <w:rPr>
                <w:rFonts w:ascii="Arial" w:hAnsi="Arial" w:cs="Arial"/>
                <w:color w:val="010205"/>
                <w:sz w:val="18"/>
                <w:szCs w:val="18"/>
              </w:rPr>
              <w:t>16.3%</w:t>
            </w:r>
          </w:p>
        </w:tc>
        <w:tc>
          <w:tcPr>
            <w:tcW w:w="1133" w:type="dxa"/>
          </w:tcPr>
          <w:p w14:paraId="4F223555" w14:textId="77777777" w:rsidR="008F0773" w:rsidRPr="008A6DD2" w:rsidRDefault="008F0773" w:rsidP="009024DA">
            <w:pPr>
              <w:autoSpaceDE w:val="0"/>
              <w:autoSpaceDN w:val="0"/>
              <w:adjustRightInd w:val="0"/>
              <w:spacing w:line="320" w:lineRule="atLeast"/>
              <w:ind w:left="60" w:right="60"/>
              <w:jc w:val="right"/>
              <w:rPr>
                <w:rFonts w:ascii="Arial" w:hAnsi="Arial" w:cs="Arial"/>
                <w:color w:val="010205"/>
                <w:sz w:val="18"/>
                <w:szCs w:val="18"/>
              </w:rPr>
            </w:pPr>
            <w:r w:rsidRPr="008A6DD2">
              <w:rPr>
                <w:rFonts w:ascii="Arial" w:hAnsi="Arial" w:cs="Arial"/>
                <w:color w:val="010205"/>
                <w:sz w:val="18"/>
                <w:szCs w:val="18"/>
              </w:rPr>
              <w:t>12.9%</w:t>
            </w:r>
          </w:p>
        </w:tc>
        <w:tc>
          <w:tcPr>
            <w:tcW w:w="1133" w:type="dxa"/>
          </w:tcPr>
          <w:p w14:paraId="6E64D0F9" w14:textId="77777777" w:rsidR="008F0773" w:rsidRPr="008A6DD2" w:rsidRDefault="008F0773" w:rsidP="009024DA">
            <w:pPr>
              <w:autoSpaceDE w:val="0"/>
              <w:autoSpaceDN w:val="0"/>
              <w:adjustRightInd w:val="0"/>
              <w:spacing w:line="320" w:lineRule="atLeast"/>
              <w:ind w:left="60" w:right="60"/>
              <w:jc w:val="right"/>
              <w:rPr>
                <w:rFonts w:ascii="Arial" w:hAnsi="Arial" w:cs="Arial"/>
                <w:color w:val="010205"/>
                <w:sz w:val="18"/>
                <w:szCs w:val="18"/>
              </w:rPr>
            </w:pPr>
            <w:r w:rsidRPr="008A6DD2">
              <w:rPr>
                <w:rFonts w:ascii="Arial" w:hAnsi="Arial" w:cs="Arial"/>
                <w:color w:val="010205"/>
                <w:sz w:val="18"/>
                <w:szCs w:val="18"/>
              </w:rPr>
              <w:t>28.4%</w:t>
            </w:r>
          </w:p>
        </w:tc>
        <w:tc>
          <w:tcPr>
            <w:tcW w:w="1133" w:type="dxa"/>
          </w:tcPr>
          <w:p w14:paraId="2CB1CB28" w14:textId="77777777" w:rsidR="008F0773" w:rsidRPr="008A6DD2" w:rsidRDefault="008F0773" w:rsidP="009024DA">
            <w:pPr>
              <w:autoSpaceDE w:val="0"/>
              <w:autoSpaceDN w:val="0"/>
              <w:adjustRightInd w:val="0"/>
              <w:spacing w:line="320" w:lineRule="atLeast"/>
              <w:ind w:left="60" w:right="60"/>
              <w:jc w:val="right"/>
              <w:rPr>
                <w:rFonts w:ascii="Arial" w:hAnsi="Arial" w:cs="Arial"/>
                <w:color w:val="010205"/>
                <w:sz w:val="18"/>
                <w:szCs w:val="18"/>
              </w:rPr>
            </w:pPr>
            <w:r w:rsidRPr="008A6DD2">
              <w:rPr>
                <w:rFonts w:ascii="Arial" w:hAnsi="Arial" w:cs="Arial"/>
                <w:color w:val="010205"/>
                <w:sz w:val="18"/>
                <w:szCs w:val="18"/>
              </w:rPr>
              <w:t>23.4%</w:t>
            </w:r>
          </w:p>
        </w:tc>
        <w:tc>
          <w:tcPr>
            <w:tcW w:w="1133" w:type="dxa"/>
          </w:tcPr>
          <w:p w14:paraId="3BCB8A2F" w14:textId="77777777" w:rsidR="008F0773" w:rsidRPr="008A6DD2" w:rsidRDefault="008F0773" w:rsidP="009024DA">
            <w:pPr>
              <w:autoSpaceDE w:val="0"/>
              <w:autoSpaceDN w:val="0"/>
              <w:adjustRightInd w:val="0"/>
              <w:spacing w:line="320" w:lineRule="atLeast"/>
              <w:ind w:left="60" w:right="60"/>
              <w:jc w:val="right"/>
              <w:rPr>
                <w:rFonts w:ascii="Arial" w:hAnsi="Arial" w:cs="Arial"/>
                <w:color w:val="010205"/>
                <w:sz w:val="18"/>
                <w:szCs w:val="18"/>
              </w:rPr>
            </w:pPr>
            <w:r w:rsidRPr="008A6DD2">
              <w:rPr>
                <w:rFonts w:ascii="Arial" w:hAnsi="Arial" w:cs="Arial"/>
                <w:color w:val="010205"/>
                <w:sz w:val="18"/>
                <w:szCs w:val="18"/>
              </w:rPr>
              <w:t>16.1%</w:t>
            </w:r>
          </w:p>
        </w:tc>
        <w:tc>
          <w:tcPr>
            <w:tcW w:w="1133" w:type="dxa"/>
          </w:tcPr>
          <w:p w14:paraId="0A80FFF3" w14:textId="77777777" w:rsidR="008F0773" w:rsidRPr="008A6DD2" w:rsidRDefault="008F0773" w:rsidP="009024DA">
            <w:pPr>
              <w:autoSpaceDE w:val="0"/>
              <w:autoSpaceDN w:val="0"/>
              <w:adjustRightInd w:val="0"/>
              <w:spacing w:line="320" w:lineRule="atLeast"/>
              <w:ind w:left="60" w:right="60"/>
              <w:jc w:val="right"/>
              <w:rPr>
                <w:rFonts w:ascii="Arial" w:hAnsi="Arial" w:cs="Arial"/>
                <w:color w:val="010205"/>
                <w:sz w:val="18"/>
                <w:szCs w:val="18"/>
              </w:rPr>
            </w:pPr>
            <w:r w:rsidRPr="008A6DD2">
              <w:rPr>
                <w:rFonts w:ascii="Arial" w:hAnsi="Arial" w:cs="Arial"/>
                <w:color w:val="010205"/>
                <w:sz w:val="18"/>
                <w:szCs w:val="18"/>
              </w:rPr>
              <w:t>19.9%</w:t>
            </w:r>
          </w:p>
        </w:tc>
      </w:tr>
      <w:tr w:rsidR="008F0773" w:rsidRPr="008A6DD2" w14:paraId="5D949FF9" w14:textId="77777777" w:rsidTr="00D6022A">
        <w:tc>
          <w:tcPr>
            <w:tcW w:w="1252" w:type="dxa"/>
          </w:tcPr>
          <w:p w14:paraId="023F44C6" w14:textId="77777777" w:rsidR="008F0773" w:rsidRPr="008A6DD2" w:rsidRDefault="008F0773" w:rsidP="009024DA">
            <w:pPr>
              <w:autoSpaceDE w:val="0"/>
              <w:autoSpaceDN w:val="0"/>
              <w:adjustRightInd w:val="0"/>
              <w:spacing w:line="320" w:lineRule="atLeast"/>
              <w:ind w:left="60" w:right="60"/>
              <w:jc w:val="right"/>
              <w:rPr>
                <w:rFonts w:ascii="Arial" w:hAnsi="Arial" w:cs="Arial"/>
                <w:color w:val="010205"/>
                <w:sz w:val="18"/>
                <w:szCs w:val="18"/>
              </w:rPr>
            </w:pPr>
            <w:r w:rsidRPr="008A6DD2">
              <w:rPr>
                <w:rFonts w:ascii="Arial" w:hAnsi="Arial" w:cs="Arial"/>
                <w:color w:val="264A60"/>
                <w:sz w:val="18"/>
                <w:szCs w:val="18"/>
              </w:rPr>
              <w:t>Others</w:t>
            </w:r>
          </w:p>
        </w:tc>
        <w:tc>
          <w:tcPr>
            <w:tcW w:w="1252" w:type="dxa"/>
          </w:tcPr>
          <w:p w14:paraId="503E0B50" w14:textId="77777777" w:rsidR="008F0773" w:rsidRPr="008A6DD2" w:rsidRDefault="008F0773" w:rsidP="009024DA">
            <w:pPr>
              <w:autoSpaceDE w:val="0"/>
              <w:autoSpaceDN w:val="0"/>
              <w:adjustRightInd w:val="0"/>
              <w:spacing w:line="320" w:lineRule="atLeast"/>
              <w:ind w:left="60" w:right="60"/>
              <w:jc w:val="right"/>
              <w:rPr>
                <w:rFonts w:ascii="Arial" w:hAnsi="Arial" w:cs="Arial"/>
                <w:color w:val="010205"/>
                <w:sz w:val="18"/>
                <w:szCs w:val="18"/>
              </w:rPr>
            </w:pPr>
            <w:r w:rsidRPr="008A6DD2">
              <w:rPr>
                <w:rFonts w:ascii="Arial" w:hAnsi="Arial" w:cs="Arial"/>
                <w:color w:val="010205"/>
                <w:sz w:val="18"/>
                <w:szCs w:val="18"/>
              </w:rPr>
              <w:t>4.3%</w:t>
            </w:r>
          </w:p>
        </w:tc>
        <w:tc>
          <w:tcPr>
            <w:tcW w:w="1167" w:type="dxa"/>
          </w:tcPr>
          <w:p w14:paraId="7744DC6B" w14:textId="77777777" w:rsidR="008F0773" w:rsidRPr="008A6DD2" w:rsidRDefault="008F0773" w:rsidP="009024DA">
            <w:pPr>
              <w:autoSpaceDE w:val="0"/>
              <w:autoSpaceDN w:val="0"/>
              <w:adjustRightInd w:val="0"/>
              <w:spacing w:line="320" w:lineRule="atLeast"/>
              <w:ind w:left="60" w:right="60"/>
              <w:jc w:val="right"/>
              <w:rPr>
                <w:rFonts w:ascii="Arial" w:hAnsi="Arial" w:cs="Arial"/>
                <w:color w:val="010205"/>
                <w:sz w:val="18"/>
                <w:szCs w:val="18"/>
              </w:rPr>
            </w:pPr>
            <w:r w:rsidRPr="008A6DD2">
              <w:rPr>
                <w:rFonts w:ascii="Arial" w:hAnsi="Arial" w:cs="Arial"/>
                <w:color w:val="010205"/>
                <w:sz w:val="18"/>
                <w:szCs w:val="18"/>
              </w:rPr>
              <w:t>13.3%</w:t>
            </w:r>
          </w:p>
        </w:tc>
        <w:tc>
          <w:tcPr>
            <w:tcW w:w="1133" w:type="dxa"/>
          </w:tcPr>
          <w:p w14:paraId="27C8FC58" w14:textId="77777777" w:rsidR="008F0773" w:rsidRPr="008A6DD2" w:rsidRDefault="008F0773" w:rsidP="009024DA">
            <w:pPr>
              <w:autoSpaceDE w:val="0"/>
              <w:autoSpaceDN w:val="0"/>
              <w:adjustRightInd w:val="0"/>
              <w:spacing w:line="320" w:lineRule="atLeast"/>
              <w:ind w:left="60" w:right="60"/>
              <w:jc w:val="right"/>
              <w:rPr>
                <w:rFonts w:ascii="Arial" w:hAnsi="Arial" w:cs="Arial"/>
                <w:color w:val="010205"/>
                <w:sz w:val="18"/>
                <w:szCs w:val="18"/>
              </w:rPr>
            </w:pPr>
            <w:r w:rsidRPr="008A6DD2">
              <w:rPr>
                <w:rFonts w:ascii="Arial" w:hAnsi="Arial" w:cs="Arial"/>
                <w:color w:val="010205"/>
                <w:sz w:val="18"/>
                <w:szCs w:val="18"/>
              </w:rPr>
              <w:t>2.9%</w:t>
            </w:r>
          </w:p>
        </w:tc>
        <w:tc>
          <w:tcPr>
            <w:tcW w:w="1133" w:type="dxa"/>
          </w:tcPr>
          <w:p w14:paraId="64857F07" w14:textId="77777777" w:rsidR="008F0773" w:rsidRPr="008A6DD2" w:rsidRDefault="008F0773" w:rsidP="009024DA">
            <w:pPr>
              <w:autoSpaceDE w:val="0"/>
              <w:autoSpaceDN w:val="0"/>
              <w:adjustRightInd w:val="0"/>
              <w:spacing w:line="320" w:lineRule="atLeast"/>
              <w:ind w:left="60" w:right="60"/>
              <w:jc w:val="right"/>
              <w:rPr>
                <w:rFonts w:ascii="Arial" w:hAnsi="Arial" w:cs="Arial"/>
                <w:color w:val="010205"/>
                <w:sz w:val="18"/>
                <w:szCs w:val="18"/>
              </w:rPr>
            </w:pPr>
            <w:r w:rsidRPr="008A6DD2">
              <w:rPr>
                <w:rFonts w:ascii="Arial" w:hAnsi="Arial" w:cs="Arial"/>
                <w:color w:val="010205"/>
                <w:sz w:val="18"/>
                <w:szCs w:val="18"/>
              </w:rPr>
              <w:t>11.0%</w:t>
            </w:r>
          </w:p>
        </w:tc>
        <w:tc>
          <w:tcPr>
            <w:tcW w:w="1133" w:type="dxa"/>
          </w:tcPr>
          <w:p w14:paraId="70671F2F" w14:textId="77777777" w:rsidR="008F0773" w:rsidRPr="008A6DD2" w:rsidRDefault="008F0773" w:rsidP="009024DA">
            <w:pPr>
              <w:autoSpaceDE w:val="0"/>
              <w:autoSpaceDN w:val="0"/>
              <w:adjustRightInd w:val="0"/>
              <w:spacing w:line="320" w:lineRule="atLeast"/>
              <w:ind w:left="60" w:right="60"/>
              <w:jc w:val="right"/>
              <w:rPr>
                <w:rFonts w:ascii="Arial" w:hAnsi="Arial" w:cs="Arial"/>
                <w:color w:val="010205"/>
                <w:sz w:val="18"/>
                <w:szCs w:val="18"/>
              </w:rPr>
            </w:pPr>
            <w:r w:rsidRPr="008A6DD2">
              <w:rPr>
                <w:rFonts w:ascii="Arial" w:hAnsi="Arial" w:cs="Arial"/>
                <w:color w:val="010205"/>
                <w:sz w:val="18"/>
                <w:szCs w:val="18"/>
              </w:rPr>
              <w:t>28.1%</w:t>
            </w:r>
          </w:p>
        </w:tc>
        <w:tc>
          <w:tcPr>
            <w:tcW w:w="1133" w:type="dxa"/>
          </w:tcPr>
          <w:p w14:paraId="3F2440A4" w14:textId="77777777" w:rsidR="008F0773" w:rsidRPr="008A6DD2" w:rsidRDefault="008F0773" w:rsidP="009024DA">
            <w:pPr>
              <w:autoSpaceDE w:val="0"/>
              <w:autoSpaceDN w:val="0"/>
              <w:adjustRightInd w:val="0"/>
              <w:spacing w:line="320" w:lineRule="atLeast"/>
              <w:ind w:left="60" w:right="60"/>
              <w:jc w:val="right"/>
              <w:rPr>
                <w:rFonts w:ascii="Arial" w:hAnsi="Arial" w:cs="Arial"/>
                <w:color w:val="010205"/>
                <w:sz w:val="18"/>
                <w:szCs w:val="18"/>
              </w:rPr>
            </w:pPr>
            <w:r w:rsidRPr="008A6DD2">
              <w:rPr>
                <w:rFonts w:ascii="Arial" w:hAnsi="Arial" w:cs="Arial"/>
                <w:color w:val="010205"/>
                <w:sz w:val="18"/>
                <w:szCs w:val="18"/>
              </w:rPr>
              <w:t>7.0%</w:t>
            </w:r>
          </w:p>
        </w:tc>
        <w:tc>
          <w:tcPr>
            <w:tcW w:w="1133" w:type="dxa"/>
          </w:tcPr>
          <w:p w14:paraId="6CD0A313" w14:textId="77777777" w:rsidR="008F0773" w:rsidRPr="008A6DD2" w:rsidRDefault="008F0773" w:rsidP="009024DA">
            <w:pPr>
              <w:autoSpaceDE w:val="0"/>
              <w:autoSpaceDN w:val="0"/>
              <w:adjustRightInd w:val="0"/>
              <w:spacing w:line="320" w:lineRule="atLeast"/>
              <w:ind w:left="60" w:right="60"/>
              <w:jc w:val="right"/>
              <w:rPr>
                <w:rFonts w:ascii="Arial" w:hAnsi="Arial" w:cs="Arial"/>
                <w:color w:val="010205"/>
                <w:sz w:val="18"/>
                <w:szCs w:val="18"/>
              </w:rPr>
            </w:pPr>
            <w:r w:rsidRPr="008A6DD2">
              <w:rPr>
                <w:rFonts w:ascii="Arial" w:hAnsi="Arial" w:cs="Arial"/>
                <w:color w:val="010205"/>
                <w:sz w:val="18"/>
                <w:szCs w:val="18"/>
              </w:rPr>
              <w:t>14.3%</w:t>
            </w:r>
          </w:p>
        </w:tc>
        <w:tc>
          <w:tcPr>
            <w:tcW w:w="1133" w:type="dxa"/>
          </w:tcPr>
          <w:p w14:paraId="1B0D0564" w14:textId="77777777" w:rsidR="008F0773" w:rsidRPr="008A6DD2" w:rsidRDefault="008F0773" w:rsidP="009024DA">
            <w:pPr>
              <w:autoSpaceDE w:val="0"/>
              <w:autoSpaceDN w:val="0"/>
              <w:adjustRightInd w:val="0"/>
              <w:spacing w:line="320" w:lineRule="atLeast"/>
              <w:ind w:left="60" w:right="60"/>
              <w:jc w:val="right"/>
              <w:rPr>
                <w:rFonts w:ascii="Arial" w:hAnsi="Arial" w:cs="Arial"/>
                <w:color w:val="010205"/>
                <w:sz w:val="18"/>
                <w:szCs w:val="18"/>
              </w:rPr>
            </w:pPr>
            <w:r w:rsidRPr="008A6DD2">
              <w:rPr>
                <w:rFonts w:ascii="Arial" w:hAnsi="Arial" w:cs="Arial"/>
                <w:color w:val="010205"/>
                <w:sz w:val="18"/>
                <w:szCs w:val="18"/>
              </w:rPr>
              <w:t>12.0%</w:t>
            </w:r>
          </w:p>
        </w:tc>
      </w:tr>
    </w:tbl>
    <w:p w14:paraId="29C9FAB6" w14:textId="77777777" w:rsidR="008F0773" w:rsidRPr="00E75191" w:rsidRDefault="008F0773" w:rsidP="006E3C5B">
      <w:pPr>
        <w:ind w:left="-90"/>
        <w:rPr>
          <w:rFonts w:cstheme="minorHAnsi"/>
          <w:sz w:val="24"/>
          <w:szCs w:val="24"/>
        </w:rPr>
      </w:pPr>
      <w:r>
        <w:t xml:space="preserve">Table 10: </w:t>
      </w:r>
      <w:r w:rsidRPr="008A6DD2">
        <w:rPr>
          <w:rFonts w:ascii="Arial" w:hAnsi="Arial" w:cs="Arial"/>
          <w:color w:val="264A60"/>
          <w:sz w:val="18"/>
          <w:szCs w:val="18"/>
        </w:rPr>
        <w:t>In which of these sectors has ICT /digitization impacted gender equality /inequality (select all that apply)</w:t>
      </w:r>
    </w:p>
    <w:p w14:paraId="44A3D722" w14:textId="77777777" w:rsidR="00681F77" w:rsidRDefault="00681F77" w:rsidP="00E75191">
      <w:pPr>
        <w:autoSpaceDE w:val="0"/>
        <w:autoSpaceDN w:val="0"/>
        <w:adjustRightInd w:val="0"/>
        <w:spacing w:after="0" w:line="240" w:lineRule="auto"/>
        <w:rPr>
          <w:rFonts w:ascii="Times New Roman" w:hAnsi="Times New Roman" w:cs="Times New Roman"/>
          <w:sz w:val="24"/>
          <w:szCs w:val="24"/>
        </w:rPr>
      </w:pPr>
    </w:p>
    <w:p w14:paraId="5C8103F9" w14:textId="77777777" w:rsidR="00681F77" w:rsidRDefault="00681F77" w:rsidP="00E75191">
      <w:pPr>
        <w:autoSpaceDE w:val="0"/>
        <w:autoSpaceDN w:val="0"/>
        <w:adjustRightInd w:val="0"/>
        <w:spacing w:after="0" w:line="240" w:lineRule="auto"/>
        <w:rPr>
          <w:rFonts w:ascii="Times New Roman" w:hAnsi="Times New Roman" w:cs="Times New Roman"/>
          <w:sz w:val="24"/>
          <w:szCs w:val="24"/>
        </w:rPr>
      </w:pPr>
    </w:p>
    <w:p w14:paraId="5C825261" w14:textId="77777777" w:rsidR="00FB3FAF" w:rsidRDefault="00FB3FAF" w:rsidP="00E75191">
      <w:pPr>
        <w:autoSpaceDE w:val="0"/>
        <w:autoSpaceDN w:val="0"/>
        <w:adjustRightInd w:val="0"/>
        <w:spacing w:after="0" w:line="240" w:lineRule="auto"/>
        <w:rPr>
          <w:rFonts w:ascii="Times New Roman" w:hAnsi="Times New Roman" w:cs="Times New Roman"/>
          <w:sz w:val="24"/>
          <w:szCs w:val="24"/>
        </w:rPr>
      </w:pPr>
    </w:p>
    <w:p w14:paraId="0E9F34CC" w14:textId="77777777" w:rsidR="00FB3FAF" w:rsidRDefault="00FB3FAF" w:rsidP="00E75191">
      <w:pPr>
        <w:autoSpaceDE w:val="0"/>
        <w:autoSpaceDN w:val="0"/>
        <w:adjustRightInd w:val="0"/>
        <w:spacing w:after="0" w:line="240" w:lineRule="auto"/>
        <w:rPr>
          <w:rFonts w:ascii="Times New Roman" w:hAnsi="Times New Roman" w:cs="Times New Roman"/>
          <w:sz w:val="24"/>
          <w:szCs w:val="24"/>
        </w:rPr>
      </w:pPr>
    </w:p>
    <w:p w14:paraId="0CB93C9F" w14:textId="77777777" w:rsidR="00FB3FAF" w:rsidRDefault="00FB3FAF" w:rsidP="00E75191">
      <w:pPr>
        <w:autoSpaceDE w:val="0"/>
        <w:autoSpaceDN w:val="0"/>
        <w:adjustRightInd w:val="0"/>
        <w:spacing w:after="0" w:line="240" w:lineRule="auto"/>
        <w:rPr>
          <w:rFonts w:ascii="Times New Roman" w:hAnsi="Times New Roman" w:cs="Times New Roman"/>
          <w:sz w:val="24"/>
          <w:szCs w:val="24"/>
        </w:rPr>
      </w:pPr>
    </w:p>
    <w:p w14:paraId="39575051" w14:textId="77777777" w:rsidR="00FB3FAF" w:rsidRDefault="00FB3FAF" w:rsidP="00E75191">
      <w:pPr>
        <w:autoSpaceDE w:val="0"/>
        <w:autoSpaceDN w:val="0"/>
        <w:adjustRightInd w:val="0"/>
        <w:spacing w:after="0" w:line="240" w:lineRule="auto"/>
        <w:rPr>
          <w:rFonts w:ascii="Times New Roman" w:hAnsi="Times New Roman" w:cs="Times New Roman"/>
          <w:sz w:val="24"/>
          <w:szCs w:val="24"/>
        </w:rPr>
      </w:pPr>
    </w:p>
    <w:p w14:paraId="65B101E0" w14:textId="77777777" w:rsidR="00FB3FAF" w:rsidRDefault="00FB3FAF" w:rsidP="00E75191">
      <w:pPr>
        <w:autoSpaceDE w:val="0"/>
        <w:autoSpaceDN w:val="0"/>
        <w:adjustRightInd w:val="0"/>
        <w:spacing w:after="0" w:line="240" w:lineRule="auto"/>
        <w:rPr>
          <w:rFonts w:ascii="Times New Roman" w:hAnsi="Times New Roman" w:cs="Times New Roman"/>
          <w:sz w:val="24"/>
          <w:szCs w:val="24"/>
        </w:rPr>
      </w:pPr>
    </w:p>
    <w:p w14:paraId="52A1CF08" w14:textId="77777777" w:rsidR="00681F77" w:rsidRDefault="00681F77" w:rsidP="00E75191">
      <w:pPr>
        <w:autoSpaceDE w:val="0"/>
        <w:autoSpaceDN w:val="0"/>
        <w:adjustRightInd w:val="0"/>
        <w:spacing w:after="0" w:line="240" w:lineRule="auto"/>
        <w:rPr>
          <w:rFonts w:ascii="Arial" w:hAnsi="Arial" w:cs="Arial"/>
          <w:color w:val="264A60"/>
          <w:sz w:val="18"/>
          <w:szCs w:val="18"/>
        </w:rPr>
      </w:pPr>
    </w:p>
    <w:p w14:paraId="24904BE3" w14:textId="77777777" w:rsidR="00681F77" w:rsidRPr="00E75191" w:rsidRDefault="00681F77" w:rsidP="00E75191">
      <w:pPr>
        <w:autoSpaceDE w:val="0"/>
        <w:autoSpaceDN w:val="0"/>
        <w:adjustRightInd w:val="0"/>
        <w:spacing w:after="0" w:line="240" w:lineRule="auto"/>
        <w:jc w:val="both"/>
        <w:rPr>
          <w:rFonts w:cstheme="minorHAnsi"/>
          <w:sz w:val="24"/>
          <w:szCs w:val="24"/>
        </w:rPr>
      </w:pPr>
      <w:r>
        <w:rPr>
          <w:rFonts w:cstheme="minorHAnsi"/>
          <w:sz w:val="24"/>
          <w:szCs w:val="24"/>
        </w:rPr>
        <w:t>The table below</w:t>
      </w:r>
      <w:r w:rsidRPr="00E75191">
        <w:rPr>
          <w:rFonts w:cstheme="minorHAnsi"/>
          <w:sz w:val="24"/>
          <w:szCs w:val="24"/>
        </w:rPr>
        <w:t xml:space="preserve">, it indicates that a greater percentage of the respondents is not aware of existing policies that protect women and girls against technology-related violence or technology mediated violence. Interestingly, within states, FCT and Lagos </w:t>
      </w:r>
      <w:r w:rsidR="0062272C">
        <w:rPr>
          <w:rFonts w:cstheme="minorHAnsi"/>
          <w:sz w:val="24"/>
          <w:szCs w:val="24"/>
        </w:rPr>
        <w:t>have</w:t>
      </w:r>
      <w:r w:rsidRPr="00E75191">
        <w:rPr>
          <w:rFonts w:cstheme="minorHAnsi"/>
          <w:sz w:val="24"/>
          <w:szCs w:val="24"/>
        </w:rPr>
        <w:t xml:space="preserve"> a greater percentage of respondents indicat</w:t>
      </w:r>
      <w:r w:rsidR="0062272C">
        <w:rPr>
          <w:rFonts w:cstheme="minorHAnsi"/>
          <w:sz w:val="24"/>
          <w:szCs w:val="24"/>
        </w:rPr>
        <w:t>ing</w:t>
      </w:r>
      <w:r w:rsidR="004B145B">
        <w:rPr>
          <w:rFonts w:cstheme="minorHAnsi"/>
          <w:sz w:val="24"/>
          <w:szCs w:val="24"/>
        </w:rPr>
        <w:t xml:space="preserve"> that they are not aware</w:t>
      </w:r>
      <w:r w:rsidRPr="00E75191">
        <w:rPr>
          <w:rFonts w:cstheme="minorHAnsi"/>
          <w:sz w:val="24"/>
          <w:szCs w:val="24"/>
        </w:rPr>
        <w:t xml:space="preserve"> of such existing gender policies at 41.3% and 50%. Only a meagre 16.8% of the respondents indicates that they have prior knowledge of such policies.</w:t>
      </w:r>
    </w:p>
    <w:p w14:paraId="4EBBFF1B" w14:textId="77777777" w:rsidR="00681F77" w:rsidRPr="00812C4B" w:rsidRDefault="00681F77" w:rsidP="00E75191">
      <w:pPr>
        <w:autoSpaceDE w:val="0"/>
        <w:autoSpaceDN w:val="0"/>
        <w:adjustRightInd w:val="0"/>
        <w:spacing w:after="0" w:line="240" w:lineRule="auto"/>
        <w:rPr>
          <w:rFonts w:ascii="Times New Roman" w:hAnsi="Times New Roman" w:cs="Times New Roman"/>
          <w:b/>
          <w:sz w:val="24"/>
          <w:szCs w:val="24"/>
        </w:rPr>
      </w:pPr>
      <w:r w:rsidRPr="00681F77">
        <w:rPr>
          <w:rFonts w:ascii="Arial" w:hAnsi="Arial" w:cs="Arial"/>
          <w:b/>
          <w:color w:val="264A60"/>
          <w:sz w:val="18"/>
          <w:szCs w:val="18"/>
        </w:rPr>
        <w:t xml:space="preserve"> </w:t>
      </w:r>
    </w:p>
    <w:tbl>
      <w:tblPr>
        <w:tblW w:w="5000" w:type="pct"/>
        <w:tblLook w:val="0000" w:firstRow="0" w:lastRow="0" w:firstColumn="0" w:lastColumn="0" w:noHBand="0" w:noVBand="0"/>
      </w:tblPr>
      <w:tblGrid>
        <w:gridCol w:w="1590"/>
        <w:gridCol w:w="1137"/>
        <w:gridCol w:w="1067"/>
        <w:gridCol w:w="872"/>
        <w:gridCol w:w="872"/>
        <w:gridCol w:w="874"/>
        <w:gridCol w:w="874"/>
        <w:gridCol w:w="874"/>
        <w:gridCol w:w="866"/>
      </w:tblGrid>
      <w:tr w:rsidR="00681F77" w:rsidRPr="00D26F2C" w14:paraId="2A173C6E" w14:textId="77777777" w:rsidTr="006E3C5B">
        <w:tc>
          <w:tcPr>
            <w:tcW w:w="881" w:type="pct"/>
          </w:tcPr>
          <w:p w14:paraId="1D369F21" w14:textId="77777777" w:rsidR="00681F77" w:rsidRPr="00D26F2C" w:rsidRDefault="00681F77" w:rsidP="00E75191">
            <w:pPr>
              <w:autoSpaceDE w:val="0"/>
              <w:autoSpaceDN w:val="0"/>
              <w:adjustRightInd w:val="0"/>
              <w:spacing w:line="240" w:lineRule="auto"/>
              <w:ind w:left="60" w:right="60"/>
              <w:jc w:val="center"/>
              <w:rPr>
                <w:rFonts w:ascii="Arial" w:hAnsi="Arial" w:cs="Arial"/>
                <w:color w:val="264A60"/>
                <w:sz w:val="18"/>
                <w:szCs w:val="18"/>
              </w:rPr>
            </w:pPr>
          </w:p>
        </w:tc>
        <w:tc>
          <w:tcPr>
            <w:tcW w:w="630" w:type="pct"/>
          </w:tcPr>
          <w:p w14:paraId="5383732E" w14:textId="77777777" w:rsidR="00681F77" w:rsidRPr="00D26F2C" w:rsidRDefault="00681F77" w:rsidP="00E75191">
            <w:pPr>
              <w:autoSpaceDE w:val="0"/>
              <w:autoSpaceDN w:val="0"/>
              <w:adjustRightInd w:val="0"/>
              <w:spacing w:line="240" w:lineRule="auto"/>
              <w:ind w:left="60" w:right="60"/>
              <w:jc w:val="center"/>
              <w:rPr>
                <w:rFonts w:ascii="Arial" w:hAnsi="Arial" w:cs="Arial"/>
                <w:color w:val="264A60"/>
                <w:sz w:val="18"/>
                <w:szCs w:val="18"/>
              </w:rPr>
            </w:pPr>
            <w:r w:rsidRPr="00D26F2C">
              <w:rPr>
                <w:rFonts w:ascii="Arial" w:hAnsi="Arial" w:cs="Arial"/>
                <w:color w:val="264A60"/>
                <w:sz w:val="18"/>
                <w:szCs w:val="18"/>
              </w:rPr>
              <w:t>Adamawa</w:t>
            </w:r>
          </w:p>
        </w:tc>
        <w:tc>
          <w:tcPr>
            <w:tcW w:w="591" w:type="pct"/>
          </w:tcPr>
          <w:p w14:paraId="74E67C68" w14:textId="77777777" w:rsidR="00681F77" w:rsidRPr="00D26F2C" w:rsidRDefault="00681F77" w:rsidP="00E75191">
            <w:pPr>
              <w:autoSpaceDE w:val="0"/>
              <w:autoSpaceDN w:val="0"/>
              <w:adjustRightInd w:val="0"/>
              <w:spacing w:line="240" w:lineRule="auto"/>
              <w:ind w:left="60" w:right="60"/>
              <w:jc w:val="center"/>
              <w:rPr>
                <w:rFonts w:ascii="Arial" w:hAnsi="Arial" w:cs="Arial"/>
                <w:color w:val="264A60"/>
                <w:sz w:val="18"/>
                <w:szCs w:val="18"/>
              </w:rPr>
            </w:pPr>
            <w:r w:rsidRPr="00D26F2C">
              <w:rPr>
                <w:rFonts w:ascii="Arial" w:hAnsi="Arial" w:cs="Arial"/>
                <w:color w:val="264A60"/>
                <w:sz w:val="18"/>
                <w:szCs w:val="18"/>
              </w:rPr>
              <w:t>Anambra</w:t>
            </w:r>
          </w:p>
        </w:tc>
        <w:tc>
          <w:tcPr>
            <w:tcW w:w="483" w:type="pct"/>
          </w:tcPr>
          <w:p w14:paraId="493F93AC" w14:textId="77777777" w:rsidR="00681F77" w:rsidRPr="00D26F2C" w:rsidRDefault="00681F77" w:rsidP="00E75191">
            <w:pPr>
              <w:autoSpaceDE w:val="0"/>
              <w:autoSpaceDN w:val="0"/>
              <w:adjustRightInd w:val="0"/>
              <w:spacing w:line="240" w:lineRule="auto"/>
              <w:ind w:left="60" w:right="60"/>
              <w:jc w:val="center"/>
              <w:rPr>
                <w:rFonts w:ascii="Arial" w:hAnsi="Arial" w:cs="Arial"/>
                <w:color w:val="264A60"/>
                <w:sz w:val="18"/>
                <w:szCs w:val="18"/>
              </w:rPr>
            </w:pPr>
            <w:r w:rsidRPr="00D26F2C">
              <w:rPr>
                <w:rFonts w:ascii="Arial" w:hAnsi="Arial" w:cs="Arial"/>
                <w:color w:val="264A60"/>
                <w:sz w:val="18"/>
                <w:szCs w:val="18"/>
              </w:rPr>
              <w:t>Edo</w:t>
            </w:r>
          </w:p>
        </w:tc>
        <w:tc>
          <w:tcPr>
            <w:tcW w:w="483" w:type="pct"/>
          </w:tcPr>
          <w:p w14:paraId="27110AEC" w14:textId="77777777" w:rsidR="00681F77" w:rsidRPr="00D26F2C" w:rsidRDefault="00681F77" w:rsidP="00E75191">
            <w:pPr>
              <w:autoSpaceDE w:val="0"/>
              <w:autoSpaceDN w:val="0"/>
              <w:adjustRightInd w:val="0"/>
              <w:spacing w:line="240" w:lineRule="auto"/>
              <w:ind w:left="60" w:right="60"/>
              <w:jc w:val="center"/>
              <w:rPr>
                <w:rFonts w:ascii="Arial" w:hAnsi="Arial" w:cs="Arial"/>
                <w:color w:val="264A60"/>
                <w:sz w:val="18"/>
                <w:szCs w:val="18"/>
              </w:rPr>
            </w:pPr>
            <w:r w:rsidRPr="00D26F2C">
              <w:rPr>
                <w:rFonts w:ascii="Arial" w:hAnsi="Arial" w:cs="Arial"/>
                <w:color w:val="264A60"/>
                <w:sz w:val="18"/>
                <w:szCs w:val="18"/>
              </w:rPr>
              <w:t>FCT</w:t>
            </w:r>
          </w:p>
        </w:tc>
        <w:tc>
          <w:tcPr>
            <w:tcW w:w="484" w:type="pct"/>
          </w:tcPr>
          <w:p w14:paraId="53DCC69E" w14:textId="77777777" w:rsidR="00681F77" w:rsidRPr="00D26F2C" w:rsidRDefault="00681F77" w:rsidP="00E75191">
            <w:pPr>
              <w:autoSpaceDE w:val="0"/>
              <w:autoSpaceDN w:val="0"/>
              <w:adjustRightInd w:val="0"/>
              <w:spacing w:line="240" w:lineRule="auto"/>
              <w:ind w:left="60" w:right="60"/>
              <w:jc w:val="center"/>
              <w:rPr>
                <w:rFonts w:ascii="Arial" w:hAnsi="Arial" w:cs="Arial"/>
                <w:color w:val="264A60"/>
                <w:sz w:val="18"/>
                <w:szCs w:val="18"/>
              </w:rPr>
            </w:pPr>
            <w:r w:rsidRPr="00D26F2C">
              <w:rPr>
                <w:rFonts w:ascii="Arial" w:hAnsi="Arial" w:cs="Arial"/>
                <w:color w:val="264A60"/>
                <w:sz w:val="18"/>
                <w:szCs w:val="18"/>
              </w:rPr>
              <w:t>Kano</w:t>
            </w:r>
          </w:p>
        </w:tc>
        <w:tc>
          <w:tcPr>
            <w:tcW w:w="484" w:type="pct"/>
          </w:tcPr>
          <w:p w14:paraId="57BC6ECB" w14:textId="77777777" w:rsidR="00681F77" w:rsidRPr="00D26F2C" w:rsidRDefault="00681F77" w:rsidP="00E75191">
            <w:pPr>
              <w:autoSpaceDE w:val="0"/>
              <w:autoSpaceDN w:val="0"/>
              <w:adjustRightInd w:val="0"/>
              <w:spacing w:line="240" w:lineRule="auto"/>
              <w:ind w:left="60" w:right="60"/>
              <w:jc w:val="center"/>
              <w:rPr>
                <w:rFonts w:ascii="Arial" w:hAnsi="Arial" w:cs="Arial"/>
                <w:color w:val="264A60"/>
                <w:sz w:val="18"/>
                <w:szCs w:val="18"/>
              </w:rPr>
            </w:pPr>
            <w:r w:rsidRPr="00D26F2C">
              <w:rPr>
                <w:rFonts w:ascii="Arial" w:hAnsi="Arial" w:cs="Arial"/>
                <w:color w:val="264A60"/>
                <w:sz w:val="18"/>
                <w:szCs w:val="18"/>
              </w:rPr>
              <w:t>Kwara</w:t>
            </w:r>
          </w:p>
        </w:tc>
        <w:tc>
          <w:tcPr>
            <w:tcW w:w="484" w:type="pct"/>
          </w:tcPr>
          <w:p w14:paraId="72F341F4" w14:textId="77777777" w:rsidR="00681F77" w:rsidRPr="00D26F2C" w:rsidRDefault="00681F77" w:rsidP="00E75191">
            <w:pPr>
              <w:autoSpaceDE w:val="0"/>
              <w:autoSpaceDN w:val="0"/>
              <w:adjustRightInd w:val="0"/>
              <w:spacing w:line="240" w:lineRule="auto"/>
              <w:ind w:left="60" w:right="60"/>
              <w:jc w:val="center"/>
              <w:rPr>
                <w:rFonts w:ascii="Arial" w:hAnsi="Arial" w:cs="Arial"/>
                <w:color w:val="264A60"/>
                <w:sz w:val="18"/>
                <w:szCs w:val="18"/>
              </w:rPr>
            </w:pPr>
            <w:r w:rsidRPr="00D26F2C">
              <w:rPr>
                <w:rFonts w:ascii="Arial" w:hAnsi="Arial" w:cs="Arial"/>
                <w:color w:val="264A60"/>
                <w:sz w:val="18"/>
                <w:szCs w:val="18"/>
              </w:rPr>
              <w:t>Lagos</w:t>
            </w:r>
          </w:p>
        </w:tc>
        <w:tc>
          <w:tcPr>
            <w:tcW w:w="480" w:type="pct"/>
          </w:tcPr>
          <w:p w14:paraId="7936102B" w14:textId="77777777" w:rsidR="00681F77" w:rsidRPr="00D26F2C" w:rsidRDefault="00681F77" w:rsidP="00E75191">
            <w:pPr>
              <w:autoSpaceDE w:val="0"/>
              <w:autoSpaceDN w:val="0"/>
              <w:adjustRightInd w:val="0"/>
              <w:spacing w:line="240" w:lineRule="auto"/>
              <w:rPr>
                <w:rFonts w:ascii="Arial" w:hAnsi="Arial" w:cs="Arial"/>
                <w:color w:val="264A60"/>
                <w:sz w:val="18"/>
                <w:szCs w:val="18"/>
              </w:rPr>
            </w:pPr>
            <w:r>
              <w:rPr>
                <w:rFonts w:ascii="Arial" w:hAnsi="Arial" w:cs="Arial"/>
                <w:color w:val="264A60"/>
                <w:sz w:val="18"/>
                <w:szCs w:val="18"/>
              </w:rPr>
              <w:t>Total</w:t>
            </w:r>
          </w:p>
        </w:tc>
      </w:tr>
      <w:tr w:rsidR="00681F77" w:rsidRPr="00D26F2C" w14:paraId="3B5B576A" w14:textId="77777777" w:rsidTr="006E3C5B">
        <w:tc>
          <w:tcPr>
            <w:tcW w:w="881" w:type="pct"/>
          </w:tcPr>
          <w:p w14:paraId="587616B6" w14:textId="77777777" w:rsidR="00681F77" w:rsidRPr="00D26F2C" w:rsidRDefault="00681F77" w:rsidP="00E75191">
            <w:pPr>
              <w:autoSpaceDE w:val="0"/>
              <w:autoSpaceDN w:val="0"/>
              <w:adjustRightInd w:val="0"/>
              <w:spacing w:line="240" w:lineRule="auto"/>
              <w:ind w:left="60" w:right="60"/>
              <w:rPr>
                <w:rFonts w:ascii="Arial" w:hAnsi="Arial" w:cs="Arial"/>
                <w:color w:val="010205"/>
                <w:sz w:val="18"/>
                <w:szCs w:val="18"/>
              </w:rPr>
            </w:pPr>
            <w:r>
              <w:rPr>
                <w:rFonts w:ascii="Arial" w:hAnsi="Arial" w:cs="Arial"/>
                <w:color w:val="010205"/>
                <w:sz w:val="18"/>
                <w:szCs w:val="18"/>
              </w:rPr>
              <w:t>No response</w:t>
            </w:r>
          </w:p>
        </w:tc>
        <w:tc>
          <w:tcPr>
            <w:tcW w:w="630" w:type="pct"/>
          </w:tcPr>
          <w:p w14:paraId="45521A49" w14:textId="77777777" w:rsidR="00681F77" w:rsidRPr="00D26F2C" w:rsidRDefault="00681F77" w:rsidP="00E75191">
            <w:pPr>
              <w:autoSpaceDE w:val="0"/>
              <w:autoSpaceDN w:val="0"/>
              <w:adjustRightInd w:val="0"/>
              <w:spacing w:line="240" w:lineRule="auto"/>
              <w:ind w:left="60" w:right="60"/>
              <w:jc w:val="right"/>
              <w:rPr>
                <w:rFonts w:ascii="Arial" w:hAnsi="Arial" w:cs="Arial"/>
                <w:color w:val="010205"/>
                <w:sz w:val="18"/>
                <w:szCs w:val="18"/>
              </w:rPr>
            </w:pPr>
            <w:r w:rsidRPr="00D26F2C">
              <w:rPr>
                <w:rFonts w:ascii="Arial" w:hAnsi="Arial" w:cs="Arial"/>
                <w:color w:val="010205"/>
                <w:sz w:val="18"/>
                <w:szCs w:val="18"/>
              </w:rPr>
              <w:t>6.6%</w:t>
            </w:r>
          </w:p>
        </w:tc>
        <w:tc>
          <w:tcPr>
            <w:tcW w:w="591" w:type="pct"/>
          </w:tcPr>
          <w:p w14:paraId="79C73802" w14:textId="77777777" w:rsidR="00681F77" w:rsidRPr="00D26F2C" w:rsidRDefault="00681F77" w:rsidP="00E75191">
            <w:pPr>
              <w:autoSpaceDE w:val="0"/>
              <w:autoSpaceDN w:val="0"/>
              <w:adjustRightInd w:val="0"/>
              <w:spacing w:line="240" w:lineRule="auto"/>
              <w:ind w:left="60" w:right="60"/>
              <w:jc w:val="right"/>
              <w:rPr>
                <w:rFonts w:ascii="Arial" w:hAnsi="Arial" w:cs="Arial"/>
                <w:color w:val="010205"/>
                <w:sz w:val="18"/>
                <w:szCs w:val="18"/>
              </w:rPr>
            </w:pPr>
            <w:r w:rsidRPr="00D26F2C">
              <w:rPr>
                <w:rFonts w:ascii="Arial" w:hAnsi="Arial" w:cs="Arial"/>
                <w:color w:val="010205"/>
                <w:sz w:val="18"/>
                <w:szCs w:val="18"/>
              </w:rPr>
              <w:t>0.8%</w:t>
            </w:r>
          </w:p>
        </w:tc>
        <w:tc>
          <w:tcPr>
            <w:tcW w:w="483" w:type="pct"/>
          </w:tcPr>
          <w:p w14:paraId="6ABCAE98" w14:textId="77777777" w:rsidR="00681F77" w:rsidRPr="00D26F2C" w:rsidRDefault="00681F77" w:rsidP="00E75191">
            <w:pPr>
              <w:autoSpaceDE w:val="0"/>
              <w:autoSpaceDN w:val="0"/>
              <w:adjustRightInd w:val="0"/>
              <w:spacing w:line="240" w:lineRule="auto"/>
              <w:ind w:left="60" w:right="60"/>
              <w:jc w:val="right"/>
              <w:rPr>
                <w:rFonts w:ascii="Arial" w:hAnsi="Arial" w:cs="Arial"/>
                <w:color w:val="010205"/>
                <w:sz w:val="18"/>
                <w:szCs w:val="18"/>
              </w:rPr>
            </w:pPr>
            <w:r w:rsidRPr="00D26F2C">
              <w:rPr>
                <w:rFonts w:ascii="Arial" w:hAnsi="Arial" w:cs="Arial"/>
                <w:color w:val="010205"/>
                <w:sz w:val="18"/>
                <w:szCs w:val="18"/>
              </w:rPr>
              <w:t>9.1%</w:t>
            </w:r>
          </w:p>
        </w:tc>
        <w:tc>
          <w:tcPr>
            <w:tcW w:w="483" w:type="pct"/>
          </w:tcPr>
          <w:p w14:paraId="6382DF73" w14:textId="77777777" w:rsidR="00681F77" w:rsidRPr="00D26F2C" w:rsidRDefault="00681F77" w:rsidP="00E75191">
            <w:pPr>
              <w:autoSpaceDE w:val="0"/>
              <w:autoSpaceDN w:val="0"/>
              <w:adjustRightInd w:val="0"/>
              <w:spacing w:line="240" w:lineRule="auto"/>
              <w:ind w:left="60" w:right="60"/>
              <w:jc w:val="right"/>
              <w:rPr>
                <w:rFonts w:ascii="Arial" w:hAnsi="Arial" w:cs="Arial"/>
                <w:color w:val="010205"/>
                <w:sz w:val="18"/>
                <w:szCs w:val="18"/>
              </w:rPr>
            </w:pPr>
            <w:r w:rsidRPr="00D26F2C">
              <w:rPr>
                <w:rFonts w:ascii="Arial" w:hAnsi="Arial" w:cs="Arial"/>
                <w:color w:val="010205"/>
                <w:sz w:val="18"/>
                <w:szCs w:val="18"/>
              </w:rPr>
              <w:t>6.6%</w:t>
            </w:r>
          </w:p>
        </w:tc>
        <w:tc>
          <w:tcPr>
            <w:tcW w:w="484" w:type="pct"/>
          </w:tcPr>
          <w:p w14:paraId="2EC31DA3" w14:textId="77777777" w:rsidR="00681F77" w:rsidRPr="00D26F2C" w:rsidRDefault="00681F77" w:rsidP="00E75191">
            <w:pPr>
              <w:autoSpaceDE w:val="0"/>
              <w:autoSpaceDN w:val="0"/>
              <w:adjustRightInd w:val="0"/>
              <w:spacing w:line="240" w:lineRule="auto"/>
              <w:ind w:left="60" w:right="60"/>
              <w:jc w:val="right"/>
              <w:rPr>
                <w:rFonts w:ascii="Arial" w:hAnsi="Arial" w:cs="Arial"/>
                <w:color w:val="010205"/>
                <w:sz w:val="18"/>
                <w:szCs w:val="18"/>
              </w:rPr>
            </w:pPr>
            <w:r w:rsidRPr="00D26F2C">
              <w:rPr>
                <w:rFonts w:ascii="Arial" w:hAnsi="Arial" w:cs="Arial"/>
                <w:color w:val="010205"/>
                <w:sz w:val="18"/>
                <w:szCs w:val="18"/>
              </w:rPr>
              <w:t>19.7%</w:t>
            </w:r>
          </w:p>
        </w:tc>
        <w:tc>
          <w:tcPr>
            <w:tcW w:w="484" w:type="pct"/>
          </w:tcPr>
          <w:p w14:paraId="0E54CE69" w14:textId="77777777" w:rsidR="00681F77" w:rsidRPr="00D26F2C" w:rsidRDefault="00681F77" w:rsidP="00E75191">
            <w:pPr>
              <w:autoSpaceDE w:val="0"/>
              <w:autoSpaceDN w:val="0"/>
              <w:adjustRightInd w:val="0"/>
              <w:spacing w:line="240" w:lineRule="auto"/>
              <w:ind w:left="60" w:right="60"/>
              <w:jc w:val="right"/>
              <w:rPr>
                <w:rFonts w:ascii="Arial" w:hAnsi="Arial" w:cs="Arial"/>
                <w:color w:val="010205"/>
                <w:sz w:val="18"/>
                <w:szCs w:val="18"/>
              </w:rPr>
            </w:pPr>
            <w:r w:rsidRPr="00D26F2C">
              <w:rPr>
                <w:rFonts w:ascii="Arial" w:hAnsi="Arial" w:cs="Arial"/>
                <w:color w:val="010205"/>
                <w:sz w:val="18"/>
                <w:szCs w:val="18"/>
              </w:rPr>
              <w:t>11.9%</w:t>
            </w:r>
          </w:p>
        </w:tc>
        <w:tc>
          <w:tcPr>
            <w:tcW w:w="484" w:type="pct"/>
          </w:tcPr>
          <w:p w14:paraId="667F3D9A" w14:textId="77777777" w:rsidR="00681F77" w:rsidRPr="00D26F2C" w:rsidRDefault="00681F77" w:rsidP="00E75191">
            <w:pPr>
              <w:autoSpaceDE w:val="0"/>
              <w:autoSpaceDN w:val="0"/>
              <w:adjustRightInd w:val="0"/>
              <w:spacing w:line="240" w:lineRule="auto"/>
              <w:ind w:left="60" w:right="60"/>
              <w:jc w:val="right"/>
              <w:rPr>
                <w:rFonts w:ascii="Arial" w:hAnsi="Arial" w:cs="Arial"/>
                <w:color w:val="010205"/>
                <w:sz w:val="18"/>
                <w:szCs w:val="18"/>
              </w:rPr>
            </w:pPr>
            <w:r w:rsidRPr="00D26F2C">
              <w:rPr>
                <w:rFonts w:ascii="Arial" w:hAnsi="Arial" w:cs="Arial"/>
                <w:color w:val="010205"/>
                <w:sz w:val="18"/>
                <w:szCs w:val="18"/>
              </w:rPr>
              <w:t>3.8%</w:t>
            </w:r>
          </w:p>
        </w:tc>
        <w:tc>
          <w:tcPr>
            <w:tcW w:w="480" w:type="pct"/>
          </w:tcPr>
          <w:p w14:paraId="3A6B2446" w14:textId="77777777" w:rsidR="00681F77" w:rsidRPr="00D26F2C" w:rsidRDefault="00681F77" w:rsidP="00E75191">
            <w:pPr>
              <w:autoSpaceDE w:val="0"/>
              <w:autoSpaceDN w:val="0"/>
              <w:adjustRightInd w:val="0"/>
              <w:spacing w:line="240" w:lineRule="auto"/>
              <w:ind w:left="60" w:right="60"/>
              <w:jc w:val="right"/>
              <w:rPr>
                <w:rFonts w:ascii="Arial" w:hAnsi="Arial" w:cs="Arial"/>
                <w:color w:val="010205"/>
                <w:sz w:val="18"/>
                <w:szCs w:val="18"/>
              </w:rPr>
            </w:pPr>
            <w:r w:rsidRPr="00D26F2C">
              <w:rPr>
                <w:rFonts w:ascii="Arial" w:hAnsi="Arial" w:cs="Arial"/>
                <w:color w:val="010205"/>
                <w:sz w:val="18"/>
                <w:szCs w:val="18"/>
              </w:rPr>
              <w:t>9.0%</w:t>
            </w:r>
          </w:p>
        </w:tc>
      </w:tr>
      <w:tr w:rsidR="00F37421" w:rsidRPr="00D26F2C" w14:paraId="6BCB6640" w14:textId="77777777" w:rsidTr="009024DA">
        <w:tc>
          <w:tcPr>
            <w:tcW w:w="881" w:type="pct"/>
          </w:tcPr>
          <w:p w14:paraId="3A354A03" w14:textId="77777777" w:rsidR="00F37421" w:rsidRPr="00D26F2C" w:rsidRDefault="00F37421" w:rsidP="009024DA">
            <w:pPr>
              <w:autoSpaceDE w:val="0"/>
              <w:autoSpaceDN w:val="0"/>
              <w:adjustRightInd w:val="0"/>
              <w:spacing w:line="240" w:lineRule="auto"/>
              <w:ind w:left="60" w:right="60"/>
              <w:rPr>
                <w:rFonts w:ascii="Arial" w:hAnsi="Arial" w:cs="Arial"/>
                <w:color w:val="264A60"/>
                <w:sz w:val="18"/>
                <w:szCs w:val="18"/>
              </w:rPr>
            </w:pPr>
            <w:r w:rsidRPr="00D26F2C">
              <w:rPr>
                <w:rFonts w:ascii="Arial" w:hAnsi="Arial" w:cs="Arial"/>
                <w:color w:val="264A60"/>
                <w:sz w:val="18"/>
                <w:szCs w:val="18"/>
              </w:rPr>
              <w:t>Yes</w:t>
            </w:r>
          </w:p>
        </w:tc>
        <w:tc>
          <w:tcPr>
            <w:tcW w:w="630" w:type="pct"/>
          </w:tcPr>
          <w:p w14:paraId="29651A07" w14:textId="77777777" w:rsidR="00F37421" w:rsidRPr="00D26F2C" w:rsidRDefault="00F37421" w:rsidP="009024DA">
            <w:pPr>
              <w:autoSpaceDE w:val="0"/>
              <w:autoSpaceDN w:val="0"/>
              <w:adjustRightInd w:val="0"/>
              <w:spacing w:line="240" w:lineRule="auto"/>
              <w:ind w:left="60" w:right="60"/>
              <w:jc w:val="right"/>
              <w:rPr>
                <w:rFonts w:ascii="Arial" w:hAnsi="Arial" w:cs="Arial"/>
                <w:color w:val="010205"/>
                <w:sz w:val="18"/>
                <w:szCs w:val="18"/>
              </w:rPr>
            </w:pPr>
            <w:r w:rsidRPr="00D26F2C">
              <w:rPr>
                <w:rFonts w:ascii="Arial" w:hAnsi="Arial" w:cs="Arial"/>
                <w:color w:val="010205"/>
                <w:sz w:val="18"/>
                <w:szCs w:val="18"/>
              </w:rPr>
              <w:t>2.5%</w:t>
            </w:r>
          </w:p>
        </w:tc>
        <w:tc>
          <w:tcPr>
            <w:tcW w:w="591" w:type="pct"/>
          </w:tcPr>
          <w:p w14:paraId="26A43637" w14:textId="77777777" w:rsidR="00F37421" w:rsidRPr="00D26F2C" w:rsidRDefault="00F37421" w:rsidP="009024DA">
            <w:pPr>
              <w:autoSpaceDE w:val="0"/>
              <w:autoSpaceDN w:val="0"/>
              <w:adjustRightInd w:val="0"/>
              <w:spacing w:line="240" w:lineRule="auto"/>
              <w:ind w:left="60" w:right="60"/>
              <w:jc w:val="right"/>
              <w:rPr>
                <w:rFonts w:ascii="Arial" w:hAnsi="Arial" w:cs="Arial"/>
                <w:color w:val="010205"/>
                <w:sz w:val="18"/>
                <w:szCs w:val="18"/>
              </w:rPr>
            </w:pPr>
            <w:r w:rsidRPr="00D26F2C">
              <w:rPr>
                <w:rFonts w:ascii="Arial" w:hAnsi="Arial" w:cs="Arial"/>
                <w:color w:val="010205"/>
                <w:sz w:val="18"/>
                <w:szCs w:val="18"/>
              </w:rPr>
              <w:t>23.4%</w:t>
            </w:r>
          </w:p>
        </w:tc>
        <w:tc>
          <w:tcPr>
            <w:tcW w:w="483" w:type="pct"/>
          </w:tcPr>
          <w:p w14:paraId="04C0B440" w14:textId="77777777" w:rsidR="00F37421" w:rsidRPr="00D26F2C" w:rsidRDefault="00F37421" w:rsidP="009024DA">
            <w:pPr>
              <w:autoSpaceDE w:val="0"/>
              <w:autoSpaceDN w:val="0"/>
              <w:adjustRightInd w:val="0"/>
              <w:spacing w:line="240" w:lineRule="auto"/>
              <w:ind w:left="60" w:right="60"/>
              <w:jc w:val="right"/>
              <w:rPr>
                <w:rFonts w:ascii="Arial" w:hAnsi="Arial" w:cs="Arial"/>
                <w:color w:val="010205"/>
                <w:sz w:val="18"/>
                <w:szCs w:val="18"/>
              </w:rPr>
            </w:pPr>
            <w:r w:rsidRPr="00D26F2C">
              <w:rPr>
                <w:rFonts w:ascii="Arial" w:hAnsi="Arial" w:cs="Arial"/>
                <w:color w:val="010205"/>
                <w:sz w:val="18"/>
                <w:szCs w:val="18"/>
              </w:rPr>
              <w:t>10.4%</w:t>
            </w:r>
          </w:p>
        </w:tc>
        <w:tc>
          <w:tcPr>
            <w:tcW w:w="483" w:type="pct"/>
          </w:tcPr>
          <w:p w14:paraId="6FCFADAD" w14:textId="77777777" w:rsidR="00F37421" w:rsidRPr="00D26F2C" w:rsidRDefault="00F37421" w:rsidP="009024DA">
            <w:pPr>
              <w:autoSpaceDE w:val="0"/>
              <w:autoSpaceDN w:val="0"/>
              <w:adjustRightInd w:val="0"/>
              <w:spacing w:line="240" w:lineRule="auto"/>
              <w:ind w:left="60" w:right="60"/>
              <w:jc w:val="right"/>
              <w:rPr>
                <w:rFonts w:ascii="Arial" w:hAnsi="Arial" w:cs="Arial"/>
                <w:color w:val="010205"/>
                <w:sz w:val="18"/>
                <w:szCs w:val="18"/>
              </w:rPr>
            </w:pPr>
            <w:r w:rsidRPr="00D26F2C">
              <w:rPr>
                <w:rFonts w:ascii="Arial" w:hAnsi="Arial" w:cs="Arial"/>
                <w:color w:val="010205"/>
                <w:sz w:val="18"/>
                <w:szCs w:val="18"/>
              </w:rPr>
              <w:t>11.5%</w:t>
            </w:r>
          </w:p>
        </w:tc>
        <w:tc>
          <w:tcPr>
            <w:tcW w:w="484" w:type="pct"/>
          </w:tcPr>
          <w:p w14:paraId="0D46A90E" w14:textId="77777777" w:rsidR="00F37421" w:rsidRPr="00D26F2C" w:rsidRDefault="00F37421" w:rsidP="009024DA">
            <w:pPr>
              <w:autoSpaceDE w:val="0"/>
              <w:autoSpaceDN w:val="0"/>
              <w:adjustRightInd w:val="0"/>
              <w:spacing w:line="240" w:lineRule="auto"/>
              <w:ind w:left="60" w:right="60"/>
              <w:jc w:val="right"/>
              <w:rPr>
                <w:rFonts w:ascii="Arial" w:hAnsi="Arial" w:cs="Arial"/>
                <w:color w:val="010205"/>
                <w:sz w:val="18"/>
                <w:szCs w:val="18"/>
              </w:rPr>
            </w:pPr>
            <w:r w:rsidRPr="00D26F2C">
              <w:rPr>
                <w:rFonts w:ascii="Arial" w:hAnsi="Arial" w:cs="Arial"/>
                <w:color w:val="010205"/>
                <w:sz w:val="18"/>
                <w:szCs w:val="18"/>
              </w:rPr>
              <w:t>33.3%</w:t>
            </w:r>
          </w:p>
        </w:tc>
        <w:tc>
          <w:tcPr>
            <w:tcW w:w="484" w:type="pct"/>
          </w:tcPr>
          <w:p w14:paraId="6AD04471" w14:textId="77777777" w:rsidR="00F37421" w:rsidRPr="00D26F2C" w:rsidRDefault="00F37421" w:rsidP="009024DA">
            <w:pPr>
              <w:autoSpaceDE w:val="0"/>
              <w:autoSpaceDN w:val="0"/>
              <w:adjustRightInd w:val="0"/>
              <w:spacing w:line="240" w:lineRule="auto"/>
              <w:ind w:left="60" w:right="60"/>
              <w:jc w:val="right"/>
              <w:rPr>
                <w:rFonts w:ascii="Arial" w:hAnsi="Arial" w:cs="Arial"/>
                <w:color w:val="010205"/>
                <w:sz w:val="18"/>
                <w:szCs w:val="18"/>
              </w:rPr>
            </w:pPr>
            <w:r w:rsidRPr="00D26F2C">
              <w:rPr>
                <w:rFonts w:ascii="Arial" w:hAnsi="Arial" w:cs="Arial"/>
                <w:color w:val="010205"/>
                <w:sz w:val="18"/>
                <w:szCs w:val="18"/>
              </w:rPr>
              <w:t>17.5%</w:t>
            </w:r>
          </w:p>
        </w:tc>
        <w:tc>
          <w:tcPr>
            <w:tcW w:w="484" w:type="pct"/>
          </w:tcPr>
          <w:p w14:paraId="52DE9265" w14:textId="77777777" w:rsidR="00F37421" w:rsidRPr="00D26F2C" w:rsidRDefault="00F37421" w:rsidP="009024DA">
            <w:pPr>
              <w:autoSpaceDE w:val="0"/>
              <w:autoSpaceDN w:val="0"/>
              <w:adjustRightInd w:val="0"/>
              <w:spacing w:line="240" w:lineRule="auto"/>
              <w:ind w:left="60" w:right="60"/>
              <w:jc w:val="right"/>
              <w:rPr>
                <w:rFonts w:ascii="Arial" w:hAnsi="Arial" w:cs="Arial"/>
                <w:color w:val="010205"/>
                <w:sz w:val="18"/>
                <w:szCs w:val="18"/>
              </w:rPr>
            </w:pPr>
            <w:r w:rsidRPr="00D26F2C">
              <w:rPr>
                <w:rFonts w:ascii="Arial" w:hAnsi="Arial" w:cs="Arial"/>
                <w:color w:val="010205"/>
                <w:sz w:val="18"/>
                <w:szCs w:val="18"/>
              </w:rPr>
              <w:t>13.2%</w:t>
            </w:r>
          </w:p>
        </w:tc>
        <w:tc>
          <w:tcPr>
            <w:tcW w:w="480" w:type="pct"/>
          </w:tcPr>
          <w:p w14:paraId="3FA30389" w14:textId="77777777" w:rsidR="00F37421" w:rsidRPr="00D26F2C" w:rsidRDefault="00F37421" w:rsidP="009024DA">
            <w:pPr>
              <w:keepNext/>
              <w:autoSpaceDE w:val="0"/>
              <w:autoSpaceDN w:val="0"/>
              <w:adjustRightInd w:val="0"/>
              <w:spacing w:line="240" w:lineRule="auto"/>
              <w:ind w:left="60" w:right="60"/>
              <w:jc w:val="right"/>
              <w:rPr>
                <w:rFonts w:ascii="Arial" w:hAnsi="Arial" w:cs="Arial"/>
                <w:color w:val="010205"/>
                <w:sz w:val="18"/>
                <w:szCs w:val="18"/>
              </w:rPr>
            </w:pPr>
            <w:r w:rsidRPr="00D26F2C">
              <w:rPr>
                <w:rFonts w:ascii="Arial" w:hAnsi="Arial" w:cs="Arial"/>
                <w:color w:val="010205"/>
                <w:sz w:val="18"/>
                <w:szCs w:val="18"/>
              </w:rPr>
              <w:t>16.8%</w:t>
            </w:r>
          </w:p>
        </w:tc>
      </w:tr>
      <w:tr w:rsidR="00F37421" w:rsidRPr="00D26F2C" w14:paraId="367C3B0A" w14:textId="77777777" w:rsidTr="006E3C5B">
        <w:tc>
          <w:tcPr>
            <w:tcW w:w="881" w:type="pct"/>
          </w:tcPr>
          <w:p w14:paraId="751E8A07" w14:textId="77777777" w:rsidR="00F37421" w:rsidRPr="00D26F2C" w:rsidRDefault="00F37421" w:rsidP="009024DA">
            <w:pPr>
              <w:autoSpaceDE w:val="0"/>
              <w:autoSpaceDN w:val="0"/>
              <w:adjustRightInd w:val="0"/>
              <w:spacing w:line="240" w:lineRule="auto"/>
              <w:ind w:left="60" w:right="60"/>
              <w:rPr>
                <w:rFonts w:ascii="Arial" w:hAnsi="Arial" w:cs="Arial"/>
                <w:color w:val="264A60"/>
                <w:sz w:val="18"/>
                <w:szCs w:val="18"/>
              </w:rPr>
            </w:pPr>
            <w:r w:rsidRPr="00D26F2C">
              <w:rPr>
                <w:rFonts w:ascii="Arial" w:hAnsi="Arial" w:cs="Arial"/>
                <w:color w:val="264A60"/>
                <w:sz w:val="18"/>
                <w:szCs w:val="18"/>
              </w:rPr>
              <w:t>No</w:t>
            </w:r>
          </w:p>
        </w:tc>
        <w:tc>
          <w:tcPr>
            <w:tcW w:w="630" w:type="pct"/>
          </w:tcPr>
          <w:p w14:paraId="2FA21439" w14:textId="77777777" w:rsidR="00F37421" w:rsidRPr="00D26F2C" w:rsidRDefault="00F37421" w:rsidP="009024DA">
            <w:pPr>
              <w:autoSpaceDE w:val="0"/>
              <w:autoSpaceDN w:val="0"/>
              <w:adjustRightInd w:val="0"/>
              <w:spacing w:line="240" w:lineRule="auto"/>
              <w:ind w:left="60" w:right="60"/>
              <w:jc w:val="right"/>
              <w:rPr>
                <w:rFonts w:ascii="Arial" w:hAnsi="Arial" w:cs="Arial"/>
                <w:color w:val="010205"/>
                <w:sz w:val="18"/>
                <w:szCs w:val="18"/>
              </w:rPr>
            </w:pPr>
            <w:r w:rsidRPr="00D26F2C">
              <w:rPr>
                <w:rFonts w:ascii="Arial" w:hAnsi="Arial" w:cs="Arial"/>
                <w:color w:val="010205"/>
                <w:sz w:val="18"/>
                <w:szCs w:val="18"/>
              </w:rPr>
              <w:t>26.9%</w:t>
            </w:r>
          </w:p>
        </w:tc>
        <w:tc>
          <w:tcPr>
            <w:tcW w:w="591" w:type="pct"/>
          </w:tcPr>
          <w:p w14:paraId="77EE94E9" w14:textId="77777777" w:rsidR="00F37421" w:rsidRPr="00D26F2C" w:rsidRDefault="00F37421" w:rsidP="009024DA">
            <w:pPr>
              <w:autoSpaceDE w:val="0"/>
              <w:autoSpaceDN w:val="0"/>
              <w:adjustRightInd w:val="0"/>
              <w:spacing w:line="240" w:lineRule="auto"/>
              <w:ind w:left="60" w:right="60"/>
              <w:jc w:val="right"/>
              <w:rPr>
                <w:rFonts w:ascii="Arial" w:hAnsi="Arial" w:cs="Arial"/>
                <w:color w:val="010205"/>
                <w:sz w:val="18"/>
                <w:szCs w:val="18"/>
              </w:rPr>
            </w:pPr>
            <w:r w:rsidRPr="00D26F2C">
              <w:rPr>
                <w:rFonts w:ascii="Arial" w:hAnsi="Arial" w:cs="Arial"/>
                <w:color w:val="010205"/>
                <w:sz w:val="18"/>
                <w:szCs w:val="18"/>
              </w:rPr>
              <w:t>24.2%</w:t>
            </w:r>
          </w:p>
        </w:tc>
        <w:tc>
          <w:tcPr>
            <w:tcW w:w="483" w:type="pct"/>
          </w:tcPr>
          <w:p w14:paraId="16D3B66B" w14:textId="77777777" w:rsidR="00F37421" w:rsidRPr="00D26F2C" w:rsidRDefault="00F37421" w:rsidP="009024DA">
            <w:pPr>
              <w:autoSpaceDE w:val="0"/>
              <w:autoSpaceDN w:val="0"/>
              <w:adjustRightInd w:val="0"/>
              <w:spacing w:line="240" w:lineRule="auto"/>
              <w:ind w:left="60" w:right="60"/>
              <w:jc w:val="right"/>
              <w:rPr>
                <w:rFonts w:ascii="Arial" w:hAnsi="Arial" w:cs="Arial"/>
                <w:color w:val="010205"/>
                <w:sz w:val="18"/>
                <w:szCs w:val="18"/>
              </w:rPr>
            </w:pPr>
            <w:r w:rsidRPr="00D26F2C">
              <w:rPr>
                <w:rFonts w:ascii="Arial" w:hAnsi="Arial" w:cs="Arial"/>
                <w:color w:val="010205"/>
                <w:sz w:val="18"/>
                <w:szCs w:val="18"/>
              </w:rPr>
              <w:t>34.4%</w:t>
            </w:r>
          </w:p>
        </w:tc>
        <w:tc>
          <w:tcPr>
            <w:tcW w:w="483" w:type="pct"/>
          </w:tcPr>
          <w:p w14:paraId="5309DF71" w14:textId="77777777" w:rsidR="00F37421" w:rsidRPr="00D26F2C" w:rsidRDefault="00F37421" w:rsidP="009024DA">
            <w:pPr>
              <w:autoSpaceDE w:val="0"/>
              <w:autoSpaceDN w:val="0"/>
              <w:adjustRightInd w:val="0"/>
              <w:spacing w:line="240" w:lineRule="auto"/>
              <w:ind w:left="60" w:right="60"/>
              <w:jc w:val="right"/>
              <w:rPr>
                <w:rFonts w:ascii="Arial" w:hAnsi="Arial" w:cs="Arial"/>
                <w:color w:val="010205"/>
                <w:sz w:val="18"/>
                <w:szCs w:val="18"/>
              </w:rPr>
            </w:pPr>
            <w:r w:rsidRPr="00D26F2C">
              <w:rPr>
                <w:rFonts w:ascii="Arial" w:hAnsi="Arial" w:cs="Arial"/>
                <w:color w:val="010205"/>
                <w:sz w:val="18"/>
                <w:szCs w:val="18"/>
              </w:rPr>
              <w:t>25.6%</w:t>
            </w:r>
          </w:p>
        </w:tc>
        <w:tc>
          <w:tcPr>
            <w:tcW w:w="484" w:type="pct"/>
          </w:tcPr>
          <w:p w14:paraId="3CCDD136" w14:textId="77777777" w:rsidR="00F37421" w:rsidRPr="00D26F2C" w:rsidRDefault="00F37421" w:rsidP="009024DA">
            <w:pPr>
              <w:autoSpaceDE w:val="0"/>
              <w:autoSpaceDN w:val="0"/>
              <w:adjustRightInd w:val="0"/>
              <w:spacing w:line="240" w:lineRule="auto"/>
              <w:ind w:left="60" w:right="60"/>
              <w:jc w:val="right"/>
              <w:rPr>
                <w:rFonts w:ascii="Arial" w:hAnsi="Arial" w:cs="Arial"/>
                <w:color w:val="010205"/>
                <w:sz w:val="18"/>
                <w:szCs w:val="18"/>
              </w:rPr>
            </w:pPr>
            <w:r w:rsidRPr="00D26F2C">
              <w:rPr>
                <w:rFonts w:ascii="Arial" w:hAnsi="Arial" w:cs="Arial"/>
                <w:color w:val="010205"/>
                <w:sz w:val="18"/>
                <w:szCs w:val="18"/>
              </w:rPr>
              <w:t>24.2%</w:t>
            </w:r>
          </w:p>
        </w:tc>
        <w:tc>
          <w:tcPr>
            <w:tcW w:w="484" w:type="pct"/>
          </w:tcPr>
          <w:p w14:paraId="3EDFD251" w14:textId="77777777" w:rsidR="00F37421" w:rsidRPr="00D26F2C" w:rsidRDefault="00F37421" w:rsidP="009024DA">
            <w:pPr>
              <w:autoSpaceDE w:val="0"/>
              <w:autoSpaceDN w:val="0"/>
              <w:adjustRightInd w:val="0"/>
              <w:spacing w:line="240" w:lineRule="auto"/>
              <w:ind w:left="60" w:right="60"/>
              <w:jc w:val="right"/>
              <w:rPr>
                <w:rFonts w:ascii="Arial" w:hAnsi="Arial" w:cs="Arial"/>
                <w:color w:val="010205"/>
                <w:sz w:val="18"/>
                <w:szCs w:val="18"/>
              </w:rPr>
            </w:pPr>
            <w:r w:rsidRPr="00D26F2C">
              <w:rPr>
                <w:rFonts w:ascii="Arial" w:hAnsi="Arial" w:cs="Arial"/>
                <w:color w:val="010205"/>
                <w:sz w:val="18"/>
                <w:szCs w:val="18"/>
              </w:rPr>
              <w:t>23.0%</w:t>
            </w:r>
          </w:p>
        </w:tc>
        <w:tc>
          <w:tcPr>
            <w:tcW w:w="484" w:type="pct"/>
          </w:tcPr>
          <w:p w14:paraId="2B945521" w14:textId="77777777" w:rsidR="00F37421" w:rsidRPr="00D26F2C" w:rsidRDefault="00F37421" w:rsidP="009024DA">
            <w:pPr>
              <w:autoSpaceDE w:val="0"/>
              <w:autoSpaceDN w:val="0"/>
              <w:adjustRightInd w:val="0"/>
              <w:spacing w:line="240" w:lineRule="auto"/>
              <w:ind w:left="60" w:right="60"/>
              <w:jc w:val="right"/>
              <w:rPr>
                <w:rFonts w:ascii="Arial" w:hAnsi="Arial" w:cs="Arial"/>
                <w:color w:val="010205"/>
                <w:sz w:val="18"/>
                <w:szCs w:val="18"/>
              </w:rPr>
            </w:pPr>
            <w:r w:rsidRPr="00D26F2C">
              <w:rPr>
                <w:rFonts w:ascii="Arial" w:hAnsi="Arial" w:cs="Arial"/>
                <w:color w:val="010205"/>
                <w:sz w:val="18"/>
                <w:szCs w:val="18"/>
              </w:rPr>
              <w:t>27.4%</w:t>
            </w:r>
          </w:p>
        </w:tc>
        <w:tc>
          <w:tcPr>
            <w:tcW w:w="480" w:type="pct"/>
          </w:tcPr>
          <w:p w14:paraId="74929572" w14:textId="77777777" w:rsidR="00F37421" w:rsidRPr="00D26F2C" w:rsidRDefault="00F37421" w:rsidP="009024DA">
            <w:pPr>
              <w:autoSpaceDE w:val="0"/>
              <w:autoSpaceDN w:val="0"/>
              <w:adjustRightInd w:val="0"/>
              <w:spacing w:line="240" w:lineRule="auto"/>
              <w:ind w:left="60" w:right="60"/>
              <w:jc w:val="right"/>
              <w:rPr>
                <w:rFonts w:ascii="Arial" w:hAnsi="Arial" w:cs="Arial"/>
                <w:color w:val="010205"/>
                <w:sz w:val="18"/>
                <w:szCs w:val="18"/>
              </w:rPr>
            </w:pPr>
            <w:r w:rsidRPr="00D26F2C">
              <w:rPr>
                <w:rFonts w:ascii="Arial" w:hAnsi="Arial" w:cs="Arial"/>
                <w:color w:val="010205"/>
                <w:sz w:val="18"/>
                <w:szCs w:val="18"/>
              </w:rPr>
              <w:t>26.1%</w:t>
            </w:r>
          </w:p>
        </w:tc>
      </w:tr>
      <w:tr w:rsidR="00681F77" w:rsidRPr="00D26F2C" w14:paraId="6D034635" w14:textId="77777777" w:rsidTr="006E3C5B">
        <w:tc>
          <w:tcPr>
            <w:tcW w:w="881" w:type="pct"/>
          </w:tcPr>
          <w:p w14:paraId="56F1B597" w14:textId="77777777" w:rsidR="00681F77" w:rsidRPr="00D26F2C" w:rsidRDefault="00681F77" w:rsidP="00E75191">
            <w:pPr>
              <w:autoSpaceDE w:val="0"/>
              <w:autoSpaceDN w:val="0"/>
              <w:adjustRightInd w:val="0"/>
              <w:spacing w:line="240" w:lineRule="auto"/>
              <w:ind w:left="60" w:right="60"/>
              <w:rPr>
                <w:rFonts w:ascii="Arial" w:hAnsi="Arial" w:cs="Arial"/>
                <w:color w:val="264A60"/>
                <w:sz w:val="18"/>
                <w:szCs w:val="18"/>
              </w:rPr>
            </w:pPr>
            <w:r w:rsidRPr="00D26F2C">
              <w:rPr>
                <w:rFonts w:ascii="Arial" w:hAnsi="Arial" w:cs="Arial"/>
                <w:color w:val="264A60"/>
                <w:sz w:val="18"/>
                <w:szCs w:val="18"/>
              </w:rPr>
              <w:t>I don't know</w:t>
            </w:r>
          </w:p>
        </w:tc>
        <w:tc>
          <w:tcPr>
            <w:tcW w:w="630" w:type="pct"/>
          </w:tcPr>
          <w:p w14:paraId="11D03C39" w14:textId="77777777" w:rsidR="00681F77" w:rsidRPr="00D26F2C" w:rsidRDefault="00681F77" w:rsidP="00E75191">
            <w:pPr>
              <w:autoSpaceDE w:val="0"/>
              <w:autoSpaceDN w:val="0"/>
              <w:adjustRightInd w:val="0"/>
              <w:spacing w:line="240" w:lineRule="auto"/>
              <w:ind w:left="60" w:right="60"/>
              <w:jc w:val="right"/>
              <w:rPr>
                <w:rFonts w:ascii="Arial" w:hAnsi="Arial" w:cs="Arial"/>
                <w:color w:val="010205"/>
                <w:sz w:val="18"/>
                <w:szCs w:val="18"/>
              </w:rPr>
            </w:pPr>
            <w:r w:rsidRPr="00D26F2C">
              <w:rPr>
                <w:rFonts w:ascii="Arial" w:hAnsi="Arial" w:cs="Arial"/>
                <w:color w:val="010205"/>
                <w:sz w:val="18"/>
                <w:szCs w:val="18"/>
              </w:rPr>
              <w:t>32.2%</w:t>
            </w:r>
          </w:p>
        </w:tc>
        <w:tc>
          <w:tcPr>
            <w:tcW w:w="591" w:type="pct"/>
          </w:tcPr>
          <w:p w14:paraId="7CA30C6D" w14:textId="77777777" w:rsidR="00681F77" w:rsidRPr="00D26F2C" w:rsidRDefault="00681F77" w:rsidP="00E75191">
            <w:pPr>
              <w:autoSpaceDE w:val="0"/>
              <w:autoSpaceDN w:val="0"/>
              <w:adjustRightInd w:val="0"/>
              <w:spacing w:line="240" w:lineRule="auto"/>
              <w:ind w:left="60" w:right="60"/>
              <w:jc w:val="right"/>
              <w:rPr>
                <w:rFonts w:ascii="Arial" w:hAnsi="Arial" w:cs="Arial"/>
                <w:color w:val="010205"/>
                <w:sz w:val="18"/>
                <w:szCs w:val="18"/>
              </w:rPr>
            </w:pPr>
            <w:r w:rsidRPr="00D26F2C">
              <w:rPr>
                <w:rFonts w:ascii="Arial" w:hAnsi="Arial" w:cs="Arial"/>
                <w:color w:val="010205"/>
                <w:sz w:val="18"/>
                <w:szCs w:val="18"/>
              </w:rPr>
              <w:t>37.1%</w:t>
            </w:r>
          </w:p>
        </w:tc>
        <w:tc>
          <w:tcPr>
            <w:tcW w:w="483" w:type="pct"/>
          </w:tcPr>
          <w:p w14:paraId="1620BADF" w14:textId="77777777" w:rsidR="00681F77" w:rsidRPr="00D26F2C" w:rsidRDefault="00681F77" w:rsidP="00E75191">
            <w:pPr>
              <w:autoSpaceDE w:val="0"/>
              <w:autoSpaceDN w:val="0"/>
              <w:adjustRightInd w:val="0"/>
              <w:spacing w:line="240" w:lineRule="auto"/>
              <w:ind w:left="60" w:right="60"/>
              <w:jc w:val="right"/>
              <w:rPr>
                <w:rFonts w:ascii="Arial" w:hAnsi="Arial" w:cs="Arial"/>
                <w:color w:val="010205"/>
                <w:sz w:val="18"/>
                <w:szCs w:val="18"/>
              </w:rPr>
            </w:pPr>
            <w:r w:rsidRPr="00D26F2C">
              <w:rPr>
                <w:rFonts w:ascii="Arial" w:hAnsi="Arial" w:cs="Arial"/>
                <w:color w:val="010205"/>
                <w:sz w:val="18"/>
                <w:szCs w:val="18"/>
              </w:rPr>
              <w:t>33.8%</w:t>
            </w:r>
          </w:p>
        </w:tc>
        <w:tc>
          <w:tcPr>
            <w:tcW w:w="483" w:type="pct"/>
          </w:tcPr>
          <w:p w14:paraId="00ADA780" w14:textId="77777777" w:rsidR="00681F77" w:rsidRPr="00D26F2C" w:rsidRDefault="00681F77" w:rsidP="00E75191">
            <w:pPr>
              <w:autoSpaceDE w:val="0"/>
              <w:autoSpaceDN w:val="0"/>
              <w:adjustRightInd w:val="0"/>
              <w:spacing w:line="240" w:lineRule="auto"/>
              <w:ind w:left="60" w:right="60"/>
              <w:jc w:val="right"/>
              <w:rPr>
                <w:rFonts w:ascii="Arial" w:hAnsi="Arial" w:cs="Arial"/>
                <w:color w:val="010205"/>
                <w:sz w:val="18"/>
                <w:szCs w:val="18"/>
              </w:rPr>
            </w:pPr>
            <w:r w:rsidRPr="00D26F2C">
              <w:rPr>
                <w:rFonts w:ascii="Arial" w:hAnsi="Arial" w:cs="Arial"/>
                <w:color w:val="010205"/>
                <w:sz w:val="18"/>
                <w:szCs w:val="18"/>
              </w:rPr>
              <w:t>41.3%</w:t>
            </w:r>
          </w:p>
        </w:tc>
        <w:tc>
          <w:tcPr>
            <w:tcW w:w="484" w:type="pct"/>
          </w:tcPr>
          <w:p w14:paraId="20FF8C9A" w14:textId="77777777" w:rsidR="00681F77" w:rsidRPr="00D26F2C" w:rsidRDefault="00681F77" w:rsidP="00E75191">
            <w:pPr>
              <w:autoSpaceDE w:val="0"/>
              <w:autoSpaceDN w:val="0"/>
              <w:adjustRightInd w:val="0"/>
              <w:spacing w:line="240" w:lineRule="auto"/>
              <w:ind w:left="60" w:right="60"/>
              <w:jc w:val="right"/>
              <w:rPr>
                <w:rFonts w:ascii="Arial" w:hAnsi="Arial" w:cs="Arial"/>
                <w:color w:val="010205"/>
                <w:sz w:val="18"/>
                <w:szCs w:val="18"/>
              </w:rPr>
            </w:pPr>
            <w:r w:rsidRPr="00D26F2C">
              <w:rPr>
                <w:rFonts w:ascii="Arial" w:hAnsi="Arial" w:cs="Arial"/>
                <w:color w:val="010205"/>
                <w:sz w:val="18"/>
                <w:szCs w:val="18"/>
              </w:rPr>
              <w:t>8.0%</w:t>
            </w:r>
          </w:p>
        </w:tc>
        <w:tc>
          <w:tcPr>
            <w:tcW w:w="484" w:type="pct"/>
          </w:tcPr>
          <w:p w14:paraId="06C1C525" w14:textId="77777777" w:rsidR="00681F77" w:rsidRPr="00D26F2C" w:rsidRDefault="00681F77" w:rsidP="00E75191">
            <w:pPr>
              <w:autoSpaceDE w:val="0"/>
              <w:autoSpaceDN w:val="0"/>
              <w:adjustRightInd w:val="0"/>
              <w:spacing w:line="240" w:lineRule="auto"/>
              <w:ind w:left="60" w:right="60"/>
              <w:jc w:val="right"/>
              <w:rPr>
                <w:rFonts w:ascii="Arial" w:hAnsi="Arial" w:cs="Arial"/>
                <w:color w:val="010205"/>
                <w:sz w:val="18"/>
                <w:szCs w:val="18"/>
              </w:rPr>
            </w:pPr>
            <w:r w:rsidRPr="00D26F2C">
              <w:rPr>
                <w:rFonts w:ascii="Arial" w:hAnsi="Arial" w:cs="Arial"/>
                <w:color w:val="010205"/>
                <w:sz w:val="18"/>
                <w:szCs w:val="18"/>
              </w:rPr>
              <w:t>35.7%</w:t>
            </w:r>
          </w:p>
        </w:tc>
        <w:tc>
          <w:tcPr>
            <w:tcW w:w="484" w:type="pct"/>
          </w:tcPr>
          <w:p w14:paraId="52B4C936" w14:textId="77777777" w:rsidR="00681F77" w:rsidRPr="00D26F2C" w:rsidRDefault="00681F77" w:rsidP="00E75191">
            <w:pPr>
              <w:autoSpaceDE w:val="0"/>
              <w:autoSpaceDN w:val="0"/>
              <w:adjustRightInd w:val="0"/>
              <w:spacing w:line="240" w:lineRule="auto"/>
              <w:ind w:left="60" w:right="60"/>
              <w:jc w:val="right"/>
              <w:rPr>
                <w:rFonts w:ascii="Arial" w:hAnsi="Arial" w:cs="Arial"/>
                <w:color w:val="010205"/>
                <w:sz w:val="18"/>
                <w:szCs w:val="18"/>
              </w:rPr>
            </w:pPr>
            <w:r w:rsidRPr="00D26F2C">
              <w:rPr>
                <w:rFonts w:ascii="Arial" w:hAnsi="Arial" w:cs="Arial"/>
                <w:color w:val="010205"/>
                <w:sz w:val="18"/>
                <w:szCs w:val="18"/>
              </w:rPr>
              <w:t>50.0%</w:t>
            </w:r>
          </w:p>
        </w:tc>
        <w:tc>
          <w:tcPr>
            <w:tcW w:w="480" w:type="pct"/>
          </w:tcPr>
          <w:p w14:paraId="7C97F79D" w14:textId="77777777" w:rsidR="00681F77" w:rsidRPr="00D26F2C" w:rsidRDefault="00681F77" w:rsidP="00E75191">
            <w:pPr>
              <w:autoSpaceDE w:val="0"/>
              <w:autoSpaceDN w:val="0"/>
              <w:adjustRightInd w:val="0"/>
              <w:spacing w:line="240" w:lineRule="auto"/>
              <w:ind w:left="60" w:right="60"/>
              <w:jc w:val="right"/>
              <w:rPr>
                <w:rFonts w:ascii="Arial" w:hAnsi="Arial" w:cs="Arial"/>
                <w:color w:val="010205"/>
                <w:sz w:val="18"/>
                <w:szCs w:val="18"/>
              </w:rPr>
            </w:pPr>
            <w:r w:rsidRPr="00D26F2C">
              <w:rPr>
                <w:rFonts w:ascii="Arial" w:hAnsi="Arial" w:cs="Arial"/>
                <w:color w:val="010205"/>
                <w:sz w:val="18"/>
                <w:szCs w:val="18"/>
              </w:rPr>
              <w:t>31.0%</w:t>
            </w:r>
          </w:p>
        </w:tc>
      </w:tr>
      <w:tr w:rsidR="00681F77" w:rsidRPr="00D26F2C" w14:paraId="2C9C9AC4" w14:textId="77777777" w:rsidTr="006E3C5B">
        <w:tc>
          <w:tcPr>
            <w:tcW w:w="881" w:type="pct"/>
          </w:tcPr>
          <w:p w14:paraId="31A948FB" w14:textId="77777777" w:rsidR="00681F77" w:rsidRPr="00D26F2C" w:rsidRDefault="00681F77" w:rsidP="00E75191">
            <w:pPr>
              <w:autoSpaceDE w:val="0"/>
              <w:autoSpaceDN w:val="0"/>
              <w:adjustRightInd w:val="0"/>
              <w:spacing w:line="240" w:lineRule="auto"/>
              <w:ind w:left="60" w:right="60"/>
              <w:rPr>
                <w:rFonts w:ascii="Arial" w:hAnsi="Arial" w:cs="Arial"/>
                <w:color w:val="264A60"/>
                <w:sz w:val="18"/>
                <w:szCs w:val="18"/>
              </w:rPr>
            </w:pPr>
            <w:r w:rsidRPr="00D26F2C">
              <w:rPr>
                <w:rFonts w:ascii="Arial" w:hAnsi="Arial" w:cs="Arial"/>
                <w:color w:val="264A60"/>
                <w:sz w:val="18"/>
                <w:szCs w:val="18"/>
              </w:rPr>
              <w:t>I have nothing to say</w:t>
            </w:r>
          </w:p>
        </w:tc>
        <w:tc>
          <w:tcPr>
            <w:tcW w:w="630" w:type="pct"/>
          </w:tcPr>
          <w:p w14:paraId="4661840C" w14:textId="77777777" w:rsidR="00681F77" w:rsidRPr="00D26F2C" w:rsidRDefault="00681F77" w:rsidP="00E75191">
            <w:pPr>
              <w:autoSpaceDE w:val="0"/>
              <w:autoSpaceDN w:val="0"/>
              <w:adjustRightInd w:val="0"/>
              <w:spacing w:line="240" w:lineRule="auto"/>
              <w:ind w:left="60" w:right="60"/>
              <w:jc w:val="right"/>
              <w:rPr>
                <w:rFonts w:ascii="Arial" w:hAnsi="Arial" w:cs="Arial"/>
                <w:color w:val="010205"/>
                <w:sz w:val="18"/>
                <w:szCs w:val="18"/>
              </w:rPr>
            </w:pPr>
            <w:r w:rsidRPr="00D26F2C">
              <w:rPr>
                <w:rFonts w:ascii="Arial" w:hAnsi="Arial" w:cs="Arial"/>
                <w:color w:val="010205"/>
                <w:sz w:val="18"/>
                <w:szCs w:val="18"/>
              </w:rPr>
              <w:t>31.9%</w:t>
            </w:r>
          </w:p>
        </w:tc>
        <w:tc>
          <w:tcPr>
            <w:tcW w:w="591" w:type="pct"/>
          </w:tcPr>
          <w:p w14:paraId="2613A969" w14:textId="77777777" w:rsidR="00681F77" w:rsidRPr="00D26F2C" w:rsidRDefault="00681F77" w:rsidP="00E75191">
            <w:pPr>
              <w:autoSpaceDE w:val="0"/>
              <w:autoSpaceDN w:val="0"/>
              <w:adjustRightInd w:val="0"/>
              <w:spacing w:line="240" w:lineRule="auto"/>
              <w:ind w:left="60" w:right="60"/>
              <w:jc w:val="right"/>
              <w:rPr>
                <w:rFonts w:ascii="Arial" w:hAnsi="Arial" w:cs="Arial"/>
                <w:color w:val="010205"/>
                <w:sz w:val="18"/>
                <w:szCs w:val="18"/>
              </w:rPr>
            </w:pPr>
            <w:r w:rsidRPr="00D26F2C">
              <w:rPr>
                <w:rFonts w:ascii="Arial" w:hAnsi="Arial" w:cs="Arial"/>
                <w:color w:val="010205"/>
                <w:sz w:val="18"/>
                <w:szCs w:val="18"/>
              </w:rPr>
              <w:t>14.5%</w:t>
            </w:r>
          </w:p>
        </w:tc>
        <w:tc>
          <w:tcPr>
            <w:tcW w:w="483" w:type="pct"/>
          </w:tcPr>
          <w:p w14:paraId="5B56EDF2" w14:textId="77777777" w:rsidR="00681F77" w:rsidRPr="00D26F2C" w:rsidRDefault="00681F77" w:rsidP="00E75191">
            <w:pPr>
              <w:autoSpaceDE w:val="0"/>
              <w:autoSpaceDN w:val="0"/>
              <w:adjustRightInd w:val="0"/>
              <w:spacing w:line="240" w:lineRule="auto"/>
              <w:ind w:left="60" w:right="60"/>
              <w:jc w:val="right"/>
              <w:rPr>
                <w:rFonts w:ascii="Arial" w:hAnsi="Arial" w:cs="Arial"/>
                <w:color w:val="010205"/>
                <w:sz w:val="18"/>
                <w:szCs w:val="18"/>
              </w:rPr>
            </w:pPr>
            <w:r w:rsidRPr="00D26F2C">
              <w:rPr>
                <w:rFonts w:ascii="Arial" w:hAnsi="Arial" w:cs="Arial"/>
                <w:color w:val="010205"/>
                <w:sz w:val="18"/>
                <w:szCs w:val="18"/>
              </w:rPr>
              <w:t>12.3%</w:t>
            </w:r>
          </w:p>
        </w:tc>
        <w:tc>
          <w:tcPr>
            <w:tcW w:w="483" w:type="pct"/>
          </w:tcPr>
          <w:p w14:paraId="30F33DB9" w14:textId="77777777" w:rsidR="00681F77" w:rsidRPr="00D26F2C" w:rsidRDefault="00681F77" w:rsidP="00E75191">
            <w:pPr>
              <w:autoSpaceDE w:val="0"/>
              <w:autoSpaceDN w:val="0"/>
              <w:adjustRightInd w:val="0"/>
              <w:spacing w:line="240" w:lineRule="auto"/>
              <w:ind w:left="60" w:right="60"/>
              <w:jc w:val="right"/>
              <w:rPr>
                <w:rFonts w:ascii="Arial" w:hAnsi="Arial" w:cs="Arial"/>
                <w:color w:val="010205"/>
                <w:sz w:val="18"/>
                <w:szCs w:val="18"/>
              </w:rPr>
            </w:pPr>
            <w:r w:rsidRPr="00D26F2C">
              <w:rPr>
                <w:rFonts w:ascii="Arial" w:hAnsi="Arial" w:cs="Arial"/>
                <w:color w:val="010205"/>
                <w:sz w:val="18"/>
                <w:szCs w:val="18"/>
              </w:rPr>
              <w:t>15.1%</w:t>
            </w:r>
          </w:p>
        </w:tc>
        <w:tc>
          <w:tcPr>
            <w:tcW w:w="484" w:type="pct"/>
          </w:tcPr>
          <w:p w14:paraId="7E93AFC1" w14:textId="77777777" w:rsidR="00681F77" w:rsidRPr="00D26F2C" w:rsidRDefault="00681F77" w:rsidP="00E75191">
            <w:pPr>
              <w:autoSpaceDE w:val="0"/>
              <w:autoSpaceDN w:val="0"/>
              <w:adjustRightInd w:val="0"/>
              <w:spacing w:line="240" w:lineRule="auto"/>
              <w:ind w:left="60" w:right="60"/>
              <w:jc w:val="right"/>
              <w:rPr>
                <w:rFonts w:ascii="Arial" w:hAnsi="Arial" w:cs="Arial"/>
                <w:color w:val="010205"/>
                <w:sz w:val="18"/>
                <w:szCs w:val="18"/>
              </w:rPr>
            </w:pPr>
            <w:r w:rsidRPr="00D26F2C">
              <w:rPr>
                <w:rFonts w:ascii="Arial" w:hAnsi="Arial" w:cs="Arial"/>
                <w:color w:val="010205"/>
                <w:sz w:val="18"/>
                <w:szCs w:val="18"/>
              </w:rPr>
              <w:t>14.8%</w:t>
            </w:r>
          </w:p>
        </w:tc>
        <w:tc>
          <w:tcPr>
            <w:tcW w:w="484" w:type="pct"/>
          </w:tcPr>
          <w:p w14:paraId="02CA7F3F" w14:textId="77777777" w:rsidR="00681F77" w:rsidRPr="00D26F2C" w:rsidRDefault="00681F77" w:rsidP="00E75191">
            <w:pPr>
              <w:autoSpaceDE w:val="0"/>
              <w:autoSpaceDN w:val="0"/>
              <w:adjustRightInd w:val="0"/>
              <w:spacing w:line="240" w:lineRule="auto"/>
              <w:ind w:left="60" w:right="60"/>
              <w:jc w:val="right"/>
              <w:rPr>
                <w:rFonts w:ascii="Arial" w:hAnsi="Arial" w:cs="Arial"/>
                <w:color w:val="010205"/>
                <w:sz w:val="18"/>
                <w:szCs w:val="18"/>
              </w:rPr>
            </w:pPr>
            <w:r w:rsidRPr="00D26F2C">
              <w:rPr>
                <w:rFonts w:ascii="Arial" w:hAnsi="Arial" w:cs="Arial"/>
                <w:color w:val="010205"/>
                <w:sz w:val="18"/>
                <w:szCs w:val="18"/>
              </w:rPr>
              <w:t>11.9%</w:t>
            </w:r>
          </w:p>
        </w:tc>
        <w:tc>
          <w:tcPr>
            <w:tcW w:w="484" w:type="pct"/>
          </w:tcPr>
          <w:p w14:paraId="2D803861" w14:textId="77777777" w:rsidR="00681F77" w:rsidRPr="00D26F2C" w:rsidRDefault="00681F77" w:rsidP="00E75191">
            <w:pPr>
              <w:autoSpaceDE w:val="0"/>
              <w:autoSpaceDN w:val="0"/>
              <w:adjustRightInd w:val="0"/>
              <w:spacing w:line="240" w:lineRule="auto"/>
              <w:ind w:left="60" w:right="60"/>
              <w:jc w:val="right"/>
              <w:rPr>
                <w:rFonts w:ascii="Arial" w:hAnsi="Arial" w:cs="Arial"/>
                <w:color w:val="010205"/>
                <w:sz w:val="18"/>
                <w:szCs w:val="18"/>
              </w:rPr>
            </w:pPr>
            <w:r w:rsidRPr="00D26F2C">
              <w:rPr>
                <w:rFonts w:ascii="Arial" w:hAnsi="Arial" w:cs="Arial"/>
                <w:color w:val="010205"/>
                <w:sz w:val="18"/>
                <w:szCs w:val="18"/>
              </w:rPr>
              <w:t>5.7%</w:t>
            </w:r>
          </w:p>
        </w:tc>
        <w:tc>
          <w:tcPr>
            <w:tcW w:w="480" w:type="pct"/>
          </w:tcPr>
          <w:p w14:paraId="2AFFA653" w14:textId="77777777" w:rsidR="00681F77" w:rsidRPr="00D26F2C" w:rsidRDefault="00681F77" w:rsidP="00E75191">
            <w:pPr>
              <w:autoSpaceDE w:val="0"/>
              <w:autoSpaceDN w:val="0"/>
              <w:adjustRightInd w:val="0"/>
              <w:spacing w:line="240" w:lineRule="auto"/>
              <w:ind w:left="60" w:right="60"/>
              <w:jc w:val="right"/>
              <w:rPr>
                <w:rFonts w:ascii="Arial" w:hAnsi="Arial" w:cs="Arial"/>
                <w:color w:val="010205"/>
                <w:sz w:val="18"/>
                <w:szCs w:val="18"/>
              </w:rPr>
            </w:pPr>
            <w:r w:rsidRPr="00D26F2C">
              <w:rPr>
                <w:rFonts w:ascii="Arial" w:hAnsi="Arial" w:cs="Arial"/>
                <w:color w:val="010205"/>
                <w:sz w:val="18"/>
                <w:szCs w:val="18"/>
              </w:rPr>
              <w:t>17.1%</w:t>
            </w:r>
          </w:p>
        </w:tc>
      </w:tr>
    </w:tbl>
    <w:p w14:paraId="0EEA182A" w14:textId="77777777" w:rsidR="00E82ED0" w:rsidRDefault="00681F77" w:rsidP="00E75191">
      <w:pPr>
        <w:pStyle w:val="Caption"/>
        <w:rPr>
          <w:b/>
          <w:sz w:val="24"/>
          <w:szCs w:val="24"/>
        </w:rPr>
      </w:pPr>
      <w:r>
        <w:t xml:space="preserve">Table </w:t>
      </w:r>
      <w:r w:rsidR="00F0467B">
        <w:t xml:space="preserve">11 </w:t>
      </w:r>
      <w:r w:rsidR="00F0467B">
        <w:rPr>
          <w:noProof/>
        </w:rPr>
        <w:t>:</w:t>
      </w:r>
      <w:r>
        <w:t xml:space="preserve"> </w:t>
      </w:r>
      <w:r w:rsidRPr="00942ACB">
        <w:t>Are there existing policies that protect against women and girls against technology-related violence or technology-mediated violence (e.g. manipulation of personal information and images, hate speech, sexual harassment, women and girls trafficking)</w:t>
      </w:r>
    </w:p>
    <w:p w14:paraId="45ADB742" w14:textId="77777777" w:rsidR="009A4FD6" w:rsidRDefault="009A4FD6">
      <w:pPr>
        <w:rPr>
          <w:sz w:val="24"/>
          <w:szCs w:val="24"/>
        </w:rPr>
      </w:pPr>
      <w:r>
        <w:rPr>
          <w:sz w:val="24"/>
          <w:szCs w:val="24"/>
        </w:rPr>
        <w:br w:type="page"/>
      </w:r>
    </w:p>
    <w:p w14:paraId="345C3B11" w14:textId="77777777" w:rsidR="00E82ED0" w:rsidRDefault="00E82ED0" w:rsidP="00E75191">
      <w:pPr>
        <w:spacing w:line="240" w:lineRule="auto"/>
        <w:jc w:val="both"/>
        <w:rPr>
          <w:b/>
          <w:sz w:val="24"/>
          <w:szCs w:val="24"/>
        </w:rPr>
      </w:pPr>
      <w:r w:rsidRPr="00744F56">
        <w:rPr>
          <w:b/>
          <w:noProof/>
          <w:sz w:val="24"/>
          <w:szCs w:val="24"/>
          <w:lang w:val="en-IE" w:eastAsia="en-IE"/>
        </w:rPr>
        <w:lastRenderedPageBreak/>
        <mc:AlternateContent>
          <mc:Choice Requires="wps">
            <w:drawing>
              <wp:anchor distT="0" distB="0" distL="114300" distR="114300" simplePos="0" relativeHeight="251683840" behindDoc="0" locked="0" layoutInCell="1" allowOverlap="1" wp14:anchorId="3DFFE338" wp14:editId="1CBC9FC1">
                <wp:simplePos x="0" y="0"/>
                <wp:positionH relativeFrom="column">
                  <wp:align>center</wp:align>
                </wp:positionH>
                <wp:positionV relativeFrom="paragraph">
                  <wp:posOffset>0</wp:posOffset>
                </wp:positionV>
                <wp:extent cx="5857875" cy="1403985"/>
                <wp:effectExtent l="0" t="0" r="28575" b="1397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1403985"/>
                        </a:xfrm>
                        <a:prstGeom prst="rect">
                          <a:avLst/>
                        </a:prstGeom>
                        <a:solidFill>
                          <a:schemeClr val="accent1">
                            <a:lumMod val="60000"/>
                            <a:lumOff val="40000"/>
                          </a:schemeClr>
                        </a:solidFill>
                        <a:ln w="9525">
                          <a:solidFill>
                            <a:schemeClr val="accent1">
                              <a:lumMod val="60000"/>
                              <a:lumOff val="40000"/>
                            </a:schemeClr>
                          </a:solidFill>
                          <a:miter lim="800000"/>
                          <a:headEnd/>
                          <a:tailEnd/>
                        </a:ln>
                      </wps:spPr>
                      <wps:txbx>
                        <w:txbxContent>
                          <w:p w14:paraId="6B9205C3" w14:textId="77777777" w:rsidR="006D6A0C" w:rsidRPr="005667FD" w:rsidRDefault="006D6A0C" w:rsidP="005667FD">
                            <w:pPr>
                              <w:pStyle w:val="Heading1"/>
                              <w:rPr>
                                <w:color w:val="auto"/>
                                <w:sz w:val="56"/>
                                <w:szCs w:val="56"/>
                              </w:rPr>
                            </w:pPr>
                            <w:bookmarkStart w:id="43" w:name="_Toc81228179"/>
                            <w:bookmarkStart w:id="44" w:name="_Toc81228289"/>
                            <w:bookmarkStart w:id="45" w:name="_Toc81229100"/>
                            <w:r w:rsidRPr="005667FD">
                              <w:rPr>
                                <w:color w:val="auto"/>
                                <w:sz w:val="56"/>
                                <w:szCs w:val="56"/>
                              </w:rPr>
                              <w:t>3.10 Climate Change</w:t>
                            </w:r>
                            <w:bookmarkEnd w:id="43"/>
                            <w:bookmarkEnd w:id="44"/>
                            <w:bookmarkEnd w:id="45"/>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DFFE338" id="_x0000_s1055" type="#_x0000_t202" style="position:absolute;left:0;text-align:left;margin-left:0;margin-top:0;width:461.25pt;height:110.55pt;z-index:251683840;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" fillcolor="#9cc2e5 [1940]" strokecolor="#9cc2e5 [1940]">
                <v:textbox style="mso-fit-shape-to-text:t">
                  <w:txbxContent>
                    <w:p w:rsidR="006D6A0C" w:rsidRPr="005667FD" w:rsidRDefault="006D6A0C" w:rsidP="005667FD">
                      <w:pPr>
                        <w:pStyle w:val="Heading1"/>
                        <w:rPr>
                          <w:color w:val="auto"/>
                          <w:sz w:val="56"/>
                          <w:szCs w:val="56"/>
                        </w:rPr>
                      </w:pPr>
                      <w:bookmarkStart w:id="80" w:name="_Toc81228179"/>
                      <w:bookmarkStart w:id="81" w:name="_Toc81228289"/>
                      <w:bookmarkStart w:id="82" w:name="_Toc81229100"/>
                      <w:r w:rsidRPr="005667FD">
                        <w:rPr>
                          <w:color w:val="auto"/>
                          <w:sz w:val="56"/>
                          <w:szCs w:val="56"/>
                        </w:rPr>
                        <w:t>3.10 Climate Change</w:t>
                      </w:r>
                      <w:bookmarkEnd w:id="80"/>
                      <w:bookmarkEnd w:id="81"/>
                      <w:bookmarkEnd w:id="82"/>
                    </w:p>
                  </w:txbxContent>
                </v:textbox>
              </v:shape>
            </w:pict>
          </mc:Fallback>
        </mc:AlternateContent>
      </w:r>
    </w:p>
    <w:p w14:paraId="5BF4058C" w14:textId="77777777" w:rsidR="00E82ED0" w:rsidRDefault="00E82ED0" w:rsidP="00E75191">
      <w:pPr>
        <w:spacing w:line="240" w:lineRule="auto"/>
        <w:jc w:val="both"/>
        <w:rPr>
          <w:sz w:val="24"/>
          <w:szCs w:val="24"/>
        </w:rPr>
      </w:pPr>
    </w:p>
    <w:p w14:paraId="3B85A181" w14:textId="77777777" w:rsidR="005667FD" w:rsidRDefault="005667FD" w:rsidP="00E75191">
      <w:pPr>
        <w:spacing w:before="240" w:line="240" w:lineRule="auto"/>
        <w:jc w:val="both"/>
        <w:rPr>
          <w:sz w:val="24"/>
          <w:szCs w:val="24"/>
        </w:rPr>
      </w:pPr>
    </w:p>
    <w:p w14:paraId="10919CF2" w14:textId="77777777" w:rsidR="00681F77" w:rsidRDefault="00681F77" w:rsidP="00E75191">
      <w:pPr>
        <w:spacing w:before="240" w:line="240" w:lineRule="auto"/>
        <w:jc w:val="both"/>
        <w:rPr>
          <w:sz w:val="24"/>
          <w:szCs w:val="24"/>
        </w:rPr>
      </w:pPr>
      <w:r>
        <w:rPr>
          <w:sz w:val="24"/>
          <w:szCs w:val="24"/>
        </w:rPr>
        <w:t>In Nigeria the most pressing evidence of climate change include</w:t>
      </w:r>
      <w:r w:rsidR="0062272C">
        <w:rPr>
          <w:sz w:val="24"/>
          <w:szCs w:val="24"/>
        </w:rPr>
        <w:t>s</w:t>
      </w:r>
      <w:r>
        <w:rPr>
          <w:sz w:val="24"/>
          <w:szCs w:val="24"/>
        </w:rPr>
        <w:t xml:space="preserve"> drastic increase in temperature, desertification and drought (prevalent in the North), inconsistent rainfall, flooding</w:t>
      </w:r>
      <w:r w:rsidR="0062272C">
        <w:rPr>
          <w:sz w:val="24"/>
          <w:szCs w:val="24"/>
        </w:rPr>
        <w:t>, and rising sea levels</w:t>
      </w:r>
      <w:r>
        <w:rPr>
          <w:sz w:val="24"/>
          <w:szCs w:val="24"/>
        </w:rPr>
        <w:t xml:space="preserve"> (prevalent in the South). Lake Chad</w:t>
      </w:r>
      <w:r w:rsidR="0062272C">
        <w:rPr>
          <w:sz w:val="24"/>
          <w:szCs w:val="24"/>
        </w:rPr>
        <w:t>,</w:t>
      </w:r>
      <w:r>
        <w:rPr>
          <w:sz w:val="24"/>
          <w:szCs w:val="24"/>
        </w:rPr>
        <w:t xml:space="preserve"> which provides water for irrigation, maintenance of biodiversity and household activities for over 50 million people in Nigeria and other parts of West Africa has been shrinkin</w:t>
      </w:r>
      <w:r w:rsidR="00F370E6">
        <w:rPr>
          <w:sz w:val="24"/>
          <w:szCs w:val="24"/>
        </w:rPr>
        <w:t>g</w:t>
      </w:r>
      <w:r w:rsidR="0062272C">
        <w:rPr>
          <w:sz w:val="24"/>
          <w:szCs w:val="24"/>
        </w:rPr>
        <w:t>.</w:t>
      </w:r>
      <w:r>
        <w:rPr>
          <w:sz w:val="24"/>
          <w:szCs w:val="24"/>
        </w:rPr>
        <w:t xml:space="preserve"> </w:t>
      </w:r>
      <w:r w:rsidR="0062272C">
        <w:rPr>
          <w:sz w:val="24"/>
          <w:szCs w:val="24"/>
        </w:rPr>
        <w:t>This contributes</w:t>
      </w:r>
      <w:r>
        <w:rPr>
          <w:sz w:val="24"/>
          <w:szCs w:val="24"/>
        </w:rPr>
        <w:t xml:space="preserve"> to increased desertification and worsening water shortage</w:t>
      </w:r>
      <w:r w:rsidR="0062272C">
        <w:rPr>
          <w:sz w:val="24"/>
          <w:szCs w:val="24"/>
        </w:rPr>
        <w:t>, w</w:t>
      </w:r>
      <w:r>
        <w:rPr>
          <w:sz w:val="24"/>
          <w:szCs w:val="24"/>
        </w:rPr>
        <w:t>ith less water available for agriculture and activities such as WASH.</w:t>
      </w:r>
      <w:r>
        <w:rPr>
          <w:rStyle w:val="FootnoteReference"/>
          <w:sz w:val="24"/>
          <w:szCs w:val="24"/>
        </w:rPr>
        <w:footnoteReference w:id="199"/>
      </w:r>
      <w:r>
        <w:rPr>
          <w:sz w:val="24"/>
          <w:szCs w:val="24"/>
        </w:rPr>
        <w:t xml:space="preserve"> </w:t>
      </w:r>
    </w:p>
    <w:p w14:paraId="2714C4BE" w14:textId="77777777" w:rsidR="00681F77" w:rsidRDefault="00681F77" w:rsidP="00E75191">
      <w:pPr>
        <w:spacing w:before="240" w:line="240" w:lineRule="auto"/>
        <w:jc w:val="both"/>
        <w:rPr>
          <w:sz w:val="24"/>
          <w:szCs w:val="24"/>
        </w:rPr>
      </w:pPr>
      <w:r>
        <w:rPr>
          <w:noProof/>
          <w:sz w:val="24"/>
          <w:szCs w:val="24"/>
          <w:lang w:val="en-IE" w:eastAsia="en-IE"/>
        </w:rPr>
        <mc:AlternateContent>
          <mc:Choice Requires="wps">
            <w:drawing>
              <wp:inline distT="0" distB="0" distL="0" distR="0" wp14:anchorId="0B4982BD" wp14:editId="4191A5A0">
                <wp:extent cx="5219700" cy="1822450"/>
                <wp:effectExtent l="0" t="0" r="19050" b="25400"/>
                <wp:docPr id="61" name="Rectangle 61"/>
                <wp:cNvGraphicFramePr/>
                <a:graphic xmlns:a="http://schemas.openxmlformats.org/drawingml/2006/main">
                  <a:graphicData uri="http://schemas.microsoft.com/office/word/2010/wordprocessingShape">
                    <wps:wsp>
                      <wps:cNvSpPr/>
                      <wps:spPr>
                        <a:xfrm>
                          <a:off x="0" y="0"/>
                          <a:ext cx="5219700" cy="1822450"/>
                        </a:xfrm>
                        <a:prstGeom prst="rec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txbx>
                        <w:txbxContent>
                          <w:p w14:paraId="5FF69E13" w14:textId="77777777" w:rsidR="006D6A0C" w:rsidRDefault="006D6A0C" w:rsidP="00E75191">
                            <w:pPr>
                              <w:jc w:val="center"/>
                              <w:rPr>
                                <w:i/>
                                <w:iCs/>
                              </w:rPr>
                            </w:pPr>
                            <w:r w:rsidRPr="00681F77">
                              <w:rPr>
                                <w:i/>
                                <w:iCs/>
                              </w:rPr>
                              <w:t>Climate change has a greater impact on those sections of the population, in all countries, that are most reliant on natural resources for their livelihoods and/or who have the least capacity to respond to natural hazards, such as droughts, landslides, floods and hurricanes. Women commonly face higher risks and greater burdens from the impacts of climate change in situations of poverty, and the majority of the world’s poor are women. Women’s unequal participation in decision-making processes and labour markets compound inequalities and often prevent women from fully contributing to climate-related planning, policy-making and implementation.</w:t>
                            </w:r>
                          </w:p>
                          <w:p w14:paraId="131B2E66" w14:textId="77777777" w:rsidR="006D6A0C" w:rsidRPr="00681F77" w:rsidRDefault="006D6A0C" w:rsidP="00E75191">
                            <w:pPr>
                              <w:jc w:val="center"/>
                              <w:rPr>
                                <w:i/>
                                <w:iCs/>
                              </w:rPr>
                            </w:pPr>
                            <w:r>
                              <w:rPr>
                                <w:i/>
                                <w:iCs/>
                              </w:rPr>
                              <w:t>Female Key Informant, Lagos</w:t>
                            </w:r>
                          </w:p>
                          <w:p w14:paraId="14CFBD53" w14:textId="77777777" w:rsidR="006D6A0C" w:rsidRDefault="006D6A0C" w:rsidP="00E7519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B4982BD" id="Rectangle 61" o:spid="_x0000_s1056" style="width:411pt;height:14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" fillcolor="#002060" strokecolor="#1f4d78 [1604]" strokeweight="1pt">
                <v:textbox>
                  <w:txbxContent>
                    <w:p w:rsidR="006D6A0C" w:rsidRDefault="006D6A0C" w:rsidP="00E75191">
                      <w:pPr>
                        <w:jc w:val="center"/>
                        <w:rPr>
                          <w:i/>
                          <w:iCs/>
                        </w:rPr>
                      </w:pPr>
                      <w:r w:rsidRPr="00681F77">
                        <w:rPr>
                          <w:i/>
                          <w:iCs/>
                        </w:rPr>
                        <w:t>Climate change has a greater impact on those sections of the population, in all countries, that are most reliant on natural resources for their livelihoods and/or who have the least capacity to respond to natural hazards, such as droughts, landslides, floods and hurricanes. Women commonly face higher risks and greater burdens from the impacts of climate change in situations of poverty, and the majority of the world’s poor are women. Women’s unequal participation in decision-making processes and labour markets compound inequalities and often prevent women from fully contributing to climate-related planning, policy-making and implementation.</w:t>
                      </w:r>
                    </w:p>
                    <w:p w:rsidR="006D6A0C" w:rsidRPr="00681F77" w:rsidRDefault="006D6A0C" w:rsidP="00E75191">
                      <w:pPr>
                        <w:jc w:val="center"/>
                        <w:rPr>
                          <w:i/>
                          <w:iCs/>
                        </w:rPr>
                      </w:pPr>
                      <w:r>
                        <w:rPr>
                          <w:i/>
                          <w:iCs/>
                        </w:rPr>
                        <w:t>Female Key Informant, Lagos</w:t>
                      </w:r>
                    </w:p>
                    <w:p w:rsidR="006D6A0C" w:rsidRDefault="006D6A0C" w:rsidP="00E75191">
                      <w:pPr>
                        <w:jc w:val="center"/>
                      </w:pPr>
                    </w:p>
                  </w:txbxContent>
                </v:textbox>
                <w10:anchorlock/>
              </v:rect>
            </w:pict>
          </mc:Fallback>
        </mc:AlternateContent>
      </w:r>
    </w:p>
    <w:p w14:paraId="009ECA76" w14:textId="77777777" w:rsidR="00681F77" w:rsidRDefault="00E05B89" w:rsidP="00E75191">
      <w:pPr>
        <w:spacing w:before="240" w:line="240" w:lineRule="auto"/>
        <w:jc w:val="both"/>
        <w:rPr>
          <w:sz w:val="24"/>
          <w:szCs w:val="24"/>
        </w:rPr>
      </w:pPr>
      <w:r>
        <w:rPr>
          <w:sz w:val="24"/>
          <w:szCs w:val="24"/>
        </w:rPr>
        <w:t>According to the G</w:t>
      </w:r>
      <w:r w:rsidRPr="00E05B89">
        <w:rPr>
          <w:sz w:val="24"/>
          <w:szCs w:val="24"/>
        </w:rPr>
        <w:t>eneral Household Surve</w:t>
      </w:r>
      <w:r>
        <w:rPr>
          <w:sz w:val="24"/>
          <w:szCs w:val="24"/>
        </w:rPr>
        <w:t>y conducted by the World Bank in collaboration with the Nigerian Bureau of Statistics, a</w:t>
      </w:r>
      <w:r w:rsidR="00681F77">
        <w:rPr>
          <w:sz w:val="24"/>
          <w:szCs w:val="24"/>
        </w:rPr>
        <w:t xml:space="preserve">cross the nation, 57% of households are involved in agriculture. While men are more likely to be engaged </w:t>
      </w:r>
      <w:r w:rsidR="0062272C">
        <w:rPr>
          <w:sz w:val="24"/>
          <w:szCs w:val="24"/>
        </w:rPr>
        <w:t xml:space="preserve">in agriculture </w:t>
      </w:r>
      <w:r w:rsidR="00681F77">
        <w:rPr>
          <w:sz w:val="24"/>
          <w:szCs w:val="24"/>
        </w:rPr>
        <w:t>than women, women play a significant role in agricultural</w:t>
      </w:r>
      <w:r w:rsidR="0062272C">
        <w:rPr>
          <w:sz w:val="24"/>
          <w:szCs w:val="24"/>
        </w:rPr>
        <w:t xml:space="preserve"> production, processing and marketing</w:t>
      </w:r>
      <w:r w:rsidR="00681F77">
        <w:rPr>
          <w:sz w:val="24"/>
          <w:szCs w:val="24"/>
        </w:rPr>
        <w:t>.</w:t>
      </w:r>
      <w:r w:rsidR="00681F77">
        <w:rPr>
          <w:rStyle w:val="FootnoteReference"/>
          <w:sz w:val="24"/>
          <w:szCs w:val="24"/>
        </w:rPr>
        <w:t xml:space="preserve"> </w:t>
      </w:r>
      <w:r w:rsidR="00681F77">
        <w:rPr>
          <w:rStyle w:val="FootnoteReference"/>
          <w:sz w:val="24"/>
          <w:szCs w:val="24"/>
        </w:rPr>
        <w:footnoteReference w:id="200"/>
      </w:r>
      <w:r w:rsidR="00681F77">
        <w:rPr>
          <w:sz w:val="24"/>
          <w:szCs w:val="24"/>
        </w:rPr>
        <w:t xml:space="preserve"> For instance, about 75% of women are farmers engaging in fish farming and crop production.</w:t>
      </w:r>
      <w:r w:rsidR="00681F77">
        <w:rPr>
          <w:rStyle w:val="FootnoteReference"/>
          <w:sz w:val="24"/>
          <w:szCs w:val="24"/>
        </w:rPr>
        <w:footnoteReference w:id="201"/>
      </w:r>
      <w:r w:rsidR="00681F77">
        <w:rPr>
          <w:sz w:val="24"/>
          <w:szCs w:val="24"/>
        </w:rPr>
        <w:t xml:space="preserve"> Given the link between climate change and agriculture, the effect of climate change </w:t>
      </w:r>
      <w:r w:rsidR="00BD5DE0">
        <w:rPr>
          <w:sz w:val="24"/>
          <w:szCs w:val="24"/>
        </w:rPr>
        <w:t xml:space="preserve">are likely to have negative impacts </w:t>
      </w:r>
      <w:r w:rsidR="00681F77">
        <w:rPr>
          <w:sz w:val="24"/>
          <w:szCs w:val="24"/>
        </w:rPr>
        <w:t xml:space="preserve">on </w:t>
      </w:r>
      <w:r w:rsidR="00BD5DE0">
        <w:rPr>
          <w:sz w:val="24"/>
          <w:szCs w:val="24"/>
        </w:rPr>
        <w:t xml:space="preserve">agricultural </w:t>
      </w:r>
      <w:r w:rsidR="00681F77">
        <w:rPr>
          <w:sz w:val="24"/>
          <w:szCs w:val="24"/>
        </w:rPr>
        <w:t>productivity. Agriculture contributes averagely above 20% to the Gross Domestic Product of Nigeria. In 2020, 24.65</w:t>
      </w:r>
      <w:r w:rsidR="00BD5DE0">
        <w:rPr>
          <w:sz w:val="24"/>
          <w:szCs w:val="24"/>
        </w:rPr>
        <w:t>%</w:t>
      </w:r>
      <w:r w:rsidR="00681F77">
        <w:rPr>
          <w:sz w:val="24"/>
          <w:szCs w:val="24"/>
        </w:rPr>
        <w:t xml:space="preserve"> of the real GDP was from agriculture. </w:t>
      </w:r>
      <w:r>
        <w:rPr>
          <w:sz w:val="24"/>
          <w:szCs w:val="24"/>
        </w:rPr>
        <w:t xml:space="preserve">Climate change coupled with the </w:t>
      </w:r>
      <w:r w:rsidR="00681F77">
        <w:rPr>
          <w:sz w:val="24"/>
          <w:szCs w:val="24"/>
        </w:rPr>
        <w:t>pandemic</w:t>
      </w:r>
      <w:r>
        <w:rPr>
          <w:sz w:val="24"/>
          <w:szCs w:val="24"/>
        </w:rPr>
        <w:t xml:space="preserve"> which affected food production and continues to affect supply of agricultural input</w:t>
      </w:r>
      <w:r w:rsidR="00681F77">
        <w:rPr>
          <w:sz w:val="24"/>
          <w:szCs w:val="24"/>
        </w:rPr>
        <w:t xml:space="preserve">, the contribution of agriculture </w:t>
      </w:r>
      <w:r>
        <w:rPr>
          <w:sz w:val="24"/>
          <w:szCs w:val="24"/>
        </w:rPr>
        <w:t xml:space="preserve">to GDP </w:t>
      </w:r>
      <w:r w:rsidR="00681F77">
        <w:rPr>
          <w:sz w:val="24"/>
          <w:szCs w:val="24"/>
        </w:rPr>
        <w:t xml:space="preserve">may reduce even further with potentially </w:t>
      </w:r>
      <w:r w:rsidR="00BD5DE0">
        <w:rPr>
          <w:sz w:val="24"/>
          <w:szCs w:val="24"/>
        </w:rPr>
        <w:t xml:space="preserve">negative </w:t>
      </w:r>
      <w:r w:rsidR="00681F77">
        <w:rPr>
          <w:sz w:val="24"/>
          <w:szCs w:val="24"/>
        </w:rPr>
        <w:t>consequences for men</w:t>
      </w:r>
      <w:r w:rsidR="00BD5DE0">
        <w:rPr>
          <w:sz w:val="24"/>
          <w:szCs w:val="24"/>
        </w:rPr>
        <w:t>,</w:t>
      </w:r>
      <w:r w:rsidR="00681F77">
        <w:rPr>
          <w:sz w:val="24"/>
          <w:szCs w:val="24"/>
        </w:rPr>
        <w:t xml:space="preserve"> women and vulnerable groups.</w:t>
      </w:r>
    </w:p>
    <w:p w14:paraId="3E32F854" w14:textId="77777777" w:rsidR="00F370E6" w:rsidRDefault="00457757" w:rsidP="00E75191">
      <w:pPr>
        <w:spacing w:before="240" w:line="240" w:lineRule="auto"/>
        <w:jc w:val="both"/>
        <w:rPr>
          <w:sz w:val="24"/>
          <w:szCs w:val="24"/>
        </w:rPr>
      </w:pPr>
      <w:r w:rsidRPr="006E3C5B">
        <w:rPr>
          <w:noProof/>
          <w:sz w:val="24"/>
          <w:szCs w:val="24"/>
          <w:lang w:val="en-IE" w:eastAsia="en-IE"/>
        </w:rPr>
        <w:lastRenderedPageBreak/>
        <mc:AlternateContent>
          <mc:Choice Requires="wps">
            <w:drawing>
              <wp:anchor distT="0" distB="0" distL="114300" distR="114300" simplePos="0" relativeHeight="251728896" behindDoc="0" locked="0" layoutInCell="1" allowOverlap="1" wp14:anchorId="2DE4E387" wp14:editId="40F98789">
                <wp:simplePos x="0" y="0"/>
                <wp:positionH relativeFrom="column">
                  <wp:posOffset>41275</wp:posOffset>
                </wp:positionH>
                <wp:positionV relativeFrom="paragraph">
                  <wp:posOffset>2331720</wp:posOffset>
                </wp:positionV>
                <wp:extent cx="5659120" cy="2001520"/>
                <wp:effectExtent l="0" t="0" r="17780" b="17780"/>
                <wp:wrapSquare wrapText="bothSides"/>
                <wp:docPr id="12" name="Rectangle 12"/>
                <wp:cNvGraphicFramePr/>
                <a:graphic xmlns:a="http://schemas.openxmlformats.org/drawingml/2006/main">
                  <a:graphicData uri="http://schemas.microsoft.com/office/word/2010/wordprocessingShape">
                    <wps:wsp>
                      <wps:cNvSpPr/>
                      <wps:spPr>
                        <a:xfrm>
                          <a:off x="0" y="0"/>
                          <a:ext cx="5659120" cy="20015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47EFE83" w14:textId="77777777" w:rsidR="006D6A0C" w:rsidRDefault="006D6A0C" w:rsidP="00457757">
                            <w:pPr>
                              <w:spacing w:before="240" w:line="240" w:lineRule="auto"/>
                              <w:jc w:val="both"/>
                              <w:rPr>
                                <w:sz w:val="24"/>
                                <w:szCs w:val="24"/>
                              </w:rPr>
                            </w:pPr>
                            <w:r w:rsidRPr="00F370E6">
                              <w:rPr>
                                <w:sz w:val="24"/>
                                <w:szCs w:val="24"/>
                              </w:rPr>
                              <w:t xml:space="preserve">We wanted land for </w:t>
                            </w:r>
                            <w:r>
                              <w:rPr>
                                <w:sz w:val="24"/>
                                <w:szCs w:val="24"/>
                              </w:rPr>
                              <w:t xml:space="preserve">a project to enable </w:t>
                            </w:r>
                            <w:r w:rsidRPr="00F370E6">
                              <w:rPr>
                                <w:sz w:val="24"/>
                                <w:szCs w:val="24"/>
                              </w:rPr>
                              <w:t xml:space="preserve">women </w:t>
                            </w:r>
                            <w:r>
                              <w:rPr>
                                <w:sz w:val="24"/>
                                <w:szCs w:val="24"/>
                              </w:rPr>
                              <w:t xml:space="preserve">produce </w:t>
                            </w:r>
                            <w:r w:rsidRPr="00F370E6">
                              <w:rPr>
                                <w:sz w:val="24"/>
                                <w:szCs w:val="24"/>
                              </w:rPr>
                              <w:t>rice varie</w:t>
                            </w:r>
                            <w:r>
                              <w:rPr>
                                <w:sz w:val="24"/>
                                <w:szCs w:val="24"/>
                              </w:rPr>
                              <w:t>ties. At the on</w:t>
                            </w:r>
                            <w:r w:rsidRPr="00F370E6">
                              <w:rPr>
                                <w:sz w:val="24"/>
                                <w:szCs w:val="24"/>
                              </w:rPr>
                              <w:t>set, th</w:t>
                            </w:r>
                            <w:r>
                              <w:rPr>
                                <w:sz w:val="24"/>
                                <w:szCs w:val="24"/>
                              </w:rPr>
                              <w:t>ey said land was not a problem…but the land that was given to the women was fore flooded (i.e prone to heavy flooding). Yet,</w:t>
                            </w:r>
                            <w:r w:rsidRPr="00F370E6">
                              <w:rPr>
                                <w:sz w:val="24"/>
                                <w:szCs w:val="24"/>
                              </w:rPr>
                              <w:t xml:space="preserve"> </w:t>
                            </w:r>
                            <w:r>
                              <w:rPr>
                                <w:sz w:val="24"/>
                                <w:szCs w:val="24"/>
                              </w:rPr>
                              <w:t xml:space="preserve">the adjacent land…cultivated </w:t>
                            </w:r>
                            <w:r w:rsidRPr="00F370E6">
                              <w:rPr>
                                <w:sz w:val="24"/>
                                <w:szCs w:val="24"/>
                              </w:rPr>
                              <w:t>by men</w:t>
                            </w:r>
                            <w:r>
                              <w:rPr>
                                <w:sz w:val="24"/>
                                <w:szCs w:val="24"/>
                              </w:rPr>
                              <w:t xml:space="preserve"> was not prone to flooding and they were much</w:t>
                            </w:r>
                            <w:r w:rsidRPr="00F370E6">
                              <w:rPr>
                                <w:sz w:val="24"/>
                                <w:szCs w:val="24"/>
                              </w:rPr>
                              <w:t xml:space="preserve"> bigger plots but those ones that were given specifically for the women to work had already flooded and we couldn’t establish the crops. I spoke to the commissioner for agriculture, he said those plots would recede in September, the</w:t>
                            </w:r>
                            <w:r>
                              <w:rPr>
                                <w:sz w:val="24"/>
                                <w:szCs w:val="24"/>
                              </w:rPr>
                              <w:t>y did not recede. They receded i</w:t>
                            </w:r>
                            <w:r w:rsidRPr="00F370E6">
                              <w:rPr>
                                <w:sz w:val="24"/>
                                <w:szCs w:val="24"/>
                              </w:rPr>
                              <w:t xml:space="preserve">n October and by November it was dry. So there is always a struggle for women to be able to get what can even help them to adapt to the climate change. </w:t>
                            </w:r>
                            <w:r>
                              <w:rPr>
                                <w:sz w:val="24"/>
                                <w:szCs w:val="24"/>
                              </w:rPr>
                              <w:t>– Male Key Informant, FCT</w:t>
                            </w:r>
                          </w:p>
                          <w:p w14:paraId="76F6C64C" w14:textId="77777777" w:rsidR="006D6A0C" w:rsidRDefault="006D6A0C" w:rsidP="0045775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E4E387" id="Rectangle 12" o:spid="_x0000_s1057" style="position:absolute;left:0;text-align:left;margin-left:3.25pt;margin-top:183.6pt;width:445.6pt;height:157.6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" fillcolor="#5b9bd5 [3204]" strokecolor="#1f4d78 [1604]" strokeweight="1pt">
                <v:textbox>
                  <w:txbxContent>
                    <w:p w:rsidR="006D6A0C" w:rsidRDefault="006D6A0C" w:rsidP="00457757">
                      <w:pPr>
                        <w:spacing w:before="240" w:line="240" w:lineRule="auto"/>
                        <w:jc w:val="both"/>
                        <w:rPr>
                          <w:sz w:val="24"/>
                          <w:szCs w:val="24"/>
                        </w:rPr>
                      </w:pPr>
                      <w:r w:rsidRPr="00F370E6">
                        <w:rPr>
                          <w:sz w:val="24"/>
                          <w:szCs w:val="24"/>
                        </w:rPr>
                        <w:t xml:space="preserve">We wanted land for </w:t>
                      </w:r>
                      <w:r>
                        <w:rPr>
                          <w:sz w:val="24"/>
                          <w:szCs w:val="24"/>
                        </w:rPr>
                        <w:t xml:space="preserve">a project to enable </w:t>
                      </w:r>
                      <w:r w:rsidRPr="00F370E6">
                        <w:rPr>
                          <w:sz w:val="24"/>
                          <w:szCs w:val="24"/>
                        </w:rPr>
                        <w:t xml:space="preserve">women </w:t>
                      </w:r>
                      <w:r>
                        <w:rPr>
                          <w:sz w:val="24"/>
                          <w:szCs w:val="24"/>
                        </w:rPr>
                        <w:t xml:space="preserve">produce </w:t>
                      </w:r>
                      <w:r w:rsidRPr="00F370E6">
                        <w:rPr>
                          <w:sz w:val="24"/>
                          <w:szCs w:val="24"/>
                        </w:rPr>
                        <w:t>rice varie</w:t>
                      </w:r>
                      <w:r>
                        <w:rPr>
                          <w:sz w:val="24"/>
                          <w:szCs w:val="24"/>
                        </w:rPr>
                        <w:t>ties. At the on</w:t>
                      </w:r>
                      <w:r w:rsidRPr="00F370E6">
                        <w:rPr>
                          <w:sz w:val="24"/>
                          <w:szCs w:val="24"/>
                        </w:rPr>
                        <w:t>set, th</w:t>
                      </w:r>
                      <w:r>
                        <w:rPr>
                          <w:sz w:val="24"/>
                          <w:szCs w:val="24"/>
                        </w:rPr>
                        <w:t>ey said land was not a problem…but the land that was given to the women was fore flooded (i.e prone to heavy flooding). Yet,</w:t>
                      </w:r>
                      <w:r w:rsidRPr="00F370E6">
                        <w:rPr>
                          <w:sz w:val="24"/>
                          <w:szCs w:val="24"/>
                        </w:rPr>
                        <w:t xml:space="preserve"> </w:t>
                      </w:r>
                      <w:r>
                        <w:rPr>
                          <w:sz w:val="24"/>
                          <w:szCs w:val="24"/>
                        </w:rPr>
                        <w:t xml:space="preserve">the adjacent land…cultivated </w:t>
                      </w:r>
                      <w:r w:rsidRPr="00F370E6">
                        <w:rPr>
                          <w:sz w:val="24"/>
                          <w:szCs w:val="24"/>
                        </w:rPr>
                        <w:t>by men</w:t>
                      </w:r>
                      <w:r>
                        <w:rPr>
                          <w:sz w:val="24"/>
                          <w:szCs w:val="24"/>
                        </w:rPr>
                        <w:t xml:space="preserve"> was not prone to flooding and they were much</w:t>
                      </w:r>
                      <w:r w:rsidRPr="00F370E6">
                        <w:rPr>
                          <w:sz w:val="24"/>
                          <w:szCs w:val="24"/>
                        </w:rPr>
                        <w:t xml:space="preserve"> bigger plots but those ones that were given specifically for the women to work had already flooded and we couldn’t establish the crops. I spoke to the commissioner for agriculture, he said those plots would recede in September, the</w:t>
                      </w:r>
                      <w:r>
                        <w:rPr>
                          <w:sz w:val="24"/>
                          <w:szCs w:val="24"/>
                        </w:rPr>
                        <w:t>y did not recede. They receded i</w:t>
                      </w:r>
                      <w:r w:rsidRPr="00F370E6">
                        <w:rPr>
                          <w:sz w:val="24"/>
                          <w:szCs w:val="24"/>
                        </w:rPr>
                        <w:t xml:space="preserve">n October and by November it was dry. So there is always a struggle for women to be able to get what can even help them to adapt to the climate change. </w:t>
                      </w:r>
                      <w:r>
                        <w:rPr>
                          <w:sz w:val="24"/>
                          <w:szCs w:val="24"/>
                        </w:rPr>
                        <w:t>– Male Key Informant, FCT</w:t>
                      </w:r>
                    </w:p>
                    <w:p w:rsidR="006D6A0C" w:rsidRDefault="006D6A0C" w:rsidP="00457757">
                      <w:pPr>
                        <w:jc w:val="center"/>
                      </w:pPr>
                    </w:p>
                  </w:txbxContent>
                </v:textbox>
                <w10:wrap type="square"/>
              </v:rect>
            </w:pict>
          </mc:Fallback>
        </mc:AlternateContent>
      </w:r>
      <w:r w:rsidR="00681F77">
        <w:rPr>
          <w:sz w:val="24"/>
          <w:szCs w:val="24"/>
        </w:rPr>
        <w:t>Respondents noted that situations such as variable rainfall threaten agriculture</w:t>
      </w:r>
      <w:r w:rsidR="00BD5DE0">
        <w:rPr>
          <w:sz w:val="24"/>
          <w:szCs w:val="24"/>
        </w:rPr>
        <w:t xml:space="preserve">, and increase pressure on </w:t>
      </w:r>
      <w:r w:rsidR="00681F77">
        <w:rPr>
          <w:sz w:val="24"/>
          <w:szCs w:val="24"/>
        </w:rPr>
        <w:t>women to walk long distances to other water sources to fetch water. Rising sea levels lead to destruction of homes and fishing villages</w:t>
      </w:r>
      <w:r w:rsidR="00BD5DE0">
        <w:rPr>
          <w:sz w:val="24"/>
          <w:szCs w:val="24"/>
        </w:rPr>
        <w:t>,</w:t>
      </w:r>
      <w:r w:rsidR="00681F77">
        <w:rPr>
          <w:sz w:val="24"/>
          <w:szCs w:val="24"/>
        </w:rPr>
        <w:t xml:space="preserve"> causing an increasing number of families to sink deeper into poverty. </w:t>
      </w:r>
      <w:r w:rsidR="00DE16AA">
        <w:rPr>
          <w:sz w:val="24"/>
          <w:szCs w:val="24"/>
        </w:rPr>
        <w:t>Key informants noted that w</w:t>
      </w:r>
      <w:r w:rsidR="00BD5DE0">
        <w:rPr>
          <w:sz w:val="24"/>
          <w:szCs w:val="24"/>
        </w:rPr>
        <w:t>hen</w:t>
      </w:r>
      <w:r w:rsidR="00681F77">
        <w:rPr>
          <w:sz w:val="24"/>
          <w:szCs w:val="24"/>
        </w:rPr>
        <w:t xml:space="preserve"> the consequences of climate change cause disasters, it </w:t>
      </w:r>
      <w:r w:rsidR="00BD5DE0">
        <w:rPr>
          <w:sz w:val="24"/>
          <w:szCs w:val="24"/>
        </w:rPr>
        <w:t xml:space="preserve">is often difficult for women </w:t>
      </w:r>
      <w:r w:rsidR="00681F77">
        <w:rPr>
          <w:sz w:val="24"/>
          <w:szCs w:val="24"/>
        </w:rPr>
        <w:t>to migrate</w:t>
      </w:r>
      <w:r w:rsidR="00DE16AA">
        <w:rPr>
          <w:sz w:val="24"/>
          <w:szCs w:val="24"/>
        </w:rPr>
        <w:t xml:space="preserve"> because they have to manage children</w:t>
      </w:r>
      <w:r w:rsidR="00681F77">
        <w:rPr>
          <w:sz w:val="24"/>
          <w:szCs w:val="24"/>
        </w:rPr>
        <w:t xml:space="preserve">. </w:t>
      </w:r>
      <w:r w:rsidR="00E05B89">
        <w:rPr>
          <w:sz w:val="24"/>
          <w:szCs w:val="24"/>
        </w:rPr>
        <w:t>In</w:t>
      </w:r>
      <w:r w:rsidR="00681F77">
        <w:rPr>
          <w:sz w:val="24"/>
          <w:szCs w:val="24"/>
        </w:rPr>
        <w:t xml:space="preserve"> some communities, some </w:t>
      </w:r>
      <w:r w:rsidR="00BD5DE0">
        <w:rPr>
          <w:sz w:val="24"/>
          <w:szCs w:val="24"/>
        </w:rPr>
        <w:t xml:space="preserve">stakeholders including women and </w:t>
      </w:r>
      <w:r w:rsidR="00681F77">
        <w:rPr>
          <w:sz w:val="24"/>
          <w:szCs w:val="24"/>
        </w:rPr>
        <w:t>youth are not effectively engaged in decision</w:t>
      </w:r>
      <w:r w:rsidR="00BD5DE0">
        <w:rPr>
          <w:sz w:val="24"/>
          <w:szCs w:val="24"/>
        </w:rPr>
        <w:t>-</w:t>
      </w:r>
      <w:r w:rsidR="00681F77">
        <w:rPr>
          <w:sz w:val="24"/>
          <w:szCs w:val="24"/>
        </w:rPr>
        <w:t>making. Women and men with little formal education may experience difficulty accessing loan facilities or relief materials targeted at cushioning the impact of climate change.</w:t>
      </w:r>
      <w:r w:rsidR="00424EF8">
        <w:rPr>
          <w:rStyle w:val="FootnoteReference"/>
          <w:sz w:val="24"/>
          <w:szCs w:val="24"/>
        </w:rPr>
        <w:footnoteReference w:id="202"/>
      </w:r>
      <w:r w:rsidR="00C04287">
        <w:rPr>
          <w:sz w:val="24"/>
          <w:szCs w:val="24"/>
        </w:rPr>
        <w:t xml:space="preserve"> </w:t>
      </w:r>
      <w:r w:rsidR="006A14A2">
        <w:rPr>
          <w:sz w:val="24"/>
          <w:szCs w:val="24"/>
        </w:rPr>
        <w:t>Furthermore, w</w:t>
      </w:r>
      <w:r w:rsidR="00E05B89" w:rsidRPr="00E05B89">
        <w:rPr>
          <w:sz w:val="24"/>
          <w:szCs w:val="24"/>
        </w:rPr>
        <w:t>omen and men with little formal education or little resources are likely to face more challenges adapting to the effects of climate change</w:t>
      </w:r>
      <w:r w:rsidR="00424EF8">
        <w:rPr>
          <w:sz w:val="24"/>
          <w:szCs w:val="24"/>
        </w:rPr>
        <w:t>.</w:t>
      </w:r>
      <w:r w:rsidR="00424EF8">
        <w:rPr>
          <w:rStyle w:val="FootnoteReference"/>
          <w:sz w:val="24"/>
          <w:szCs w:val="24"/>
        </w:rPr>
        <w:footnoteReference w:id="203"/>
      </w:r>
      <w:r w:rsidR="00F370E6">
        <w:rPr>
          <w:sz w:val="24"/>
          <w:szCs w:val="24"/>
        </w:rPr>
        <w:t xml:space="preserve"> There is also some evidence of attempts to sabotage gender sensitivity in climate change mitigation as evidenced in the information provided by a key respondent.</w:t>
      </w:r>
    </w:p>
    <w:p w14:paraId="5C2A2FDF" w14:textId="77777777" w:rsidR="00681F77" w:rsidRDefault="00681F77" w:rsidP="00E75191">
      <w:pPr>
        <w:spacing w:before="240" w:line="240" w:lineRule="auto"/>
        <w:jc w:val="both"/>
        <w:rPr>
          <w:sz w:val="24"/>
          <w:szCs w:val="24"/>
        </w:rPr>
      </w:pPr>
      <w:r>
        <w:rPr>
          <w:sz w:val="24"/>
          <w:szCs w:val="24"/>
        </w:rPr>
        <w:t>The National Action Plan on Gender and Climate Change 2020 articulates Nigeria’s commitment to ensuring that the ways in which climate change affects men and women in all their diversity are properly managed.</w:t>
      </w:r>
      <w:r>
        <w:rPr>
          <w:rStyle w:val="FootnoteReference"/>
          <w:sz w:val="24"/>
          <w:szCs w:val="24"/>
        </w:rPr>
        <w:footnoteReference w:id="204"/>
      </w:r>
      <w:r>
        <w:rPr>
          <w:sz w:val="24"/>
          <w:szCs w:val="24"/>
        </w:rPr>
        <w:t xml:space="preserve"> This involves gender mainstreaming to allow for participation, contribution to decision</w:t>
      </w:r>
      <w:r w:rsidR="00453CA5">
        <w:rPr>
          <w:sz w:val="24"/>
          <w:szCs w:val="24"/>
        </w:rPr>
        <w:t>-</w:t>
      </w:r>
      <w:r>
        <w:rPr>
          <w:sz w:val="24"/>
          <w:szCs w:val="24"/>
        </w:rPr>
        <w:t xml:space="preserve">making and optimal access to climate change </w:t>
      </w:r>
      <w:r w:rsidR="00453CA5">
        <w:rPr>
          <w:sz w:val="24"/>
          <w:szCs w:val="24"/>
        </w:rPr>
        <w:t xml:space="preserve">adaptation </w:t>
      </w:r>
      <w:r>
        <w:rPr>
          <w:sz w:val="24"/>
          <w:szCs w:val="24"/>
        </w:rPr>
        <w:t>initiatives, programs, policies and funds. Notably, the action plan provides for initiatives to encourage women to acquire formal education in agriculture and forestry. It also seeks to execute research into</w:t>
      </w:r>
      <w:r w:rsidR="00453CA5">
        <w:rPr>
          <w:sz w:val="24"/>
          <w:szCs w:val="24"/>
        </w:rPr>
        <w:t xml:space="preserve"> the</w:t>
      </w:r>
      <w:r>
        <w:rPr>
          <w:sz w:val="24"/>
          <w:szCs w:val="24"/>
        </w:rPr>
        <w:t xml:space="preserve"> gendered impact of climate change given the </w:t>
      </w:r>
      <w:r w:rsidR="00453CA5">
        <w:rPr>
          <w:sz w:val="24"/>
          <w:szCs w:val="24"/>
        </w:rPr>
        <w:t>lack</w:t>
      </w:r>
      <w:r>
        <w:rPr>
          <w:sz w:val="24"/>
          <w:szCs w:val="24"/>
        </w:rPr>
        <w:t xml:space="preserve"> of data </w:t>
      </w:r>
      <w:r w:rsidR="00453CA5">
        <w:rPr>
          <w:sz w:val="24"/>
          <w:szCs w:val="24"/>
        </w:rPr>
        <w:t xml:space="preserve">and investment </w:t>
      </w:r>
      <w:r>
        <w:rPr>
          <w:sz w:val="24"/>
          <w:szCs w:val="24"/>
        </w:rPr>
        <w:t xml:space="preserve">in that regard. Despite the comprehensiveness of the policy, there </w:t>
      </w:r>
      <w:r w:rsidR="00453CA5">
        <w:rPr>
          <w:sz w:val="24"/>
          <w:szCs w:val="24"/>
        </w:rPr>
        <w:t>is a</w:t>
      </w:r>
      <w:r>
        <w:rPr>
          <w:sz w:val="24"/>
          <w:szCs w:val="24"/>
        </w:rPr>
        <w:t xml:space="preserve"> risk that agriculture planning </w:t>
      </w:r>
      <w:r w:rsidR="00453CA5">
        <w:rPr>
          <w:sz w:val="24"/>
          <w:szCs w:val="24"/>
        </w:rPr>
        <w:t xml:space="preserve">and budgeting do not pay </w:t>
      </w:r>
      <w:r>
        <w:rPr>
          <w:sz w:val="24"/>
          <w:szCs w:val="24"/>
        </w:rPr>
        <w:t>adequate attention to gender</w:t>
      </w:r>
      <w:r w:rsidR="00453CA5">
        <w:rPr>
          <w:sz w:val="24"/>
          <w:szCs w:val="24"/>
        </w:rPr>
        <w:t xml:space="preserve"> inclusion</w:t>
      </w:r>
      <w:r>
        <w:rPr>
          <w:sz w:val="24"/>
          <w:szCs w:val="24"/>
        </w:rPr>
        <w:t>. Furthermore, the policy was adopted in 2020 and its feasibility is difficult to ascertain in view of the absence of a budget line or fund to achieve the stated objectives.</w:t>
      </w:r>
      <w:r w:rsidR="00F370E6">
        <w:rPr>
          <w:sz w:val="24"/>
          <w:szCs w:val="24"/>
        </w:rPr>
        <w:t xml:space="preserve"> </w:t>
      </w:r>
    </w:p>
    <w:p w14:paraId="702786DA" w14:textId="77777777" w:rsidR="00681F77" w:rsidRDefault="00681F77" w:rsidP="00E75191">
      <w:pPr>
        <w:spacing w:before="240" w:line="240" w:lineRule="auto"/>
        <w:jc w:val="both"/>
        <w:rPr>
          <w:sz w:val="24"/>
          <w:szCs w:val="24"/>
        </w:rPr>
      </w:pPr>
      <w:r>
        <w:rPr>
          <w:sz w:val="24"/>
          <w:szCs w:val="24"/>
        </w:rPr>
        <w:t>Other relevant policies include the National Adaptation Strategy and Plan of Action for Climate Change in Nigeria (2011), Nigeria Climate Change Policy Response and Strategy (2012).</w:t>
      </w:r>
    </w:p>
    <w:p w14:paraId="376D3D9A" w14:textId="77777777" w:rsidR="00681F77" w:rsidRPr="00EB6159" w:rsidRDefault="00E75191" w:rsidP="00EB6159">
      <w:pPr>
        <w:rPr>
          <w:rStyle w:val="IntenseEmphasis"/>
        </w:rPr>
      </w:pPr>
      <w:r w:rsidRPr="00EB6159">
        <w:rPr>
          <w:rStyle w:val="IntenseEmphasis"/>
        </w:rPr>
        <w:t>Illustrative Finding</w:t>
      </w:r>
      <w:r w:rsidR="00681F77" w:rsidRPr="00EB6159">
        <w:rPr>
          <w:rStyle w:val="IntenseEmphasis"/>
        </w:rPr>
        <w:t>: Women and Climate Change</w:t>
      </w:r>
    </w:p>
    <w:p w14:paraId="74E0FFB4" w14:textId="77777777" w:rsidR="00681F77" w:rsidRDefault="00681F77" w:rsidP="00E75191">
      <w:pPr>
        <w:autoSpaceDE w:val="0"/>
        <w:autoSpaceDN w:val="0"/>
        <w:adjustRightInd w:val="0"/>
        <w:spacing w:after="0" w:line="240" w:lineRule="auto"/>
        <w:jc w:val="both"/>
        <w:rPr>
          <w:rFonts w:cstheme="minorHAnsi"/>
          <w:sz w:val="24"/>
          <w:szCs w:val="24"/>
        </w:rPr>
      </w:pPr>
      <w:r>
        <w:rPr>
          <w:rFonts w:cstheme="minorHAnsi"/>
          <w:sz w:val="24"/>
          <w:szCs w:val="24"/>
        </w:rPr>
        <w:lastRenderedPageBreak/>
        <w:t>41.2% of respondents indicate that women are not given opportunities and equal voice in decision</w:t>
      </w:r>
      <w:r w:rsidR="00453CA5">
        <w:rPr>
          <w:rFonts w:cstheme="minorHAnsi"/>
          <w:sz w:val="24"/>
          <w:szCs w:val="24"/>
        </w:rPr>
        <w:t>-</w:t>
      </w:r>
      <w:r>
        <w:rPr>
          <w:rFonts w:cstheme="minorHAnsi"/>
          <w:sz w:val="24"/>
          <w:szCs w:val="24"/>
        </w:rPr>
        <w:t>making processes related to climate change</w:t>
      </w:r>
      <w:r w:rsidR="00453CA5">
        <w:rPr>
          <w:rFonts w:cstheme="minorHAnsi"/>
          <w:sz w:val="24"/>
          <w:szCs w:val="24"/>
        </w:rPr>
        <w:t>. O</w:t>
      </w:r>
      <w:r>
        <w:rPr>
          <w:rFonts w:cstheme="minorHAnsi"/>
          <w:sz w:val="24"/>
          <w:szCs w:val="24"/>
        </w:rPr>
        <w:t>nly 8.8% indicates that women are given such opportunities. There seems to be some degree of ignorance among respondents in such decision</w:t>
      </w:r>
      <w:r w:rsidR="00453CA5">
        <w:rPr>
          <w:rFonts w:cstheme="minorHAnsi"/>
          <w:sz w:val="24"/>
          <w:szCs w:val="24"/>
        </w:rPr>
        <w:t>-</w:t>
      </w:r>
      <w:r>
        <w:rPr>
          <w:rFonts w:cstheme="minorHAnsi"/>
          <w:sz w:val="24"/>
          <w:szCs w:val="24"/>
        </w:rPr>
        <w:t>making opportunities related to climate change as indicated by 37.4% in the</w:t>
      </w:r>
      <w:r w:rsidR="00F0467B">
        <w:rPr>
          <w:rFonts w:cstheme="minorHAnsi"/>
          <w:sz w:val="24"/>
          <w:szCs w:val="24"/>
        </w:rPr>
        <w:t xml:space="preserve"> figure</w:t>
      </w:r>
      <w:r>
        <w:rPr>
          <w:rFonts w:cstheme="minorHAnsi"/>
          <w:sz w:val="24"/>
          <w:szCs w:val="24"/>
        </w:rPr>
        <w:t xml:space="preserve"> below. </w:t>
      </w:r>
    </w:p>
    <w:p w14:paraId="76BE9685" w14:textId="77777777" w:rsidR="00681F77" w:rsidRDefault="00681F77" w:rsidP="00E75191">
      <w:pPr>
        <w:autoSpaceDE w:val="0"/>
        <w:autoSpaceDN w:val="0"/>
        <w:adjustRightInd w:val="0"/>
        <w:spacing w:after="0" w:line="240" w:lineRule="auto"/>
        <w:jc w:val="both"/>
        <w:rPr>
          <w:rFonts w:cstheme="minorHAnsi"/>
          <w:sz w:val="24"/>
          <w:szCs w:val="24"/>
        </w:rPr>
      </w:pPr>
    </w:p>
    <w:p w14:paraId="08A16F85" w14:textId="77777777" w:rsidR="00681F77" w:rsidRDefault="00681F77" w:rsidP="00E75191">
      <w:pPr>
        <w:keepNext/>
        <w:autoSpaceDE w:val="0"/>
        <w:autoSpaceDN w:val="0"/>
        <w:adjustRightInd w:val="0"/>
        <w:spacing w:after="0" w:line="240" w:lineRule="auto"/>
      </w:pPr>
      <w:r>
        <w:rPr>
          <w:noProof/>
          <w:lang w:val="en-IE" w:eastAsia="en-IE"/>
        </w:rPr>
        <w:drawing>
          <wp:inline distT="0" distB="0" distL="0" distR="0" wp14:anchorId="3FD17646" wp14:editId="61B33DA9">
            <wp:extent cx="6496050" cy="2108200"/>
            <wp:effectExtent l="0" t="0" r="0" b="6350"/>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343FF6E4" w14:textId="77777777" w:rsidR="00681F77" w:rsidRDefault="00681F77" w:rsidP="00E75191">
      <w:pPr>
        <w:pStyle w:val="Caption"/>
        <w:rPr>
          <w:rFonts w:ascii="Arial" w:hAnsi="Arial" w:cs="Arial"/>
        </w:rPr>
      </w:pPr>
      <w:r>
        <w:t xml:space="preserve">Figure </w:t>
      </w:r>
      <w:fldSimple w:instr=" SEQ Figure \* ARABIC ">
        <w:r w:rsidR="00C15490">
          <w:rPr>
            <w:noProof/>
          </w:rPr>
          <w:t>15</w:t>
        </w:r>
      </w:fldSimple>
      <w:r>
        <w:t xml:space="preserve"> </w:t>
      </w:r>
      <w:r w:rsidRPr="004667E2">
        <w:t>Are women given opportunities and equal voice in decision</w:t>
      </w:r>
      <w:r w:rsidR="00453CA5">
        <w:t>-</w:t>
      </w:r>
      <w:r w:rsidRPr="004667E2">
        <w:t>making processes related to climate change in governance?</w:t>
      </w:r>
    </w:p>
    <w:p w14:paraId="14EF5DCD" w14:textId="77777777" w:rsidR="00681F77" w:rsidRDefault="00681F77" w:rsidP="00E75191">
      <w:pPr>
        <w:autoSpaceDE w:val="0"/>
        <w:autoSpaceDN w:val="0"/>
        <w:adjustRightInd w:val="0"/>
        <w:spacing w:after="0" w:line="240" w:lineRule="auto"/>
        <w:rPr>
          <w:rFonts w:ascii="Arial" w:hAnsi="Arial" w:cs="Arial"/>
          <w:b/>
          <w:color w:val="264A60"/>
          <w:szCs w:val="18"/>
        </w:rPr>
      </w:pPr>
    </w:p>
    <w:p w14:paraId="3DEE3433" w14:textId="77777777" w:rsidR="00681F77" w:rsidRDefault="00681F77" w:rsidP="00E75191">
      <w:pPr>
        <w:autoSpaceDE w:val="0"/>
        <w:autoSpaceDN w:val="0"/>
        <w:adjustRightInd w:val="0"/>
        <w:spacing w:after="0" w:line="240" w:lineRule="auto"/>
        <w:jc w:val="both"/>
        <w:rPr>
          <w:rFonts w:cstheme="minorHAnsi"/>
          <w:sz w:val="24"/>
          <w:szCs w:val="24"/>
        </w:rPr>
      </w:pPr>
      <w:r>
        <w:rPr>
          <w:rFonts w:cstheme="minorHAnsi"/>
          <w:sz w:val="24"/>
          <w:szCs w:val="24"/>
        </w:rPr>
        <w:t xml:space="preserve">Information from the table reveals that 34.9% of the respondents do not consider climate change as having any impact gender relations while 12.2% believes that it impacts on gender relations. It is very likely that this perception explains why there is little attention to the gendered dimension </w:t>
      </w:r>
      <w:r w:rsidR="00453CA5">
        <w:rPr>
          <w:rFonts w:cstheme="minorHAnsi"/>
          <w:sz w:val="24"/>
          <w:szCs w:val="24"/>
        </w:rPr>
        <w:t>of</w:t>
      </w:r>
      <w:r>
        <w:rPr>
          <w:rFonts w:cstheme="minorHAnsi"/>
          <w:sz w:val="24"/>
          <w:szCs w:val="24"/>
        </w:rPr>
        <w:t xml:space="preserve"> climate change in Nigeria.</w:t>
      </w:r>
    </w:p>
    <w:p w14:paraId="7655613D" w14:textId="77777777" w:rsidR="00681F77" w:rsidRDefault="00681F77" w:rsidP="00E75191">
      <w:pPr>
        <w:autoSpaceDE w:val="0"/>
        <w:autoSpaceDN w:val="0"/>
        <w:adjustRightInd w:val="0"/>
        <w:spacing w:after="0" w:line="240" w:lineRule="auto"/>
        <w:rPr>
          <w:rFonts w:ascii="Times New Roman" w:hAnsi="Times New Roman" w:cs="Times New Roman"/>
          <w:sz w:val="24"/>
          <w:szCs w:val="24"/>
        </w:rPr>
      </w:pPr>
    </w:p>
    <w:tbl>
      <w:tblPr>
        <w:tblStyle w:val="TableGrid"/>
        <w:tblW w:w="5000" w:type="pct"/>
        <w:tblLook w:val="04A0" w:firstRow="1" w:lastRow="0" w:firstColumn="1" w:lastColumn="0" w:noHBand="0" w:noVBand="1"/>
      </w:tblPr>
      <w:tblGrid>
        <w:gridCol w:w="1061"/>
        <w:gridCol w:w="1142"/>
        <w:gridCol w:w="1068"/>
        <w:gridCol w:w="957"/>
        <w:gridCol w:w="957"/>
        <w:gridCol w:w="959"/>
        <w:gridCol w:w="959"/>
        <w:gridCol w:w="959"/>
        <w:gridCol w:w="954"/>
      </w:tblGrid>
      <w:tr w:rsidR="00681F77" w14:paraId="34BF5FE1" w14:textId="77777777" w:rsidTr="006E3C5B">
        <w:tc>
          <w:tcPr>
            <w:tcW w:w="588" w:type="pct"/>
            <w:tcBorders>
              <w:top w:val="single" w:sz="4" w:space="0" w:color="auto"/>
              <w:left w:val="single" w:sz="4" w:space="0" w:color="auto"/>
              <w:bottom w:val="single" w:sz="4" w:space="0" w:color="auto"/>
              <w:right w:val="single" w:sz="4" w:space="0" w:color="auto"/>
            </w:tcBorders>
          </w:tcPr>
          <w:p w14:paraId="448063C3" w14:textId="77777777" w:rsidR="00681F77" w:rsidRDefault="00681F77" w:rsidP="00E75191">
            <w:pPr>
              <w:autoSpaceDE w:val="0"/>
              <w:autoSpaceDN w:val="0"/>
              <w:adjustRightInd w:val="0"/>
              <w:ind w:left="60" w:right="60"/>
              <w:jc w:val="center"/>
              <w:rPr>
                <w:rFonts w:ascii="Arial" w:hAnsi="Arial" w:cs="Arial"/>
                <w:color w:val="264A60"/>
                <w:sz w:val="18"/>
                <w:szCs w:val="18"/>
              </w:rPr>
            </w:pPr>
          </w:p>
        </w:tc>
        <w:tc>
          <w:tcPr>
            <w:tcW w:w="633" w:type="pct"/>
            <w:tcBorders>
              <w:top w:val="single" w:sz="4" w:space="0" w:color="auto"/>
              <w:left w:val="single" w:sz="4" w:space="0" w:color="auto"/>
              <w:bottom w:val="single" w:sz="4" w:space="0" w:color="auto"/>
              <w:right w:val="single" w:sz="4" w:space="0" w:color="auto"/>
            </w:tcBorders>
            <w:hideMark/>
          </w:tcPr>
          <w:p w14:paraId="0C7FFA66" w14:textId="77777777" w:rsidR="00681F77" w:rsidRDefault="00681F77" w:rsidP="00E75191">
            <w:pPr>
              <w:autoSpaceDE w:val="0"/>
              <w:autoSpaceDN w:val="0"/>
              <w:adjustRightInd w:val="0"/>
              <w:ind w:left="60" w:right="60"/>
              <w:jc w:val="center"/>
              <w:rPr>
                <w:rFonts w:ascii="Arial" w:hAnsi="Arial" w:cs="Arial"/>
                <w:color w:val="264A60"/>
                <w:sz w:val="18"/>
                <w:szCs w:val="18"/>
              </w:rPr>
            </w:pPr>
            <w:r>
              <w:rPr>
                <w:rFonts w:ascii="Arial" w:hAnsi="Arial" w:cs="Arial"/>
                <w:color w:val="264A60"/>
                <w:sz w:val="18"/>
                <w:szCs w:val="18"/>
              </w:rPr>
              <w:t>Adamawa</w:t>
            </w:r>
          </w:p>
        </w:tc>
        <w:tc>
          <w:tcPr>
            <w:tcW w:w="592" w:type="pct"/>
            <w:tcBorders>
              <w:top w:val="single" w:sz="4" w:space="0" w:color="auto"/>
              <w:left w:val="single" w:sz="4" w:space="0" w:color="auto"/>
              <w:bottom w:val="single" w:sz="4" w:space="0" w:color="auto"/>
              <w:right w:val="single" w:sz="4" w:space="0" w:color="auto"/>
            </w:tcBorders>
            <w:hideMark/>
          </w:tcPr>
          <w:p w14:paraId="24B5C444" w14:textId="77777777" w:rsidR="00681F77" w:rsidRDefault="00681F77" w:rsidP="00E75191">
            <w:pPr>
              <w:autoSpaceDE w:val="0"/>
              <w:autoSpaceDN w:val="0"/>
              <w:adjustRightInd w:val="0"/>
              <w:ind w:left="60" w:right="60"/>
              <w:jc w:val="center"/>
              <w:rPr>
                <w:rFonts w:ascii="Arial" w:hAnsi="Arial" w:cs="Arial"/>
                <w:color w:val="264A60"/>
                <w:sz w:val="18"/>
                <w:szCs w:val="18"/>
              </w:rPr>
            </w:pPr>
            <w:r>
              <w:rPr>
                <w:rFonts w:ascii="Arial" w:hAnsi="Arial" w:cs="Arial"/>
                <w:color w:val="264A60"/>
                <w:sz w:val="18"/>
                <w:szCs w:val="18"/>
              </w:rPr>
              <w:t>Anambra</w:t>
            </w:r>
          </w:p>
        </w:tc>
        <w:tc>
          <w:tcPr>
            <w:tcW w:w="531" w:type="pct"/>
            <w:tcBorders>
              <w:top w:val="single" w:sz="4" w:space="0" w:color="auto"/>
              <w:left w:val="single" w:sz="4" w:space="0" w:color="auto"/>
              <w:bottom w:val="single" w:sz="4" w:space="0" w:color="auto"/>
              <w:right w:val="single" w:sz="4" w:space="0" w:color="auto"/>
            </w:tcBorders>
            <w:hideMark/>
          </w:tcPr>
          <w:p w14:paraId="6C373ACB" w14:textId="77777777" w:rsidR="00681F77" w:rsidRDefault="00681F77" w:rsidP="00E75191">
            <w:pPr>
              <w:autoSpaceDE w:val="0"/>
              <w:autoSpaceDN w:val="0"/>
              <w:adjustRightInd w:val="0"/>
              <w:ind w:left="60" w:right="60"/>
              <w:jc w:val="center"/>
              <w:rPr>
                <w:rFonts w:ascii="Arial" w:hAnsi="Arial" w:cs="Arial"/>
                <w:color w:val="264A60"/>
                <w:sz w:val="18"/>
                <w:szCs w:val="18"/>
              </w:rPr>
            </w:pPr>
            <w:r>
              <w:rPr>
                <w:rFonts w:ascii="Arial" w:hAnsi="Arial" w:cs="Arial"/>
                <w:color w:val="264A60"/>
                <w:sz w:val="18"/>
                <w:szCs w:val="18"/>
              </w:rPr>
              <w:t>Edo</w:t>
            </w:r>
          </w:p>
        </w:tc>
        <w:tc>
          <w:tcPr>
            <w:tcW w:w="531" w:type="pct"/>
            <w:tcBorders>
              <w:top w:val="single" w:sz="4" w:space="0" w:color="auto"/>
              <w:left w:val="single" w:sz="4" w:space="0" w:color="auto"/>
              <w:bottom w:val="single" w:sz="4" w:space="0" w:color="auto"/>
              <w:right w:val="single" w:sz="4" w:space="0" w:color="auto"/>
            </w:tcBorders>
            <w:hideMark/>
          </w:tcPr>
          <w:p w14:paraId="1DD772A3" w14:textId="77777777" w:rsidR="00681F77" w:rsidRDefault="00681F77" w:rsidP="00E75191">
            <w:pPr>
              <w:autoSpaceDE w:val="0"/>
              <w:autoSpaceDN w:val="0"/>
              <w:adjustRightInd w:val="0"/>
              <w:ind w:left="60" w:right="60"/>
              <w:jc w:val="center"/>
              <w:rPr>
                <w:rFonts w:ascii="Arial" w:hAnsi="Arial" w:cs="Arial"/>
                <w:color w:val="264A60"/>
                <w:sz w:val="18"/>
                <w:szCs w:val="18"/>
              </w:rPr>
            </w:pPr>
            <w:r>
              <w:rPr>
                <w:rFonts w:ascii="Arial" w:hAnsi="Arial" w:cs="Arial"/>
                <w:color w:val="264A60"/>
                <w:sz w:val="18"/>
                <w:szCs w:val="18"/>
              </w:rPr>
              <w:t>FCT</w:t>
            </w:r>
          </w:p>
        </w:tc>
        <w:tc>
          <w:tcPr>
            <w:tcW w:w="532" w:type="pct"/>
            <w:tcBorders>
              <w:top w:val="single" w:sz="4" w:space="0" w:color="auto"/>
              <w:left w:val="single" w:sz="4" w:space="0" w:color="auto"/>
              <w:bottom w:val="single" w:sz="4" w:space="0" w:color="auto"/>
              <w:right w:val="single" w:sz="4" w:space="0" w:color="auto"/>
            </w:tcBorders>
            <w:hideMark/>
          </w:tcPr>
          <w:p w14:paraId="6D55987A" w14:textId="77777777" w:rsidR="00681F77" w:rsidRDefault="00681F77" w:rsidP="00E75191">
            <w:pPr>
              <w:autoSpaceDE w:val="0"/>
              <w:autoSpaceDN w:val="0"/>
              <w:adjustRightInd w:val="0"/>
              <w:ind w:left="60" w:right="60"/>
              <w:jc w:val="center"/>
              <w:rPr>
                <w:rFonts w:ascii="Arial" w:hAnsi="Arial" w:cs="Arial"/>
                <w:color w:val="264A60"/>
                <w:sz w:val="18"/>
                <w:szCs w:val="18"/>
              </w:rPr>
            </w:pPr>
            <w:r>
              <w:rPr>
                <w:rFonts w:ascii="Arial" w:hAnsi="Arial" w:cs="Arial"/>
                <w:color w:val="264A60"/>
                <w:sz w:val="18"/>
                <w:szCs w:val="18"/>
              </w:rPr>
              <w:t>Kano</w:t>
            </w:r>
          </w:p>
        </w:tc>
        <w:tc>
          <w:tcPr>
            <w:tcW w:w="532" w:type="pct"/>
            <w:tcBorders>
              <w:top w:val="single" w:sz="4" w:space="0" w:color="auto"/>
              <w:left w:val="single" w:sz="4" w:space="0" w:color="auto"/>
              <w:bottom w:val="single" w:sz="4" w:space="0" w:color="auto"/>
              <w:right w:val="single" w:sz="4" w:space="0" w:color="auto"/>
            </w:tcBorders>
            <w:hideMark/>
          </w:tcPr>
          <w:p w14:paraId="07C7622E" w14:textId="77777777" w:rsidR="00681F77" w:rsidRDefault="00681F77" w:rsidP="00E75191">
            <w:pPr>
              <w:autoSpaceDE w:val="0"/>
              <w:autoSpaceDN w:val="0"/>
              <w:adjustRightInd w:val="0"/>
              <w:ind w:left="60" w:right="60"/>
              <w:jc w:val="center"/>
              <w:rPr>
                <w:rFonts w:ascii="Arial" w:hAnsi="Arial" w:cs="Arial"/>
                <w:color w:val="264A60"/>
                <w:sz w:val="18"/>
                <w:szCs w:val="18"/>
              </w:rPr>
            </w:pPr>
            <w:r>
              <w:rPr>
                <w:rFonts w:ascii="Arial" w:hAnsi="Arial" w:cs="Arial"/>
                <w:color w:val="264A60"/>
                <w:sz w:val="18"/>
                <w:szCs w:val="18"/>
              </w:rPr>
              <w:t>Kwara</w:t>
            </w:r>
          </w:p>
        </w:tc>
        <w:tc>
          <w:tcPr>
            <w:tcW w:w="532" w:type="pct"/>
            <w:tcBorders>
              <w:top w:val="single" w:sz="4" w:space="0" w:color="auto"/>
              <w:left w:val="single" w:sz="4" w:space="0" w:color="auto"/>
              <w:bottom w:val="single" w:sz="4" w:space="0" w:color="auto"/>
              <w:right w:val="single" w:sz="4" w:space="0" w:color="auto"/>
            </w:tcBorders>
            <w:hideMark/>
          </w:tcPr>
          <w:p w14:paraId="070E3AE2" w14:textId="77777777" w:rsidR="00681F77" w:rsidRDefault="00681F77" w:rsidP="00E75191">
            <w:pPr>
              <w:autoSpaceDE w:val="0"/>
              <w:autoSpaceDN w:val="0"/>
              <w:adjustRightInd w:val="0"/>
              <w:ind w:left="60" w:right="60"/>
              <w:jc w:val="center"/>
              <w:rPr>
                <w:rFonts w:ascii="Arial" w:hAnsi="Arial" w:cs="Arial"/>
                <w:color w:val="264A60"/>
                <w:sz w:val="18"/>
                <w:szCs w:val="18"/>
              </w:rPr>
            </w:pPr>
            <w:r>
              <w:rPr>
                <w:rFonts w:ascii="Arial" w:hAnsi="Arial" w:cs="Arial"/>
                <w:color w:val="264A60"/>
                <w:sz w:val="18"/>
                <w:szCs w:val="18"/>
              </w:rPr>
              <w:t>Lagos</w:t>
            </w:r>
          </w:p>
        </w:tc>
        <w:tc>
          <w:tcPr>
            <w:tcW w:w="529" w:type="pct"/>
            <w:tcBorders>
              <w:top w:val="single" w:sz="4" w:space="0" w:color="auto"/>
              <w:left w:val="single" w:sz="4" w:space="0" w:color="auto"/>
              <w:bottom w:val="single" w:sz="4" w:space="0" w:color="auto"/>
              <w:right w:val="single" w:sz="4" w:space="0" w:color="auto"/>
            </w:tcBorders>
            <w:hideMark/>
          </w:tcPr>
          <w:p w14:paraId="47F59E1B" w14:textId="77777777" w:rsidR="00681F77" w:rsidRDefault="00681F77" w:rsidP="00E75191">
            <w:pPr>
              <w:autoSpaceDE w:val="0"/>
              <w:autoSpaceDN w:val="0"/>
              <w:adjustRightInd w:val="0"/>
              <w:rPr>
                <w:rFonts w:ascii="Arial" w:hAnsi="Arial" w:cs="Arial"/>
                <w:color w:val="264A60"/>
                <w:sz w:val="18"/>
                <w:szCs w:val="18"/>
              </w:rPr>
            </w:pPr>
            <w:r>
              <w:rPr>
                <w:rFonts w:ascii="Arial" w:hAnsi="Arial" w:cs="Arial"/>
                <w:color w:val="264A60"/>
                <w:sz w:val="18"/>
                <w:szCs w:val="18"/>
              </w:rPr>
              <w:t>Total</w:t>
            </w:r>
          </w:p>
        </w:tc>
      </w:tr>
      <w:tr w:rsidR="00F37421" w14:paraId="47882A61" w14:textId="77777777" w:rsidTr="006E3C5B">
        <w:tc>
          <w:tcPr>
            <w:tcW w:w="588" w:type="pct"/>
            <w:tcBorders>
              <w:top w:val="single" w:sz="4" w:space="0" w:color="auto"/>
              <w:left w:val="single" w:sz="4" w:space="0" w:color="auto"/>
              <w:bottom w:val="single" w:sz="4" w:space="0" w:color="auto"/>
              <w:right w:val="single" w:sz="4" w:space="0" w:color="auto"/>
            </w:tcBorders>
            <w:hideMark/>
          </w:tcPr>
          <w:p w14:paraId="2CCE0E0F" w14:textId="77777777" w:rsidR="00F37421" w:rsidRDefault="00F37421" w:rsidP="009024DA">
            <w:pPr>
              <w:autoSpaceDE w:val="0"/>
              <w:autoSpaceDN w:val="0"/>
              <w:adjustRightInd w:val="0"/>
              <w:ind w:left="60" w:right="60"/>
              <w:rPr>
                <w:rFonts w:ascii="Arial" w:hAnsi="Arial" w:cs="Arial"/>
                <w:color w:val="264A60"/>
                <w:sz w:val="18"/>
                <w:szCs w:val="18"/>
              </w:rPr>
            </w:pPr>
            <w:r>
              <w:rPr>
                <w:rFonts w:ascii="Arial" w:hAnsi="Arial" w:cs="Arial"/>
                <w:color w:val="264A60"/>
                <w:sz w:val="18"/>
                <w:szCs w:val="18"/>
              </w:rPr>
              <w:t>Yes</w:t>
            </w:r>
          </w:p>
        </w:tc>
        <w:tc>
          <w:tcPr>
            <w:tcW w:w="633" w:type="pct"/>
            <w:tcBorders>
              <w:top w:val="single" w:sz="4" w:space="0" w:color="auto"/>
              <w:left w:val="single" w:sz="4" w:space="0" w:color="auto"/>
              <w:bottom w:val="single" w:sz="4" w:space="0" w:color="auto"/>
              <w:right w:val="single" w:sz="4" w:space="0" w:color="auto"/>
            </w:tcBorders>
            <w:hideMark/>
          </w:tcPr>
          <w:p w14:paraId="77FE2EB0" w14:textId="77777777" w:rsidR="00F37421" w:rsidRDefault="00F37421" w:rsidP="009024DA">
            <w:pPr>
              <w:autoSpaceDE w:val="0"/>
              <w:autoSpaceDN w:val="0"/>
              <w:adjustRightInd w:val="0"/>
              <w:ind w:left="60" w:right="60"/>
              <w:jc w:val="right"/>
              <w:rPr>
                <w:rFonts w:ascii="Arial" w:hAnsi="Arial" w:cs="Arial"/>
                <w:color w:val="010205"/>
                <w:sz w:val="18"/>
                <w:szCs w:val="18"/>
              </w:rPr>
            </w:pPr>
            <w:r>
              <w:rPr>
                <w:rFonts w:ascii="Arial" w:hAnsi="Arial" w:cs="Arial"/>
                <w:color w:val="010205"/>
                <w:sz w:val="18"/>
                <w:szCs w:val="18"/>
              </w:rPr>
              <w:t>4.0%</w:t>
            </w:r>
          </w:p>
        </w:tc>
        <w:tc>
          <w:tcPr>
            <w:tcW w:w="592" w:type="pct"/>
            <w:tcBorders>
              <w:top w:val="single" w:sz="4" w:space="0" w:color="auto"/>
              <w:left w:val="single" w:sz="4" w:space="0" w:color="auto"/>
              <w:bottom w:val="single" w:sz="4" w:space="0" w:color="auto"/>
              <w:right w:val="single" w:sz="4" w:space="0" w:color="auto"/>
            </w:tcBorders>
            <w:hideMark/>
          </w:tcPr>
          <w:p w14:paraId="6D51FC96" w14:textId="77777777" w:rsidR="00F37421" w:rsidRDefault="00F37421" w:rsidP="009024DA">
            <w:pPr>
              <w:autoSpaceDE w:val="0"/>
              <w:autoSpaceDN w:val="0"/>
              <w:adjustRightInd w:val="0"/>
              <w:ind w:left="60" w:right="60"/>
              <w:jc w:val="right"/>
              <w:rPr>
                <w:rFonts w:ascii="Arial" w:hAnsi="Arial" w:cs="Arial"/>
                <w:color w:val="010205"/>
                <w:sz w:val="18"/>
                <w:szCs w:val="18"/>
              </w:rPr>
            </w:pPr>
            <w:r>
              <w:rPr>
                <w:rFonts w:ascii="Arial" w:hAnsi="Arial" w:cs="Arial"/>
                <w:color w:val="010205"/>
                <w:sz w:val="18"/>
                <w:szCs w:val="18"/>
              </w:rPr>
              <w:t>8.4%</w:t>
            </w:r>
          </w:p>
        </w:tc>
        <w:tc>
          <w:tcPr>
            <w:tcW w:w="531" w:type="pct"/>
            <w:tcBorders>
              <w:top w:val="single" w:sz="4" w:space="0" w:color="auto"/>
              <w:left w:val="single" w:sz="4" w:space="0" w:color="auto"/>
              <w:bottom w:val="single" w:sz="4" w:space="0" w:color="auto"/>
              <w:right w:val="single" w:sz="4" w:space="0" w:color="auto"/>
            </w:tcBorders>
            <w:hideMark/>
          </w:tcPr>
          <w:p w14:paraId="7D5400FF" w14:textId="77777777" w:rsidR="00F37421" w:rsidRDefault="00F37421" w:rsidP="009024DA">
            <w:pPr>
              <w:autoSpaceDE w:val="0"/>
              <w:autoSpaceDN w:val="0"/>
              <w:adjustRightInd w:val="0"/>
              <w:ind w:left="60" w:right="60"/>
              <w:jc w:val="right"/>
              <w:rPr>
                <w:rFonts w:ascii="Arial" w:hAnsi="Arial" w:cs="Arial"/>
                <w:color w:val="010205"/>
                <w:sz w:val="18"/>
                <w:szCs w:val="18"/>
              </w:rPr>
            </w:pPr>
            <w:r>
              <w:rPr>
                <w:rFonts w:ascii="Arial" w:hAnsi="Arial" w:cs="Arial"/>
                <w:color w:val="010205"/>
                <w:sz w:val="18"/>
                <w:szCs w:val="18"/>
              </w:rPr>
              <w:t>5.1%</w:t>
            </w:r>
          </w:p>
        </w:tc>
        <w:tc>
          <w:tcPr>
            <w:tcW w:w="531" w:type="pct"/>
            <w:tcBorders>
              <w:top w:val="single" w:sz="4" w:space="0" w:color="auto"/>
              <w:left w:val="single" w:sz="4" w:space="0" w:color="auto"/>
              <w:bottom w:val="single" w:sz="4" w:space="0" w:color="auto"/>
              <w:right w:val="single" w:sz="4" w:space="0" w:color="auto"/>
            </w:tcBorders>
            <w:hideMark/>
          </w:tcPr>
          <w:p w14:paraId="1AB7363E" w14:textId="77777777" w:rsidR="00F37421" w:rsidRDefault="00F37421" w:rsidP="009024DA">
            <w:pPr>
              <w:autoSpaceDE w:val="0"/>
              <w:autoSpaceDN w:val="0"/>
              <w:adjustRightInd w:val="0"/>
              <w:ind w:left="60" w:right="60"/>
              <w:jc w:val="right"/>
              <w:rPr>
                <w:rFonts w:ascii="Arial" w:hAnsi="Arial" w:cs="Arial"/>
                <w:color w:val="010205"/>
                <w:sz w:val="18"/>
                <w:szCs w:val="18"/>
              </w:rPr>
            </w:pPr>
            <w:r>
              <w:rPr>
                <w:rFonts w:ascii="Arial" w:hAnsi="Arial" w:cs="Arial"/>
                <w:color w:val="010205"/>
                <w:sz w:val="18"/>
                <w:szCs w:val="18"/>
              </w:rPr>
              <w:t>7.1%</w:t>
            </w:r>
          </w:p>
        </w:tc>
        <w:tc>
          <w:tcPr>
            <w:tcW w:w="532" w:type="pct"/>
            <w:tcBorders>
              <w:top w:val="single" w:sz="4" w:space="0" w:color="auto"/>
              <w:left w:val="single" w:sz="4" w:space="0" w:color="auto"/>
              <w:bottom w:val="single" w:sz="4" w:space="0" w:color="auto"/>
              <w:right w:val="single" w:sz="4" w:space="0" w:color="auto"/>
            </w:tcBorders>
            <w:hideMark/>
          </w:tcPr>
          <w:p w14:paraId="01A8A8E4" w14:textId="77777777" w:rsidR="00F37421" w:rsidRDefault="00F37421" w:rsidP="009024DA">
            <w:pPr>
              <w:autoSpaceDE w:val="0"/>
              <w:autoSpaceDN w:val="0"/>
              <w:adjustRightInd w:val="0"/>
              <w:ind w:left="60" w:right="60"/>
              <w:jc w:val="right"/>
              <w:rPr>
                <w:rFonts w:ascii="Arial" w:hAnsi="Arial" w:cs="Arial"/>
                <w:color w:val="010205"/>
                <w:sz w:val="18"/>
                <w:szCs w:val="18"/>
              </w:rPr>
            </w:pPr>
            <w:r>
              <w:rPr>
                <w:rFonts w:ascii="Arial" w:hAnsi="Arial" w:cs="Arial"/>
                <w:color w:val="010205"/>
                <w:sz w:val="18"/>
                <w:szCs w:val="18"/>
              </w:rPr>
              <w:t>34.3%</w:t>
            </w:r>
          </w:p>
        </w:tc>
        <w:tc>
          <w:tcPr>
            <w:tcW w:w="532" w:type="pct"/>
            <w:tcBorders>
              <w:top w:val="single" w:sz="4" w:space="0" w:color="auto"/>
              <w:left w:val="single" w:sz="4" w:space="0" w:color="auto"/>
              <w:bottom w:val="single" w:sz="4" w:space="0" w:color="auto"/>
              <w:right w:val="single" w:sz="4" w:space="0" w:color="auto"/>
            </w:tcBorders>
            <w:hideMark/>
          </w:tcPr>
          <w:p w14:paraId="3E63E76E" w14:textId="77777777" w:rsidR="00F37421" w:rsidRDefault="00F37421" w:rsidP="009024DA">
            <w:pPr>
              <w:autoSpaceDE w:val="0"/>
              <w:autoSpaceDN w:val="0"/>
              <w:adjustRightInd w:val="0"/>
              <w:ind w:left="60" w:right="60"/>
              <w:jc w:val="right"/>
              <w:rPr>
                <w:rFonts w:ascii="Arial" w:hAnsi="Arial" w:cs="Arial"/>
                <w:color w:val="010205"/>
                <w:sz w:val="18"/>
                <w:szCs w:val="18"/>
              </w:rPr>
            </w:pPr>
            <w:r>
              <w:rPr>
                <w:rFonts w:ascii="Arial" w:hAnsi="Arial" w:cs="Arial"/>
                <w:color w:val="010205"/>
                <w:sz w:val="18"/>
                <w:szCs w:val="18"/>
              </w:rPr>
              <w:t>12.7%</w:t>
            </w:r>
          </w:p>
        </w:tc>
        <w:tc>
          <w:tcPr>
            <w:tcW w:w="532" w:type="pct"/>
            <w:tcBorders>
              <w:top w:val="single" w:sz="4" w:space="0" w:color="auto"/>
              <w:left w:val="single" w:sz="4" w:space="0" w:color="auto"/>
              <w:bottom w:val="single" w:sz="4" w:space="0" w:color="auto"/>
              <w:right w:val="single" w:sz="4" w:space="0" w:color="auto"/>
            </w:tcBorders>
            <w:hideMark/>
          </w:tcPr>
          <w:p w14:paraId="19B22E12" w14:textId="77777777" w:rsidR="00F37421" w:rsidRDefault="00F37421" w:rsidP="009024DA">
            <w:pPr>
              <w:autoSpaceDE w:val="0"/>
              <w:autoSpaceDN w:val="0"/>
              <w:adjustRightInd w:val="0"/>
              <w:ind w:left="60" w:right="60"/>
              <w:jc w:val="right"/>
              <w:rPr>
                <w:rFonts w:ascii="Arial" w:hAnsi="Arial" w:cs="Arial"/>
                <w:color w:val="010205"/>
                <w:sz w:val="18"/>
                <w:szCs w:val="18"/>
              </w:rPr>
            </w:pPr>
            <w:r>
              <w:rPr>
                <w:rFonts w:ascii="Arial" w:hAnsi="Arial" w:cs="Arial"/>
                <w:color w:val="010205"/>
                <w:sz w:val="18"/>
                <w:szCs w:val="18"/>
              </w:rPr>
              <w:t>9.8%</w:t>
            </w:r>
          </w:p>
        </w:tc>
        <w:tc>
          <w:tcPr>
            <w:tcW w:w="529" w:type="pct"/>
            <w:tcBorders>
              <w:top w:val="single" w:sz="4" w:space="0" w:color="auto"/>
              <w:left w:val="single" w:sz="4" w:space="0" w:color="auto"/>
              <w:bottom w:val="single" w:sz="4" w:space="0" w:color="auto"/>
              <w:right w:val="single" w:sz="4" w:space="0" w:color="auto"/>
            </w:tcBorders>
            <w:hideMark/>
          </w:tcPr>
          <w:p w14:paraId="639E35F0" w14:textId="77777777" w:rsidR="00F37421" w:rsidRDefault="00F37421" w:rsidP="009024DA">
            <w:pPr>
              <w:keepNext/>
              <w:autoSpaceDE w:val="0"/>
              <w:autoSpaceDN w:val="0"/>
              <w:adjustRightInd w:val="0"/>
              <w:ind w:left="60" w:right="60"/>
              <w:jc w:val="right"/>
              <w:rPr>
                <w:rFonts w:ascii="Arial" w:hAnsi="Arial" w:cs="Arial"/>
                <w:color w:val="010205"/>
                <w:sz w:val="18"/>
                <w:szCs w:val="18"/>
              </w:rPr>
            </w:pPr>
            <w:r>
              <w:rPr>
                <w:rFonts w:ascii="Arial" w:hAnsi="Arial" w:cs="Arial"/>
                <w:color w:val="010205"/>
                <w:sz w:val="18"/>
                <w:szCs w:val="18"/>
              </w:rPr>
              <w:t>12.2%</w:t>
            </w:r>
          </w:p>
        </w:tc>
      </w:tr>
      <w:tr w:rsidR="00F37421" w14:paraId="5C7FF41C" w14:textId="77777777" w:rsidTr="00F37421">
        <w:tc>
          <w:tcPr>
            <w:tcW w:w="588" w:type="pct"/>
            <w:tcBorders>
              <w:top w:val="single" w:sz="4" w:space="0" w:color="auto"/>
              <w:left w:val="single" w:sz="4" w:space="0" w:color="auto"/>
              <w:bottom w:val="single" w:sz="4" w:space="0" w:color="auto"/>
              <w:right w:val="single" w:sz="4" w:space="0" w:color="auto"/>
            </w:tcBorders>
            <w:hideMark/>
          </w:tcPr>
          <w:p w14:paraId="4DCE9E2F" w14:textId="77777777" w:rsidR="00F37421" w:rsidRDefault="00F37421" w:rsidP="009024DA">
            <w:pPr>
              <w:autoSpaceDE w:val="0"/>
              <w:autoSpaceDN w:val="0"/>
              <w:adjustRightInd w:val="0"/>
              <w:ind w:left="60" w:right="60"/>
              <w:rPr>
                <w:rFonts w:ascii="Arial" w:hAnsi="Arial" w:cs="Arial"/>
                <w:color w:val="264A60"/>
                <w:sz w:val="18"/>
                <w:szCs w:val="18"/>
              </w:rPr>
            </w:pPr>
            <w:r>
              <w:rPr>
                <w:rFonts w:ascii="Arial" w:hAnsi="Arial" w:cs="Arial"/>
                <w:color w:val="264A60"/>
                <w:sz w:val="18"/>
                <w:szCs w:val="18"/>
              </w:rPr>
              <w:t>No</w:t>
            </w:r>
          </w:p>
        </w:tc>
        <w:tc>
          <w:tcPr>
            <w:tcW w:w="633" w:type="pct"/>
            <w:tcBorders>
              <w:top w:val="single" w:sz="4" w:space="0" w:color="auto"/>
              <w:left w:val="single" w:sz="4" w:space="0" w:color="auto"/>
              <w:bottom w:val="single" w:sz="4" w:space="0" w:color="auto"/>
              <w:right w:val="single" w:sz="4" w:space="0" w:color="auto"/>
            </w:tcBorders>
            <w:hideMark/>
          </w:tcPr>
          <w:p w14:paraId="0A974DD7" w14:textId="77777777" w:rsidR="00F37421" w:rsidRDefault="00F37421" w:rsidP="009024DA">
            <w:pPr>
              <w:autoSpaceDE w:val="0"/>
              <w:autoSpaceDN w:val="0"/>
              <w:adjustRightInd w:val="0"/>
              <w:ind w:left="60" w:right="60"/>
              <w:jc w:val="right"/>
              <w:rPr>
                <w:rFonts w:ascii="Arial" w:hAnsi="Arial" w:cs="Arial"/>
                <w:color w:val="010205"/>
                <w:sz w:val="18"/>
                <w:szCs w:val="18"/>
              </w:rPr>
            </w:pPr>
            <w:r>
              <w:rPr>
                <w:rFonts w:ascii="Arial" w:hAnsi="Arial" w:cs="Arial"/>
                <w:color w:val="010205"/>
                <w:sz w:val="18"/>
                <w:szCs w:val="18"/>
              </w:rPr>
              <w:t>25.8%</w:t>
            </w:r>
          </w:p>
        </w:tc>
        <w:tc>
          <w:tcPr>
            <w:tcW w:w="592" w:type="pct"/>
            <w:tcBorders>
              <w:top w:val="single" w:sz="4" w:space="0" w:color="auto"/>
              <w:left w:val="single" w:sz="4" w:space="0" w:color="auto"/>
              <w:bottom w:val="single" w:sz="4" w:space="0" w:color="auto"/>
              <w:right w:val="single" w:sz="4" w:space="0" w:color="auto"/>
            </w:tcBorders>
            <w:hideMark/>
          </w:tcPr>
          <w:p w14:paraId="6991DFA2" w14:textId="77777777" w:rsidR="00F37421" w:rsidRDefault="00F37421" w:rsidP="009024DA">
            <w:pPr>
              <w:autoSpaceDE w:val="0"/>
              <w:autoSpaceDN w:val="0"/>
              <w:adjustRightInd w:val="0"/>
              <w:ind w:left="60" w:right="60"/>
              <w:jc w:val="right"/>
              <w:rPr>
                <w:rFonts w:ascii="Arial" w:hAnsi="Arial" w:cs="Arial"/>
                <w:color w:val="010205"/>
                <w:sz w:val="18"/>
                <w:szCs w:val="18"/>
              </w:rPr>
            </w:pPr>
            <w:r>
              <w:rPr>
                <w:rFonts w:ascii="Arial" w:hAnsi="Arial" w:cs="Arial"/>
                <w:color w:val="010205"/>
                <w:sz w:val="18"/>
                <w:szCs w:val="18"/>
              </w:rPr>
              <w:t>42.2%</w:t>
            </w:r>
          </w:p>
        </w:tc>
        <w:tc>
          <w:tcPr>
            <w:tcW w:w="531" w:type="pct"/>
            <w:tcBorders>
              <w:top w:val="single" w:sz="4" w:space="0" w:color="auto"/>
              <w:left w:val="single" w:sz="4" w:space="0" w:color="auto"/>
              <w:bottom w:val="single" w:sz="4" w:space="0" w:color="auto"/>
              <w:right w:val="single" w:sz="4" w:space="0" w:color="auto"/>
            </w:tcBorders>
            <w:hideMark/>
          </w:tcPr>
          <w:p w14:paraId="1C3D4257" w14:textId="77777777" w:rsidR="00F37421" w:rsidRDefault="00F37421" w:rsidP="009024DA">
            <w:pPr>
              <w:autoSpaceDE w:val="0"/>
              <w:autoSpaceDN w:val="0"/>
              <w:adjustRightInd w:val="0"/>
              <w:ind w:left="60" w:right="60"/>
              <w:jc w:val="right"/>
              <w:rPr>
                <w:rFonts w:ascii="Arial" w:hAnsi="Arial" w:cs="Arial"/>
                <w:color w:val="010205"/>
                <w:sz w:val="18"/>
                <w:szCs w:val="18"/>
              </w:rPr>
            </w:pPr>
            <w:r>
              <w:rPr>
                <w:rFonts w:ascii="Arial" w:hAnsi="Arial" w:cs="Arial"/>
                <w:color w:val="010205"/>
                <w:sz w:val="18"/>
                <w:szCs w:val="18"/>
              </w:rPr>
              <w:t>47.3%</w:t>
            </w:r>
          </w:p>
        </w:tc>
        <w:tc>
          <w:tcPr>
            <w:tcW w:w="531" w:type="pct"/>
            <w:tcBorders>
              <w:top w:val="single" w:sz="4" w:space="0" w:color="auto"/>
              <w:left w:val="single" w:sz="4" w:space="0" w:color="auto"/>
              <w:bottom w:val="single" w:sz="4" w:space="0" w:color="auto"/>
              <w:right w:val="single" w:sz="4" w:space="0" w:color="auto"/>
            </w:tcBorders>
            <w:hideMark/>
          </w:tcPr>
          <w:p w14:paraId="7526BA13" w14:textId="77777777" w:rsidR="00F37421" w:rsidRDefault="00F37421" w:rsidP="009024DA">
            <w:pPr>
              <w:autoSpaceDE w:val="0"/>
              <w:autoSpaceDN w:val="0"/>
              <w:adjustRightInd w:val="0"/>
              <w:ind w:left="60" w:right="60"/>
              <w:jc w:val="right"/>
              <w:rPr>
                <w:rFonts w:ascii="Arial" w:hAnsi="Arial" w:cs="Arial"/>
                <w:color w:val="010205"/>
                <w:sz w:val="18"/>
                <w:szCs w:val="18"/>
              </w:rPr>
            </w:pPr>
            <w:r>
              <w:rPr>
                <w:rFonts w:ascii="Arial" w:hAnsi="Arial" w:cs="Arial"/>
                <w:color w:val="010205"/>
                <w:sz w:val="18"/>
                <w:szCs w:val="18"/>
              </w:rPr>
              <w:t>29.8%</w:t>
            </w:r>
          </w:p>
        </w:tc>
        <w:tc>
          <w:tcPr>
            <w:tcW w:w="532" w:type="pct"/>
            <w:tcBorders>
              <w:top w:val="single" w:sz="4" w:space="0" w:color="auto"/>
              <w:left w:val="single" w:sz="4" w:space="0" w:color="auto"/>
              <w:bottom w:val="single" w:sz="4" w:space="0" w:color="auto"/>
              <w:right w:val="single" w:sz="4" w:space="0" w:color="auto"/>
            </w:tcBorders>
            <w:hideMark/>
          </w:tcPr>
          <w:p w14:paraId="69BD6D20" w14:textId="77777777" w:rsidR="00F37421" w:rsidRDefault="00F37421" w:rsidP="009024DA">
            <w:pPr>
              <w:autoSpaceDE w:val="0"/>
              <w:autoSpaceDN w:val="0"/>
              <w:adjustRightInd w:val="0"/>
              <w:ind w:left="60" w:right="60"/>
              <w:jc w:val="right"/>
              <w:rPr>
                <w:rFonts w:ascii="Arial" w:hAnsi="Arial" w:cs="Arial"/>
                <w:color w:val="010205"/>
                <w:sz w:val="18"/>
                <w:szCs w:val="18"/>
              </w:rPr>
            </w:pPr>
            <w:r>
              <w:rPr>
                <w:rFonts w:ascii="Arial" w:hAnsi="Arial" w:cs="Arial"/>
                <w:color w:val="010205"/>
                <w:sz w:val="18"/>
                <w:szCs w:val="18"/>
              </w:rPr>
              <w:t>36.0%</w:t>
            </w:r>
          </w:p>
        </w:tc>
        <w:tc>
          <w:tcPr>
            <w:tcW w:w="532" w:type="pct"/>
            <w:tcBorders>
              <w:top w:val="single" w:sz="4" w:space="0" w:color="auto"/>
              <w:left w:val="single" w:sz="4" w:space="0" w:color="auto"/>
              <w:bottom w:val="single" w:sz="4" w:space="0" w:color="auto"/>
              <w:right w:val="single" w:sz="4" w:space="0" w:color="auto"/>
            </w:tcBorders>
            <w:hideMark/>
          </w:tcPr>
          <w:p w14:paraId="23105924" w14:textId="77777777" w:rsidR="00F37421" w:rsidRDefault="00F37421" w:rsidP="009024DA">
            <w:pPr>
              <w:autoSpaceDE w:val="0"/>
              <w:autoSpaceDN w:val="0"/>
              <w:adjustRightInd w:val="0"/>
              <w:ind w:left="60" w:right="60"/>
              <w:jc w:val="right"/>
              <w:rPr>
                <w:rFonts w:ascii="Arial" w:hAnsi="Arial" w:cs="Arial"/>
                <w:color w:val="010205"/>
                <w:sz w:val="18"/>
                <w:szCs w:val="18"/>
              </w:rPr>
            </w:pPr>
            <w:r>
              <w:rPr>
                <w:rFonts w:ascii="Arial" w:hAnsi="Arial" w:cs="Arial"/>
                <w:color w:val="010205"/>
                <w:sz w:val="18"/>
                <w:szCs w:val="18"/>
              </w:rPr>
              <w:t>28.5%</w:t>
            </w:r>
          </w:p>
        </w:tc>
        <w:tc>
          <w:tcPr>
            <w:tcW w:w="532" w:type="pct"/>
            <w:tcBorders>
              <w:top w:val="single" w:sz="4" w:space="0" w:color="auto"/>
              <w:left w:val="single" w:sz="4" w:space="0" w:color="auto"/>
              <w:bottom w:val="single" w:sz="4" w:space="0" w:color="auto"/>
              <w:right w:val="single" w:sz="4" w:space="0" w:color="auto"/>
            </w:tcBorders>
            <w:hideMark/>
          </w:tcPr>
          <w:p w14:paraId="45387EDD" w14:textId="77777777" w:rsidR="00F37421" w:rsidRDefault="00F37421" w:rsidP="009024DA">
            <w:pPr>
              <w:autoSpaceDE w:val="0"/>
              <w:autoSpaceDN w:val="0"/>
              <w:adjustRightInd w:val="0"/>
              <w:ind w:left="60" w:right="60"/>
              <w:jc w:val="right"/>
              <w:rPr>
                <w:rFonts w:ascii="Arial" w:hAnsi="Arial" w:cs="Arial"/>
                <w:color w:val="010205"/>
                <w:sz w:val="18"/>
                <w:szCs w:val="18"/>
              </w:rPr>
            </w:pPr>
            <w:r>
              <w:rPr>
                <w:rFonts w:ascii="Arial" w:hAnsi="Arial" w:cs="Arial"/>
                <w:color w:val="010205"/>
                <w:sz w:val="18"/>
                <w:szCs w:val="18"/>
              </w:rPr>
              <w:t>25.9%</w:t>
            </w:r>
          </w:p>
        </w:tc>
        <w:tc>
          <w:tcPr>
            <w:tcW w:w="530" w:type="pct"/>
            <w:tcBorders>
              <w:top w:val="single" w:sz="4" w:space="0" w:color="auto"/>
              <w:left w:val="single" w:sz="4" w:space="0" w:color="auto"/>
              <w:bottom w:val="single" w:sz="4" w:space="0" w:color="auto"/>
              <w:right w:val="single" w:sz="4" w:space="0" w:color="auto"/>
            </w:tcBorders>
            <w:hideMark/>
          </w:tcPr>
          <w:p w14:paraId="2367B463" w14:textId="77777777" w:rsidR="00F37421" w:rsidRDefault="00F37421" w:rsidP="009024DA">
            <w:pPr>
              <w:autoSpaceDE w:val="0"/>
              <w:autoSpaceDN w:val="0"/>
              <w:adjustRightInd w:val="0"/>
              <w:ind w:left="60" w:right="60"/>
              <w:jc w:val="right"/>
              <w:rPr>
                <w:rFonts w:ascii="Arial" w:hAnsi="Arial" w:cs="Arial"/>
                <w:color w:val="010205"/>
                <w:sz w:val="18"/>
                <w:szCs w:val="18"/>
              </w:rPr>
            </w:pPr>
            <w:r>
              <w:rPr>
                <w:rFonts w:ascii="Arial" w:hAnsi="Arial" w:cs="Arial"/>
                <w:color w:val="010205"/>
                <w:sz w:val="18"/>
                <w:szCs w:val="18"/>
              </w:rPr>
              <w:t>34.9%</w:t>
            </w:r>
          </w:p>
        </w:tc>
      </w:tr>
      <w:tr w:rsidR="00681F77" w14:paraId="1E6FE2BC" w14:textId="77777777" w:rsidTr="006E3C5B">
        <w:tc>
          <w:tcPr>
            <w:tcW w:w="588" w:type="pct"/>
            <w:tcBorders>
              <w:top w:val="single" w:sz="4" w:space="0" w:color="auto"/>
              <w:left w:val="single" w:sz="4" w:space="0" w:color="auto"/>
              <w:bottom w:val="single" w:sz="4" w:space="0" w:color="auto"/>
              <w:right w:val="single" w:sz="4" w:space="0" w:color="auto"/>
            </w:tcBorders>
            <w:hideMark/>
          </w:tcPr>
          <w:p w14:paraId="33C4AE37" w14:textId="77777777" w:rsidR="00681F77" w:rsidRDefault="00681F77" w:rsidP="00E75191">
            <w:pPr>
              <w:autoSpaceDE w:val="0"/>
              <w:autoSpaceDN w:val="0"/>
              <w:adjustRightInd w:val="0"/>
              <w:ind w:left="60" w:right="60"/>
              <w:rPr>
                <w:rFonts w:ascii="Arial" w:hAnsi="Arial" w:cs="Arial"/>
                <w:color w:val="264A60"/>
                <w:sz w:val="18"/>
                <w:szCs w:val="18"/>
              </w:rPr>
            </w:pPr>
            <w:r>
              <w:rPr>
                <w:rFonts w:ascii="Arial" w:hAnsi="Arial" w:cs="Arial"/>
                <w:color w:val="264A60"/>
                <w:sz w:val="18"/>
                <w:szCs w:val="18"/>
              </w:rPr>
              <w:t>I don't know</w:t>
            </w:r>
          </w:p>
        </w:tc>
        <w:tc>
          <w:tcPr>
            <w:tcW w:w="633" w:type="pct"/>
            <w:tcBorders>
              <w:top w:val="single" w:sz="4" w:space="0" w:color="auto"/>
              <w:left w:val="single" w:sz="4" w:space="0" w:color="auto"/>
              <w:bottom w:val="single" w:sz="4" w:space="0" w:color="auto"/>
              <w:right w:val="single" w:sz="4" w:space="0" w:color="auto"/>
            </w:tcBorders>
            <w:hideMark/>
          </w:tcPr>
          <w:p w14:paraId="1B5C37DE" w14:textId="77777777" w:rsidR="00681F77" w:rsidRDefault="00681F77" w:rsidP="00E75191">
            <w:pPr>
              <w:autoSpaceDE w:val="0"/>
              <w:autoSpaceDN w:val="0"/>
              <w:adjustRightInd w:val="0"/>
              <w:ind w:left="60" w:right="60"/>
              <w:jc w:val="right"/>
              <w:rPr>
                <w:rFonts w:ascii="Arial" w:hAnsi="Arial" w:cs="Arial"/>
                <w:color w:val="010205"/>
                <w:sz w:val="18"/>
                <w:szCs w:val="18"/>
              </w:rPr>
            </w:pPr>
            <w:r>
              <w:rPr>
                <w:rFonts w:ascii="Arial" w:hAnsi="Arial" w:cs="Arial"/>
                <w:color w:val="010205"/>
                <w:sz w:val="18"/>
                <w:szCs w:val="18"/>
              </w:rPr>
              <w:t>50.0%</w:t>
            </w:r>
          </w:p>
        </w:tc>
        <w:tc>
          <w:tcPr>
            <w:tcW w:w="592" w:type="pct"/>
            <w:tcBorders>
              <w:top w:val="single" w:sz="4" w:space="0" w:color="auto"/>
              <w:left w:val="single" w:sz="4" w:space="0" w:color="auto"/>
              <w:bottom w:val="single" w:sz="4" w:space="0" w:color="auto"/>
              <w:right w:val="single" w:sz="4" w:space="0" w:color="auto"/>
            </w:tcBorders>
            <w:hideMark/>
          </w:tcPr>
          <w:p w14:paraId="3BD808DB" w14:textId="77777777" w:rsidR="00681F77" w:rsidRDefault="00681F77" w:rsidP="00E75191">
            <w:pPr>
              <w:autoSpaceDE w:val="0"/>
              <w:autoSpaceDN w:val="0"/>
              <w:adjustRightInd w:val="0"/>
              <w:ind w:left="60" w:right="60"/>
              <w:jc w:val="right"/>
              <w:rPr>
                <w:rFonts w:ascii="Arial" w:hAnsi="Arial" w:cs="Arial"/>
                <w:color w:val="010205"/>
                <w:sz w:val="18"/>
                <w:szCs w:val="18"/>
              </w:rPr>
            </w:pPr>
            <w:r>
              <w:rPr>
                <w:rFonts w:ascii="Arial" w:hAnsi="Arial" w:cs="Arial"/>
                <w:color w:val="010205"/>
                <w:sz w:val="18"/>
                <w:szCs w:val="18"/>
              </w:rPr>
              <w:t>36.4%</w:t>
            </w:r>
          </w:p>
        </w:tc>
        <w:tc>
          <w:tcPr>
            <w:tcW w:w="531" w:type="pct"/>
            <w:tcBorders>
              <w:top w:val="single" w:sz="4" w:space="0" w:color="auto"/>
              <w:left w:val="single" w:sz="4" w:space="0" w:color="auto"/>
              <w:bottom w:val="single" w:sz="4" w:space="0" w:color="auto"/>
              <w:right w:val="single" w:sz="4" w:space="0" w:color="auto"/>
            </w:tcBorders>
            <w:hideMark/>
          </w:tcPr>
          <w:p w14:paraId="69D87ECA" w14:textId="77777777" w:rsidR="00681F77" w:rsidRDefault="00681F77" w:rsidP="00E75191">
            <w:pPr>
              <w:autoSpaceDE w:val="0"/>
              <w:autoSpaceDN w:val="0"/>
              <w:adjustRightInd w:val="0"/>
              <w:ind w:left="60" w:right="60"/>
              <w:jc w:val="right"/>
              <w:rPr>
                <w:rFonts w:ascii="Arial" w:hAnsi="Arial" w:cs="Arial"/>
                <w:color w:val="010205"/>
                <w:sz w:val="18"/>
                <w:szCs w:val="18"/>
              </w:rPr>
            </w:pPr>
            <w:r>
              <w:rPr>
                <w:rFonts w:ascii="Arial" w:hAnsi="Arial" w:cs="Arial"/>
                <w:color w:val="010205"/>
                <w:sz w:val="18"/>
                <w:szCs w:val="18"/>
              </w:rPr>
              <w:t>32.3%</w:t>
            </w:r>
          </w:p>
        </w:tc>
        <w:tc>
          <w:tcPr>
            <w:tcW w:w="531" w:type="pct"/>
            <w:tcBorders>
              <w:top w:val="single" w:sz="4" w:space="0" w:color="auto"/>
              <w:left w:val="single" w:sz="4" w:space="0" w:color="auto"/>
              <w:bottom w:val="single" w:sz="4" w:space="0" w:color="auto"/>
              <w:right w:val="single" w:sz="4" w:space="0" w:color="auto"/>
            </w:tcBorders>
            <w:hideMark/>
          </w:tcPr>
          <w:p w14:paraId="3185054B" w14:textId="77777777" w:rsidR="00681F77" w:rsidRDefault="00681F77" w:rsidP="00E75191">
            <w:pPr>
              <w:autoSpaceDE w:val="0"/>
              <w:autoSpaceDN w:val="0"/>
              <w:adjustRightInd w:val="0"/>
              <w:ind w:left="60" w:right="60"/>
              <w:jc w:val="right"/>
              <w:rPr>
                <w:rFonts w:ascii="Arial" w:hAnsi="Arial" w:cs="Arial"/>
                <w:color w:val="010205"/>
                <w:sz w:val="18"/>
                <w:szCs w:val="18"/>
              </w:rPr>
            </w:pPr>
            <w:r>
              <w:rPr>
                <w:rFonts w:ascii="Arial" w:hAnsi="Arial" w:cs="Arial"/>
                <w:color w:val="010205"/>
                <w:sz w:val="18"/>
                <w:szCs w:val="18"/>
              </w:rPr>
              <w:t>48.2%</w:t>
            </w:r>
          </w:p>
        </w:tc>
        <w:tc>
          <w:tcPr>
            <w:tcW w:w="532" w:type="pct"/>
            <w:tcBorders>
              <w:top w:val="single" w:sz="4" w:space="0" w:color="auto"/>
              <w:left w:val="single" w:sz="4" w:space="0" w:color="auto"/>
              <w:bottom w:val="single" w:sz="4" w:space="0" w:color="auto"/>
              <w:right w:val="single" w:sz="4" w:space="0" w:color="auto"/>
            </w:tcBorders>
            <w:hideMark/>
          </w:tcPr>
          <w:p w14:paraId="5728D607" w14:textId="77777777" w:rsidR="00681F77" w:rsidRDefault="00681F77" w:rsidP="00E75191">
            <w:pPr>
              <w:autoSpaceDE w:val="0"/>
              <w:autoSpaceDN w:val="0"/>
              <w:adjustRightInd w:val="0"/>
              <w:ind w:left="60" w:right="60"/>
              <w:jc w:val="right"/>
              <w:rPr>
                <w:rFonts w:ascii="Arial" w:hAnsi="Arial" w:cs="Arial"/>
                <w:color w:val="010205"/>
                <w:sz w:val="18"/>
                <w:szCs w:val="18"/>
              </w:rPr>
            </w:pPr>
            <w:r>
              <w:rPr>
                <w:rFonts w:ascii="Arial" w:hAnsi="Arial" w:cs="Arial"/>
                <w:color w:val="010205"/>
                <w:sz w:val="18"/>
                <w:szCs w:val="18"/>
              </w:rPr>
              <w:t>16.0%</w:t>
            </w:r>
          </w:p>
        </w:tc>
        <w:tc>
          <w:tcPr>
            <w:tcW w:w="532" w:type="pct"/>
            <w:tcBorders>
              <w:top w:val="single" w:sz="4" w:space="0" w:color="auto"/>
              <w:left w:val="single" w:sz="4" w:space="0" w:color="auto"/>
              <w:bottom w:val="single" w:sz="4" w:space="0" w:color="auto"/>
              <w:right w:val="single" w:sz="4" w:space="0" w:color="auto"/>
            </w:tcBorders>
            <w:hideMark/>
          </w:tcPr>
          <w:p w14:paraId="54A7A4D5" w14:textId="77777777" w:rsidR="00681F77" w:rsidRDefault="00681F77" w:rsidP="00E75191">
            <w:pPr>
              <w:autoSpaceDE w:val="0"/>
              <w:autoSpaceDN w:val="0"/>
              <w:adjustRightInd w:val="0"/>
              <w:ind w:left="60" w:right="60"/>
              <w:jc w:val="right"/>
              <w:rPr>
                <w:rFonts w:ascii="Arial" w:hAnsi="Arial" w:cs="Arial"/>
                <w:color w:val="010205"/>
                <w:sz w:val="18"/>
                <w:szCs w:val="18"/>
              </w:rPr>
            </w:pPr>
            <w:r>
              <w:rPr>
                <w:rFonts w:ascii="Arial" w:hAnsi="Arial" w:cs="Arial"/>
                <w:color w:val="010205"/>
                <w:sz w:val="18"/>
                <w:szCs w:val="18"/>
              </w:rPr>
              <w:t>44.9%</w:t>
            </w:r>
          </w:p>
        </w:tc>
        <w:tc>
          <w:tcPr>
            <w:tcW w:w="532" w:type="pct"/>
            <w:tcBorders>
              <w:top w:val="single" w:sz="4" w:space="0" w:color="auto"/>
              <w:left w:val="single" w:sz="4" w:space="0" w:color="auto"/>
              <w:bottom w:val="single" w:sz="4" w:space="0" w:color="auto"/>
              <w:right w:val="single" w:sz="4" w:space="0" w:color="auto"/>
            </w:tcBorders>
            <w:hideMark/>
          </w:tcPr>
          <w:p w14:paraId="3E6B547F" w14:textId="77777777" w:rsidR="00681F77" w:rsidRDefault="00681F77" w:rsidP="00E75191">
            <w:pPr>
              <w:autoSpaceDE w:val="0"/>
              <w:autoSpaceDN w:val="0"/>
              <w:adjustRightInd w:val="0"/>
              <w:ind w:left="60" w:right="60"/>
              <w:jc w:val="right"/>
              <w:rPr>
                <w:rFonts w:ascii="Arial" w:hAnsi="Arial" w:cs="Arial"/>
                <w:color w:val="010205"/>
                <w:sz w:val="18"/>
                <w:szCs w:val="18"/>
              </w:rPr>
            </w:pPr>
            <w:r>
              <w:rPr>
                <w:rFonts w:ascii="Arial" w:hAnsi="Arial" w:cs="Arial"/>
                <w:color w:val="010205"/>
                <w:sz w:val="18"/>
                <w:szCs w:val="18"/>
              </w:rPr>
              <w:t>53.6%</w:t>
            </w:r>
          </w:p>
        </w:tc>
        <w:tc>
          <w:tcPr>
            <w:tcW w:w="529" w:type="pct"/>
            <w:tcBorders>
              <w:top w:val="single" w:sz="4" w:space="0" w:color="auto"/>
              <w:left w:val="single" w:sz="4" w:space="0" w:color="auto"/>
              <w:bottom w:val="single" w:sz="4" w:space="0" w:color="auto"/>
              <w:right w:val="single" w:sz="4" w:space="0" w:color="auto"/>
            </w:tcBorders>
            <w:hideMark/>
          </w:tcPr>
          <w:p w14:paraId="3695732A" w14:textId="77777777" w:rsidR="00681F77" w:rsidRDefault="00681F77" w:rsidP="00E75191">
            <w:pPr>
              <w:autoSpaceDE w:val="0"/>
              <w:autoSpaceDN w:val="0"/>
              <w:adjustRightInd w:val="0"/>
              <w:ind w:left="60" w:right="60"/>
              <w:jc w:val="right"/>
              <w:rPr>
                <w:rFonts w:ascii="Arial" w:hAnsi="Arial" w:cs="Arial"/>
                <w:color w:val="010205"/>
                <w:sz w:val="18"/>
                <w:szCs w:val="18"/>
              </w:rPr>
            </w:pPr>
            <w:r>
              <w:rPr>
                <w:rFonts w:ascii="Arial" w:hAnsi="Arial" w:cs="Arial"/>
                <w:color w:val="010205"/>
                <w:sz w:val="18"/>
                <w:szCs w:val="18"/>
              </w:rPr>
              <w:t>37.9%</w:t>
            </w:r>
          </w:p>
        </w:tc>
      </w:tr>
      <w:tr w:rsidR="00681F77" w14:paraId="7F6C6652" w14:textId="77777777" w:rsidTr="006E3C5B">
        <w:tc>
          <w:tcPr>
            <w:tcW w:w="588" w:type="pct"/>
            <w:tcBorders>
              <w:top w:val="single" w:sz="4" w:space="0" w:color="auto"/>
              <w:left w:val="single" w:sz="4" w:space="0" w:color="auto"/>
              <w:bottom w:val="single" w:sz="4" w:space="0" w:color="auto"/>
              <w:right w:val="single" w:sz="4" w:space="0" w:color="auto"/>
            </w:tcBorders>
            <w:hideMark/>
          </w:tcPr>
          <w:p w14:paraId="4559FCEB" w14:textId="77777777" w:rsidR="00681F77" w:rsidRDefault="00681F77" w:rsidP="00E75191">
            <w:pPr>
              <w:autoSpaceDE w:val="0"/>
              <w:autoSpaceDN w:val="0"/>
              <w:adjustRightInd w:val="0"/>
              <w:ind w:left="60" w:right="60"/>
              <w:rPr>
                <w:rFonts w:ascii="Arial" w:hAnsi="Arial" w:cs="Arial"/>
                <w:color w:val="264A60"/>
                <w:sz w:val="18"/>
                <w:szCs w:val="18"/>
              </w:rPr>
            </w:pPr>
            <w:r>
              <w:rPr>
                <w:rFonts w:ascii="Arial" w:hAnsi="Arial" w:cs="Arial"/>
                <w:color w:val="264A60"/>
                <w:sz w:val="18"/>
                <w:szCs w:val="18"/>
              </w:rPr>
              <w:t>I have nothing to say</w:t>
            </w:r>
          </w:p>
        </w:tc>
        <w:tc>
          <w:tcPr>
            <w:tcW w:w="633" w:type="pct"/>
            <w:tcBorders>
              <w:top w:val="single" w:sz="4" w:space="0" w:color="auto"/>
              <w:left w:val="single" w:sz="4" w:space="0" w:color="auto"/>
              <w:bottom w:val="single" w:sz="4" w:space="0" w:color="auto"/>
              <w:right w:val="single" w:sz="4" w:space="0" w:color="auto"/>
            </w:tcBorders>
            <w:hideMark/>
          </w:tcPr>
          <w:p w14:paraId="2848AD2C" w14:textId="77777777" w:rsidR="00681F77" w:rsidRDefault="00681F77" w:rsidP="00E75191">
            <w:pPr>
              <w:autoSpaceDE w:val="0"/>
              <w:autoSpaceDN w:val="0"/>
              <w:adjustRightInd w:val="0"/>
              <w:ind w:left="60" w:right="60"/>
              <w:jc w:val="right"/>
              <w:rPr>
                <w:rFonts w:ascii="Arial" w:hAnsi="Arial" w:cs="Arial"/>
                <w:color w:val="010205"/>
                <w:sz w:val="18"/>
                <w:szCs w:val="18"/>
              </w:rPr>
            </w:pPr>
            <w:r>
              <w:rPr>
                <w:rFonts w:ascii="Arial" w:hAnsi="Arial" w:cs="Arial"/>
                <w:color w:val="010205"/>
                <w:sz w:val="18"/>
                <w:szCs w:val="18"/>
              </w:rPr>
              <w:t>20.2%</w:t>
            </w:r>
          </w:p>
        </w:tc>
        <w:tc>
          <w:tcPr>
            <w:tcW w:w="592" w:type="pct"/>
            <w:tcBorders>
              <w:top w:val="single" w:sz="4" w:space="0" w:color="auto"/>
              <w:left w:val="single" w:sz="4" w:space="0" w:color="auto"/>
              <w:bottom w:val="single" w:sz="4" w:space="0" w:color="auto"/>
              <w:right w:val="single" w:sz="4" w:space="0" w:color="auto"/>
            </w:tcBorders>
            <w:hideMark/>
          </w:tcPr>
          <w:p w14:paraId="072836BF" w14:textId="77777777" w:rsidR="00681F77" w:rsidRDefault="00681F77" w:rsidP="00E75191">
            <w:pPr>
              <w:autoSpaceDE w:val="0"/>
              <w:autoSpaceDN w:val="0"/>
              <w:adjustRightInd w:val="0"/>
              <w:ind w:left="60" w:right="60"/>
              <w:jc w:val="right"/>
              <w:rPr>
                <w:rFonts w:ascii="Arial" w:hAnsi="Arial" w:cs="Arial"/>
                <w:color w:val="010205"/>
                <w:sz w:val="18"/>
                <w:szCs w:val="18"/>
              </w:rPr>
            </w:pPr>
            <w:r>
              <w:rPr>
                <w:rFonts w:ascii="Arial" w:hAnsi="Arial" w:cs="Arial"/>
                <w:color w:val="010205"/>
                <w:sz w:val="18"/>
                <w:szCs w:val="18"/>
              </w:rPr>
              <w:t>13.0%</w:t>
            </w:r>
          </w:p>
        </w:tc>
        <w:tc>
          <w:tcPr>
            <w:tcW w:w="531" w:type="pct"/>
            <w:tcBorders>
              <w:top w:val="single" w:sz="4" w:space="0" w:color="auto"/>
              <w:left w:val="single" w:sz="4" w:space="0" w:color="auto"/>
              <w:bottom w:val="single" w:sz="4" w:space="0" w:color="auto"/>
              <w:right w:val="single" w:sz="4" w:space="0" w:color="auto"/>
            </w:tcBorders>
            <w:hideMark/>
          </w:tcPr>
          <w:p w14:paraId="2CC8F4FC" w14:textId="77777777" w:rsidR="00681F77" w:rsidRDefault="00681F77" w:rsidP="00E75191">
            <w:pPr>
              <w:autoSpaceDE w:val="0"/>
              <w:autoSpaceDN w:val="0"/>
              <w:adjustRightInd w:val="0"/>
              <w:ind w:left="60" w:right="60"/>
              <w:jc w:val="right"/>
              <w:rPr>
                <w:rFonts w:ascii="Arial" w:hAnsi="Arial" w:cs="Arial"/>
                <w:color w:val="010205"/>
                <w:sz w:val="18"/>
                <w:szCs w:val="18"/>
              </w:rPr>
            </w:pPr>
            <w:r>
              <w:rPr>
                <w:rFonts w:ascii="Arial" w:hAnsi="Arial" w:cs="Arial"/>
                <w:color w:val="010205"/>
                <w:sz w:val="18"/>
                <w:szCs w:val="18"/>
              </w:rPr>
              <w:t>15.3%</w:t>
            </w:r>
          </w:p>
        </w:tc>
        <w:tc>
          <w:tcPr>
            <w:tcW w:w="531" w:type="pct"/>
            <w:tcBorders>
              <w:top w:val="single" w:sz="4" w:space="0" w:color="auto"/>
              <w:left w:val="single" w:sz="4" w:space="0" w:color="auto"/>
              <w:bottom w:val="single" w:sz="4" w:space="0" w:color="auto"/>
              <w:right w:val="single" w:sz="4" w:space="0" w:color="auto"/>
            </w:tcBorders>
            <w:hideMark/>
          </w:tcPr>
          <w:p w14:paraId="346B38D8" w14:textId="77777777" w:rsidR="00681F77" w:rsidRDefault="00681F77" w:rsidP="00E75191">
            <w:pPr>
              <w:autoSpaceDE w:val="0"/>
              <w:autoSpaceDN w:val="0"/>
              <w:adjustRightInd w:val="0"/>
              <w:ind w:left="60" w:right="60"/>
              <w:jc w:val="right"/>
              <w:rPr>
                <w:rFonts w:ascii="Arial" w:hAnsi="Arial" w:cs="Arial"/>
                <w:color w:val="010205"/>
                <w:sz w:val="18"/>
                <w:szCs w:val="18"/>
              </w:rPr>
            </w:pPr>
            <w:r>
              <w:rPr>
                <w:rFonts w:ascii="Arial" w:hAnsi="Arial" w:cs="Arial"/>
                <w:color w:val="010205"/>
                <w:sz w:val="18"/>
                <w:szCs w:val="18"/>
              </w:rPr>
              <w:t>14.9%</w:t>
            </w:r>
          </w:p>
        </w:tc>
        <w:tc>
          <w:tcPr>
            <w:tcW w:w="532" w:type="pct"/>
            <w:tcBorders>
              <w:top w:val="single" w:sz="4" w:space="0" w:color="auto"/>
              <w:left w:val="single" w:sz="4" w:space="0" w:color="auto"/>
              <w:bottom w:val="single" w:sz="4" w:space="0" w:color="auto"/>
              <w:right w:val="single" w:sz="4" w:space="0" w:color="auto"/>
            </w:tcBorders>
            <w:hideMark/>
          </w:tcPr>
          <w:p w14:paraId="10709362" w14:textId="77777777" w:rsidR="00681F77" w:rsidRDefault="00681F77" w:rsidP="00E75191">
            <w:pPr>
              <w:autoSpaceDE w:val="0"/>
              <w:autoSpaceDN w:val="0"/>
              <w:adjustRightInd w:val="0"/>
              <w:ind w:left="60" w:right="60"/>
              <w:jc w:val="right"/>
              <w:rPr>
                <w:rFonts w:ascii="Arial" w:hAnsi="Arial" w:cs="Arial"/>
                <w:color w:val="010205"/>
                <w:sz w:val="18"/>
                <w:szCs w:val="18"/>
              </w:rPr>
            </w:pPr>
            <w:r>
              <w:rPr>
                <w:rFonts w:ascii="Arial" w:hAnsi="Arial" w:cs="Arial"/>
                <w:color w:val="010205"/>
                <w:sz w:val="18"/>
                <w:szCs w:val="18"/>
              </w:rPr>
              <w:t>13.8%</w:t>
            </w:r>
          </w:p>
        </w:tc>
        <w:tc>
          <w:tcPr>
            <w:tcW w:w="532" w:type="pct"/>
            <w:tcBorders>
              <w:top w:val="single" w:sz="4" w:space="0" w:color="auto"/>
              <w:left w:val="single" w:sz="4" w:space="0" w:color="auto"/>
              <w:bottom w:val="single" w:sz="4" w:space="0" w:color="auto"/>
              <w:right w:val="single" w:sz="4" w:space="0" w:color="auto"/>
            </w:tcBorders>
            <w:hideMark/>
          </w:tcPr>
          <w:p w14:paraId="49D2D312" w14:textId="77777777" w:rsidR="00681F77" w:rsidRDefault="00681F77" w:rsidP="00E75191">
            <w:pPr>
              <w:autoSpaceDE w:val="0"/>
              <w:autoSpaceDN w:val="0"/>
              <w:adjustRightInd w:val="0"/>
              <w:ind w:left="60" w:right="60"/>
              <w:jc w:val="right"/>
              <w:rPr>
                <w:rFonts w:ascii="Arial" w:hAnsi="Arial" w:cs="Arial"/>
                <w:color w:val="010205"/>
                <w:sz w:val="18"/>
                <w:szCs w:val="18"/>
              </w:rPr>
            </w:pPr>
            <w:r>
              <w:rPr>
                <w:rFonts w:ascii="Arial" w:hAnsi="Arial" w:cs="Arial"/>
                <w:color w:val="010205"/>
                <w:sz w:val="18"/>
                <w:szCs w:val="18"/>
              </w:rPr>
              <w:t>13.9%</w:t>
            </w:r>
          </w:p>
        </w:tc>
        <w:tc>
          <w:tcPr>
            <w:tcW w:w="532" w:type="pct"/>
            <w:tcBorders>
              <w:top w:val="single" w:sz="4" w:space="0" w:color="auto"/>
              <w:left w:val="single" w:sz="4" w:space="0" w:color="auto"/>
              <w:bottom w:val="single" w:sz="4" w:space="0" w:color="auto"/>
              <w:right w:val="single" w:sz="4" w:space="0" w:color="auto"/>
            </w:tcBorders>
            <w:hideMark/>
          </w:tcPr>
          <w:p w14:paraId="37F8236B" w14:textId="77777777" w:rsidR="00681F77" w:rsidRDefault="00681F77" w:rsidP="00E75191">
            <w:pPr>
              <w:autoSpaceDE w:val="0"/>
              <w:autoSpaceDN w:val="0"/>
              <w:adjustRightInd w:val="0"/>
              <w:ind w:left="60" w:right="60"/>
              <w:jc w:val="right"/>
              <w:rPr>
                <w:rFonts w:ascii="Arial" w:hAnsi="Arial" w:cs="Arial"/>
                <w:color w:val="010205"/>
                <w:sz w:val="18"/>
                <w:szCs w:val="18"/>
              </w:rPr>
            </w:pPr>
            <w:r>
              <w:rPr>
                <w:rFonts w:ascii="Arial" w:hAnsi="Arial" w:cs="Arial"/>
                <w:color w:val="010205"/>
                <w:sz w:val="18"/>
                <w:szCs w:val="18"/>
              </w:rPr>
              <w:t>10.7%</w:t>
            </w:r>
          </w:p>
        </w:tc>
        <w:tc>
          <w:tcPr>
            <w:tcW w:w="529" w:type="pct"/>
            <w:tcBorders>
              <w:top w:val="single" w:sz="4" w:space="0" w:color="auto"/>
              <w:left w:val="single" w:sz="4" w:space="0" w:color="auto"/>
              <w:bottom w:val="single" w:sz="4" w:space="0" w:color="auto"/>
              <w:right w:val="single" w:sz="4" w:space="0" w:color="auto"/>
            </w:tcBorders>
            <w:hideMark/>
          </w:tcPr>
          <w:p w14:paraId="45739D75" w14:textId="77777777" w:rsidR="00681F77" w:rsidRDefault="00681F77" w:rsidP="00E75191">
            <w:pPr>
              <w:autoSpaceDE w:val="0"/>
              <w:autoSpaceDN w:val="0"/>
              <w:adjustRightInd w:val="0"/>
              <w:ind w:left="60" w:right="60"/>
              <w:jc w:val="right"/>
              <w:rPr>
                <w:rFonts w:ascii="Arial" w:hAnsi="Arial" w:cs="Arial"/>
                <w:color w:val="010205"/>
                <w:sz w:val="18"/>
                <w:szCs w:val="18"/>
              </w:rPr>
            </w:pPr>
            <w:r>
              <w:rPr>
                <w:rFonts w:ascii="Arial" w:hAnsi="Arial" w:cs="Arial"/>
                <w:color w:val="010205"/>
                <w:sz w:val="18"/>
                <w:szCs w:val="18"/>
              </w:rPr>
              <w:t>15.0%</w:t>
            </w:r>
          </w:p>
        </w:tc>
      </w:tr>
    </w:tbl>
    <w:p w14:paraId="7C9E494D" w14:textId="77777777" w:rsidR="00A90C90" w:rsidRDefault="00681F77" w:rsidP="00A90C90">
      <w:pPr>
        <w:pStyle w:val="Caption"/>
      </w:pPr>
      <w:r>
        <w:t xml:space="preserve">Table </w:t>
      </w:r>
      <w:fldSimple w:instr=" SEQ Table \* ARABIC ">
        <w:r>
          <w:rPr>
            <w:noProof/>
          </w:rPr>
          <w:t>10</w:t>
        </w:r>
      </w:fldSimple>
      <w:r>
        <w:t xml:space="preserve"> </w:t>
      </w:r>
      <w:r w:rsidRPr="00A4094B">
        <w:t>Does climate change impact gender relations in areas such as access and ownership of land, agriculture and water resources?</w:t>
      </w:r>
    </w:p>
    <w:p w14:paraId="5F6F165E" w14:textId="77777777" w:rsidR="00A90C90" w:rsidRDefault="00A90C90">
      <w:pPr>
        <w:rPr>
          <w:i/>
          <w:iCs/>
          <w:color w:val="44546A" w:themeColor="text2"/>
          <w:sz w:val="18"/>
          <w:szCs w:val="18"/>
        </w:rPr>
      </w:pPr>
      <w:r>
        <w:br w:type="page"/>
      </w:r>
    </w:p>
    <w:p w14:paraId="43B9F6AE" w14:textId="77777777" w:rsidR="00457757" w:rsidRPr="006E3C5B" w:rsidRDefault="005667FD">
      <w:pPr>
        <w:pStyle w:val="Caption"/>
      </w:pPr>
      <w:r w:rsidRPr="00744F56">
        <w:rPr>
          <w:b/>
          <w:noProof/>
          <w:sz w:val="24"/>
          <w:szCs w:val="24"/>
          <w:lang w:val="en-IE" w:eastAsia="en-IE"/>
        </w:rPr>
        <w:lastRenderedPageBreak/>
        <mc:AlternateContent>
          <mc:Choice Requires="wps">
            <w:drawing>
              <wp:anchor distT="0" distB="0" distL="114300" distR="114300" simplePos="0" relativeHeight="251685888" behindDoc="0" locked="0" layoutInCell="1" allowOverlap="1" wp14:anchorId="34515B41" wp14:editId="3026A4CE">
                <wp:simplePos x="0" y="0"/>
                <wp:positionH relativeFrom="margin">
                  <wp:align>center</wp:align>
                </wp:positionH>
                <wp:positionV relativeFrom="paragraph">
                  <wp:posOffset>76200</wp:posOffset>
                </wp:positionV>
                <wp:extent cx="5857875" cy="1403985"/>
                <wp:effectExtent l="0" t="0" r="28575" b="2159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1403985"/>
                        </a:xfrm>
                        <a:prstGeom prst="rect">
                          <a:avLst/>
                        </a:prstGeom>
                        <a:solidFill>
                          <a:schemeClr val="accent1">
                            <a:lumMod val="60000"/>
                            <a:lumOff val="40000"/>
                          </a:schemeClr>
                        </a:solidFill>
                        <a:ln w="9525">
                          <a:solidFill>
                            <a:schemeClr val="accent1">
                              <a:lumMod val="60000"/>
                              <a:lumOff val="40000"/>
                            </a:schemeClr>
                          </a:solidFill>
                          <a:miter lim="800000"/>
                          <a:headEnd/>
                          <a:tailEnd/>
                        </a:ln>
                      </wps:spPr>
                      <wps:txbx>
                        <w:txbxContent>
                          <w:p w14:paraId="6CD7E10F" w14:textId="77777777" w:rsidR="006D6A0C" w:rsidRPr="005667FD" w:rsidRDefault="006D6A0C" w:rsidP="005667FD">
                            <w:pPr>
                              <w:pStyle w:val="Heading1"/>
                              <w:rPr>
                                <w:color w:val="auto"/>
                                <w:sz w:val="56"/>
                                <w:szCs w:val="56"/>
                              </w:rPr>
                            </w:pPr>
                            <w:bookmarkStart w:id="46" w:name="_Toc81228181"/>
                            <w:bookmarkStart w:id="47" w:name="_Toc81228290"/>
                            <w:bookmarkStart w:id="48" w:name="_Toc81229101"/>
                            <w:r w:rsidRPr="005667FD">
                              <w:rPr>
                                <w:color w:val="auto"/>
                                <w:sz w:val="56"/>
                                <w:szCs w:val="56"/>
                              </w:rPr>
                              <w:t>3.11 Inclusion and Intersectionality</w:t>
                            </w:r>
                            <w:bookmarkEnd w:id="46"/>
                            <w:bookmarkEnd w:id="47"/>
                            <w:bookmarkEnd w:id="48"/>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15B41" id="_x0000_s1058" type="#_x0000_t202" style="position:absolute;margin-left:0;margin-top:6pt;width:461.25pt;height:110.55pt;z-index:251685888;visibility:visible;mso-wrap-style:square;mso-width-percent:0;mso-height-percent:200;mso-wrap-distance-left:9pt;mso-wrap-distance-top:0;mso-wrap-distance-right:9pt;mso-wrap-distance-bottom:0;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" fillcolor="#9cc2e5 [1940]" strokecolor="#9cc2e5 [1940]">
                <v:textbox style="mso-fit-shape-to-text:t">
                  <w:txbxContent>
                    <w:p w:rsidR="006D6A0C" w:rsidRPr="005667FD" w:rsidRDefault="006D6A0C" w:rsidP="005667FD">
                      <w:pPr>
                        <w:pStyle w:val="Heading1"/>
                        <w:rPr>
                          <w:color w:val="auto"/>
                          <w:sz w:val="56"/>
                          <w:szCs w:val="56"/>
                        </w:rPr>
                      </w:pPr>
                      <w:bookmarkStart w:id="86" w:name="_Toc81228181"/>
                      <w:bookmarkStart w:id="87" w:name="_Toc81228290"/>
                      <w:bookmarkStart w:id="88" w:name="_Toc81229101"/>
                      <w:r w:rsidRPr="005667FD">
                        <w:rPr>
                          <w:color w:val="auto"/>
                          <w:sz w:val="56"/>
                          <w:szCs w:val="56"/>
                        </w:rPr>
                        <w:t>3.11 Inclusion and Intersectionality</w:t>
                      </w:r>
                      <w:bookmarkEnd w:id="86"/>
                      <w:bookmarkEnd w:id="87"/>
                      <w:bookmarkEnd w:id="88"/>
                    </w:p>
                  </w:txbxContent>
                </v:textbox>
                <w10:wrap anchorx="margin"/>
              </v:shape>
            </w:pict>
          </mc:Fallback>
        </mc:AlternateContent>
      </w:r>
    </w:p>
    <w:p w14:paraId="30E1FC0E" w14:textId="77777777" w:rsidR="00E82ED0" w:rsidRDefault="00E82ED0" w:rsidP="00E75191">
      <w:pPr>
        <w:spacing w:line="240" w:lineRule="auto"/>
        <w:jc w:val="both"/>
        <w:rPr>
          <w:b/>
          <w:sz w:val="24"/>
          <w:szCs w:val="24"/>
        </w:rPr>
      </w:pPr>
    </w:p>
    <w:p w14:paraId="688F6572" w14:textId="77777777" w:rsidR="00E82ED0" w:rsidRDefault="00E82ED0" w:rsidP="00E75191">
      <w:pPr>
        <w:spacing w:line="240" w:lineRule="auto"/>
        <w:jc w:val="both"/>
        <w:rPr>
          <w:sz w:val="24"/>
          <w:szCs w:val="24"/>
        </w:rPr>
      </w:pPr>
    </w:p>
    <w:p w14:paraId="6033C7BD" w14:textId="77777777" w:rsidR="00681F77" w:rsidRPr="00E75191" w:rsidRDefault="00681F77" w:rsidP="00E75191">
      <w:pPr>
        <w:spacing w:line="240" w:lineRule="auto"/>
        <w:jc w:val="both"/>
        <w:rPr>
          <w:sz w:val="24"/>
          <w:szCs w:val="24"/>
        </w:rPr>
      </w:pPr>
      <w:r>
        <w:rPr>
          <w:sz w:val="24"/>
          <w:szCs w:val="24"/>
        </w:rPr>
        <w:t>Under the Nigeria Constitution of 1999, all persons in Nigeria enjoy freedom of expression, association and right to life. In reality</w:t>
      </w:r>
      <w:r w:rsidR="00FF004C">
        <w:rPr>
          <w:sz w:val="24"/>
          <w:szCs w:val="24"/>
        </w:rPr>
        <w:t>,</w:t>
      </w:r>
      <w:r>
        <w:rPr>
          <w:sz w:val="24"/>
          <w:szCs w:val="24"/>
        </w:rPr>
        <w:t xml:space="preserve"> the freedom of minority groups </w:t>
      </w:r>
      <w:r w:rsidR="00FF004C">
        <w:rPr>
          <w:sz w:val="24"/>
          <w:szCs w:val="24"/>
        </w:rPr>
        <w:t xml:space="preserve">is </w:t>
      </w:r>
      <w:r>
        <w:rPr>
          <w:sz w:val="24"/>
          <w:szCs w:val="24"/>
        </w:rPr>
        <w:t xml:space="preserve">jeopardized by </w:t>
      </w:r>
      <w:r w:rsidR="00FF004C">
        <w:rPr>
          <w:sz w:val="24"/>
          <w:szCs w:val="24"/>
        </w:rPr>
        <w:t xml:space="preserve">the current sociocultural landscape and </w:t>
      </w:r>
      <w:r>
        <w:rPr>
          <w:sz w:val="24"/>
          <w:szCs w:val="24"/>
        </w:rPr>
        <w:t xml:space="preserve">gaps </w:t>
      </w:r>
      <w:r w:rsidR="00FF004C">
        <w:rPr>
          <w:sz w:val="24"/>
          <w:szCs w:val="24"/>
        </w:rPr>
        <w:t xml:space="preserve">in </w:t>
      </w:r>
      <w:r>
        <w:rPr>
          <w:sz w:val="24"/>
          <w:szCs w:val="24"/>
        </w:rPr>
        <w:t>legislation.</w:t>
      </w:r>
      <w:r w:rsidR="00457757">
        <w:rPr>
          <w:sz w:val="24"/>
          <w:szCs w:val="24"/>
        </w:rPr>
        <w:t xml:space="preserve"> </w:t>
      </w:r>
      <w:r w:rsidR="00FF004C">
        <w:rPr>
          <w:sz w:val="24"/>
          <w:szCs w:val="24"/>
        </w:rPr>
        <w:t>T</w:t>
      </w:r>
      <w:r>
        <w:rPr>
          <w:sz w:val="24"/>
          <w:szCs w:val="24"/>
        </w:rPr>
        <w:t xml:space="preserve">he experience of minority groups </w:t>
      </w:r>
      <w:r w:rsidR="00FF004C">
        <w:rPr>
          <w:sz w:val="24"/>
          <w:szCs w:val="24"/>
        </w:rPr>
        <w:t>is</w:t>
      </w:r>
      <w:r>
        <w:rPr>
          <w:sz w:val="24"/>
          <w:szCs w:val="24"/>
        </w:rPr>
        <w:t xml:space="preserve"> not well reflected in policy priorities and interventions</w:t>
      </w:r>
      <w:r w:rsidR="00FF004C">
        <w:rPr>
          <w:sz w:val="24"/>
          <w:szCs w:val="24"/>
        </w:rPr>
        <w:t>,</w:t>
      </w:r>
      <w:r>
        <w:rPr>
          <w:sz w:val="24"/>
          <w:szCs w:val="24"/>
        </w:rPr>
        <w:t xml:space="preserve"> putting them at risk of being left behind. This section of the report identifies commonly left behind demographics, the state of their inclusion within policies and programs and ways in which they intersect with other issues.</w:t>
      </w:r>
    </w:p>
    <w:p w14:paraId="3D828B22" w14:textId="77777777" w:rsidR="00681F77" w:rsidRPr="00E75191" w:rsidRDefault="00681F77" w:rsidP="00E75191">
      <w:pPr>
        <w:spacing w:line="240" w:lineRule="auto"/>
        <w:jc w:val="both"/>
        <w:rPr>
          <w:b/>
          <w:sz w:val="24"/>
          <w:szCs w:val="24"/>
        </w:rPr>
      </w:pPr>
      <w:r>
        <w:rPr>
          <w:b/>
          <w:sz w:val="24"/>
          <w:szCs w:val="24"/>
        </w:rPr>
        <w:t>People Living with Disabilities</w:t>
      </w:r>
    </w:p>
    <w:p w14:paraId="5420594A" w14:textId="77777777" w:rsidR="00E82ED0" w:rsidRPr="00A90C90" w:rsidRDefault="00E82ED0" w:rsidP="00E75191">
      <w:pPr>
        <w:spacing w:line="240" w:lineRule="auto"/>
        <w:jc w:val="both"/>
        <w:rPr>
          <w:sz w:val="24"/>
          <w:szCs w:val="24"/>
        </w:rPr>
      </w:pPr>
      <w:r w:rsidRPr="00A90C90">
        <w:rPr>
          <w:sz w:val="24"/>
          <w:szCs w:val="24"/>
        </w:rPr>
        <w:t>Disabled people are at increased risk of being left behind in education, health services and employment with disabled women risking double burden of marginalization.</w:t>
      </w:r>
      <w:r w:rsidR="00A90C90" w:rsidRPr="006E3C5B">
        <w:rPr>
          <w:sz w:val="24"/>
          <w:szCs w:val="24"/>
        </w:rPr>
        <w:t xml:space="preserve"> Women with Disabilities are further marginalised by their situation of poverty and levels of GBV, to access healthcare, education, employment, political engagement, etc.</w:t>
      </w:r>
      <w:r w:rsidR="00A90C90" w:rsidRPr="00A90C90">
        <w:rPr>
          <w:sz w:val="24"/>
          <w:szCs w:val="24"/>
        </w:rPr>
        <w:t xml:space="preserve"> </w:t>
      </w:r>
      <w:r w:rsidRPr="00A90C90">
        <w:rPr>
          <w:sz w:val="24"/>
          <w:szCs w:val="24"/>
        </w:rPr>
        <w:t>There is no consensus on the population of PWDs in Nigeria. According to the World Bank, there are 29 million people living with disability in Nigeria.</w:t>
      </w:r>
      <w:r w:rsidRPr="00A90C90">
        <w:rPr>
          <w:rStyle w:val="FootnoteReference"/>
          <w:sz w:val="24"/>
          <w:szCs w:val="24"/>
        </w:rPr>
        <w:footnoteReference w:id="205"/>
      </w:r>
      <w:r w:rsidRPr="00A90C90">
        <w:rPr>
          <w:sz w:val="24"/>
          <w:szCs w:val="24"/>
        </w:rPr>
        <w:t xml:space="preserve"> The 2018 National Demographic and Health Survey pegs the figure at about 15 million (7%).</w:t>
      </w:r>
    </w:p>
    <w:p w14:paraId="55AFA639" w14:textId="77777777" w:rsidR="00A90C90" w:rsidRPr="006E3C5B" w:rsidRDefault="00E82ED0" w:rsidP="006E3C5B">
      <w:pPr>
        <w:pStyle w:val="CommentText"/>
        <w:jc w:val="both"/>
        <w:rPr>
          <w:sz w:val="24"/>
          <w:szCs w:val="24"/>
        </w:rPr>
      </w:pPr>
      <w:r w:rsidRPr="00A90C90">
        <w:rPr>
          <w:sz w:val="24"/>
          <w:szCs w:val="24"/>
        </w:rPr>
        <w:t xml:space="preserve">The governance of disability inclusion in Nigeria rests on </w:t>
      </w:r>
      <w:r w:rsidR="00FF004C" w:rsidRPr="00A90C90">
        <w:rPr>
          <w:sz w:val="24"/>
          <w:szCs w:val="24"/>
        </w:rPr>
        <w:t xml:space="preserve">the </w:t>
      </w:r>
      <w:r w:rsidRPr="00A90C90">
        <w:rPr>
          <w:sz w:val="24"/>
          <w:szCs w:val="24"/>
        </w:rPr>
        <w:t xml:space="preserve">Ministry of Women Affairs and Social Development. </w:t>
      </w:r>
      <w:r w:rsidR="00A90C90" w:rsidRPr="00A90C90">
        <w:rPr>
          <w:sz w:val="24"/>
          <w:szCs w:val="24"/>
        </w:rPr>
        <w:t>Nigeria ratified the United Nations Convention on Rights of Persons with Disability in 2007.</w:t>
      </w:r>
      <w:r w:rsidR="00372C4D">
        <w:rPr>
          <w:sz w:val="24"/>
          <w:szCs w:val="24"/>
        </w:rPr>
        <w:t xml:space="preserve"> Since then, it has enacted the </w:t>
      </w:r>
      <w:r w:rsidRPr="00A90C90">
        <w:rPr>
          <w:sz w:val="24"/>
          <w:szCs w:val="24"/>
        </w:rPr>
        <w:t>Discrimination Against Persons with Disabilities (Prohibition) Act 2018 serves as the overarching law with key provisions such as employment quota of 5% to PWDs in public organizations, with clearly stipulated penalties for discrimination against PWDs. Asides the national legislation, some states of the country have gone on to create state levels laws (Plateau, Ekiti, Lagos, and Bauchi).</w:t>
      </w:r>
      <w:r w:rsidR="00A90C90" w:rsidRPr="00A90C90">
        <w:rPr>
          <w:sz w:val="24"/>
          <w:szCs w:val="24"/>
        </w:rPr>
        <w:t xml:space="preserve"> </w:t>
      </w:r>
      <w:r w:rsidR="00A90C90" w:rsidRPr="006E3C5B">
        <w:rPr>
          <w:sz w:val="24"/>
          <w:szCs w:val="24"/>
        </w:rPr>
        <w:t xml:space="preserve"> Lagos</w:t>
      </w:r>
      <w:r w:rsidR="00A90C90">
        <w:rPr>
          <w:sz w:val="24"/>
          <w:szCs w:val="24"/>
        </w:rPr>
        <w:t xml:space="preserve"> for instance has the Lagos </w:t>
      </w:r>
      <w:r w:rsidR="00A90C90" w:rsidRPr="006E3C5B">
        <w:rPr>
          <w:sz w:val="24"/>
          <w:szCs w:val="24"/>
        </w:rPr>
        <w:t>Special People’s Law, 2011 w</w:t>
      </w:r>
      <w:r w:rsidR="00A90C90">
        <w:rPr>
          <w:sz w:val="24"/>
          <w:szCs w:val="24"/>
        </w:rPr>
        <w:t>hich establishes an office for disability affairs. It also contains provisions for equalising opportunities and punishing discrimination against PWDs.</w:t>
      </w:r>
      <w:r w:rsidR="00ED787A">
        <w:rPr>
          <w:rStyle w:val="FootnoteReference"/>
          <w:sz w:val="24"/>
          <w:szCs w:val="24"/>
        </w:rPr>
        <w:footnoteReference w:id="206"/>
      </w:r>
    </w:p>
    <w:p w14:paraId="7094CFBB" w14:textId="77777777" w:rsidR="00E82ED0" w:rsidRDefault="00E82ED0" w:rsidP="00E75191">
      <w:pPr>
        <w:spacing w:line="240" w:lineRule="auto"/>
        <w:jc w:val="both"/>
        <w:rPr>
          <w:sz w:val="24"/>
          <w:szCs w:val="24"/>
        </w:rPr>
      </w:pPr>
      <w:r w:rsidRPr="00831F9D">
        <w:rPr>
          <w:sz w:val="24"/>
          <w:szCs w:val="24"/>
        </w:rPr>
        <w:t xml:space="preserve"> The aim of these laws</w:t>
      </w:r>
      <w:r w:rsidR="00FF004C">
        <w:rPr>
          <w:sz w:val="24"/>
          <w:szCs w:val="24"/>
        </w:rPr>
        <w:t xml:space="preserve"> is</w:t>
      </w:r>
      <w:r w:rsidRPr="00831F9D">
        <w:rPr>
          <w:sz w:val="24"/>
          <w:szCs w:val="24"/>
        </w:rPr>
        <w:t xml:space="preserve"> to eradicate discrimination at the national level and subnational levels</w:t>
      </w:r>
      <w:r w:rsidR="00FF004C">
        <w:rPr>
          <w:sz w:val="24"/>
          <w:szCs w:val="24"/>
        </w:rPr>
        <w:t>. Unfortunately, they are poorly implemented</w:t>
      </w:r>
      <w:r w:rsidRPr="00831F9D">
        <w:rPr>
          <w:sz w:val="24"/>
          <w:szCs w:val="24"/>
        </w:rPr>
        <w:t>. For instance, while the Discrimination Against Persons with Disabilities (Prohibition) Act 2018 stipulates a five-year transitional period after which public buildings and transport must be accessible</w:t>
      </w:r>
      <w:r>
        <w:rPr>
          <w:sz w:val="24"/>
          <w:szCs w:val="24"/>
        </w:rPr>
        <w:t>, three years after the passage of the act, public buildings still remain largely inaccessible. Furthermore</w:t>
      </w:r>
      <w:r w:rsidR="00C20CF7">
        <w:rPr>
          <w:sz w:val="24"/>
          <w:szCs w:val="24"/>
        </w:rPr>
        <w:t>,</w:t>
      </w:r>
      <w:r>
        <w:rPr>
          <w:sz w:val="24"/>
          <w:szCs w:val="24"/>
        </w:rPr>
        <w:t xml:space="preserve"> societal tendency to attribute disability to consequence of witchcraft, spiritual misfortune or a problem which can be cured with prayers, herbs or traditional methods continues to make life difficult for PWDs.</w:t>
      </w:r>
      <w:r>
        <w:rPr>
          <w:rStyle w:val="FootnoteReference"/>
          <w:sz w:val="24"/>
          <w:szCs w:val="24"/>
        </w:rPr>
        <w:footnoteReference w:id="207"/>
      </w:r>
    </w:p>
    <w:p w14:paraId="4128153D" w14:textId="77777777" w:rsidR="00681F77" w:rsidRDefault="00681F77" w:rsidP="00E75191">
      <w:pPr>
        <w:spacing w:line="240" w:lineRule="auto"/>
        <w:jc w:val="both"/>
        <w:rPr>
          <w:sz w:val="24"/>
          <w:szCs w:val="24"/>
        </w:rPr>
      </w:pPr>
      <w:r>
        <w:rPr>
          <w:noProof/>
          <w:sz w:val="24"/>
          <w:szCs w:val="24"/>
          <w:lang w:val="en-IE" w:eastAsia="en-IE"/>
        </w:rPr>
        <w:lastRenderedPageBreak/>
        <mc:AlternateContent>
          <mc:Choice Requires="wps">
            <w:drawing>
              <wp:inline distT="0" distB="0" distL="0" distR="0" wp14:anchorId="558D44A8" wp14:editId="278FC85C">
                <wp:extent cx="5590309" cy="1231900"/>
                <wp:effectExtent l="0" t="0" r="10795" b="25400"/>
                <wp:docPr id="54" name="Rectangle 54"/>
                <wp:cNvGraphicFramePr/>
                <a:graphic xmlns:a="http://schemas.openxmlformats.org/drawingml/2006/main">
                  <a:graphicData uri="http://schemas.microsoft.com/office/word/2010/wordprocessingShape">
                    <wps:wsp>
                      <wps:cNvSpPr/>
                      <wps:spPr>
                        <a:xfrm>
                          <a:off x="0" y="0"/>
                          <a:ext cx="5590309" cy="12319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A97B674" w14:textId="77777777" w:rsidR="006D6A0C" w:rsidRDefault="006D6A0C" w:rsidP="00681F77">
                            <w:pPr>
                              <w:jc w:val="center"/>
                            </w:pPr>
                            <w:r w:rsidRPr="00681F77">
                              <w:t>PLWD are often deprived of employment… they are looked upon as if they cannot perform like able bodied people and this affects the employment of women, women are seen as just domestic worker and they prefer men because they believe they are stronger and will be able to perform actively than the women which is not supposed to be.</w:t>
                            </w:r>
                          </w:p>
                          <w:p w14:paraId="293F8331" w14:textId="77777777" w:rsidR="006D6A0C" w:rsidRDefault="006D6A0C" w:rsidP="006E3C5B">
                            <w:pPr>
                              <w:pStyle w:val="ListParagraph"/>
                              <w:numPr>
                                <w:ilvl w:val="0"/>
                                <w:numId w:val="24"/>
                              </w:numPr>
                              <w:jc w:val="center"/>
                            </w:pPr>
                            <w:r>
                              <w:rPr>
                                <w:lang w:val="en-US"/>
                              </w:rPr>
                              <w:t xml:space="preserve">Female FGD Participant, Kano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58D44A8" id="Rectangle 54" o:spid="_x0000_s1059" style="width:440.2pt;height:9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" fillcolor="#5b9bd5 [3204]" strokecolor="#1f4d78 [1604]" strokeweight="1pt">
                <v:textbox>
                  <w:txbxContent>
                    <w:p w:rsidR="006D6A0C" w:rsidRDefault="006D6A0C" w:rsidP="00681F77">
                      <w:pPr>
                        <w:jc w:val="center"/>
                      </w:pPr>
                      <w:r w:rsidRPr="00681F77">
                        <w:t>PLWD are often deprived of employment… they are looked upon as if they cannot perform like able bodied people and this affects the employment of women, women are seen as just domestic worker and they prefer men because they believe they are stronger and will be able to perform actively than the women which is not supposed to be.</w:t>
                      </w:r>
                    </w:p>
                    <w:p w:rsidR="006D6A0C" w:rsidRDefault="006D6A0C" w:rsidP="006E3C5B">
                      <w:pPr>
                        <w:pStyle w:val="ListParagraph"/>
                        <w:numPr>
                          <w:ilvl w:val="0"/>
                          <w:numId w:val="24"/>
                        </w:numPr>
                        <w:jc w:val="center"/>
                      </w:pPr>
                      <w:r>
                        <w:rPr>
                          <w:lang w:val="en-US"/>
                        </w:rPr>
                        <w:t xml:space="preserve">Female FGD Participant, Kano </w:t>
                      </w:r>
                    </w:p>
                  </w:txbxContent>
                </v:textbox>
                <w10:anchorlock/>
              </v:rect>
            </w:pict>
          </mc:Fallback>
        </mc:AlternateContent>
      </w:r>
    </w:p>
    <w:p w14:paraId="0498BCCE" w14:textId="77777777" w:rsidR="00372C4D" w:rsidRDefault="00E82ED0" w:rsidP="00E75191">
      <w:pPr>
        <w:spacing w:line="240" w:lineRule="auto"/>
        <w:jc w:val="both"/>
        <w:rPr>
          <w:sz w:val="24"/>
          <w:szCs w:val="24"/>
        </w:rPr>
      </w:pPr>
      <w:r>
        <w:rPr>
          <w:sz w:val="24"/>
          <w:szCs w:val="24"/>
        </w:rPr>
        <w:t>With the COVID-19 pandemic, it becomes even clearer that PWDs are not effectively captured in social safety nets or in benefit schemes</w:t>
      </w:r>
      <w:r w:rsidR="00C20CF7">
        <w:rPr>
          <w:sz w:val="24"/>
          <w:szCs w:val="24"/>
        </w:rPr>
        <w:t>,</w:t>
      </w:r>
      <w:r>
        <w:rPr>
          <w:sz w:val="24"/>
          <w:szCs w:val="24"/>
        </w:rPr>
        <w:t xml:space="preserve"> moreso in states with lower per capita income such as Jigawa.</w:t>
      </w:r>
      <w:r>
        <w:rPr>
          <w:rStyle w:val="FootnoteReference"/>
          <w:sz w:val="24"/>
          <w:szCs w:val="24"/>
        </w:rPr>
        <w:footnoteReference w:id="208"/>
      </w:r>
      <w:r>
        <w:rPr>
          <w:sz w:val="24"/>
          <w:szCs w:val="24"/>
        </w:rPr>
        <w:t xml:space="preserve"> </w:t>
      </w:r>
    </w:p>
    <w:p w14:paraId="14D1CEEB" w14:textId="77777777" w:rsidR="00372C4D" w:rsidRDefault="00372C4D" w:rsidP="00E75191">
      <w:pPr>
        <w:spacing w:line="240" w:lineRule="auto"/>
        <w:jc w:val="both"/>
        <w:rPr>
          <w:sz w:val="24"/>
          <w:szCs w:val="24"/>
        </w:rPr>
      </w:pPr>
      <w:r>
        <w:rPr>
          <w:noProof/>
          <w:sz w:val="24"/>
          <w:szCs w:val="24"/>
          <w:lang w:val="en-IE" w:eastAsia="en-IE"/>
        </w:rPr>
        <mc:AlternateContent>
          <mc:Choice Requires="wps">
            <w:drawing>
              <wp:inline distT="0" distB="0" distL="0" distR="0" wp14:anchorId="212D78D7" wp14:editId="06DC4D9F">
                <wp:extent cx="5590309" cy="1898650"/>
                <wp:effectExtent l="0" t="0" r="10795" b="25400"/>
                <wp:docPr id="13" name="Rectangle 13"/>
                <wp:cNvGraphicFramePr/>
                <a:graphic xmlns:a="http://schemas.openxmlformats.org/drawingml/2006/main">
                  <a:graphicData uri="http://schemas.microsoft.com/office/word/2010/wordprocessingShape">
                    <wps:wsp>
                      <wps:cNvSpPr/>
                      <wps:spPr>
                        <a:xfrm>
                          <a:off x="0" y="0"/>
                          <a:ext cx="5590309" cy="18986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4C74382" w14:textId="77777777" w:rsidR="006D6A0C" w:rsidRDefault="006D6A0C" w:rsidP="00372C4D">
                            <w:pPr>
                              <w:jc w:val="center"/>
                            </w:pPr>
                            <w:r w:rsidRPr="00372C4D">
                              <w:t>Social registers in the country were compiled in a way that may have significantly excluded women. Qualified women who should have been on the register are not there. Also men who should not have been on the registar but they are on the register. We actually have been working in ten states, so one of the things we have been able to do was to first and foremost try to evaluate the validity of, well, effectiveness not validity, the effectiveness of the NASCO register. We found out that for now, quite a number of names on the register, particularly female names do not exist. In terms of disability for instance, there is no definition for disability.</w:t>
                            </w:r>
                          </w:p>
                          <w:p w14:paraId="3B75980F" w14:textId="77777777" w:rsidR="006D6A0C" w:rsidRPr="00372C4D" w:rsidRDefault="006D6A0C" w:rsidP="00372C4D">
                            <w:pPr>
                              <w:jc w:val="center"/>
                            </w:pPr>
                            <w:r>
                              <w:t xml:space="preserve"> - </w:t>
                            </w:r>
                            <w:r>
                              <w:rPr>
                                <w:rFonts w:cstheme="minorHAnsi"/>
                                <w:sz w:val="24"/>
                                <w:szCs w:val="24"/>
                              </w:rPr>
                              <w:t>Male Respondent, FCT</w:t>
                            </w:r>
                          </w:p>
                          <w:p w14:paraId="29575C61" w14:textId="77777777" w:rsidR="006D6A0C" w:rsidRDefault="006D6A0C" w:rsidP="00372C4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12D78D7" id="Rectangle 13" o:spid="_x0000_s1060" style="width:440.2pt;height:14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" fillcolor="#5b9bd5 [3204]" strokecolor="#1f4d78 [1604]" strokeweight="1pt">
                <v:textbox>
                  <w:txbxContent>
                    <w:p w:rsidR="006D6A0C" w:rsidRDefault="006D6A0C" w:rsidP="00372C4D">
                      <w:pPr>
                        <w:jc w:val="center"/>
                      </w:pPr>
                      <w:r w:rsidRPr="00372C4D">
                        <w:t>Social registers in the country were compiled in a way that may have significantly excluded women. Qualified women who should have been on the register are not there. Also men who should not have been on the registar but they are on the register. We actually have been working in ten states, so one of the things we have been able to do was to first and foremost try to evaluate the validity of, well, effectiveness not validity, the effectiveness of the NASCO register. We found out that for now, quite a number of names on the register, particularly female names do not exist. In terms of disability for instance, there is no definition for disability.</w:t>
                      </w:r>
                    </w:p>
                    <w:p w:rsidR="006D6A0C" w:rsidRPr="00372C4D" w:rsidRDefault="006D6A0C" w:rsidP="00372C4D">
                      <w:pPr>
                        <w:jc w:val="center"/>
                      </w:pPr>
                      <w:r>
                        <w:t xml:space="preserve"> - </w:t>
                      </w:r>
                      <w:r>
                        <w:rPr>
                          <w:rFonts w:cstheme="minorHAnsi"/>
                          <w:sz w:val="24"/>
                          <w:szCs w:val="24"/>
                        </w:rPr>
                        <w:t>Male Respondent, FCT</w:t>
                      </w:r>
                    </w:p>
                    <w:p w:rsidR="006D6A0C" w:rsidRDefault="006D6A0C" w:rsidP="00372C4D">
                      <w:pPr>
                        <w:jc w:val="center"/>
                      </w:pPr>
                    </w:p>
                  </w:txbxContent>
                </v:textbox>
                <w10:anchorlock/>
              </v:rect>
            </w:pict>
          </mc:Fallback>
        </mc:AlternateContent>
      </w:r>
    </w:p>
    <w:p w14:paraId="177FC26B" w14:textId="77777777" w:rsidR="00E82ED0" w:rsidRDefault="00E82ED0" w:rsidP="00E75191">
      <w:pPr>
        <w:spacing w:line="240" w:lineRule="auto"/>
        <w:jc w:val="both"/>
        <w:rPr>
          <w:sz w:val="24"/>
          <w:szCs w:val="24"/>
        </w:rPr>
      </w:pPr>
      <w:r>
        <w:rPr>
          <w:sz w:val="24"/>
          <w:szCs w:val="24"/>
        </w:rPr>
        <w:t>Within the regulated private sector, opportunities for employment may be more abundant for persons with disabilities than in MSMEs and the informal sector.</w:t>
      </w:r>
      <w:r>
        <w:rPr>
          <w:rStyle w:val="FootnoteReference"/>
          <w:sz w:val="24"/>
          <w:szCs w:val="24"/>
        </w:rPr>
        <w:footnoteReference w:id="209"/>
      </w:r>
      <w:r>
        <w:rPr>
          <w:sz w:val="24"/>
          <w:szCs w:val="24"/>
        </w:rPr>
        <w:t xml:space="preserve"> Within disability advocacy, there is a tendency to amplify mobility disabilities at the detriment of more prevalent/harder to manage disabilities such as learning disabilities or communication based disabilities such as autism. Thus, beyond employment, mainstreaming the needs of persons with disabilities into education and addressing disability through early detection and management would go a long way in preventing the future cost of managing disability and reduce the skills gap which render persons with disability from finding gainful employment.</w:t>
      </w:r>
    </w:p>
    <w:p w14:paraId="3C80000E" w14:textId="77777777" w:rsidR="00681F77" w:rsidRPr="00E75191" w:rsidRDefault="00681F77" w:rsidP="00E75191">
      <w:pPr>
        <w:spacing w:line="240" w:lineRule="auto"/>
        <w:jc w:val="both"/>
        <w:rPr>
          <w:b/>
          <w:sz w:val="24"/>
          <w:szCs w:val="24"/>
        </w:rPr>
      </w:pPr>
      <w:r w:rsidRPr="00E75191">
        <w:rPr>
          <w:b/>
          <w:sz w:val="24"/>
          <w:szCs w:val="24"/>
        </w:rPr>
        <w:t>Internally Displaced Persons (IDPs)</w:t>
      </w:r>
    </w:p>
    <w:p w14:paraId="158EF4BA" w14:textId="77777777" w:rsidR="00372C4D" w:rsidRDefault="00372C4D" w:rsidP="00372C4D">
      <w:pPr>
        <w:spacing w:line="240" w:lineRule="auto"/>
        <w:jc w:val="both"/>
        <w:rPr>
          <w:sz w:val="24"/>
          <w:szCs w:val="24"/>
        </w:rPr>
      </w:pPr>
      <w:r>
        <w:rPr>
          <w:sz w:val="24"/>
          <w:szCs w:val="24"/>
        </w:rPr>
        <w:t xml:space="preserve">Conflict situations in Northern Nigeria and natural disasters </w:t>
      </w:r>
      <w:r w:rsidRPr="00C95A41">
        <w:rPr>
          <w:sz w:val="24"/>
          <w:szCs w:val="24"/>
        </w:rPr>
        <w:t>render men and women displaced with far-reaching consequences</w:t>
      </w:r>
      <w:r>
        <w:rPr>
          <w:sz w:val="24"/>
          <w:szCs w:val="24"/>
        </w:rPr>
        <w:t>. Between 2012 and 2021 alone, an estimated two million people have become internally displaced in Nigeria.</w:t>
      </w:r>
      <w:r>
        <w:rPr>
          <w:rStyle w:val="FootnoteReference"/>
          <w:sz w:val="24"/>
          <w:szCs w:val="24"/>
        </w:rPr>
        <w:footnoteReference w:id="210"/>
      </w:r>
      <w:r>
        <w:rPr>
          <w:sz w:val="24"/>
          <w:szCs w:val="24"/>
        </w:rPr>
        <w:t xml:space="preserve"> The United Nation’s</w:t>
      </w:r>
      <w:r w:rsidRPr="005A3A1D">
        <w:rPr>
          <w:sz w:val="24"/>
          <w:szCs w:val="24"/>
        </w:rPr>
        <w:t xml:space="preserve"> Office for the Coordi</w:t>
      </w:r>
      <w:r>
        <w:rPr>
          <w:sz w:val="24"/>
          <w:szCs w:val="24"/>
        </w:rPr>
        <w:t xml:space="preserve">nation of Humanitarian Affairs, estimates that over 7 million </w:t>
      </w:r>
      <w:r w:rsidRPr="005A3A1D">
        <w:rPr>
          <w:sz w:val="24"/>
          <w:szCs w:val="24"/>
        </w:rPr>
        <w:t xml:space="preserve">people </w:t>
      </w:r>
      <w:r>
        <w:rPr>
          <w:sz w:val="24"/>
          <w:szCs w:val="24"/>
        </w:rPr>
        <w:t xml:space="preserve">require </w:t>
      </w:r>
      <w:r w:rsidRPr="005A3A1D">
        <w:rPr>
          <w:sz w:val="24"/>
          <w:szCs w:val="24"/>
        </w:rPr>
        <w:t>humanitarian assistance in Borno, Adamawa and Yobe states</w:t>
      </w:r>
      <w:r>
        <w:rPr>
          <w:sz w:val="24"/>
          <w:szCs w:val="24"/>
        </w:rPr>
        <w:t>. Currently resources targeted at improving the welfare of IDPs are grossly insufficient. For instance, in Benue state where there are about a million refugees, the UNHCR reports that a project jointly administered by FAO, UNDP and UNHCR over a three year period can only cater to the needs of 30,000 people.</w:t>
      </w:r>
      <w:r>
        <w:rPr>
          <w:rStyle w:val="FootnoteReference"/>
          <w:sz w:val="24"/>
          <w:szCs w:val="24"/>
        </w:rPr>
        <w:footnoteReference w:id="211"/>
      </w:r>
    </w:p>
    <w:p w14:paraId="143FA719" w14:textId="77777777" w:rsidR="00372C4D" w:rsidRDefault="00372C4D" w:rsidP="00372C4D">
      <w:pPr>
        <w:spacing w:line="240" w:lineRule="auto"/>
        <w:jc w:val="both"/>
        <w:rPr>
          <w:sz w:val="24"/>
          <w:szCs w:val="24"/>
        </w:rPr>
      </w:pPr>
      <w:r>
        <w:rPr>
          <w:sz w:val="24"/>
          <w:szCs w:val="24"/>
        </w:rPr>
        <w:lastRenderedPageBreak/>
        <w:t>Refugee situations in IDP camps lead to</w:t>
      </w:r>
      <w:r w:rsidRPr="00C95A41">
        <w:rPr>
          <w:sz w:val="24"/>
          <w:szCs w:val="24"/>
        </w:rPr>
        <w:t xml:space="preserve"> diminished health access for women and men; with women often being disproportionately affected.</w:t>
      </w:r>
      <w:r>
        <w:rPr>
          <w:sz w:val="24"/>
          <w:szCs w:val="24"/>
        </w:rPr>
        <w:t xml:space="preserve"> Housing conditions are often substandard and overcrowded. In an IDP camp in Borno State a space built for 10,000 currently houses 22,000 people with increased risk of the spread of communicable diseases such as cholera and COVID-19.</w:t>
      </w:r>
      <w:r>
        <w:rPr>
          <w:rStyle w:val="FootnoteReference"/>
          <w:sz w:val="24"/>
          <w:szCs w:val="24"/>
        </w:rPr>
        <w:footnoteReference w:id="212"/>
      </w:r>
      <w:r>
        <w:rPr>
          <w:sz w:val="24"/>
          <w:szCs w:val="24"/>
        </w:rPr>
        <w:t xml:space="preserve"> 60% of IDP camp residents are children. </w:t>
      </w:r>
    </w:p>
    <w:p w14:paraId="60C5432C" w14:textId="77777777" w:rsidR="00372C4D" w:rsidRDefault="00372C4D" w:rsidP="00372C4D">
      <w:pPr>
        <w:spacing w:line="240" w:lineRule="auto"/>
        <w:jc w:val="both"/>
        <w:rPr>
          <w:sz w:val="24"/>
          <w:szCs w:val="24"/>
        </w:rPr>
      </w:pPr>
      <w:r>
        <w:rPr>
          <w:sz w:val="24"/>
          <w:szCs w:val="24"/>
        </w:rPr>
        <w:t>Living conditions within IDP camps are harsh and are particularly harsher still for women and girls. The circumstances which render women and girls displaces such as the ravaging of villages/settlements by bandits are particularly dangerous for women. Thus, rape and other forms of sexual violence before arrival at IDP camps are not uncommon before arrival in IDP camps.</w:t>
      </w:r>
      <w:r>
        <w:rPr>
          <w:rStyle w:val="FootnoteReference"/>
          <w:sz w:val="24"/>
          <w:szCs w:val="24"/>
        </w:rPr>
        <w:footnoteReference w:id="213"/>
      </w:r>
      <w:r>
        <w:rPr>
          <w:sz w:val="24"/>
          <w:szCs w:val="24"/>
        </w:rPr>
        <w:t xml:space="preserve"> In a study published in the Lancet, about a third of displaced persons (33.3%) from North Eastern Nigeria reported having experienced sexual violence.</w:t>
      </w:r>
      <w:r>
        <w:rPr>
          <w:rStyle w:val="FootnoteReference"/>
          <w:sz w:val="24"/>
          <w:szCs w:val="24"/>
        </w:rPr>
        <w:footnoteReference w:id="214"/>
      </w:r>
      <w:r>
        <w:rPr>
          <w:sz w:val="24"/>
          <w:szCs w:val="24"/>
        </w:rPr>
        <w:t xml:space="preserve"> A similar study conducted in the South Southern Nigeria revealed that women were more often victims of violence that men with physical violence being more common during conflict and sexual violence being more common post conflict (i.e within IDP camps and during the process of migration).</w:t>
      </w:r>
      <w:r>
        <w:rPr>
          <w:rStyle w:val="FootnoteReference"/>
          <w:sz w:val="24"/>
          <w:szCs w:val="24"/>
        </w:rPr>
        <w:footnoteReference w:id="215"/>
      </w:r>
      <w:r>
        <w:rPr>
          <w:sz w:val="24"/>
          <w:szCs w:val="24"/>
        </w:rPr>
        <w:t xml:space="preserve"> In both studies, adolescents and unmarried women were the most affected.</w:t>
      </w:r>
    </w:p>
    <w:p w14:paraId="4B941C3D" w14:textId="77777777" w:rsidR="00372C4D" w:rsidRDefault="00372C4D" w:rsidP="00372C4D">
      <w:pPr>
        <w:spacing w:line="240" w:lineRule="auto"/>
        <w:jc w:val="both"/>
        <w:rPr>
          <w:sz w:val="24"/>
          <w:szCs w:val="24"/>
        </w:rPr>
      </w:pPr>
      <w:r>
        <w:rPr>
          <w:sz w:val="24"/>
          <w:szCs w:val="24"/>
        </w:rPr>
        <w:t>Displacement by very nature disrupts access to healthcare particularly, access to sexual and reproductive health services. With many IDP camps lacking WASH facilities or experiencing difficulty with expanding WASH facilities due to increased terrorist activity and displacement, women and girls are constantly at risk of developing infections.</w:t>
      </w:r>
      <w:r>
        <w:rPr>
          <w:rStyle w:val="FootnoteReference"/>
          <w:sz w:val="24"/>
          <w:szCs w:val="24"/>
        </w:rPr>
        <w:footnoteReference w:id="216"/>
      </w:r>
      <w:r>
        <w:rPr>
          <w:sz w:val="24"/>
          <w:szCs w:val="24"/>
        </w:rPr>
        <w:t xml:space="preserve"> Additionally, the problem of access to reproductive health services coupled with the loss of employment and livelihood which results, it often creates the perfect climate for period poverty.</w:t>
      </w:r>
      <w:r>
        <w:rPr>
          <w:rStyle w:val="FootnoteReference"/>
          <w:sz w:val="24"/>
          <w:szCs w:val="24"/>
        </w:rPr>
        <w:footnoteReference w:id="217"/>
      </w:r>
      <w:r>
        <w:rPr>
          <w:sz w:val="24"/>
          <w:szCs w:val="24"/>
        </w:rPr>
        <w:t xml:space="preserve"> With the most pressing need among families being the need for food and shelter in camps which are often overcrowded, scare resources are not likely to be apportioned to menstrual hygiene.</w:t>
      </w:r>
      <w:r>
        <w:rPr>
          <w:rStyle w:val="FootnoteReference"/>
          <w:sz w:val="24"/>
          <w:szCs w:val="24"/>
        </w:rPr>
        <w:footnoteReference w:id="218"/>
      </w:r>
      <w:r>
        <w:rPr>
          <w:sz w:val="24"/>
          <w:szCs w:val="24"/>
        </w:rPr>
        <w:t xml:space="preserve">  </w:t>
      </w:r>
    </w:p>
    <w:p w14:paraId="5209F6F7" w14:textId="77777777" w:rsidR="00372C4D" w:rsidRDefault="00372C4D" w:rsidP="00372C4D">
      <w:pPr>
        <w:spacing w:line="240" w:lineRule="auto"/>
        <w:jc w:val="both"/>
        <w:rPr>
          <w:sz w:val="24"/>
          <w:szCs w:val="24"/>
        </w:rPr>
      </w:pPr>
      <w:r>
        <w:rPr>
          <w:sz w:val="24"/>
          <w:szCs w:val="24"/>
        </w:rPr>
        <w:t>Conditions within IDPs put women and girls at risk of unplanned pregnancy and early marriage. For instance, in a camp in Benue state, residents report that many girls who arrived at the camp fleeing the farmer-herder crises in the state became pregnant during their time at the camp.</w:t>
      </w:r>
      <w:r>
        <w:rPr>
          <w:rStyle w:val="FootnoteReference"/>
          <w:sz w:val="24"/>
          <w:szCs w:val="24"/>
        </w:rPr>
        <w:footnoteReference w:id="219"/>
      </w:r>
      <w:r>
        <w:rPr>
          <w:sz w:val="24"/>
          <w:szCs w:val="24"/>
        </w:rPr>
        <w:t xml:space="preserve"> While there is the possibility that these pregnancies are the result of consensual sexual relations between girls and others in those camps, it is more than likely </w:t>
      </w:r>
      <w:r>
        <w:rPr>
          <w:sz w:val="24"/>
          <w:szCs w:val="24"/>
        </w:rPr>
        <w:lastRenderedPageBreak/>
        <w:t>that such pregnancies are the results of sex for some reward e.g food, money or medical attention.</w:t>
      </w:r>
      <w:r>
        <w:rPr>
          <w:rStyle w:val="FootnoteReference"/>
          <w:sz w:val="24"/>
          <w:szCs w:val="24"/>
        </w:rPr>
        <w:footnoteReference w:id="220"/>
      </w:r>
      <w:r>
        <w:rPr>
          <w:sz w:val="24"/>
          <w:szCs w:val="24"/>
        </w:rPr>
        <w:t xml:space="preserve"> </w:t>
      </w:r>
    </w:p>
    <w:p w14:paraId="21AC41C2" w14:textId="77777777" w:rsidR="00372C4D" w:rsidRDefault="00372C4D" w:rsidP="00372C4D">
      <w:pPr>
        <w:pStyle w:val="Quote"/>
        <w:rPr>
          <w:sz w:val="24"/>
          <w:szCs w:val="24"/>
        </w:rPr>
      </w:pPr>
      <w:r>
        <w:rPr>
          <w:shd w:val="clear" w:color="auto" w:fill="FFFFFF"/>
        </w:rPr>
        <w:t>"In the camp, the culture of *'Kwambe sa Kwambe' *(loosely translated to "You scratch my back, I'll scratch yours in the Tiv language) applies….especially when it comes to an IDP offering sex to officials in exchange for food or provisions.</w:t>
      </w:r>
      <w:r>
        <w:rPr>
          <w:rStyle w:val="FootnoteReference"/>
          <w:shd w:val="clear" w:color="auto" w:fill="FFFFFF"/>
        </w:rPr>
        <w:footnoteReference w:id="221"/>
      </w:r>
    </w:p>
    <w:p w14:paraId="49284D2E" w14:textId="77777777" w:rsidR="00372C4D" w:rsidRDefault="00372C4D" w:rsidP="00372C4D">
      <w:pPr>
        <w:spacing w:line="240" w:lineRule="auto"/>
        <w:jc w:val="both"/>
        <w:rPr>
          <w:sz w:val="24"/>
          <w:szCs w:val="24"/>
        </w:rPr>
      </w:pPr>
      <w:r>
        <w:rPr>
          <w:sz w:val="24"/>
          <w:szCs w:val="24"/>
        </w:rPr>
        <w:t xml:space="preserve">Within those contexts, it becomes impossible for women to access safe abortion. Among women who were identified as having </w:t>
      </w:r>
      <w:r w:rsidRPr="0094703F">
        <w:rPr>
          <w:sz w:val="24"/>
          <w:szCs w:val="24"/>
        </w:rPr>
        <w:t>sexual violence–related pregnancies</w:t>
      </w:r>
      <w:r>
        <w:rPr>
          <w:sz w:val="24"/>
          <w:szCs w:val="24"/>
        </w:rPr>
        <w:t xml:space="preserve"> rescued from captivity, all expressed an initial desire to terminate the pregnancies, however due to strict abortion laws which prevent clinics from offering such services, 40% of them carried the pregnancy to full term while others either left camp or procured unsafe abortions.</w:t>
      </w:r>
      <w:r>
        <w:rPr>
          <w:rStyle w:val="FootnoteReference"/>
          <w:sz w:val="24"/>
          <w:szCs w:val="24"/>
        </w:rPr>
        <w:footnoteReference w:id="222"/>
      </w:r>
      <w:r>
        <w:rPr>
          <w:sz w:val="24"/>
          <w:szCs w:val="24"/>
        </w:rPr>
        <w:t xml:space="preserve"> From this it is clear that access to long acting and emergency contraceptives is especially important among displaced women and girls due to risk of rape and unplanned pregnancy.</w:t>
      </w:r>
      <w:r>
        <w:rPr>
          <w:rStyle w:val="FootnoteReference"/>
          <w:sz w:val="24"/>
          <w:szCs w:val="24"/>
        </w:rPr>
        <w:footnoteReference w:id="223"/>
      </w:r>
      <w:r>
        <w:rPr>
          <w:sz w:val="24"/>
          <w:szCs w:val="24"/>
        </w:rPr>
        <w:t xml:space="preserve"> Improving access to contraception may be affected by norms which discourage the use of contraceptives. For instance, in a study conducted among young people living in an IDP camp, 42.9% held wrong notions on contraceptives, believing them to be harmful and injurious to health.</w:t>
      </w:r>
      <w:r>
        <w:rPr>
          <w:rStyle w:val="FootnoteReference"/>
          <w:sz w:val="24"/>
          <w:szCs w:val="24"/>
        </w:rPr>
        <w:footnoteReference w:id="224"/>
      </w:r>
      <w:r>
        <w:rPr>
          <w:sz w:val="24"/>
          <w:szCs w:val="24"/>
        </w:rPr>
        <w:t xml:space="preserve"> </w:t>
      </w:r>
    </w:p>
    <w:p w14:paraId="4A9E54F3" w14:textId="77777777" w:rsidR="00372C4D" w:rsidRDefault="00372C4D" w:rsidP="00372C4D">
      <w:pPr>
        <w:spacing w:line="240" w:lineRule="auto"/>
        <w:jc w:val="both"/>
        <w:rPr>
          <w:sz w:val="24"/>
          <w:szCs w:val="24"/>
        </w:rPr>
      </w:pPr>
      <w:r>
        <w:rPr>
          <w:sz w:val="24"/>
          <w:szCs w:val="24"/>
        </w:rPr>
        <w:t>Where girls have been victims of sexual violence during the migration/displacement process or in IDP camps, securing justice is near impossible for a multitude of reasons; one of which is the near absence of measures which allow IDPs report their experience of GBV. Where present, it becomes extremely difficult for these women and girls to report due to the low awareness of legal frameworks and knowledge of their rights reflected in legislation such as the VAPP Act. Furthermore, fear of punitive measures such as being denied food, medical attention or other benefits may discourage such women from reporting their experience of GBV.</w:t>
      </w:r>
    </w:p>
    <w:p w14:paraId="372DC425" w14:textId="77777777" w:rsidR="002126FA" w:rsidRDefault="00372C4D" w:rsidP="002126FA">
      <w:pPr>
        <w:spacing w:line="240" w:lineRule="auto"/>
        <w:jc w:val="both"/>
        <w:rPr>
          <w:sz w:val="24"/>
          <w:szCs w:val="24"/>
        </w:rPr>
      </w:pPr>
      <w:r>
        <w:rPr>
          <w:sz w:val="24"/>
          <w:szCs w:val="24"/>
        </w:rPr>
        <w:t xml:space="preserve">Another area which receives insufficient attention is the mental toll which separation from their families have on men and women. Psychological and psychiatric support are on high demand to help victims of displacement manage trauma and adjust to their new lives however, provision of those services are fraught with challenges such as the inadequacy of mental health professional in Nigeria as described in Section 3.8. </w:t>
      </w:r>
      <w:r w:rsidR="002126FA">
        <w:rPr>
          <w:sz w:val="24"/>
          <w:szCs w:val="24"/>
        </w:rPr>
        <w:t xml:space="preserve">Attention to the needs of </w:t>
      </w:r>
      <w:r w:rsidR="002126FA">
        <w:rPr>
          <w:sz w:val="24"/>
          <w:szCs w:val="24"/>
        </w:rPr>
        <w:lastRenderedPageBreak/>
        <w:t>PWD within the context of displacement is</w:t>
      </w:r>
      <w:r w:rsidR="0091550A">
        <w:rPr>
          <w:sz w:val="24"/>
          <w:szCs w:val="24"/>
        </w:rPr>
        <w:t xml:space="preserve"> further</w:t>
      </w:r>
      <w:r w:rsidR="002126FA">
        <w:rPr>
          <w:sz w:val="24"/>
          <w:szCs w:val="24"/>
        </w:rPr>
        <w:t xml:space="preserve"> obscured due to the paucity of data, absence of PLWD in leadership positions within IDP camps and competing priorities.</w:t>
      </w:r>
      <w:r w:rsidR="002126FA">
        <w:rPr>
          <w:rStyle w:val="FootnoteReference"/>
          <w:sz w:val="24"/>
          <w:szCs w:val="24"/>
        </w:rPr>
        <w:footnoteReference w:id="225"/>
      </w:r>
    </w:p>
    <w:p w14:paraId="0552E63A" w14:textId="77777777" w:rsidR="002126FA" w:rsidRDefault="00372C4D" w:rsidP="002126FA">
      <w:pPr>
        <w:spacing w:line="240" w:lineRule="auto"/>
        <w:jc w:val="both"/>
        <w:rPr>
          <w:sz w:val="24"/>
          <w:szCs w:val="24"/>
        </w:rPr>
      </w:pPr>
      <w:r>
        <w:rPr>
          <w:sz w:val="24"/>
          <w:szCs w:val="24"/>
        </w:rPr>
        <w:t xml:space="preserve">Despite how clear it is that conditions within camps are less than favourable to women and girls, IDPs are largely dependent on philanthropic individuals as well as humanitarian organizations to address these problems leading to many state governments being less than proactive in addressing the aforementioned issues. </w:t>
      </w:r>
      <w:r w:rsidR="002126FA">
        <w:rPr>
          <w:sz w:val="24"/>
          <w:szCs w:val="24"/>
        </w:rPr>
        <w:t xml:space="preserve">Many humanitarian organizations assist with the provision of relief materials and health services neglecting important areas such as reintegration. IDPs remain at particular risk of exclusion from financial services and COVID-19 vaccination. Programs targeted at plugging the identified gaps are lacking in funds. </w:t>
      </w:r>
    </w:p>
    <w:p w14:paraId="5856F970" w14:textId="77777777" w:rsidR="00523787" w:rsidRDefault="002126FA" w:rsidP="0091550A">
      <w:pPr>
        <w:spacing w:line="240" w:lineRule="auto"/>
        <w:jc w:val="center"/>
        <w:rPr>
          <w:sz w:val="24"/>
          <w:szCs w:val="24"/>
        </w:rPr>
      </w:pPr>
      <w:r>
        <w:rPr>
          <w:noProof/>
          <w:sz w:val="24"/>
          <w:szCs w:val="24"/>
          <w:lang w:val="en-IE" w:eastAsia="en-IE"/>
        </w:rPr>
        <w:drawing>
          <wp:inline distT="0" distB="0" distL="0" distR="0" wp14:anchorId="340BF5BF" wp14:editId="49DF62C6">
            <wp:extent cx="2514600" cy="1974850"/>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creenshot (81).png"/>
                    <pic:cNvPicPr/>
                  </pic:nvPicPr>
                  <pic:blipFill rotWithShape="1">
                    <a:blip r:embed="rId45">
                      <a:extLst>
                        <a:ext uri="{28A0092B-C50C-407E-A947-70E740481C1C}">
                          <a14:useLocalDpi xmlns:a14="http://schemas.microsoft.com/office/drawing/2010/main" val="0"/>
                        </a:ext>
                      </a:extLst>
                    </a:blip>
                    <a:srcRect l="51187" t="16354" r="4940" b="22365"/>
                    <a:stretch/>
                  </pic:blipFill>
                  <pic:spPr bwMode="auto">
                    <a:xfrm>
                      <a:off x="0" y="0"/>
                      <a:ext cx="2514600" cy="1974850"/>
                    </a:xfrm>
                    <a:prstGeom prst="rect">
                      <a:avLst/>
                    </a:prstGeom>
                    <a:ln>
                      <a:noFill/>
                    </a:ln>
                    <a:extLst>
                      <a:ext uri="{53640926-AAD7-44D8-BBD7-CCE9431645EC}">
                        <a14:shadowObscured xmlns:a14="http://schemas.microsoft.com/office/drawing/2010/main"/>
                      </a:ext>
                    </a:extLst>
                  </pic:spPr>
                </pic:pic>
              </a:graphicData>
            </a:graphic>
          </wp:inline>
        </w:drawing>
      </w:r>
    </w:p>
    <w:p w14:paraId="1BAC2AA3" w14:textId="77777777" w:rsidR="002126FA" w:rsidRDefault="002126FA" w:rsidP="002126FA">
      <w:pPr>
        <w:pStyle w:val="Caption"/>
        <w:jc w:val="center"/>
        <w:rPr>
          <w:sz w:val="24"/>
          <w:szCs w:val="24"/>
        </w:rPr>
      </w:pPr>
      <w:r>
        <w:t xml:space="preserve">Figure </w:t>
      </w:r>
      <w:fldSimple w:instr=" SEQ Figure \* ARABIC ">
        <w:r w:rsidR="00C15490">
          <w:rPr>
            <w:noProof/>
          </w:rPr>
          <w:t>16</w:t>
        </w:r>
      </w:fldSimple>
      <w:r>
        <w:t xml:space="preserve"> Funding Gap for IDP programs in Nigeria. Source: UNHCR 2021</w:t>
      </w:r>
      <w:r>
        <w:rPr>
          <w:rStyle w:val="FootnoteReference"/>
        </w:rPr>
        <w:footnoteReference w:id="226"/>
      </w:r>
    </w:p>
    <w:p w14:paraId="262E2AFE" w14:textId="77777777" w:rsidR="002126FA" w:rsidRDefault="002126FA" w:rsidP="00372C4D">
      <w:pPr>
        <w:spacing w:line="240" w:lineRule="auto"/>
        <w:jc w:val="both"/>
        <w:rPr>
          <w:sz w:val="24"/>
          <w:szCs w:val="24"/>
        </w:rPr>
      </w:pPr>
    </w:p>
    <w:p w14:paraId="54340CF1" w14:textId="77777777" w:rsidR="002E3467" w:rsidRDefault="00372C4D" w:rsidP="00E75191">
      <w:pPr>
        <w:spacing w:line="240" w:lineRule="auto"/>
        <w:jc w:val="both"/>
        <w:rPr>
          <w:sz w:val="24"/>
          <w:szCs w:val="24"/>
          <w:lang w:val="en-US"/>
        </w:rPr>
      </w:pPr>
      <w:r>
        <w:rPr>
          <w:sz w:val="24"/>
          <w:szCs w:val="24"/>
        </w:rPr>
        <w:t>In Nigeria, the F</w:t>
      </w:r>
      <w:r w:rsidRPr="00C0237C">
        <w:rPr>
          <w:sz w:val="24"/>
          <w:szCs w:val="24"/>
        </w:rPr>
        <w:t xml:space="preserve">ederal Ministry of Humanitarian Affairs, Disaster Management and Social Development </w:t>
      </w:r>
      <w:r>
        <w:rPr>
          <w:sz w:val="24"/>
          <w:szCs w:val="24"/>
        </w:rPr>
        <w:t xml:space="preserve">oversees humanitarian affairs including the welfare of IDPs. </w:t>
      </w:r>
      <w:r w:rsidR="00523787">
        <w:rPr>
          <w:sz w:val="24"/>
          <w:szCs w:val="24"/>
        </w:rPr>
        <w:t>The National Policy on Internally Displaced Persons (IDPs) in Nigeria formulated in 2012 articulates the rights of IDPs and the obligations of host communities, humanitarian agencies and other key actors. It further highlights Nigeria’s priorities in IDP welfare (such as rehabilitation and reintegration), strategies for policy implementation as well as the underlying legal framework.</w:t>
      </w:r>
      <w:r w:rsidR="002126FA">
        <w:rPr>
          <w:rStyle w:val="FootnoteReference"/>
          <w:sz w:val="24"/>
          <w:szCs w:val="24"/>
        </w:rPr>
        <w:footnoteReference w:id="227"/>
      </w:r>
      <w:r w:rsidR="00523787">
        <w:rPr>
          <w:sz w:val="24"/>
          <w:szCs w:val="24"/>
        </w:rPr>
        <w:t xml:space="preserve"> However as with many of Nigeria’s policies, implementation failure is glaring. For example, the policy provides for sp</w:t>
      </w:r>
      <w:r w:rsidR="00523787" w:rsidRPr="00523787">
        <w:rPr>
          <w:sz w:val="24"/>
          <w:szCs w:val="24"/>
        </w:rPr>
        <w:t>ecial protection and assistance pr</w:t>
      </w:r>
      <w:r w:rsidR="00523787">
        <w:rPr>
          <w:sz w:val="24"/>
          <w:szCs w:val="24"/>
        </w:rPr>
        <w:t>ovided for women, children, the elderly, PWDs and</w:t>
      </w:r>
      <w:r w:rsidR="00523787" w:rsidRPr="00523787">
        <w:rPr>
          <w:sz w:val="24"/>
          <w:szCs w:val="24"/>
        </w:rPr>
        <w:t xml:space="preserve"> </w:t>
      </w:r>
      <w:r w:rsidR="00523787">
        <w:rPr>
          <w:sz w:val="24"/>
          <w:szCs w:val="24"/>
        </w:rPr>
        <w:t>PLWHIV</w:t>
      </w:r>
      <w:r w:rsidR="002126FA">
        <w:rPr>
          <w:sz w:val="24"/>
          <w:szCs w:val="24"/>
        </w:rPr>
        <w:t>. In practice, very little special protection is afforded those groups. The policy states that da</w:t>
      </w:r>
      <w:r w:rsidR="00523787" w:rsidRPr="00523787">
        <w:rPr>
          <w:sz w:val="24"/>
          <w:szCs w:val="24"/>
        </w:rPr>
        <w:t>ta collection for planning of humanitarian</w:t>
      </w:r>
      <w:r w:rsidR="002126FA">
        <w:rPr>
          <w:sz w:val="24"/>
          <w:szCs w:val="24"/>
        </w:rPr>
        <w:t xml:space="preserve"> programs is to be a core component of the policy implementation. In reality, very little primary research is conducted by the responsible ministry leading to overreliance on data obtained from donors which is prone to issues such as duplication. Noteworthy also, is the fact that </w:t>
      </w:r>
      <w:r w:rsidR="002E3467">
        <w:rPr>
          <w:sz w:val="24"/>
          <w:szCs w:val="24"/>
          <w:lang w:val="en-US"/>
        </w:rPr>
        <w:t>the National Policy on Internally Displaced Persons was developed in 2012 and is stated to be due to be renewed every 5 years.  However, it has not be reviewed since 2012.</w:t>
      </w:r>
    </w:p>
    <w:p w14:paraId="3F938621" w14:textId="77777777" w:rsidR="00681F77" w:rsidRPr="00E75191" w:rsidRDefault="00681F77" w:rsidP="00E75191">
      <w:pPr>
        <w:spacing w:line="240" w:lineRule="auto"/>
        <w:jc w:val="both"/>
        <w:rPr>
          <w:b/>
          <w:sz w:val="24"/>
          <w:szCs w:val="24"/>
        </w:rPr>
      </w:pPr>
      <w:r w:rsidRPr="00681F77">
        <w:rPr>
          <w:b/>
          <w:sz w:val="24"/>
          <w:szCs w:val="24"/>
        </w:rPr>
        <w:t>Elderly Persons</w:t>
      </w:r>
    </w:p>
    <w:p w14:paraId="198D6BE5" w14:textId="77777777" w:rsidR="00E82ED0" w:rsidRDefault="00E82ED0" w:rsidP="00E75191">
      <w:pPr>
        <w:spacing w:line="240" w:lineRule="auto"/>
        <w:jc w:val="both"/>
        <w:rPr>
          <w:sz w:val="24"/>
          <w:szCs w:val="24"/>
        </w:rPr>
      </w:pPr>
      <w:r>
        <w:rPr>
          <w:sz w:val="24"/>
          <w:szCs w:val="24"/>
        </w:rPr>
        <w:lastRenderedPageBreak/>
        <w:t xml:space="preserve">Elderly persons are a frequently overlooked demographic in Nigeria. Due to the population pyramid, </w:t>
      </w:r>
      <w:r w:rsidR="00C20CF7">
        <w:rPr>
          <w:sz w:val="24"/>
          <w:szCs w:val="24"/>
        </w:rPr>
        <w:t xml:space="preserve">with a large population of young people (60% of the population is below the age of 25), </w:t>
      </w:r>
      <w:r>
        <w:rPr>
          <w:sz w:val="24"/>
          <w:szCs w:val="24"/>
        </w:rPr>
        <w:t>attention in the area of human capital development is often concentrated at the base of the pyramid</w:t>
      </w:r>
      <w:r w:rsidR="00C20CF7">
        <w:rPr>
          <w:sz w:val="24"/>
          <w:szCs w:val="24"/>
        </w:rPr>
        <w:t>. This leads</w:t>
      </w:r>
      <w:r>
        <w:rPr>
          <w:sz w:val="24"/>
          <w:szCs w:val="24"/>
        </w:rPr>
        <w:t xml:space="preserve"> to lower attention to elderly welfare in policy and programs. </w:t>
      </w:r>
    </w:p>
    <w:p w14:paraId="6170E3BE" w14:textId="77777777" w:rsidR="00E82ED0" w:rsidRDefault="00E82ED0" w:rsidP="00E75191">
      <w:pPr>
        <w:spacing w:line="240" w:lineRule="auto"/>
        <w:jc w:val="both"/>
        <w:rPr>
          <w:sz w:val="24"/>
          <w:szCs w:val="24"/>
        </w:rPr>
      </w:pPr>
      <w:r>
        <w:rPr>
          <w:sz w:val="24"/>
          <w:szCs w:val="24"/>
        </w:rPr>
        <w:t xml:space="preserve">Cases of elderly abuse are rampant with people living with dementia labelled </w:t>
      </w:r>
      <w:r w:rsidR="00C20CF7">
        <w:rPr>
          <w:sz w:val="24"/>
          <w:szCs w:val="24"/>
        </w:rPr>
        <w:t xml:space="preserve">as </w:t>
      </w:r>
      <w:r>
        <w:rPr>
          <w:sz w:val="24"/>
          <w:szCs w:val="24"/>
        </w:rPr>
        <w:t>witches. Change in family and community dynamics which dictate that care of elderly persons rests within families and communities is now jeopardised due to the fact more families are nucleated and unable to support extended family. Furthermore, pension fraud in public organization</w:t>
      </w:r>
      <w:r w:rsidR="00847FAA">
        <w:rPr>
          <w:sz w:val="24"/>
          <w:szCs w:val="24"/>
        </w:rPr>
        <w:t>s</w:t>
      </w:r>
      <w:r>
        <w:rPr>
          <w:sz w:val="24"/>
          <w:szCs w:val="24"/>
        </w:rPr>
        <w:t xml:space="preserve"> threaten the livelihood of workers upon retirement.</w:t>
      </w:r>
    </w:p>
    <w:p w14:paraId="42DDC8AA" w14:textId="77777777" w:rsidR="00DE16AA" w:rsidRPr="00DE16AA" w:rsidRDefault="00DE16AA" w:rsidP="00DE16AA">
      <w:pPr>
        <w:spacing w:line="240" w:lineRule="auto"/>
        <w:jc w:val="both"/>
        <w:rPr>
          <w:sz w:val="24"/>
          <w:szCs w:val="24"/>
        </w:rPr>
      </w:pPr>
      <w:r>
        <w:rPr>
          <w:sz w:val="24"/>
          <w:szCs w:val="24"/>
        </w:rPr>
        <w:t xml:space="preserve">Recently, the </w:t>
      </w:r>
      <w:r w:rsidRPr="00DE16AA">
        <w:rPr>
          <w:sz w:val="24"/>
          <w:szCs w:val="24"/>
        </w:rPr>
        <w:t>F</w:t>
      </w:r>
      <w:r>
        <w:rPr>
          <w:sz w:val="24"/>
          <w:szCs w:val="24"/>
        </w:rPr>
        <w:t xml:space="preserve">ederal Ministry of Humanitarian Affairs, Disaster Management and Social Development developed the National Policy on Ageing.  One of its key guiding principles in gender responsiveness, recognising that ageing impacts men and women in different ways and the need to address the different needs of older women and men.   The Policy notes the impact of </w:t>
      </w:r>
      <w:r w:rsidRPr="00DE16AA">
        <w:rPr>
          <w:sz w:val="24"/>
          <w:szCs w:val="24"/>
        </w:rPr>
        <w:t xml:space="preserve">women’s lack of property rights </w:t>
      </w:r>
      <w:r>
        <w:rPr>
          <w:sz w:val="24"/>
          <w:szCs w:val="24"/>
        </w:rPr>
        <w:t>on their lives after</w:t>
      </w:r>
      <w:r w:rsidRPr="00DE16AA">
        <w:rPr>
          <w:sz w:val="24"/>
          <w:szCs w:val="24"/>
        </w:rPr>
        <w:t xml:space="preserve"> widowhood</w:t>
      </w:r>
      <w:r>
        <w:rPr>
          <w:sz w:val="24"/>
          <w:szCs w:val="24"/>
        </w:rPr>
        <w:t xml:space="preserve"> or the dissolution of marriage, and the life-long negative impacts of patriarchy. It also recognises the difficulties of men in adjusting to </w:t>
      </w:r>
      <w:r w:rsidR="00683CC1">
        <w:rPr>
          <w:sz w:val="24"/>
          <w:szCs w:val="24"/>
        </w:rPr>
        <w:t xml:space="preserve">widowhood, and </w:t>
      </w:r>
      <w:r w:rsidRPr="00DE16AA">
        <w:rPr>
          <w:sz w:val="24"/>
          <w:szCs w:val="24"/>
        </w:rPr>
        <w:t xml:space="preserve">abandonment </w:t>
      </w:r>
      <w:r w:rsidR="00683CC1">
        <w:rPr>
          <w:sz w:val="24"/>
          <w:szCs w:val="24"/>
        </w:rPr>
        <w:t>sometimes as penalty for polygamy</w:t>
      </w:r>
      <w:r w:rsidRPr="00DE16AA">
        <w:rPr>
          <w:sz w:val="24"/>
          <w:szCs w:val="24"/>
        </w:rPr>
        <w:t xml:space="preserve">. </w:t>
      </w:r>
      <w:r w:rsidR="00683CC1">
        <w:rPr>
          <w:sz w:val="24"/>
          <w:szCs w:val="24"/>
        </w:rPr>
        <w:t xml:space="preserve">  This is a recent policy and it remains to be seen how effectively it will be implemented. </w:t>
      </w:r>
    </w:p>
    <w:p w14:paraId="5167F707" w14:textId="77777777" w:rsidR="00DE16AA" w:rsidRDefault="00DE16AA" w:rsidP="00E75191">
      <w:pPr>
        <w:spacing w:line="240" w:lineRule="auto"/>
        <w:jc w:val="both"/>
        <w:rPr>
          <w:sz w:val="24"/>
          <w:szCs w:val="24"/>
        </w:rPr>
      </w:pPr>
    </w:p>
    <w:p w14:paraId="1C7C9625" w14:textId="77777777" w:rsidR="00681F77" w:rsidRPr="00E75191" w:rsidRDefault="00681F77" w:rsidP="00E75191">
      <w:pPr>
        <w:spacing w:line="240" w:lineRule="auto"/>
        <w:jc w:val="both"/>
        <w:rPr>
          <w:b/>
          <w:sz w:val="24"/>
          <w:szCs w:val="24"/>
        </w:rPr>
      </w:pPr>
      <w:r>
        <w:rPr>
          <w:b/>
          <w:sz w:val="24"/>
          <w:szCs w:val="24"/>
        </w:rPr>
        <w:t>Sexual</w:t>
      </w:r>
      <w:r w:rsidRPr="00E75191">
        <w:rPr>
          <w:b/>
          <w:sz w:val="24"/>
          <w:szCs w:val="24"/>
        </w:rPr>
        <w:t xml:space="preserve"> Minorities</w:t>
      </w:r>
    </w:p>
    <w:p w14:paraId="7298D1AB" w14:textId="77777777" w:rsidR="00963661" w:rsidRDefault="00A24BA0" w:rsidP="00E75191">
      <w:pPr>
        <w:spacing w:line="240" w:lineRule="auto"/>
        <w:jc w:val="both"/>
        <w:rPr>
          <w:sz w:val="24"/>
          <w:szCs w:val="24"/>
        </w:rPr>
      </w:pPr>
      <w:r>
        <w:rPr>
          <w:sz w:val="24"/>
          <w:szCs w:val="24"/>
        </w:rPr>
        <w:t xml:space="preserve">Sexual minorities also suffer discrimination at micro, meso and macro levels. </w:t>
      </w:r>
      <w:r w:rsidR="00963661">
        <w:rPr>
          <w:sz w:val="24"/>
          <w:szCs w:val="24"/>
        </w:rPr>
        <w:t xml:space="preserve"> </w:t>
      </w:r>
    </w:p>
    <w:p w14:paraId="6BB09138" w14:textId="77777777" w:rsidR="00681F77" w:rsidRDefault="00681F77" w:rsidP="00E75191">
      <w:pPr>
        <w:spacing w:line="240" w:lineRule="auto"/>
        <w:jc w:val="both"/>
        <w:rPr>
          <w:sz w:val="24"/>
          <w:szCs w:val="24"/>
        </w:rPr>
      </w:pPr>
      <w:r>
        <w:rPr>
          <w:noProof/>
          <w:sz w:val="24"/>
          <w:szCs w:val="24"/>
          <w:lang w:val="en-IE" w:eastAsia="en-IE"/>
        </w:rPr>
        <mc:AlternateContent>
          <mc:Choice Requires="wps">
            <w:drawing>
              <wp:inline distT="0" distB="0" distL="0" distR="0" wp14:anchorId="52063767" wp14:editId="53885D48">
                <wp:extent cx="5742709" cy="1302327"/>
                <wp:effectExtent l="0" t="0" r="10795" b="12700"/>
                <wp:docPr id="63" name="Rectangle 63"/>
                <wp:cNvGraphicFramePr/>
                <a:graphic xmlns:a="http://schemas.openxmlformats.org/drawingml/2006/main">
                  <a:graphicData uri="http://schemas.microsoft.com/office/word/2010/wordprocessingShape">
                    <wps:wsp>
                      <wps:cNvSpPr/>
                      <wps:spPr>
                        <a:xfrm>
                          <a:off x="0" y="0"/>
                          <a:ext cx="5742709" cy="130232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83B6A9A" w14:textId="77777777" w:rsidR="006D6A0C" w:rsidRDefault="006D6A0C" w:rsidP="00E75191">
                            <w:pPr>
                              <w:jc w:val="center"/>
                              <w:rPr>
                                <w:i/>
                                <w:iCs/>
                              </w:rPr>
                            </w:pPr>
                            <w:r w:rsidRPr="00681F77">
                              <w:rPr>
                                <w:i/>
                                <w:iCs/>
                              </w:rPr>
                              <w:t xml:space="preserve">There are overt violent acts where queer people </w:t>
                            </w:r>
                            <w:r>
                              <w:rPr>
                                <w:i/>
                                <w:iCs/>
                              </w:rPr>
                              <w:t xml:space="preserve">are </w:t>
                            </w:r>
                            <w:r w:rsidRPr="00681F77">
                              <w:rPr>
                                <w:i/>
                                <w:iCs/>
                              </w:rPr>
                              <w:t>physically harassed, sexually harass and attacked by mobs</w:t>
                            </w:r>
                            <w:r>
                              <w:rPr>
                                <w:i/>
                                <w:iCs/>
                              </w:rPr>
                              <w:t>.</w:t>
                            </w:r>
                            <w:r w:rsidRPr="00681F77">
                              <w:rPr>
                                <w:i/>
                                <w:iCs/>
                              </w:rPr>
                              <w:t xml:space="preserve"> And then, there's also extortion. When I say ‘extortion’, it’s from both state and non-state actors…policemen are known for arresting people for their roles, or perceived sexual orientation or gender identity. When they see somebody they think is gay, they are arrest that person, extort them, beat them for having committed no crime.</w:t>
                            </w:r>
                          </w:p>
                          <w:p w14:paraId="7A756D9C" w14:textId="77777777" w:rsidR="006D6A0C" w:rsidRPr="006E3C5B" w:rsidRDefault="006D6A0C" w:rsidP="006E3C5B">
                            <w:pPr>
                              <w:pStyle w:val="ListParagraph"/>
                              <w:numPr>
                                <w:ilvl w:val="0"/>
                                <w:numId w:val="25"/>
                              </w:numPr>
                              <w:jc w:val="center"/>
                              <w:rPr>
                                <w:i/>
                                <w:iCs/>
                              </w:rPr>
                            </w:pPr>
                            <w:r>
                              <w:rPr>
                                <w:i/>
                                <w:iCs/>
                                <w:lang w:val="en-US"/>
                              </w:rPr>
                              <w:t>Female Key Informant, Lagos</w:t>
                            </w:r>
                          </w:p>
                          <w:p w14:paraId="05FAE772" w14:textId="77777777" w:rsidR="006D6A0C" w:rsidRDefault="006D6A0C" w:rsidP="00E7519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2063767" id="Rectangle 63" o:spid="_x0000_s1061" style="width:452.2pt;height:10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" fillcolor="#5b9bd5 [3204]" strokecolor="#1f4d78 [1604]" strokeweight="1pt">
                <v:textbox>
                  <w:txbxContent>
                    <w:p w:rsidR="006D6A0C" w:rsidRDefault="006D6A0C" w:rsidP="00E75191">
                      <w:pPr>
                        <w:jc w:val="center"/>
                        <w:rPr>
                          <w:i/>
                          <w:iCs/>
                        </w:rPr>
                      </w:pPr>
                      <w:r w:rsidRPr="00681F77">
                        <w:rPr>
                          <w:i/>
                          <w:iCs/>
                        </w:rPr>
                        <w:t xml:space="preserve">There are overt violent acts where queer people </w:t>
                      </w:r>
                      <w:r>
                        <w:rPr>
                          <w:i/>
                          <w:iCs/>
                        </w:rPr>
                        <w:t xml:space="preserve">are </w:t>
                      </w:r>
                      <w:r w:rsidRPr="00681F77">
                        <w:rPr>
                          <w:i/>
                          <w:iCs/>
                        </w:rPr>
                        <w:t>physically harassed, sexually harass and attacked by mobs</w:t>
                      </w:r>
                      <w:r>
                        <w:rPr>
                          <w:i/>
                          <w:iCs/>
                        </w:rPr>
                        <w:t>.</w:t>
                      </w:r>
                      <w:r w:rsidRPr="00681F77">
                        <w:rPr>
                          <w:i/>
                          <w:iCs/>
                        </w:rPr>
                        <w:t xml:space="preserve"> And then, there's also extortion. When I say ‘extortion’, it’s from both state and non-state actors…policemen are known for arresting people for their roles, or perceived sexual orientation or gender identity. When they see somebody they think is gay, they are arrest that person, extort them, beat them for having committed no crime.</w:t>
                      </w:r>
                    </w:p>
                    <w:p w:rsidR="006D6A0C" w:rsidRPr="006E3C5B" w:rsidRDefault="006D6A0C" w:rsidP="006E3C5B">
                      <w:pPr>
                        <w:pStyle w:val="ListParagraph"/>
                        <w:numPr>
                          <w:ilvl w:val="0"/>
                          <w:numId w:val="25"/>
                        </w:numPr>
                        <w:jc w:val="center"/>
                        <w:rPr>
                          <w:i/>
                          <w:iCs/>
                        </w:rPr>
                      </w:pPr>
                      <w:r>
                        <w:rPr>
                          <w:i/>
                          <w:iCs/>
                          <w:lang w:val="en-US"/>
                        </w:rPr>
                        <w:t>Female Key Informant, Lagos</w:t>
                      </w:r>
                    </w:p>
                    <w:p w:rsidR="006D6A0C" w:rsidRDefault="006D6A0C" w:rsidP="00E75191">
                      <w:pPr>
                        <w:jc w:val="center"/>
                      </w:pPr>
                    </w:p>
                  </w:txbxContent>
                </v:textbox>
                <w10:anchorlock/>
              </v:rect>
            </w:pict>
          </mc:Fallback>
        </mc:AlternateContent>
      </w:r>
    </w:p>
    <w:p w14:paraId="058DB7F1" w14:textId="77777777" w:rsidR="00D45B82" w:rsidRDefault="00D45B82" w:rsidP="00D45B82">
      <w:pPr>
        <w:spacing w:line="276" w:lineRule="auto"/>
        <w:jc w:val="both"/>
        <w:rPr>
          <w:sz w:val="24"/>
          <w:szCs w:val="24"/>
        </w:rPr>
      </w:pPr>
      <w:r>
        <w:rPr>
          <w:sz w:val="24"/>
          <w:szCs w:val="24"/>
        </w:rPr>
        <w:t xml:space="preserve">Sexual minorities also undergo stigmatisation and discrimination at micro, meso and macro levels. They experience </w:t>
      </w:r>
      <w:r w:rsidRPr="0029547C">
        <w:rPr>
          <w:sz w:val="24"/>
          <w:szCs w:val="24"/>
        </w:rPr>
        <w:t xml:space="preserve">violence </w:t>
      </w:r>
      <w:r>
        <w:rPr>
          <w:sz w:val="24"/>
          <w:szCs w:val="24"/>
        </w:rPr>
        <w:t>including police-led harassment</w:t>
      </w:r>
      <w:r w:rsidR="009C4301">
        <w:rPr>
          <w:sz w:val="24"/>
          <w:szCs w:val="24"/>
        </w:rPr>
        <w:t>,</w:t>
      </w:r>
      <w:r w:rsidR="00683CC1">
        <w:rPr>
          <w:sz w:val="24"/>
          <w:szCs w:val="24"/>
        </w:rPr>
        <w:t xml:space="preserve"> and bullying at different </w:t>
      </w:r>
      <w:r w:rsidR="00E070F6">
        <w:rPr>
          <w:sz w:val="24"/>
          <w:szCs w:val="24"/>
        </w:rPr>
        <w:t>levels</w:t>
      </w:r>
      <w:r w:rsidR="009C4301" w:rsidRPr="0029547C">
        <w:rPr>
          <w:sz w:val="24"/>
          <w:szCs w:val="24"/>
        </w:rPr>
        <w:t>.</w:t>
      </w:r>
      <w:r>
        <w:rPr>
          <w:rStyle w:val="FootnoteReference"/>
          <w:sz w:val="24"/>
          <w:szCs w:val="24"/>
        </w:rPr>
        <w:footnoteReference w:id="228"/>
      </w:r>
      <w:r w:rsidRPr="0029547C">
        <w:rPr>
          <w:sz w:val="24"/>
          <w:szCs w:val="24"/>
        </w:rPr>
        <w:t xml:space="preserve"> </w:t>
      </w:r>
      <w:r>
        <w:rPr>
          <w:sz w:val="24"/>
          <w:szCs w:val="24"/>
        </w:rPr>
        <w:t xml:space="preserve"> Respondents noted the limited acceptance of sexual minorities and the negative role of the Same Sex Prohibition Act, 2013 which prohibits same sex marriage and association in the country. </w:t>
      </w:r>
    </w:p>
    <w:p w14:paraId="3DDC74FC" w14:textId="77777777" w:rsidR="009C4301" w:rsidRDefault="009C4301" w:rsidP="00D45B82">
      <w:pPr>
        <w:spacing w:line="276" w:lineRule="auto"/>
        <w:jc w:val="both"/>
        <w:rPr>
          <w:sz w:val="24"/>
          <w:szCs w:val="24"/>
        </w:rPr>
      </w:pPr>
    </w:p>
    <w:p w14:paraId="4D80CA01" w14:textId="77777777" w:rsidR="00681F77" w:rsidRPr="00EB6159" w:rsidRDefault="00530253" w:rsidP="00EB6159">
      <w:pPr>
        <w:rPr>
          <w:rStyle w:val="IntenseEmphasis"/>
        </w:rPr>
      </w:pPr>
      <w:r w:rsidRPr="00EB6159">
        <w:rPr>
          <w:rStyle w:val="IntenseEmphasis"/>
        </w:rPr>
        <w:t>Illustrative Finding</w:t>
      </w:r>
      <w:r w:rsidR="00681F77" w:rsidRPr="00EB6159">
        <w:rPr>
          <w:rStyle w:val="IntenseEmphasis"/>
        </w:rPr>
        <w:t xml:space="preserve">: Social Acceptance of </w:t>
      </w:r>
      <w:r w:rsidR="00D45B82" w:rsidRPr="00EB6159">
        <w:rPr>
          <w:rStyle w:val="IntenseEmphasis"/>
        </w:rPr>
        <w:t>Sexual Minorities</w:t>
      </w:r>
      <w:r w:rsidR="00681F77" w:rsidRPr="00EB6159">
        <w:rPr>
          <w:rStyle w:val="IntenseEmphasis"/>
        </w:rPr>
        <w:t xml:space="preserve">  </w:t>
      </w:r>
    </w:p>
    <w:p w14:paraId="60D255C3" w14:textId="77777777" w:rsidR="00681F77" w:rsidRPr="00E75191" w:rsidRDefault="00681F77" w:rsidP="00E75191">
      <w:pPr>
        <w:autoSpaceDE w:val="0"/>
        <w:autoSpaceDN w:val="0"/>
        <w:adjustRightInd w:val="0"/>
        <w:spacing w:after="0" w:line="240" w:lineRule="auto"/>
        <w:jc w:val="both"/>
        <w:rPr>
          <w:rFonts w:cstheme="minorHAnsi"/>
          <w:sz w:val="24"/>
          <w:szCs w:val="24"/>
        </w:rPr>
      </w:pPr>
      <w:r w:rsidRPr="00E75191">
        <w:rPr>
          <w:rFonts w:cstheme="minorHAnsi"/>
          <w:sz w:val="24"/>
          <w:szCs w:val="24"/>
        </w:rPr>
        <w:t xml:space="preserve">Figure 10 indicates that 50.7% of the respondents stated that sexual minorities are not perceived as equal in the society. Within states, it is noteworthy that Anambra and Lagos states record the highest percentage with respect to non-acceptance of sexual minorities as equal in the society reflecting at 73.7% and 61.6% respectively. Two northern states </w:t>
      </w:r>
      <w:r w:rsidRPr="00E75191">
        <w:rPr>
          <w:rFonts w:cstheme="minorHAnsi"/>
          <w:sz w:val="24"/>
          <w:szCs w:val="24"/>
        </w:rPr>
        <w:lastRenderedPageBreak/>
        <w:t>(Adamawa and Kano) however indicated that sexual minorities are perceived as equal at the percentages of 48.1 and 48.6% respectively</w:t>
      </w:r>
      <w:r w:rsidR="00847FAA">
        <w:rPr>
          <w:rFonts w:cstheme="minorHAnsi"/>
          <w:sz w:val="24"/>
          <w:szCs w:val="24"/>
        </w:rPr>
        <w:t>.</w:t>
      </w:r>
    </w:p>
    <w:p w14:paraId="00310C09" w14:textId="77777777" w:rsidR="00681F77" w:rsidRDefault="00681F77" w:rsidP="00E75191">
      <w:pPr>
        <w:autoSpaceDE w:val="0"/>
        <w:autoSpaceDN w:val="0"/>
        <w:adjustRightInd w:val="0"/>
        <w:spacing w:after="0" w:line="240" w:lineRule="auto"/>
        <w:rPr>
          <w:rFonts w:ascii="Arial" w:hAnsi="Arial" w:cs="Arial"/>
          <w:sz w:val="18"/>
          <w:szCs w:val="18"/>
        </w:rPr>
      </w:pPr>
    </w:p>
    <w:p w14:paraId="74A761D9" w14:textId="77777777" w:rsidR="00681F77" w:rsidRDefault="00681F77" w:rsidP="00E75191">
      <w:pPr>
        <w:autoSpaceDE w:val="0"/>
        <w:autoSpaceDN w:val="0"/>
        <w:adjustRightInd w:val="0"/>
        <w:spacing w:after="0" w:line="240" w:lineRule="auto"/>
        <w:rPr>
          <w:rFonts w:ascii="Arial" w:hAnsi="Arial" w:cs="Arial"/>
          <w:sz w:val="18"/>
          <w:szCs w:val="18"/>
        </w:rPr>
      </w:pPr>
    </w:p>
    <w:p w14:paraId="5461C4F5" w14:textId="77777777" w:rsidR="00681F77" w:rsidRDefault="00681F77" w:rsidP="00E75191">
      <w:pPr>
        <w:keepNext/>
        <w:autoSpaceDE w:val="0"/>
        <w:autoSpaceDN w:val="0"/>
        <w:adjustRightInd w:val="0"/>
        <w:spacing w:after="0" w:line="240" w:lineRule="auto"/>
      </w:pPr>
      <w:r>
        <w:rPr>
          <w:noProof/>
          <w:lang w:val="en-IE" w:eastAsia="en-IE"/>
        </w:rPr>
        <w:drawing>
          <wp:inline distT="0" distB="0" distL="0" distR="0" wp14:anchorId="316F7E74" wp14:editId="1D53062E">
            <wp:extent cx="5781675" cy="2467610"/>
            <wp:effectExtent l="0" t="0" r="9525" b="8890"/>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45CDCE49" w14:textId="77777777" w:rsidR="00681F77" w:rsidRDefault="00681F77" w:rsidP="00E75191">
      <w:pPr>
        <w:pStyle w:val="Caption"/>
        <w:spacing w:before="240"/>
        <w:jc w:val="center"/>
        <w:rPr>
          <w:rFonts w:ascii="Arial" w:hAnsi="Arial" w:cs="Arial"/>
          <w:b/>
          <w:color w:val="264A60"/>
        </w:rPr>
      </w:pPr>
      <w:r>
        <w:t xml:space="preserve">Figure </w:t>
      </w:r>
      <w:fldSimple w:instr=" SEQ Figure \* ARABIC ">
        <w:r w:rsidR="00C15490">
          <w:rPr>
            <w:noProof/>
          </w:rPr>
          <w:t>17</w:t>
        </w:r>
      </w:fldSimple>
      <w:r>
        <w:t xml:space="preserve"> </w:t>
      </w:r>
      <w:r w:rsidRPr="00271230">
        <w:t>Do you think gender and sexual minoriti</w:t>
      </w:r>
      <w:r w:rsidR="00E75191">
        <w:t>es (e.g gay, lesbian, queer etc</w:t>
      </w:r>
      <w:r w:rsidRPr="00271230">
        <w:t xml:space="preserve">) are perceived as equal </w:t>
      </w:r>
      <w:r>
        <w:t>and treated so in the society? (</w:t>
      </w:r>
      <w:r w:rsidR="00E75191">
        <w:t>Disaggregated</w:t>
      </w:r>
      <w:r>
        <w:t xml:space="preserve"> b</w:t>
      </w:r>
      <w:r w:rsidRPr="00271230">
        <w:t>y</w:t>
      </w:r>
      <w:r w:rsidR="00FB40FB">
        <w:t xml:space="preserve"> states</w:t>
      </w:r>
      <w:r w:rsidR="00E75191">
        <w:t>)</w:t>
      </w:r>
    </w:p>
    <w:p w14:paraId="036F93D9" w14:textId="77777777" w:rsidR="00E75191" w:rsidRDefault="00E75191">
      <w:pPr>
        <w:rPr>
          <w:sz w:val="24"/>
          <w:szCs w:val="24"/>
        </w:rPr>
      </w:pPr>
      <w:r>
        <w:rPr>
          <w:sz w:val="24"/>
          <w:szCs w:val="24"/>
        </w:rPr>
        <w:br w:type="page"/>
      </w:r>
    </w:p>
    <w:p w14:paraId="6A87B0B0" w14:textId="77777777" w:rsidR="00A24BA0" w:rsidRDefault="00A24BA0" w:rsidP="00E75191">
      <w:pPr>
        <w:spacing w:line="240" w:lineRule="auto"/>
        <w:jc w:val="both"/>
        <w:rPr>
          <w:b/>
          <w:sz w:val="24"/>
          <w:szCs w:val="24"/>
        </w:rPr>
      </w:pPr>
      <w:r w:rsidRPr="00744F56">
        <w:rPr>
          <w:b/>
          <w:noProof/>
          <w:sz w:val="24"/>
          <w:szCs w:val="24"/>
          <w:lang w:val="en-IE" w:eastAsia="en-IE"/>
        </w:rPr>
        <w:lastRenderedPageBreak/>
        <mc:AlternateContent>
          <mc:Choice Requires="wps">
            <w:drawing>
              <wp:anchor distT="0" distB="0" distL="114300" distR="114300" simplePos="0" relativeHeight="251687936" behindDoc="0" locked="0" layoutInCell="1" allowOverlap="1" wp14:anchorId="1520C49E" wp14:editId="252393D4">
                <wp:simplePos x="0" y="0"/>
                <wp:positionH relativeFrom="column">
                  <wp:align>center</wp:align>
                </wp:positionH>
                <wp:positionV relativeFrom="paragraph">
                  <wp:posOffset>0</wp:posOffset>
                </wp:positionV>
                <wp:extent cx="5857875" cy="1403985"/>
                <wp:effectExtent l="0" t="0" r="28575" b="1397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1403985"/>
                        </a:xfrm>
                        <a:prstGeom prst="rect">
                          <a:avLst/>
                        </a:prstGeom>
                        <a:solidFill>
                          <a:schemeClr val="accent1">
                            <a:lumMod val="60000"/>
                            <a:lumOff val="40000"/>
                          </a:schemeClr>
                        </a:solidFill>
                        <a:ln w="9525">
                          <a:solidFill>
                            <a:schemeClr val="accent1">
                              <a:lumMod val="60000"/>
                              <a:lumOff val="40000"/>
                            </a:schemeClr>
                          </a:solidFill>
                          <a:miter lim="800000"/>
                          <a:headEnd/>
                          <a:tailEnd/>
                        </a:ln>
                      </wps:spPr>
                      <wps:txbx>
                        <w:txbxContent>
                          <w:p w14:paraId="5E8EBF42" w14:textId="77777777" w:rsidR="006D6A0C" w:rsidRPr="005667FD" w:rsidRDefault="006D6A0C" w:rsidP="005667FD">
                            <w:pPr>
                              <w:pStyle w:val="Heading1"/>
                              <w:rPr>
                                <w:color w:val="auto"/>
                                <w:sz w:val="56"/>
                                <w:szCs w:val="56"/>
                              </w:rPr>
                            </w:pPr>
                            <w:bookmarkStart w:id="49" w:name="_Toc81228183"/>
                            <w:bookmarkStart w:id="50" w:name="_Toc81228291"/>
                            <w:bookmarkStart w:id="51" w:name="_Toc81229102"/>
                            <w:r w:rsidRPr="005667FD">
                              <w:rPr>
                                <w:color w:val="auto"/>
                                <w:sz w:val="56"/>
                                <w:szCs w:val="56"/>
                              </w:rPr>
                              <w:t>4. Summary of Findings</w:t>
                            </w:r>
                            <w:bookmarkEnd w:id="49"/>
                            <w:bookmarkEnd w:id="50"/>
                            <w:bookmarkEnd w:id="51"/>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20C49E" id="_x0000_s1062" type="#_x0000_t202" style="position:absolute;left:0;text-align:left;margin-left:0;margin-top:0;width:461.25pt;height:110.55pt;z-index:251687936;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" fillcolor="#9cc2e5 [1940]" strokecolor="#9cc2e5 [1940]">
                <v:textbox style="mso-fit-shape-to-text:t">
                  <w:txbxContent>
                    <w:p w:rsidR="006D6A0C" w:rsidRPr="005667FD" w:rsidRDefault="006D6A0C" w:rsidP="005667FD">
                      <w:pPr>
                        <w:pStyle w:val="Heading1"/>
                        <w:rPr>
                          <w:color w:val="auto"/>
                          <w:sz w:val="56"/>
                          <w:szCs w:val="56"/>
                        </w:rPr>
                      </w:pPr>
                      <w:bookmarkStart w:id="92" w:name="_Toc81228183"/>
                      <w:bookmarkStart w:id="93" w:name="_Toc81228291"/>
                      <w:bookmarkStart w:id="94" w:name="_Toc81229102"/>
                      <w:r w:rsidRPr="005667FD">
                        <w:rPr>
                          <w:color w:val="auto"/>
                          <w:sz w:val="56"/>
                          <w:szCs w:val="56"/>
                        </w:rPr>
                        <w:t>4. Summary of Findings</w:t>
                      </w:r>
                      <w:bookmarkEnd w:id="92"/>
                      <w:bookmarkEnd w:id="93"/>
                      <w:bookmarkEnd w:id="94"/>
                    </w:p>
                  </w:txbxContent>
                </v:textbox>
              </v:shape>
            </w:pict>
          </mc:Fallback>
        </mc:AlternateContent>
      </w:r>
    </w:p>
    <w:p w14:paraId="254C34C0" w14:textId="77777777" w:rsidR="00A24BA0" w:rsidRDefault="00A24BA0" w:rsidP="00E75191">
      <w:pPr>
        <w:spacing w:line="240" w:lineRule="auto"/>
        <w:jc w:val="both"/>
        <w:rPr>
          <w:sz w:val="24"/>
          <w:szCs w:val="24"/>
        </w:rPr>
      </w:pPr>
    </w:p>
    <w:p w14:paraId="77906132" w14:textId="77777777" w:rsidR="005667FD" w:rsidRDefault="005667FD" w:rsidP="00E75191">
      <w:pPr>
        <w:spacing w:line="240" w:lineRule="auto"/>
        <w:jc w:val="both"/>
        <w:rPr>
          <w:sz w:val="24"/>
          <w:szCs w:val="24"/>
        </w:rPr>
      </w:pPr>
    </w:p>
    <w:p w14:paraId="78EDA4E2" w14:textId="77777777" w:rsidR="00E75191" w:rsidRDefault="00E75191" w:rsidP="00E75191">
      <w:pPr>
        <w:spacing w:line="240" w:lineRule="auto"/>
        <w:jc w:val="both"/>
        <w:rPr>
          <w:sz w:val="24"/>
          <w:szCs w:val="24"/>
        </w:rPr>
      </w:pPr>
      <w:r>
        <w:rPr>
          <w:sz w:val="24"/>
          <w:szCs w:val="24"/>
        </w:rPr>
        <w:t>The Report has set out the status of gender equality in Nigeria. As the Global Gender Gap report indicates, Nigeria has regressed in some respects, indicating the need for programmatic interventions to address continuing gaps. The key findings from the research (comprising the literature review, quantitative and qualitative study) are set out in summary form below.</w:t>
      </w:r>
    </w:p>
    <w:p w14:paraId="4FDB7DB1" w14:textId="77777777" w:rsidR="00E75191" w:rsidRDefault="00E75191" w:rsidP="00E75191">
      <w:pPr>
        <w:pStyle w:val="ListParagraph"/>
        <w:numPr>
          <w:ilvl w:val="0"/>
          <w:numId w:val="15"/>
        </w:numPr>
        <w:spacing w:line="240" w:lineRule="auto"/>
        <w:ind w:left="360"/>
        <w:jc w:val="both"/>
        <w:rPr>
          <w:sz w:val="24"/>
          <w:szCs w:val="24"/>
          <w:lang w:val="en-US"/>
        </w:rPr>
      </w:pPr>
      <w:r>
        <w:rPr>
          <w:sz w:val="24"/>
          <w:szCs w:val="24"/>
          <w:lang w:val="en-US"/>
        </w:rPr>
        <w:t>Nigeria is signatory to several international instruments that make fundamental provisions on gender equality. The Constitution also prohibits discrimination on the basis of sex. There have been ongoing efforts to strengthen the legal framework for gender equality especially in the areas of gender-based violence. The Gender and Equal Opportunities Bill has been re-presented in the National Assembly.  Several policies have also been put in place across a variety of sectors to address gender equality. However, there are continuing challenges wit</w:t>
      </w:r>
      <w:r w:rsidR="006B2116">
        <w:rPr>
          <w:sz w:val="24"/>
          <w:szCs w:val="24"/>
          <w:lang w:val="en-US"/>
        </w:rPr>
        <w:t>h the tripartite system of laws. As noted, some provisions of existing laws like the Penal Code do not conform</w:t>
      </w:r>
      <w:r>
        <w:rPr>
          <w:sz w:val="24"/>
          <w:szCs w:val="24"/>
          <w:lang w:val="en-US"/>
        </w:rPr>
        <w:t xml:space="preserve"> with the constitutional mandate against discrimination on the basis of sex.  </w:t>
      </w:r>
      <w:r w:rsidR="006B2116">
        <w:rPr>
          <w:sz w:val="24"/>
          <w:szCs w:val="24"/>
          <w:lang w:val="en-US"/>
        </w:rPr>
        <w:t xml:space="preserve">Some States, especially in the North, have yet to adopt progressive legislation such as the VAPP Act and the Child Rights Act. </w:t>
      </w:r>
      <w:r>
        <w:rPr>
          <w:sz w:val="24"/>
          <w:szCs w:val="24"/>
          <w:lang w:val="en-US"/>
        </w:rPr>
        <w:t xml:space="preserve">Both the qualitative and quantitative studies indicated that there are gaps in the knowledge of </w:t>
      </w:r>
      <w:r w:rsidR="0046541D">
        <w:rPr>
          <w:sz w:val="24"/>
          <w:szCs w:val="24"/>
          <w:lang w:val="en-US"/>
        </w:rPr>
        <w:t xml:space="preserve">the </w:t>
      </w:r>
      <w:r>
        <w:rPr>
          <w:sz w:val="24"/>
          <w:szCs w:val="24"/>
          <w:lang w:val="en-US"/>
        </w:rPr>
        <w:t>general public on extant laws and policies. Another key finding is the lack of knowledge about relevant laws and policies</w:t>
      </w:r>
      <w:r w:rsidR="0046541D">
        <w:rPr>
          <w:sz w:val="24"/>
          <w:szCs w:val="24"/>
          <w:lang w:val="en-US"/>
        </w:rPr>
        <w:t xml:space="preserve">, as </w:t>
      </w:r>
      <w:r>
        <w:rPr>
          <w:sz w:val="24"/>
          <w:szCs w:val="24"/>
          <w:lang w:val="en-US"/>
        </w:rPr>
        <w:t xml:space="preserve">evident in both the qualitative research and quantitative surveys.  This suggests the need to focus not only </w:t>
      </w:r>
      <w:r w:rsidR="0046541D">
        <w:rPr>
          <w:sz w:val="24"/>
          <w:szCs w:val="24"/>
          <w:lang w:val="en-US"/>
        </w:rPr>
        <w:t>on changing/adopting</w:t>
      </w:r>
      <w:r>
        <w:rPr>
          <w:sz w:val="24"/>
          <w:szCs w:val="24"/>
          <w:lang w:val="en-US"/>
        </w:rPr>
        <w:t xml:space="preserve"> laws and policies but </w:t>
      </w:r>
      <w:r w:rsidR="0046541D">
        <w:rPr>
          <w:sz w:val="24"/>
          <w:szCs w:val="24"/>
          <w:lang w:val="en-US"/>
        </w:rPr>
        <w:t xml:space="preserve">also ensuring </w:t>
      </w:r>
      <w:r>
        <w:rPr>
          <w:sz w:val="24"/>
          <w:szCs w:val="24"/>
          <w:lang w:val="en-US"/>
        </w:rPr>
        <w:t xml:space="preserve">that </w:t>
      </w:r>
      <w:r w:rsidR="0046541D">
        <w:rPr>
          <w:sz w:val="24"/>
          <w:szCs w:val="24"/>
          <w:lang w:val="en-US"/>
        </w:rPr>
        <w:t xml:space="preserve">these are widely </w:t>
      </w:r>
      <w:r>
        <w:rPr>
          <w:sz w:val="24"/>
          <w:szCs w:val="24"/>
          <w:lang w:val="en-US"/>
        </w:rPr>
        <w:t>disseminat</w:t>
      </w:r>
      <w:r w:rsidR="0046541D">
        <w:rPr>
          <w:sz w:val="24"/>
          <w:szCs w:val="24"/>
          <w:lang w:val="en-US"/>
        </w:rPr>
        <w:t>ed</w:t>
      </w:r>
      <w:r>
        <w:rPr>
          <w:sz w:val="24"/>
          <w:szCs w:val="24"/>
          <w:lang w:val="en-US"/>
        </w:rPr>
        <w:t xml:space="preserve">. </w:t>
      </w:r>
      <w:r w:rsidR="006B2116">
        <w:rPr>
          <w:sz w:val="24"/>
          <w:szCs w:val="24"/>
          <w:lang w:val="en-US"/>
        </w:rPr>
        <w:t xml:space="preserve"> Lack of awareness will limit reliance and use of the law by women and men who are discriminated against on the basis of gender or who face GBV.  This also</w:t>
      </w:r>
      <w:r>
        <w:rPr>
          <w:sz w:val="24"/>
          <w:szCs w:val="24"/>
          <w:lang w:val="en-US"/>
        </w:rPr>
        <w:t xml:space="preserve"> indicates a</w:t>
      </w:r>
      <w:r w:rsidR="006B2116">
        <w:rPr>
          <w:sz w:val="24"/>
          <w:szCs w:val="24"/>
          <w:lang w:val="en-US"/>
        </w:rPr>
        <w:t xml:space="preserve"> further</w:t>
      </w:r>
      <w:r>
        <w:rPr>
          <w:sz w:val="24"/>
          <w:szCs w:val="24"/>
          <w:lang w:val="en-US"/>
        </w:rPr>
        <w:t xml:space="preserve"> need for grassroots engagement. </w:t>
      </w:r>
      <w:r w:rsidR="00615377">
        <w:rPr>
          <w:sz w:val="24"/>
          <w:szCs w:val="24"/>
          <w:lang w:val="en-US"/>
        </w:rPr>
        <w:t xml:space="preserve"> Furthermore, w</w:t>
      </w:r>
      <w:r w:rsidR="006B2116">
        <w:rPr>
          <w:sz w:val="24"/>
          <w:szCs w:val="24"/>
          <w:lang w:val="en-US"/>
        </w:rPr>
        <w:t xml:space="preserve">hile there are more progressive laws in place including the VAPP Act, the CRA, the Police Act, there is need for continued advocacy for implementation of these laws as well as the international instruments. </w:t>
      </w:r>
    </w:p>
    <w:p w14:paraId="3271D86D" w14:textId="77777777" w:rsidR="00E75191" w:rsidRDefault="00E75191" w:rsidP="00E75191">
      <w:pPr>
        <w:pStyle w:val="ListParagraph"/>
        <w:spacing w:line="240" w:lineRule="auto"/>
        <w:ind w:left="360"/>
        <w:jc w:val="both"/>
        <w:rPr>
          <w:sz w:val="24"/>
          <w:szCs w:val="24"/>
          <w:lang w:val="en-US"/>
        </w:rPr>
      </w:pPr>
    </w:p>
    <w:p w14:paraId="5488A15E" w14:textId="77777777" w:rsidR="00E75191" w:rsidRDefault="00E75191" w:rsidP="00E75191">
      <w:pPr>
        <w:pStyle w:val="ListParagraph"/>
        <w:numPr>
          <w:ilvl w:val="0"/>
          <w:numId w:val="15"/>
        </w:numPr>
        <w:spacing w:line="240" w:lineRule="auto"/>
        <w:ind w:left="360"/>
        <w:jc w:val="both"/>
        <w:rPr>
          <w:sz w:val="24"/>
          <w:szCs w:val="24"/>
        </w:rPr>
      </w:pPr>
      <w:r>
        <w:rPr>
          <w:sz w:val="24"/>
          <w:szCs w:val="24"/>
        </w:rPr>
        <w:t xml:space="preserve">The role of gender norms was emphasised strongly by respondents in the qualitative study and is also evident from the literature. It permeates all aspects of the thematic analysis, ranging from political participation, to diversity of corporate boards, to health care seeking to digital technologies uptake. </w:t>
      </w:r>
      <w:r w:rsidR="006B2116">
        <w:rPr>
          <w:sz w:val="24"/>
          <w:szCs w:val="24"/>
          <w:lang w:val="en-US"/>
        </w:rPr>
        <w:t xml:space="preserve">  The result is that harmful gender norms continue to drive gender inequality in almost all spheres of life, </w:t>
      </w:r>
      <w:r w:rsidR="0046541D">
        <w:rPr>
          <w:sz w:val="24"/>
          <w:szCs w:val="24"/>
          <w:lang w:val="en-GB"/>
        </w:rPr>
        <w:t>R</w:t>
      </w:r>
      <w:r>
        <w:rPr>
          <w:sz w:val="24"/>
          <w:szCs w:val="24"/>
        </w:rPr>
        <w:t xml:space="preserve">espondents </w:t>
      </w:r>
      <w:r>
        <w:rPr>
          <w:sz w:val="24"/>
          <w:szCs w:val="24"/>
          <w:lang w:val="en-GB"/>
        </w:rPr>
        <w:t xml:space="preserve">noted that there is a shift in harmful gender norms but it is </w:t>
      </w:r>
      <w:r w:rsidR="0046541D">
        <w:rPr>
          <w:sz w:val="24"/>
          <w:szCs w:val="24"/>
          <w:lang w:val="en-GB"/>
        </w:rPr>
        <w:t>not enough</w:t>
      </w:r>
      <w:r>
        <w:rPr>
          <w:sz w:val="24"/>
          <w:szCs w:val="24"/>
          <w:lang w:val="en-GB"/>
        </w:rPr>
        <w:t>.</w:t>
      </w:r>
      <w:r w:rsidR="0046541D">
        <w:rPr>
          <w:sz w:val="24"/>
          <w:szCs w:val="24"/>
          <w:lang w:val="en-GB"/>
        </w:rPr>
        <w:t xml:space="preserve"> </w:t>
      </w:r>
      <w:r>
        <w:rPr>
          <w:sz w:val="24"/>
          <w:szCs w:val="24"/>
        </w:rPr>
        <w:t xml:space="preserve">The quantitative analysis also bears out the understanding that men and women are generally not considered equal. The finding of the role that gender norms play indicates a need for more active </w:t>
      </w:r>
      <w:r w:rsidR="00710C37">
        <w:rPr>
          <w:sz w:val="24"/>
          <w:szCs w:val="24"/>
          <w:lang w:val="en-US"/>
        </w:rPr>
        <w:t xml:space="preserve">and unrelenting </w:t>
      </w:r>
      <w:r>
        <w:rPr>
          <w:sz w:val="24"/>
          <w:szCs w:val="24"/>
        </w:rPr>
        <w:t xml:space="preserve">work on social/gender norms transformation at all levels. </w:t>
      </w:r>
    </w:p>
    <w:p w14:paraId="18A36FD6" w14:textId="77777777" w:rsidR="00E75191" w:rsidRDefault="00E75191" w:rsidP="00E75191">
      <w:pPr>
        <w:pStyle w:val="ListParagraph"/>
        <w:rPr>
          <w:b/>
          <w:sz w:val="24"/>
          <w:szCs w:val="24"/>
          <w:lang w:val="en-US"/>
        </w:rPr>
      </w:pPr>
    </w:p>
    <w:p w14:paraId="510632AB" w14:textId="77777777" w:rsidR="00E75191" w:rsidRDefault="00E75191" w:rsidP="00E75191">
      <w:pPr>
        <w:pStyle w:val="ListParagraph"/>
        <w:numPr>
          <w:ilvl w:val="0"/>
          <w:numId w:val="15"/>
        </w:numPr>
        <w:spacing w:line="240" w:lineRule="auto"/>
        <w:ind w:left="360"/>
        <w:jc w:val="both"/>
        <w:rPr>
          <w:sz w:val="24"/>
          <w:szCs w:val="24"/>
        </w:rPr>
      </w:pPr>
      <w:r>
        <w:rPr>
          <w:sz w:val="24"/>
          <w:szCs w:val="24"/>
          <w:lang w:val="en-US"/>
        </w:rPr>
        <w:t xml:space="preserve">Women’s political participation remains low, one of the lowest in the world, and appears to be further declining. </w:t>
      </w:r>
      <w:r>
        <w:rPr>
          <w:sz w:val="24"/>
          <w:szCs w:val="24"/>
        </w:rPr>
        <w:t xml:space="preserve">The study found that while progress has been made on political participation since the current democratic dispensation, there are still many gaps.  </w:t>
      </w:r>
      <w:r w:rsidR="0046541D">
        <w:rPr>
          <w:sz w:val="24"/>
          <w:szCs w:val="24"/>
          <w:lang w:val="en-GB"/>
        </w:rPr>
        <w:t>A</w:t>
      </w:r>
      <w:r>
        <w:rPr>
          <w:sz w:val="24"/>
          <w:szCs w:val="24"/>
        </w:rPr>
        <w:t>t the national level, there has been some setback in the last two elections specifically for the national legislature.</w:t>
      </w:r>
      <w:r w:rsidR="00615377">
        <w:rPr>
          <w:sz w:val="24"/>
          <w:szCs w:val="24"/>
          <w:lang w:val="en-US"/>
        </w:rPr>
        <w:t xml:space="preserve">  However, even with executive positions, there is need for continued advocacy to ensure that there is better gender parity. </w:t>
      </w:r>
      <w:r>
        <w:rPr>
          <w:sz w:val="24"/>
          <w:szCs w:val="24"/>
        </w:rPr>
        <w:t xml:space="preserve"> Several factors ha</w:t>
      </w:r>
      <w:r w:rsidR="00615377">
        <w:rPr>
          <w:sz w:val="24"/>
          <w:szCs w:val="24"/>
        </w:rPr>
        <w:t xml:space="preserve">ve been identified </w:t>
      </w:r>
      <w:r w:rsidR="00615377">
        <w:rPr>
          <w:sz w:val="24"/>
          <w:szCs w:val="24"/>
        </w:rPr>
        <w:lastRenderedPageBreak/>
        <w:t>as causative including women’</w:t>
      </w:r>
      <w:r w:rsidR="00615377">
        <w:rPr>
          <w:sz w:val="24"/>
          <w:szCs w:val="24"/>
          <w:lang w:val="en-US"/>
        </w:rPr>
        <w:t xml:space="preserve">s relative limited access to finances.  Gender norms continue to play a role here and there is need for further engagement with organisations such as the media to ensure that women participating in politics are showcased. </w:t>
      </w:r>
      <w:r>
        <w:rPr>
          <w:sz w:val="24"/>
          <w:szCs w:val="24"/>
        </w:rPr>
        <w:t xml:space="preserve"> </w:t>
      </w:r>
    </w:p>
    <w:p w14:paraId="75D2A05C" w14:textId="77777777" w:rsidR="00E75191" w:rsidRDefault="00E75191" w:rsidP="00E75191">
      <w:pPr>
        <w:pStyle w:val="ListParagraph"/>
        <w:rPr>
          <w:b/>
          <w:sz w:val="24"/>
          <w:szCs w:val="24"/>
          <w:lang w:val="en-US"/>
        </w:rPr>
      </w:pPr>
    </w:p>
    <w:p w14:paraId="2C5EEC40" w14:textId="77777777" w:rsidR="00E75191" w:rsidRDefault="00E75191" w:rsidP="00E75191">
      <w:pPr>
        <w:pStyle w:val="ListParagraph"/>
        <w:numPr>
          <w:ilvl w:val="0"/>
          <w:numId w:val="15"/>
        </w:numPr>
        <w:spacing w:line="240" w:lineRule="auto"/>
        <w:ind w:left="360"/>
        <w:jc w:val="both"/>
        <w:rPr>
          <w:sz w:val="24"/>
          <w:szCs w:val="24"/>
          <w:lang w:val="en-US"/>
        </w:rPr>
      </w:pPr>
      <w:r>
        <w:rPr>
          <w:sz w:val="24"/>
          <w:szCs w:val="24"/>
          <w:lang w:val="en-US"/>
        </w:rPr>
        <w:t xml:space="preserve">Poverty and inequality cut across men and women with the most recent study from the NBS indicating that 4 in 10 Nigerian, both men and women, are poor. However, poverty is also gendered, with women disproportionately affected. The study found that poverty affects many aspects of life including financial inclusion, access to essential services </w:t>
      </w:r>
      <w:r w:rsidR="005370AF">
        <w:rPr>
          <w:sz w:val="24"/>
          <w:szCs w:val="24"/>
          <w:lang w:val="en-US"/>
        </w:rPr>
        <w:t xml:space="preserve">such as education and </w:t>
      </w:r>
      <w:r>
        <w:rPr>
          <w:sz w:val="24"/>
          <w:szCs w:val="24"/>
          <w:lang w:val="en-US"/>
        </w:rPr>
        <w:t>health care</w:t>
      </w:r>
      <w:r w:rsidR="005370AF">
        <w:rPr>
          <w:sz w:val="24"/>
          <w:szCs w:val="24"/>
          <w:lang w:val="en-US"/>
        </w:rPr>
        <w:t>. This creates</w:t>
      </w:r>
      <w:r w:rsidR="00CA5E19">
        <w:rPr>
          <w:sz w:val="24"/>
          <w:szCs w:val="24"/>
          <w:lang w:val="en-US"/>
        </w:rPr>
        <w:t xml:space="preserve"> </w:t>
      </w:r>
      <w:r>
        <w:rPr>
          <w:sz w:val="24"/>
          <w:szCs w:val="24"/>
          <w:lang w:val="en-US"/>
        </w:rPr>
        <w:t xml:space="preserve">a vicious cycle where people, in particular women, are unable to save and be included in structured financial systems where they can borrow </w:t>
      </w:r>
      <w:r w:rsidR="005370AF">
        <w:rPr>
          <w:sz w:val="24"/>
          <w:szCs w:val="24"/>
          <w:lang w:val="en-US"/>
        </w:rPr>
        <w:t>money to start up a</w:t>
      </w:r>
      <w:r w:rsidR="00D6022A">
        <w:rPr>
          <w:sz w:val="24"/>
          <w:szCs w:val="24"/>
          <w:lang w:val="en-US"/>
        </w:rPr>
        <w:t xml:space="preserve"> business. Mu</w:t>
      </w:r>
      <w:r>
        <w:rPr>
          <w:sz w:val="24"/>
          <w:szCs w:val="24"/>
          <w:lang w:val="en-US"/>
        </w:rPr>
        <w:t>ch more research is needed into the rat</w:t>
      </w:r>
      <w:r w:rsidR="00D6022A">
        <w:rPr>
          <w:sz w:val="24"/>
          <w:szCs w:val="24"/>
          <w:lang w:val="en-US"/>
        </w:rPr>
        <w:t>es of female poverty in Nigeria, to understand the true prevalence and to help provide information.</w:t>
      </w:r>
      <w:r>
        <w:rPr>
          <w:sz w:val="24"/>
          <w:szCs w:val="24"/>
          <w:lang w:val="en-US"/>
        </w:rPr>
        <w:t xml:space="preserve"> </w:t>
      </w:r>
      <w:r w:rsidR="00337A12">
        <w:rPr>
          <w:sz w:val="24"/>
          <w:szCs w:val="24"/>
          <w:lang w:val="en-US"/>
        </w:rPr>
        <w:t xml:space="preserve"> </w:t>
      </w:r>
    </w:p>
    <w:p w14:paraId="509A0C6B" w14:textId="77777777" w:rsidR="00E75191" w:rsidRDefault="00E75191" w:rsidP="00E75191">
      <w:pPr>
        <w:pStyle w:val="ListParagraph"/>
        <w:spacing w:line="240" w:lineRule="auto"/>
        <w:jc w:val="both"/>
        <w:rPr>
          <w:sz w:val="24"/>
          <w:szCs w:val="24"/>
        </w:rPr>
      </w:pPr>
    </w:p>
    <w:p w14:paraId="40DB556A" w14:textId="77777777" w:rsidR="00E75191" w:rsidRDefault="00E75191" w:rsidP="00E75191">
      <w:pPr>
        <w:pStyle w:val="ListParagraph"/>
        <w:numPr>
          <w:ilvl w:val="0"/>
          <w:numId w:val="15"/>
        </w:numPr>
        <w:spacing w:line="240" w:lineRule="auto"/>
        <w:ind w:left="360"/>
        <w:jc w:val="both"/>
        <w:rPr>
          <w:sz w:val="24"/>
          <w:szCs w:val="24"/>
          <w:lang w:val="en-US"/>
        </w:rPr>
      </w:pPr>
      <w:r>
        <w:rPr>
          <w:sz w:val="24"/>
          <w:szCs w:val="24"/>
          <w:lang w:val="en-US"/>
        </w:rPr>
        <w:t>There have been increased effort to address gender-based violence. While violence affects both men</w:t>
      </w:r>
      <w:r w:rsidR="005370AF">
        <w:rPr>
          <w:sz w:val="24"/>
          <w:szCs w:val="24"/>
          <w:lang w:val="en-US"/>
        </w:rPr>
        <w:t>,</w:t>
      </w:r>
      <w:r>
        <w:rPr>
          <w:sz w:val="24"/>
          <w:szCs w:val="24"/>
          <w:lang w:val="en-US"/>
        </w:rPr>
        <w:t xml:space="preserve"> women</w:t>
      </w:r>
      <w:r w:rsidR="005370AF">
        <w:rPr>
          <w:sz w:val="24"/>
          <w:szCs w:val="24"/>
          <w:lang w:val="en-US"/>
        </w:rPr>
        <w:t xml:space="preserve"> and children</w:t>
      </w:r>
      <w:r>
        <w:rPr>
          <w:sz w:val="24"/>
          <w:szCs w:val="24"/>
          <w:lang w:val="en-US"/>
        </w:rPr>
        <w:t xml:space="preserve">, women and girls are disproportionately affected by all types of GBV prevalent in Nigeria. There has been progress in </w:t>
      </w:r>
      <w:r w:rsidR="005370AF">
        <w:rPr>
          <w:sz w:val="24"/>
          <w:szCs w:val="24"/>
          <w:lang w:val="en-US"/>
        </w:rPr>
        <w:t>eradication of GBV</w:t>
      </w:r>
      <w:r>
        <w:rPr>
          <w:sz w:val="24"/>
          <w:szCs w:val="24"/>
          <w:lang w:val="en-US"/>
        </w:rPr>
        <w:t xml:space="preserve">, including advocacy </w:t>
      </w:r>
      <w:r w:rsidR="005370AF">
        <w:rPr>
          <w:sz w:val="24"/>
          <w:szCs w:val="24"/>
          <w:lang w:val="en-US"/>
        </w:rPr>
        <w:t xml:space="preserve">and domestication of </w:t>
      </w:r>
      <w:r>
        <w:rPr>
          <w:sz w:val="24"/>
          <w:szCs w:val="24"/>
          <w:lang w:val="en-US"/>
        </w:rPr>
        <w:t>the Violence Against Persons’ Prohibition Act, 2015. However, the spike of violence against women and girls COVID-19 pandemic and high numbers of violence suggests that continued effort is necessary. Funding from the Spotlight Initiative was noted as key and helpful by respondents. There is need to understand continuing gaps in conviction rates</w:t>
      </w:r>
      <w:r w:rsidR="005370AF">
        <w:rPr>
          <w:sz w:val="24"/>
          <w:szCs w:val="24"/>
          <w:lang w:val="en-US"/>
        </w:rPr>
        <w:t xml:space="preserve"> of perpetuators of GBV</w:t>
      </w:r>
      <w:r>
        <w:rPr>
          <w:sz w:val="24"/>
          <w:szCs w:val="24"/>
          <w:lang w:val="en-US"/>
        </w:rPr>
        <w:t xml:space="preserve">.   </w:t>
      </w:r>
    </w:p>
    <w:p w14:paraId="3968969B" w14:textId="77777777" w:rsidR="00E75191" w:rsidRDefault="00E75191" w:rsidP="00E75191">
      <w:pPr>
        <w:pStyle w:val="ListParagraph"/>
        <w:rPr>
          <w:b/>
          <w:sz w:val="24"/>
          <w:szCs w:val="24"/>
          <w:lang w:val="en-US"/>
        </w:rPr>
      </w:pPr>
    </w:p>
    <w:p w14:paraId="7C667CA4" w14:textId="77777777" w:rsidR="00892DE8" w:rsidRPr="00892DE8" w:rsidRDefault="00E75191" w:rsidP="00892DE8">
      <w:pPr>
        <w:pStyle w:val="ListParagraph"/>
        <w:numPr>
          <w:ilvl w:val="0"/>
          <w:numId w:val="15"/>
        </w:numPr>
        <w:spacing w:line="240" w:lineRule="auto"/>
        <w:ind w:left="360"/>
        <w:jc w:val="both"/>
        <w:rPr>
          <w:b/>
          <w:sz w:val="24"/>
          <w:szCs w:val="24"/>
          <w:lang w:val="en-US"/>
        </w:rPr>
      </w:pPr>
      <w:r>
        <w:rPr>
          <w:sz w:val="24"/>
          <w:szCs w:val="24"/>
          <w:lang w:val="en-US"/>
        </w:rPr>
        <w:t>There are ongoing conflicts</w:t>
      </w:r>
      <w:r w:rsidR="005370AF">
        <w:rPr>
          <w:sz w:val="24"/>
          <w:szCs w:val="24"/>
          <w:lang w:val="en-US"/>
        </w:rPr>
        <w:t xml:space="preserve">, </w:t>
      </w:r>
      <w:r>
        <w:rPr>
          <w:sz w:val="24"/>
          <w:szCs w:val="24"/>
          <w:lang w:val="en-US"/>
        </w:rPr>
        <w:t>disproportionately affect</w:t>
      </w:r>
      <w:r w:rsidR="005370AF">
        <w:rPr>
          <w:sz w:val="24"/>
          <w:szCs w:val="24"/>
          <w:lang w:val="en-US"/>
        </w:rPr>
        <w:t>ing women and girls. Conflict is known to have negative i</w:t>
      </w:r>
      <w:r>
        <w:rPr>
          <w:sz w:val="24"/>
          <w:szCs w:val="24"/>
          <w:lang w:val="en-US"/>
        </w:rPr>
        <w:t xml:space="preserve">mpacts on </w:t>
      </w:r>
      <w:r w:rsidR="005370AF">
        <w:rPr>
          <w:sz w:val="24"/>
          <w:szCs w:val="24"/>
          <w:lang w:val="en-US"/>
        </w:rPr>
        <w:t xml:space="preserve">the </w:t>
      </w:r>
      <w:r>
        <w:rPr>
          <w:sz w:val="24"/>
          <w:szCs w:val="24"/>
          <w:lang w:val="en-US"/>
        </w:rPr>
        <w:t>rates of sexual and gender-based violence,</w:t>
      </w:r>
      <w:r w:rsidR="005370AF">
        <w:rPr>
          <w:sz w:val="24"/>
          <w:szCs w:val="24"/>
          <w:lang w:val="en-US"/>
        </w:rPr>
        <w:t xml:space="preserve"> poverty, and is also affecting a</w:t>
      </w:r>
      <w:r w:rsidR="00892DE8">
        <w:rPr>
          <w:sz w:val="24"/>
          <w:szCs w:val="24"/>
          <w:lang w:val="en-US"/>
        </w:rPr>
        <w:t xml:space="preserve">ccess to education, health care.  Although Nigeria is a signatory to the UNSCR 1325 and has domesticated this through the National Action Plan, 2013 and the more recent National Action Plan 2017, women and girls continue to bear the brunt of kidnapping, sexual violence, displacement, especially in the North East, but also in other parts of the country.  There is much need to engage with government, especially at the national level, but also at grassroots levels.  As noted, there is limited funding for implementing the NAP.  There is also need to domesticate the NAP at State levels, with funding allocations for its implementation. </w:t>
      </w:r>
    </w:p>
    <w:p w14:paraId="02C89299" w14:textId="77777777" w:rsidR="00892DE8" w:rsidRPr="00892DE8" w:rsidRDefault="00892DE8" w:rsidP="00892DE8">
      <w:pPr>
        <w:pStyle w:val="ListParagraph"/>
        <w:rPr>
          <w:sz w:val="24"/>
          <w:szCs w:val="24"/>
          <w:lang w:val="en-GB"/>
        </w:rPr>
      </w:pPr>
    </w:p>
    <w:p w14:paraId="63ACA42A" w14:textId="77777777" w:rsidR="00E75191" w:rsidRPr="00892DE8" w:rsidRDefault="00E75191" w:rsidP="00892DE8">
      <w:pPr>
        <w:pStyle w:val="ListParagraph"/>
        <w:numPr>
          <w:ilvl w:val="0"/>
          <w:numId w:val="15"/>
        </w:numPr>
        <w:spacing w:line="240" w:lineRule="auto"/>
        <w:ind w:left="360"/>
        <w:jc w:val="both"/>
        <w:rPr>
          <w:b/>
          <w:sz w:val="24"/>
          <w:szCs w:val="24"/>
          <w:lang w:val="en-US"/>
        </w:rPr>
      </w:pPr>
      <w:r w:rsidRPr="00892DE8">
        <w:rPr>
          <w:sz w:val="24"/>
          <w:szCs w:val="24"/>
          <w:lang w:val="en-GB"/>
        </w:rPr>
        <w:t xml:space="preserve">Most respondents noted that digitalisation has helped the cause of gender equality.   However, </w:t>
      </w:r>
      <w:r w:rsidR="00065711" w:rsidRPr="00892DE8">
        <w:rPr>
          <w:sz w:val="24"/>
          <w:szCs w:val="24"/>
          <w:lang w:val="en-GB"/>
        </w:rPr>
        <w:t>there are gaps in the access, utilization, skills, and leadership of women, especially in rural communities, to digital tools and the digital sector.</w:t>
      </w:r>
      <w:r w:rsidR="00D6022A">
        <w:rPr>
          <w:sz w:val="24"/>
          <w:szCs w:val="24"/>
          <w:lang w:val="en-GB"/>
        </w:rPr>
        <w:t xml:space="preserve">  There are also gaps in STEM education for women and girls, and in women’s ownership of digital businesses. Although this is one of the main areas of progress in recent years, women continue to experience different levels of discrimination within the digital space </w:t>
      </w:r>
      <w:r w:rsidR="00770323">
        <w:rPr>
          <w:sz w:val="24"/>
          <w:szCs w:val="24"/>
          <w:lang w:val="en-GB"/>
        </w:rPr>
        <w:t>rooted in harmful gender norms.  These challenges hamper</w:t>
      </w:r>
      <w:r w:rsidR="00065711" w:rsidRPr="00892DE8">
        <w:rPr>
          <w:sz w:val="24"/>
          <w:szCs w:val="24"/>
          <w:lang w:val="en-GB"/>
        </w:rPr>
        <w:t xml:space="preserve"> their access to information, access to opportunities and essential services which </w:t>
      </w:r>
      <w:r w:rsidRPr="00892DE8">
        <w:rPr>
          <w:sz w:val="24"/>
          <w:szCs w:val="24"/>
          <w:lang w:val="en-GB"/>
        </w:rPr>
        <w:t>was a significant issue raised across a section of respondents</w:t>
      </w:r>
      <w:r w:rsidR="00065711" w:rsidRPr="00892DE8">
        <w:rPr>
          <w:sz w:val="24"/>
          <w:szCs w:val="24"/>
          <w:lang w:val="en-GB"/>
        </w:rPr>
        <w:t>.</w:t>
      </w:r>
    </w:p>
    <w:p w14:paraId="7122BC05" w14:textId="77777777" w:rsidR="00E75191" w:rsidRDefault="00E75191" w:rsidP="00E75191">
      <w:pPr>
        <w:pStyle w:val="ListParagraph"/>
        <w:rPr>
          <w:sz w:val="24"/>
          <w:szCs w:val="24"/>
        </w:rPr>
      </w:pPr>
    </w:p>
    <w:p w14:paraId="5C93F7B6" w14:textId="77777777" w:rsidR="00E75191" w:rsidRDefault="00E75191" w:rsidP="00E75191">
      <w:pPr>
        <w:pStyle w:val="ListParagraph"/>
        <w:numPr>
          <w:ilvl w:val="0"/>
          <w:numId w:val="15"/>
        </w:numPr>
        <w:spacing w:line="240" w:lineRule="auto"/>
        <w:ind w:left="360"/>
        <w:jc w:val="both"/>
        <w:rPr>
          <w:b/>
          <w:sz w:val="24"/>
          <w:szCs w:val="24"/>
          <w:lang w:val="en-US"/>
        </w:rPr>
      </w:pPr>
      <w:r>
        <w:rPr>
          <w:sz w:val="24"/>
          <w:szCs w:val="24"/>
        </w:rPr>
        <w:t>In general, there is need for much improvement in engagement and inclusion of persons living, both women and men, outside the norm as described in this including from policy, programmes and practice perspectives.</w:t>
      </w:r>
      <w:r w:rsidR="004F0190">
        <w:rPr>
          <w:sz w:val="24"/>
          <w:szCs w:val="24"/>
          <w:lang w:val="en-US"/>
        </w:rPr>
        <w:t xml:space="preserve">  People living with disabilities, IDPs, sexual </w:t>
      </w:r>
      <w:r w:rsidR="004F0190">
        <w:rPr>
          <w:sz w:val="24"/>
          <w:szCs w:val="24"/>
          <w:lang w:val="en-US"/>
        </w:rPr>
        <w:lastRenderedPageBreak/>
        <w:t xml:space="preserve">minorities, and older persons are still receiving little attention in policy and practice.  Women and girls amongst these groups suffer double inequalities, on account of being female and on account of being a minority on other grounds. </w:t>
      </w:r>
      <w:r w:rsidR="00BD45F2">
        <w:rPr>
          <w:sz w:val="24"/>
          <w:szCs w:val="24"/>
          <w:lang w:val="en-US"/>
        </w:rPr>
        <w:t xml:space="preserve"> Although laws have been enacted on disability rights and inclusion, these have remained largely unimplemented and there is little positive impact on the lives of persons living with disabilities. </w:t>
      </w:r>
    </w:p>
    <w:p w14:paraId="3392F089" w14:textId="77777777" w:rsidR="00E75191" w:rsidRDefault="00E75191" w:rsidP="00E75191">
      <w:pPr>
        <w:pStyle w:val="ListParagraph"/>
        <w:rPr>
          <w:sz w:val="24"/>
          <w:szCs w:val="24"/>
          <w:lang w:val="en-US"/>
        </w:rPr>
      </w:pPr>
    </w:p>
    <w:p w14:paraId="2722956F" w14:textId="77777777" w:rsidR="00E75191" w:rsidRDefault="00E75191" w:rsidP="00E75191">
      <w:pPr>
        <w:pStyle w:val="ListParagraph"/>
        <w:numPr>
          <w:ilvl w:val="0"/>
          <w:numId w:val="15"/>
        </w:numPr>
        <w:spacing w:line="240" w:lineRule="auto"/>
        <w:ind w:left="360"/>
        <w:jc w:val="both"/>
        <w:rPr>
          <w:b/>
          <w:sz w:val="24"/>
          <w:szCs w:val="24"/>
          <w:lang w:val="en-US"/>
        </w:rPr>
      </w:pPr>
      <w:r>
        <w:rPr>
          <w:sz w:val="24"/>
          <w:szCs w:val="24"/>
          <w:lang w:val="en-US"/>
        </w:rPr>
        <w:t>Women and girls continue to be the focus of research on gender.</w:t>
      </w:r>
      <w:r w:rsidR="004F0190">
        <w:rPr>
          <w:sz w:val="24"/>
          <w:szCs w:val="24"/>
          <w:lang w:val="en-US"/>
        </w:rPr>
        <w:t xml:space="preserve">  The findings across all thematic areas indicate that women and girls suffer significantly more from gender inequality.  However, </w:t>
      </w:r>
      <w:r>
        <w:rPr>
          <w:sz w:val="24"/>
          <w:szCs w:val="24"/>
          <w:lang w:val="en-US"/>
        </w:rPr>
        <w:t xml:space="preserve">this </w:t>
      </w:r>
      <w:r w:rsidR="00065711">
        <w:rPr>
          <w:sz w:val="24"/>
          <w:szCs w:val="24"/>
          <w:lang w:val="en-US"/>
        </w:rPr>
        <w:t xml:space="preserve">also </w:t>
      </w:r>
      <w:r>
        <w:rPr>
          <w:sz w:val="24"/>
          <w:szCs w:val="24"/>
          <w:lang w:val="en-US"/>
        </w:rPr>
        <w:t xml:space="preserve">means that matters relating to men and boys do not often receive </w:t>
      </w:r>
      <w:r w:rsidR="004F0190">
        <w:rPr>
          <w:sz w:val="24"/>
          <w:szCs w:val="24"/>
          <w:lang w:val="en-US"/>
        </w:rPr>
        <w:t xml:space="preserve">sufficient </w:t>
      </w:r>
      <w:r>
        <w:rPr>
          <w:sz w:val="24"/>
          <w:szCs w:val="24"/>
          <w:lang w:val="en-US"/>
        </w:rPr>
        <w:t xml:space="preserve">attention. </w:t>
      </w:r>
    </w:p>
    <w:p w14:paraId="74CB78BF" w14:textId="77777777" w:rsidR="00E75191" w:rsidRDefault="00E75191" w:rsidP="00E75191">
      <w:pPr>
        <w:pStyle w:val="ListParagraph"/>
        <w:rPr>
          <w:sz w:val="24"/>
          <w:szCs w:val="24"/>
          <w:lang w:val="en-GB"/>
        </w:rPr>
      </w:pPr>
    </w:p>
    <w:p w14:paraId="3CE424C8" w14:textId="77777777" w:rsidR="00E75191" w:rsidRPr="00E070F6" w:rsidRDefault="00E75191" w:rsidP="00E75191">
      <w:pPr>
        <w:pStyle w:val="ListParagraph"/>
        <w:numPr>
          <w:ilvl w:val="0"/>
          <w:numId w:val="15"/>
        </w:numPr>
        <w:spacing w:line="240" w:lineRule="auto"/>
        <w:ind w:left="360"/>
        <w:jc w:val="both"/>
        <w:rPr>
          <w:b/>
          <w:sz w:val="24"/>
          <w:szCs w:val="24"/>
          <w:lang w:val="en-US"/>
        </w:rPr>
      </w:pPr>
      <w:r>
        <w:rPr>
          <w:sz w:val="24"/>
          <w:szCs w:val="24"/>
          <w:lang w:val="en-GB"/>
        </w:rPr>
        <w:t xml:space="preserve">A multi-faceted approach is required to address the various thematic areas, all of which show significant levels of gender inequality skewed against women and girls. </w:t>
      </w:r>
    </w:p>
    <w:p w14:paraId="1763EDFE" w14:textId="77777777" w:rsidR="00E070F6" w:rsidRPr="00E070F6" w:rsidRDefault="00E070F6" w:rsidP="00E070F6">
      <w:pPr>
        <w:pStyle w:val="ListParagraph"/>
        <w:rPr>
          <w:b/>
          <w:sz w:val="24"/>
          <w:szCs w:val="24"/>
          <w:lang w:val="en-US"/>
        </w:rPr>
      </w:pPr>
    </w:p>
    <w:p w14:paraId="6FADDAE0" w14:textId="77777777" w:rsidR="00E070F6" w:rsidRDefault="00E070F6" w:rsidP="00E070F6">
      <w:pPr>
        <w:spacing w:line="240" w:lineRule="auto"/>
        <w:jc w:val="both"/>
        <w:rPr>
          <w:b/>
          <w:sz w:val="24"/>
          <w:szCs w:val="24"/>
          <w:lang w:val="en-US"/>
        </w:rPr>
      </w:pPr>
    </w:p>
    <w:p w14:paraId="7BB2A6A7" w14:textId="77777777" w:rsidR="00E070F6" w:rsidRDefault="00E070F6" w:rsidP="00E070F6">
      <w:pPr>
        <w:spacing w:line="240" w:lineRule="auto"/>
        <w:jc w:val="both"/>
        <w:rPr>
          <w:b/>
          <w:sz w:val="24"/>
          <w:szCs w:val="24"/>
          <w:lang w:val="en-US"/>
        </w:rPr>
      </w:pPr>
    </w:p>
    <w:p w14:paraId="0FB0486F" w14:textId="77777777" w:rsidR="00E070F6" w:rsidRDefault="00E070F6" w:rsidP="00E070F6">
      <w:pPr>
        <w:spacing w:line="240" w:lineRule="auto"/>
        <w:jc w:val="both"/>
        <w:rPr>
          <w:b/>
          <w:sz w:val="24"/>
          <w:szCs w:val="24"/>
          <w:lang w:val="en-US"/>
        </w:rPr>
      </w:pPr>
    </w:p>
    <w:p w14:paraId="78D79639" w14:textId="77777777" w:rsidR="00E070F6" w:rsidRDefault="00E070F6" w:rsidP="00E070F6">
      <w:pPr>
        <w:spacing w:line="240" w:lineRule="auto"/>
        <w:jc w:val="both"/>
        <w:rPr>
          <w:b/>
          <w:sz w:val="24"/>
          <w:szCs w:val="24"/>
          <w:lang w:val="en-US"/>
        </w:rPr>
      </w:pPr>
    </w:p>
    <w:p w14:paraId="01AB08FD" w14:textId="77777777" w:rsidR="00E070F6" w:rsidRDefault="00E070F6" w:rsidP="00E070F6">
      <w:pPr>
        <w:spacing w:line="240" w:lineRule="auto"/>
        <w:jc w:val="both"/>
        <w:rPr>
          <w:b/>
          <w:sz w:val="24"/>
          <w:szCs w:val="24"/>
          <w:lang w:val="en-US"/>
        </w:rPr>
      </w:pPr>
    </w:p>
    <w:p w14:paraId="19848431" w14:textId="77777777" w:rsidR="00E070F6" w:rsidRDefault="00E070F6" w:rsidP="00E070F6">
      <w:pPr>
        <w:spacing w:line="240" w:lineRule="auto"/>
        <w:jc w:val="both"/>
        <w:rPr>
          <w:b/>
          <w:sz w:val="24"/>
          <w:szCs w:val="24"/>
          <w:lang w:val="en-US"/>
        </w:rPr>
      </w:pPr>
    </w:p>
    <w:p w14:paraId="0BCFFAB6" w14:textId="77777777" w:rsidR="00E070F6" w:rsidRDefault="00E070F6" w:rsidP="00E070F6">
      <w:pPr>
        <w:spacing w:line="240" w:lineRule="auto"/>
        <w:jc w:val="both"/>
        <w:rPr>
          <w:b/>
          <w:sz w:val="24"/>
          <w:szCs w:val="24"/>
          <w:lang w:val="en-US"/>
        </w:rPr>
      </w:pPr>
    </w:p>
    <w:p w14:paraId="44D1D75B" w14:textId="77777777" w:rsidR="00E070F6" w:rsidRDefault="00E070F6" w:rsidP="00E070F6">
      <w:pPr>
        <w:spacing w:line="240" w:lineRule="auto"/>
        <w:jc w:val="both"/>
        <w:rPr>
          <w:b/>
          <w:sz w:val="24"/>
          <w:szCs w:val="24"/>
          <w:lang w:val="en-US"/>
        </w:rPr>
      </w:pPr>
    </w:p>
    <w:p w14:paraId="413FA396" w14:textId="77777777" w:rsidR="00E070F6" w:rsidRDefault="00E070F6" w:rsidP="00E070F6">
      <w:pPr>
        <w:spacing w:line="240" w:lineRule="auto"/>
        <w:jc w:val="both"/>
        <w:rPr>
          <w:b/>
          <w:sz w:val="24"/>
          <w:szCs w:val="24"/>
          <w:lang w:val="en-US"/>
        </w:rPr>
      </w:pPr>
    </w:p>
    <w:p w14:paraId="4173900D" w14:textId="77777777" w:rsidR="00E070F6" w:rsidRDefault="00E070F6" w:rsidP="00E070F6">
      <w:pPr>
        <w:spacing w:line="240" w:lineRule="auto"/>
        <w:jc w:val="both"/>
        <w:rPr>
          <w:b/>
          <w:sz w:val="24"/>
          <w:szCs w:val="24"/>
          <w:lang w:val="en-US"/>
        </w:rPr>
      </w:pPr>
    </w:p>
    <w:p w14:paraId="096A2568" w14:textId="77777777" w:rsidR="00E070F6" w:rsidRDefault="00E070F6" w:rsidP="00E070F6">
      <w:pPr>
        <w:spacing w:line="240" w:lineRule="auto"/>
        <w:jc w:val="both"/>
        <w:rPr>
          <w:b/>
          <w:sz w:val="24"/>
          <w:szCs w:val="24"/>
          <w:lang w:val="en-US"/>
        </w:rPr>
      </w:pPr>
    </w:p>
    <w:p w14:paraId="4829C2B9" w14:textId="77777777" w:rsidR="00E070F6" w:rsidRDefault="00E070F6" w:rsidP="00E070F6">
      <w:pPr>
        <w:spacing w:line="240" w:lineRule="auto"/>
        <w:jc w:val="both"/>
        <w:rPr>
          <w:b/>
          <w:sz w:val="24"/>
          <w:szCs w:val="24"/>
          <w:lang w:val="en-US"/>
        </w:rPr>
      </w:pPr>
    </w:p>
    <w:p w14:paraId="0520190A" w14:textId="77777777" w:rsidR="00E070F6" w:rsidRDefault="00E070F6" w:rsidP="00E070F6">
      <w:pPr>
        <w:spacing w:line="240" w:lineRule="auto"/>
        <w:jc w:val="both"/>
        <w:rPr>
          <w:b/>
          <w:sz w:val="24"/>
          <w:szCs w:val="24"/>
          <w:lang w:val="en-US"/>
        </w:rPr>
      </w:pPr>
    </w:p>
    <w:p w14:paraId="3B6D4257" w14:textId="77777777" w:rsidR="00E070F6" w:rsidRDefault="00E070F6" w:rsidP="00E070F6">
      <w:pPr>
        <w:spacing w:line="240" w:lineRule="auto"/>
        <w:jc w:val="both"/>
        <w:rPr>
          <w:b/>
          <w:sz w:val="24"/>
          <w:szCs w:val="24"/>
          <w:lang w:val="en-US"/>
        </w:rPr>
      </w:pPr>
    </w:p>
    <w:p w14:paraId="6996D5CD" w14:textId="77777777" w:rsidR="00E070F6" w:rsidRDefault="00E070F6" w:rsidP="00E070F6">
      <w:pPr>
        <w:spacing w:line="240" w:lineRule="auto"/>
        <w:jc w:val="both"/>
        <w:rPr>
          <w:b/>
          <w:sz w:val="24"/>
          <w:szCs w:val="24"/>
          <w:lang w:val="en-US"/>
        </w:rPr>
      </w:pPr>
    </w:p>
    <w:p w14:paraId="5A94FD47" w14:textId="77777777" w:rsidR="00E070F6" w:rsidRDefault="00E070F6" w:rsidP="00E070F6">
      <w:pPr>
        <w:spacing w:line="240" w:lineRule="auto"/>
        <w:jc w:val="both"/>
        <w:rPr>
          <w:b/>
          <w:sz w:val="24"/>
          <w:szCs w:val="24"/>
          <w:lang w:val="en-US"/>
        </w:rPr>
      </w:pPr>
    </w:p>
    <w:p w14:paraId="20C56489" w14:textId="77777777" w:rsidR="00E070F6" w:rsidRDefault="00E070F6" w:rsidP="00E070F6">
      <w:pPr>
        <w:spacing w:line="240" w:lineRule="auto"/>
        <w:jc w:val="both"/>
        <w:rPr>
          <w:b/>
          <w:sz w:val="24"/>
          <w:szCs w:val="24"/>
          <w:lang w:val="en-US"/>
        </w:rPr>
      </w:pPr>
    </w:p>
    <w:p w14:paraId="4FAEAA25" w14:textId="77777777" w:rsidR="00E070F6" w:rsidRDefault="00E070F6" w:rsidP="00E070F6">
      <w:pPr>
        <w:spacing w:line="240" w:lineRule="auto"/>
        <w:jc w:val="both"/>
        <w:rPr>
          <w:b/>
          <w:sz w:val="24"/>
          <w:szCs w:val="24"/>
          <w:lang w:val="en-US"/>
        </w:rPr>
      </w:pPr>
    </w:p>
    <w:p w14:paraId="7AC22721" w14:textId="77777777" w:rsidR="00E070F6" w:rsidRDefault="00E070F6" w:rsidP="00E070F6">
      <w:pPr>
        <w:spacing w:line="240" w:lineRule="auto"/>
        <w:jc w:val="both"/>
        <w:rPr>
          <w:b/>
          <w:sz w:val="24"/>
          <w:szCs w:val="24"/>
          <w:lang w:val="en-US"/>
        </w:rPr>
      </w:pPr>
    </w:p>
    <w:p w14:paraId="05640717" w14:textId="77777777" w:rsidR="00E070F6" w:rsidRDefault="00E070F6" w:rsidP="00E070F6">
      <w:pPr>
        <w:spacing w:line="240" w:lineRule="auto"/>
        <w:jc w:val="both"/>
        <w:rPr>
          <w:b/>
          <w:sz w:val="24"/>
          <w:szCs w:val="24"/>
          <w:lang w:val="en-US"/>
        </w:rPr>
      </w:pPr>
    </w:p>
    <w:p w14:paraId="6970B89F" w14:textId="77777777" w:rsidR="009A4FD6" w:rsidRDefault="009A4FD6">
      <w:pPr>
        <w:rPr>
          <w:b/>
          <w:sz w:val="24"/>
          <w:szCs w:val="24"/>
          <w:lang w:val="en-US"/>
        </w:rPr>
      </w:pPr>
      <w:r>
        <w:rPr>
          <w:b/>
          <w:sz w:val="24"/>
          <w:szCs w:val="24"/>
          <w:lang w:val="en-US"/>
        </w:rPr>
        <w:br w:type="page"/>
      </w:r>
    </w:p>
    <w:p w14:paraId="24679F9A" w14:textId="77777777" w:rsidR="00A24BA0" w:rsidRDefault="00A24BA0" w:rsidP="006E3C5B">
      <w:pPr>
        <w:rPr>
          <w:b/>
          <w:sz w:val="24"/>
          <w:szCs w:val="24"/>
        </w:rPr>
      </w:pPr>
      <w:r w:rsidRPr="00744F56">
        <w:rPr>
          <w:b/>
          <w:noProof/>
          <w:sz w:val="24"/>
          <w:szCs w:val="24"/>
          <w:lang w:val="en-IE" w:eastAsia="en-IE"/>
        </w:rPr>
        <w:lastRenderedPageBreak/>
        <mc:AlternateContent>
          <mc:Choice Requires="wps">
            <w:drawing>
              <wp:anchor distT="0" distB="0" distL="114300" distR="114300" simplePos="0" relativeHeight="251689984" behindDoc="0" locked="0" layoutInCell="1" allowOverlap="1" wp14:anchorId="60EAE8DB" wp14:editId="2EF40648">
                <wp:simplePos x="0" y="0"/>
                <wp:positionH relativeFrom="column">
                  <wp:align>center</wp:align>
                </wp:positionH>
                <wp:positionV relativeFrom="paragraph">
                  <wp:posOffset>0</wp:posOffset>
                </wp:positionV>
                <wp:extent cx="5857875" cy="1403985"/>
                <wp:effectExtent l="0" t="0" r="28575" b="1397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1403985"/>
                        </a:xfrm>
                        <a:prstGeom prst="rect">
                          <a:avLst/>
                        </a:prstGeom>
                        <a:solidFill>
                          <a:schemeClr val="accent1">
                            <a:lumMod val="60000"/>
                            <a:lumOff val="40000"/>
                          </a:schemeClr>
                        </a:solidFill>
                        <a:ln w="9525">
                          <a:solidFill>
                            <a:schemeClr val="accent1">
                              <a:lumMod val="60000"/>
                              <a:lumOff val="40000"/>
                            </a:schemeClr>
                          </a:solidFill>
                          <a:miter lim="800000"/>
                          <a:headEnd/>
                          <a:tailEnd/>
                        </a:ln>
                      </wps:spPr>
                      <wps:txbx>
                        <w:txbxContent>
                          <w:p w14:paraId="3AF1DDF8" w14:textId="77777777" w:rsidR="006D6A0C" w:rsidRPr="005667FD" w:rsidRDefault="006D6A0C" w:rsidP="005667FD">
                            <w:pPr>
                              <w:pStyle w:val="Heading1"/>
                              <w:rPr>
                                <w:color w:val="auto"/>
                                <w:sz w:val="56"/>
                                <w:szCs w:val="56"/>
                              </w:rPr>
                            </w:pPr>
                            <w:bookmarkStart w:id="52" w:name="_Toc81228184"/>
                            <w:bookmarkStart w:id="53" w:name="_Toc81228292"/>
                            <w:bookmarkStart w:id="54" w:name="_Toc81229103"/>
                            <w:r w:rsidRPr="005667FD">
                              <w:rPr>
                                <w:color w:val="auto"/>
                                <w:sz w:val="56"/>
                                <w:szCs w:val="56"/>
                              </w:rPr>
                              <w:t>5. Recommendations</w:t>
                            </w:r>
                            <w:bookmarkEnd w:id="52"/>
                            <w:bookmarkEnd w:id="53"/>
                            <w:bookmarkEnd w:id="54"/>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0EAE8DB" id="_x0000_s1063" type="#_x0000_t202" style="position:absolute;margin-left:0;margin-top:0;width:461.25pt;height:110.55pt;z-index:251689984;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" fillcolor="#9cc2e5 [1940]" strokecolor="#9cc2e5 [1940]">
                <v:textbox style="mso-fit-shape-to-text:t">
                  <w:txbxContent>
                    <w:p w:rsidR="006D6A0C" w:rsidRPr="005667FD" w:rsidRDefault="006D6A0C" w:rsidP="005667FD">
                      <w:pPr>
                        <w:pStyle w:val="Heading1"/>
                        <w:rPr>
                          <w:color w:val="auto"/>
                          <w:sz w:val="56"/>
                          <w:szCs w:val="56"/>
                        </w:rPr>
                      </w:pPr>
                      <w:bookmarkStart w:id="98" w:name="_Toc81228184"/>
                      <w:bookmarkStart w:id="99" w:name="_Toc81228292"/>
                      <w:bookmarkStart w:id="100" w:name="_Toc81229103"/>
                      <w:r w:rsidRPr="005667FD">
                        <w:rPr>
                          <w:color w:val="auto"/>
                          <w:sz w:val="56"/>
                          <w:szCs w:val="56"/>
                        </w:rPr>
                        <w:t>5. Recommendations</w:t>
                      </w:r>
                      <w:bookmarkEnd w:id="98"/>
                      <w:bookmarkEnd w:id="99"/>
                      <w:bookmarkEnd w:id="100"/>
                    </w:p>
                  </w:txbxContent>
                </v:textbox>
              </v:shape>
            </w:pict>
          </mc:Fallback>
        </mc:AlternateContent>
      </w:r>
    </w:p>
    <w:p w14:paraId="6BDD4477" w14:textId="77777777" w:rsidR="00A24BA0" w:rsidRDefault="00A24BA0" w:rsidP="00E75191">
      <w:pPr>
        <w:spacing w:line="240" w:lineRule="auto"/>
        <w:jc w:val="both"/>
        <w:rPr>
          <w:sz w:val="24"/>
          <w:szCs w:val="24"/>
        </w:rPr>
      </w:pPr>
    </w:p>
    <w:p w14:paraId="2298841D" w14:textId="77777777" w:rsidR="005667FD" w:rsidRDefault="005667FD" w:rsidP="00E75191">
      <w:pPr>
        <w:spacing w:line="240" w:lineRule="auto"/>
        <w:jc w:val="both"/>
        <w:rPr>
          <w:sz w:val="24"/>
          <w:szCs w:val="24"/>
        </w:rPr>
      </w:pPr>
    </w:p>
    <w:p w14:paraId="5011222D" w14:textId="77777777" w:rsidR="00302B11" w:rsidRDefault="00E75191" w:rsidP="00E75191">
      <w:pPr>
        <w:spacing w:line="240" w:lineRule="auto"/>
        <w:jc w:val="both"/>
        <w:rPr>
          <w:sz w:val="24"/>
          <w:szCs w:val="24"/>
        </w:rPr>
      </w:pPr>
      <w:r>
        <w:rPr>
          <w:sz w:val="24"/>
          <w:szCs w:val="24"/>
        </w:rPr>
        <w:t xml:space="preserve">The findings indicate many gaps in gender equality across all thematic areas.  </w:t>
      </w:r>
      <w:r w:rsidR="00302B11">
        <w:rPr>
          <w:sz w:val="24"/>
          <w:szCs w:val="24"/>
        </w:rPr>
        <w:t xml:space="preserve">Gender inequality persists in Nigeria across all levels of society, in and outside government </w:t>
      </w:r>
      <w:r w:rsidR="00302B11" w:rsidRPr="00302B11">
        <w:rPr>
          <w:sz w:val="24"/>
          <w:szCs w:val="24"/>
        </w:rPr>
        <w:t xml:space="preserve">for reasons that include power and control, deep rooted norms and beliefs </w:t>
      </w:r>
      <w:r w:rsidR="00302B11">
        <w:rPr>
          <w:sz w:val="24"/>
          <w:szCs w:val="24"/>
        </w:rPr>
        <w:t>resulting in</w:t>
      </w:r>
      <w:r w:rsidR="00302B11" w:rsidRPr="00302B11">
        <w:rPr>
          <w:sz w:val="24"/>
          <w:szCs w:val="24"/>
        </w:rPr>
        <w:t xml:space="preserve"> lack of voice and awareness of rights and responsibilities</w:t>
      </w:r>
      <w:r w:rsidR="00302B11">
        <w:rPr>
          <w:sz w:val="24"/>
          <w:szCs w:val="24"/>
        </w:rPr>
        <w:t xml:space="preserve">.  There is inequality </w:t>
      </w:r>
      <w:r w:rsidR="00302B11" w:rsidRPr="00302B11">
        <w:rPr>
          <w:sz w:val="24"/>
          <w:szCs w:val="24"/>
        </w:rPr>
        <w:t>in healthcare, educatio</w:t>
      </w:r>
      <w:r w:rsidR="00302B11">
        <w:rPr>
          <w:sz w:val="24"/>
          <w:szCs w:val="24"/>
        </w:rPr>
        <w:t>n and a decent income for all</w:t>
      </w:r>
      <w:r w:rsidR="00B703E3">
        <w:rPr>
          <w:sz w:val="24"/>
          <w:szCs w:val="24"/>
        </w:rPr>
        <w:t xml:space="preserve">, but in particular for women. </w:t>
      </w:r>
      <w:r w:rsidR="00302B11">
        <w:rPr>
          <w:sz w:val="24"/>
          <w:szCs w:val="24"/>
        </w:rPr>
        <w:t xml:space="preserve"> </w:t>
      </w:r>
      <w:r w:rsidR="00BA09DA">
        <w:rPr>
          <w:sz w:val="24"/>
          <w:szCs w:val="24"/>
        </w:rPr>
        <w:t xml:space="preserve"> Existing research suggests that significant </w:t>
      </w:r>
      <w:r w:rsidR="00A8692C">
        <w:rPr>
          <w:sz w:val="24"/>
          <w:szCs w:val="24"/>
        </w:rPr>
        <w:t>disparities exist between women and men, even when men are also adversely impacted, such as in the area of employment.  The disparities appear not to be improving and may, at least in some cases, be worsening.  The EU, in its interventions should, it is recommended, consider significant investments across all areas of work in improving the gender equality indices, the voice and representation of women and girls and renewed interest in gender norms transformation.</w:t>
      </w:r>
    </w:p>
    <w:p w14:paraId="3C5909CA" w14:textId="77777777" w:rsidR="00573163" w:rsidRDefault="00E75191" w:rsidP="00E75191">
      <w:pPr>
        <w:spacing w:line="240" w:lineRule="auto"/>
        <w:jc w:val="both"/>
        <w:rPr>
          <w:sz w:val="24"/>
          <w:szCs w:val="24"/>
        </w:rPr>
      </w:pPr>
      <w:r>
        <w:rPr>
          <w:sz w:val="24"/>
          <w:szCs w:val="24"/>
        </w:rPr>
        <w:t xml:space="preserve">Recommendations for each of the areas are geared towards addressing the identified gaps with key interventions by the EU within the programmes implemented in Nigeria. These recommendations are consistent with extant policies, the SDG goals and Nigeria’s international obligations. Several of these recommendations are already </w:t>
      </w:r>
      <w:r w:rsidR="002752FF">
        <w:rPr>
          <w:sz w:val="24"/>
          <w:szCs w:val="24"/>
        </w:rPr>
        <w:t xml:space="preserve">addressed </w:t>
      </w:r>
      <w:r>
        <w:rPr>
          <w:sz w:val="24"/>
          <w:szCs w:val="24"/>
        </w:rPr>
        <w:t xml:space="preserve">in </w:t>
      </w:r>
      <w:r w:rsidR="002752FF">
        <w:rPr>
          <w:sz w:val="24"/>
          <w:szCs w:val="24"/>
        </w:rPr>
        <w:t xml:space="preserve">existing </w:t>
      </w:r>
      <w:r>
        <w:rPr>
          <w:sz w:val="24"/>
          <w:szCs w:val="24"/>
        </w:rPr>
        <w:t xml:space="preserve">policy and initiatives but need further support to </w:t>
      </w:r>
      <w:r w:rsidR="002C7FC4">
        <w:rPr>
          <w:sz w:val="24"/>
          <w:szCs w:val="24"/>
        </w:rPr>
        <w:t>fully realise gender equality and the empowerment of women</w:t>
      </w:r>
      <w:r>
        <w:rPr>
          <w:sz w:val="24"/>
          <w:szCs w:val="24"/>
        </w:rPr>
        <w:t xml:space="preserve">. </w:t>
      </w:r>
      <w:r w:rsidR="00573163">
        <w:rPr>
          <w:sz w:val="24"/>
          <w:szCs w:val="24"/>
        </w:rPr>
        <w:t xml:space="preserve">  </w:t>
      </w:r>
    </w:p>
    <w:p w14:paraId="3ED9645F" w14:textId="77777777" w:rsidR="002C7FC4" w:rsidRDefault="00573163" w:rsidP="00E75191">
      <w:pPr>
        <w:spacing w:line="240" w:lineRule="auto"/>
        <w:jc w:val="both"/>
        <w:rPr>
          <w:sz w:val="24"/>
          <w:szCs w:val="24"/>
        </w:rPr>
      </w:pPr>
      <w:r>
        <w:rPr>
          <w:sz w:val="24"/>
          <w:szCs w:val="24"/>
        </w:rPr>
        <w:t xml:space="preserve">These recommendations should be implemented ideally with the Nigerian government taking ownership and a leading role, and also with the support of the civil society organisation and women’s rights networks across the country already working in these areas. </w:t>
      </w:r>
    </w:p>
    <w:p w14:paraId="34EC701F" w14:textId="77777777" w:rsidR="00E75191" w:rsidRDefault="00E75191" w:rsidP="00E75191">
      <w:pPr>
        <w:spacing w:line="240" w:lineRule="auto"/>
        <w:jc w:val="both"/>
        <w:rPr>
          <w:sz w:val="24"/>
          <w:szCs w:val="24"/>
        </w:rPr>
      </w:pPr>
      <w:r>
        <w:rPr>
          <w:sz w:val="24"/>
          <w:szCs w:val="24"/>
        </w:rPr>
        <w:t xml:space="preserve">Over all, there is need to address gender norms transformation as well as support existing initiatives being implemented on gender equality at various levels. </w:t>
      </w:r>
      <w:r w:rsidR="002752FF">
        <w:rPr>
          <w:sz w:val="24"/>
          <w:szCs w:val="24"/>
        </w:rPr>
        <w:t>In general</w:t>
      </w:r>
      <w:r>
        <w:rPr>
          <w:sz w:val="24"/>
          <w:szCs w:val="24"/>
        </w:rPr>
        <w:t xml:space="preserve">, it is recommended that information on gender and how gender will be impacted is collected </w:t>
      </w:r>
      <w:r w:rsidR="002752FF">
        <w:rPr>
          <w:sz w:val="24"/>
          <w:szCs w:val="24"/>
        </w:rPr>
        <w:t>i</w:t>
      </w:r>
      <w:r>
        <w:rPr>
          <w:sz w:val="24"/>
          <w:szCs w:val="24"/>
        </w:rPr>
        <w:t xml:space="preserve">n each project supported by the EU, including through baseline and final reports. </w:t>
      </w:r>
      <w:r w:rsidR="00573163">
        <w:rPr>
          <w:sz w:val="24"/>
          <w:szCs w:val="24"/>
        </w:rPr>
        <w:t xml:space="preserve">   All funded initiatives should demonstrate a gender equality component.  </w:t>
      </w:r>
      <w:r>
        <w:rPr>
          <w:sz w:val="24"/>
          <w:szCs w:val="24"/>
        </w:rPr>
        <w:t>Other specific recommendations are provided below:</w:t>
      </w:r>
    </w:p>
    <w:p w14:paraId="6D962668" w14:textId="77777777" w:rsidR="00E75191" w:rsidRDefault="00E75191" w:rsidP="00E75191">
      <w:pPr>
        <w:spacing w:line="240" w:lineRule="auto"/>
        <w:jc w:val="both"/>
        <w:rPr>
          <w:sz w:val="24"/>
          <w:szCs w:val="24"/>
        </w:rPr>
      </w:pPr>
    </w:p>
    <w:p w14:paraId="344C591F" w14:textId="77777777" w:rsidR="00B23B4C" w:rsidRPr="00B23B4C" w:rsidRDefault="00E75191" w:rsidP="00B23B4C">
      <w:pPr>
        <w:pStyle w:val="ListParagraph"/>
        <w:numPr>
          <w:ilvl w:val="0"/>
          <w:numId w:val="16"/>
        </w:numPr>
        <w:spacing w:line="240" w:lineRule="auto"/>
        <w:jc w:val="both"/>
        <w:rPr>
          <w:sz w:val="24"/>
          <w:szCs w:val="24"/>
        </w:rPr>
      </w:pPr>
      <w:r>
        <w:rPr>
          <w:sz w:val="24"/>
          <w:szCs w:val="24"/>
          <w:lang w:val="en-US"/>
        </w:rPr>
        <w:t xml:space="preserve"> </w:t>
      </w:r>
      <w:r>
        <w:rPr>
          <w:b/>
          <w:sz w:val="24"/>
          <w:szCs w:val="24"/>
          <w:lang w:val="en-US"/>
        </w:rPr>
        <w:t>Platform for Dialogue on Key Issues</w:t>
      </w:r>
      <w:r>
        <w:rPr>
          <w:sz w:val="24"/>
          <w:szCs w:val="24"/>
        </w:rPr>
        <w:t>:</w:t>
      </w:r>
      <w:r>
        <w:rPr>
          <w:sz w:val="24"/>
          <w:szCs w:val="24"/>
          <w:lang w:val="en-US"/>
        </w:rPr>
        <w:t xml:space="preserve"> Working with the government to take greater ownership of improving gender equality in the country is critical.  We recommend that the EU use</w:t>
      </w:r>
      <w:r w:rsidR="002752FF">
        <w:rPr>
          <w:sz w:val="24"/>
          <w:szCs w:val="24"/>
          <w:lang w:val="en-US"/>
        </w:rPr>
        <w:t>s</w:t>
      </w:r>
      <w:r>
        <w:rPr>
          <w:sz w:val="24"/>
          <w:szCs w:val="24"/>
          <w:lang w:val="en-US"/>
        </w:rPr>
        <w:t xml:space="preserve"> all of the platforms currently available, including platforms with other development sector partners to engage government on gender equality, key interventions, and gender-sensitive planning and budgeting. </w:t>
      </w:r>
      <w:r w:rsidR="00B23B4C">
        <w:rPr>
          <w:sz w:val="24"/>
          <w:szCs w:val="24"/>
          <w:lang w:val="en-US"/>
        </w:rPr>
        <w:t xml:space="preserve">Engagement with Civil Society Organizations would prove helpful in view of the role they play in mobilizing political will for action on gender issues. </w:t>
      </w:r>
    </w:p>
    <w:p w14:paraId="7003BF1E" w14:textId="77777777" w:rsidR="00B23B4C" w:rsidRPr="00B23B4C" w:rsidRDefault="00B23B4C" w:rsidP="00B23B4C">
      <w:pPr>
        <w:pStyle w:val="ListParagraph"/>
        <w:spacing w:line="240" w:lineRule="auto"/>
        <w:jc w:val="both"/>
        <w:rPr>
          <w:sz w:val="24"/>
          <w:szCs w:val="24"/>
        </w:rPr>
      </w:pPr>
    </w:p>
    <w:p w14:paraId="5AC7DF54" w14:textId="77777777" w:rsidR="00E75191" w:rsidRDefault="00E75191" w:rsidP="00E75191">
      <w:pPr>
        <w:pStyle w:val="ListParagraph"/>
        <w:numPr>
          <w:ilvl w:val="0"/>
          <w:numId w:val="16"/>
        </w:numPr>
        <w:spacing w:line="240" w:lineRule="auto"/>
        <w:jc w:val="both"/>
        <w:rPr>
          <w:sz w:val="24"/>
          <w:szCs w:val="24"/>
        </w:rPr>
      </w:pPr>
      <w:r>
        <w:rPr>
          <w:b/>
          <w:sz w:val="24"/>
          <w:szCs w:val="24"/>
          <w:lang w:val="en-US"/>
        </w:rPr>
        <w:t>Legal and Policy Framework</w:t>
      </w:r>
      <w:r>
        <w:rPr>
          <w:sz w:val="24"/>
          <w:szCs w:val="24"/>
          <w:lang w:val="en-US"/>
        </w:rPr>
        <w:t xml:space="preserve">:  </w:t>
      </w:r>
      <w:r w:rsidR="00E070F6">
        <w:rPr>
          <w:sz w:val="24"/>
          <w:szCs w:val="24"/>
          <w:lang w:val="en-US"/>
        </w:rPr>
        <w:t>While there is progressive in the area of laws and policies, with several new laws and policies been promulgated in recent years, c</w:t>
      </w:r>
      <w:r>
        <w:rPr>
          <w:sz w:val="24"/>
          <w:szCs w:val="24"/>
          <w:lang w:val="en-US"/>
        </w:rPr>
        <w:t xml:space="preserve">ontinued high-level advocacy is required to ensure that the legal framework provides a complete and adequate foundation for gender equality in the country.  </w:t>
      </w:r>
    </w:p>
    <w:p w14:paraId="40CF760D" w14:textId="77777777" w:rsidR="00E75191" w:rsidRDefault="002752FF" w:rsidP="00E75191">
      <w:pPr>
        <w:pStyle w:val="ListParagraph"/>
        <w:numPr>
          <w:ilvl w:val="1"/>
          <w:numId w:val="16"/>
        </w:numPr>
        <w:spacing w:line="240" w:lineRule="auto"/>
        <w:jc w:val="both"/>
        <w:rPr>
          <w:sz w:val="24"/>
          <w:szCs w:val="24"/>
        </w:rPr>
      </w:pPr>
      <w:r>
        <w:rPr>
          <w:sz w:val="24"/>
          <w:szCs w:val="24"/>
          <w:lang w:val="en-US"/>
        </w:rPr>
        <w:lastRenderedPageBreak/>
        <w:t xml:space="preserve">Four </w:t>
      </w:r>
      <w:r w:rsidR="00E75191">
        <w:rPr>
          <w:sz w:val="24"/>
          <w:szCs w:val="24"/>
          <w:lang w:val="en-US"/>
        </w:rPr>
        <w:t xml:space="preserve">key areas for support, advocacy and intervention are </w:t>
      </w:r>
      <w:r>
        <w:rPr>
          <w:sz w:val="24"/>
          <w:szCs w:val="24"/>
          <w:lang w:val="en-US"/>
        </w:rPr>
        <w:t xml:space="preserve">1) </w:t>
      </w:r>
      <w:r w:rsidR="00E75191">
        <w:rPr>
          <w:sz w:val="24"/>
          <w:szCs w:val="24"/>
          <w:lang w:val="en-US"/>
        </w:rPr>
        <w:t xml:space="preserve">the passage of the Gender and Equal Opportunities Bill, </w:t>
      </w:r>
      <w:r>
        <w:rPr>
          <w:sz w:val="24"/>
          <w:szCs w:val="24"/>
          <w:lang w:val="en-US"/>
        </w:rPr>
        <w:t xml:space="preserve">2) </w:t>
      </w:r>
      <w:r w:rsidR="00E75191">
        <w:rPr>
          <w:sz w:val="24"/>
          <w:szCs w:val="24"/>
          <w:lang w:val="en-US"/>
        </w:rPr>
        <w:t xml:space="preserve">adoption of relevant law at the State level (VAPP Act, CRA, Gender and Equal Opportunity Laws), </w:t>
      </w:r>
      <w:r>
        <w:rPr>
          <w:sz w:val="24"/>
          <w:szCs w:val="24"/>
          <w:lang w:val="en-US"/>
        </w:rPr>
        <w:t xml:space="preserve">3) </w:t>
      </w:r>
      <w:r w:rsidR="00E75191">
        <w:rPr>
          <w:sz w:val="24"/>
          <w:szCs w:val="24"/>
          <w:lang w:val="en-US"/>
        </w:rPr>
        <w:t xml:space="preserve">support </w:t>
      </w:r>
      <w:r>
        <w:rPr>
          <w:sz w:val="24"/>
          <w:szCs w:val="24"/>
          <w:lang w:val="en-US"/>
        </w:rPr>
        <w:t xml:space="preserve">to the </w:t>
      </w:r>
      <w:r w:rsidR="00E75191">
        <w:rPr>
          <w:sz w:val="24"/>
          <w:szCs w:val="24"/>
          <w:lang w:val="en-US"/>
        </w:rPr>
        <w:t xml:space="preserve">review of other laws that have discriminatory provisions such as the Labour Act, and </w:t>
      </w:r>
      <w:r>
        <w:rPr>
          <w:sz w:val="24"/>
          <w:szCs w:val="24"/>
          <w:lang w:val="en-US"/>
        </w:rPr>
        <w:t xml:space="preserve">4) </w:t>
      </w:r>
      <w:r w:rsidR="00E75191">
        <w:rPr>
          <w:sz w:val="24"/>
          <w:szCs w:val="24"/>
          <w:lang w:val="en-US"/>
        </w:rPr>
        <w:t xml:space="preserve">support </w:t>
      </w:r>
      <w:r>
        <w:rPr>
          <w:sz w:val="24"/>
          <w:szCs w:val="24"/>
          <w:lang w:val="en-US"/>
        </w:rPr>
        <w:t>to</w:t>
      </w:r>
      <w:r w:rsidR="00E75191">
        <w:rPr>
          <w:sz w:val="24"/>
          <w:szCs w:val="24"/>
          <w:lang w:val="en-US"/>
        </w:rPr>
        <w:t xml:space="preserve"> the ongoing constitutional review to address gender equality issues including affirmative action, political participation and amendment of provisions that do not reflect gender equality.  </w:t>
      </w:r>
    </w:p>
    <w:p w14:paraId="71F0B712" w14:textId="77777777" w:rsidR="00E75191" w:rsidRDefault="00E75191" w:rsidP="00E75191">
      <w:pPr>
        <w:pStyle w:val="ListParagraph"/>
        <w:numPr>
          <w:ilvl w:val="1"/>
          <w:numId w:val="16"/>
        </w:numPr>
        <w:spacing w:line="240" w:lineRule="auto"/>
        <w:jc w:val="both"/>
        <w:rPr>
          <w:sz w:val="24"/>
          <w:szCs w:val="24"/>
        </w:rPr>
      </w:pPr>
      <w:r>
        <w:rPr>
          <w:sz w:val="24"/>
          <w:szCs w:val="24"/>
          <w:lang w:val="en-US"/>
        </w:rPr>
        <w:t>Beyond these areas, much more attention needs to be given to empowering a broader group of people with information on existing laws through legal awareness programmes, simplifying the laws, translating them into local languages and communications through jingles, radio and television programs and digital means such as key government websites and social media platforms. National gender policies should ideally be available online.</w:t>
      </w:r>
    </w:p>
    <w:p w14:paraId="3AAC3263" w14:textId="77777777" w:rsidR="00E75191" w:rsidRDefault="00E75191" w:rsidP="00E75191">
      <w:pPr>
        <w:pStyle w:val="ListParagraph"/>
        <w:numPr>
          <w:ilvl w:val="1"/>
          <w:numId w:val="16"/>
        </w:numPr>
        <w:spacing w:line="240" w:lineRule="auto"/>
        <w:jc w:val="both"/>
        <w:rPr>
          <w:sz w:val="24"/>
          <w:szCs w:val="24"/>
        </w:rPr>
      </w:pPr>
      <w:r>
        <w:rPr>
          <w:sz w:val="24"/>
          <w:szCs w:val="24"/>
          <w:lang w:val="en-US"/>
        </w:rPr>
        <w:t xml:space="preserve">Support for the finalization and dissemination of an updated National Gender Policy. Further, monitoring and evaluation of policies and action plans relating to gender equality is also important.    </w:t>
      </w:r>
    </w:p>
    <w:p w14:paraId="7B15DBC0" w14:textId="77777777" w:rsidR="00E75191" w:rsidRDefault="00E75191" w:rsidP="00E75191">
      <w:pPr>
        <w:pStyle w:val="ListParagraph"/>
        <w:numPr>
          <w:ilvl w:val="1"/>
          <w:numId w:val="16"/>
        </w:numPr>
        <w:spacing w:line="240" w:lineRule="auto"/>
        <w:jc w:val="both"/>
        <w:rPr>
          <w:sz w:val="24"/>
          <w:szCs w:val="24"/>
        </w:rPr>
      </w:pPr>
      <w:r>
        <w:rPr>
          <w:sz w:val="24"/>
          <w:szCs w:val="24"/>
          <w:lang w:val="en-US"/>
        </w:rPr>
        <w:t xml:space="preserve">Support for gender-responsive budgeting, monitoring and publication of gender commitments in national and state budgets and across different sectors. </w:t>
      </w:r>
    </w:p>
    <w:p w14:paraId="109C4226" w14:textId="77777777" w:rsidR="00E75191" w:rsidRDefault="00E75191" w:rsidP="00E75191">
      <w:pPr>
        <w:pStyle w:val="ListParagraph"/>
        <w:numPr>
          <w:ilvl w:val="1"/>
          <w:numId w:val="16"/>
        </w:numPr>
        <w:spacing w:line="240" w:lineRule="auto"/>
        <w:jc w:val="both"/>
        <w:rPr>
          <w:sz w:val="24"/>
          <w:szCs w:val="24"/>
        </w:rPr>
      </w:pPr>
      <w:r>
        <w:rPr>
          <w:sz w:val="24"/>
          <w:szCs w:val="24"/>
          <w:lang w:val="en-US"/>
        </w:rPr>
        <w:t>Support initiatives on increasing the number of female planners in key MDAs.</w:t>
      </w:r>
    </w:p>
    <w:p w14:paraId="55A266C6" w14:textId="77777777" w:rsidR="00E75191" w:rsidRDefault="00E75191" w:rsidP="00E75191">
      <w:pPr>
        <w:pStyle w:val="ListParagraph"/>
        <w:numPr>
          <w:ilvl w:val="1"/>
          <w:numId w:val="16"/>
        </w:numPr>
        <w:spacing w:line="240" w:lineRule="auto"/>
        <w:jc w:val="both"/>
        <w:rPr>
          <w:sz w:val="24"/>
          <w:szCs w:val="24"/>
        </w:rPr>
      </w:pPr>
      <w:r>
        <w:rPr>
          <w:sz w:val="24"/>
          <w:szCs w:val="24"/>
        </w:rPr>
        <w:t>Training and engagement with policy makers to ensure that policy planning and implementation is gender sensitive and responsive.</w:t>
      </w:r>
    </w:p>
    <w:p w14:paraId="524D91E5" w14:textId="77777777" w:rsidR="00B23B4C" w:rsidRDefault="00B23B4C" w:rsidP="00B23B4C">
      <w:pPr>
        <w:pStyle w:val="ListParagraph"/>
        <w:spacing w:line="240" w:lineRule="auto"/>
        <w:ind w:left="1440"/>
        <w:jc w:val="both"/>
        <w:rPr>
          <w:sz w:val="24"/>
          <w:szCs w:val="24"/>
        </w:rPr>
      </w:pPr>
    </w:p>
    <w:p w14:paraId="04E2E17A" w14:textId="77777777" w:rsidR="00E75191" w:rsidRDefault="00E75191" w:rsidP="00E75191">
      <w:pPr>
        <w:pStyle w:val="ListParagraph"/>
        <w:numPr>
          <w:ilvl w:val="0"/>
          <w:numId w:val="16"/>
        </w:numPr>
        <w:spacing w:line="240" w:lineRule="auto"/>
        <w:jc w:val="both"/>
        <w:rPr>
          <w:sz w:val="24"/>
          <w:szCs w:val="24"/>
        </w:rPr>
      </w:pPr>
      <w:r>
        <w:rPr>
          <w:b/>
          <w:sz w:val="24"/>
          <w:szCs w:val="24"/>
          <w:lang w:val="en-US"/>
        </w:rPr>
        <w:t>Gender Norms Transformation</w:t>
      </w:r>
      <w:r>
        <w:rPr>
          <w:sz w:val="24"/>
          <w:szCs w:val="24"/>
          <w:lang w:val="en-US"/>
        </w:rPr>
        <w:t xml:space="preserve">: Harmful gender norms are the foundations for gender inequality and cut across most of the thematic areas studied. </w:t>
      </w:r>
      <w:r w:rsidR="002752FF">
        <w:rPr>
          <w:sz w:val="24"/>
          <w:szCs w:val="24"/>
          <w:lang w:val="en-US"/>
        </w:rPr>
        <w:t>It is recommended to s</w:t>
      </w:r>
      <w:r>
        <w:rPr>
          <w:sz w:val="24"/>
          <w:szCs w:val="24"/>
          <w:lang w:val="en-US"/>
        </w:rPr>
        <w:t>upport interventions that address harmful gender norms across a variety of areas including education, enterprise and employment</w:t>
      </w:r>
      <w:r w:rsidR="00B23B4C">
        <w:rPr>
          <w:sz w:val="24"/>
          <w:szCs w:val="24"/>
          <w:lang w:val="en-US"/>
        </w:rPr>
        <w:t xml:space="preserve"> particularly among the youth in view of their ability to become the turning point in Nigeria’s sociocultural landscape</w:t>
      </w:r>
      <w:r>
        <w:rPr>
          <w:sz w:val="24"/>
          <w:szCs w:val="24"/>
          <w:lang w:val="en-US"/>
        </w:rPr>
        <w:t>. Ensuring a bottom-up approach to citizen engagement</w:t>
      </w:r>
      <w:r w:rsidR="002752FF">
        <w:rPr>
          <w:sz w:val="24"/>
          <w:szCs w:val="24"/>
          <w:lang w:val="en-US"/>
        </w:rPr>
        <w:t>,</w:t>
      </w:r>
      <w:r>
        <w:rPr>
          <w:sz w:val="24"/>
          <w:szCs w:val="24"/>
          <w:lang w:val="en-US"/>
        </w:rPr>
        <w:t xml:space="preserve"> and </w:t>
      </w:r>
      <w:r w:rsidR="002752FF">
        <w:rPr>
          <w:sz w:val="24"/>
          <w:szCs w:val="24"/>
          <w:lang w:val="en-US"/>
        </w:rPr>
        <w:t xml:space="preserve">the </w:t>
      </w:r>
      <w:r>
        <w:rPr>
          <w:sz w:val="24"/>
          <w:szCs w:val="24"/>
          <w:lang w:val="en-US"/>
        </w:rPr>
        <w:t xml:space="preserve">review of </w:t>
      </w:r>
      <w:r w:rsidR="002752FF">
        <w:rPr>
          <w:sz w:val="24"/>
          <w:szCs w:val="24"/>
          <w:lang w:val="en-US"/>
        </w:rPr>
        <w:t xml:space="preserve">the </w:t>
      </w:r>
      <w:r>
        <w:rPr>
          <w:sz w:val="24"/>
          <w:szCs w:val="24"/>
          <w:lang w:val="en-US"/>
        </w:rPr>
        <w:t xml:space="preserve">educational curriculum </w:t>
      </w:r>
      <w:r w:rsidR="00C41A71">
        <w:rPr>
          <w:sz w:val="24"/>
          <w:szCs w:val="24"/>
          <w:lang w:val="en-US"/>
        </w:rPr>
        <w:t>from</w:t>
      </w:r>
      <w:r>
        <w:rPr>
          <w:sz w:val="24"/>
          <w:szCs w:val="24"/>
          <w:lang w:val="en-US"/>
        </w:rPr>
        <w:t xml:space="preserve"> the earliest stages, will support better penetration of progressive social/gender norms transformation. </w:t>
      </w:r>
    </w:p>
    <w:p w14:paraId="0EF0AC49" w14:textId="77777777" w:rsidR="00E75191" w:rsidRDefault="00E75191" w:rsidP="00E75191">
      <w:pPr>
        <w:pStyle w:val="ListParagraph"/>
        <w:spacing w:line="240" w:lineRule="auto"/>
        <w:ind w:left="1440"/>
        <w:jc w:val="both"/>
        <w:rPr>
          <w:sz w:val="24"/>
          <w:szCs w:val="24"/>
        </w:rPr>
      </w:pPr>
    </w:p>
    <w:p w14:paraId="420E3161" w14:textId="77777777" w:rsidR="00E75191" w:rsidRDefault="00E75191" w:rsidP="00E75191">
      <w:pPr>
        <w:pStyle w:val="ListParagraph"/>
        <w:numPr>
          <w:ilvl w:val="0"/>
          <w:numId w:val="16"/>
        </w:numPr>
        <w:spacing w:line="240" w:lineRule="auto"/>
        <w:jc w:val="both"/>
        <w:rPr>
          <w:sz w:val="24"/>
          <w:szCs w:val="24"/>
          <w:lang w:val="en-US"/>
        </w:rPr>
      </w:pPr>
      <w:r>
        <w:rPr>
          <w:b/>
          <w:sz w:val="24"/>
          <w:szCs w:val="24"/>
          <w:lang w:val="en-US"/>
        </w:rPr>
        <w:t>Political participation</w:t>
      </w:r>
      <w:r>
        <w:rPr>
          <w:sz w:val="24"/>
          <w:szCs w:val="24"/>
          <w:lang w:val="en-US"/>
        </w:rPr>
        <w:t xml:space="preserve">: </w:t>
      </w:r>
    </w:p>
    <w:p w14:paraId="35892D4E" w14:textId="77777777" w:rsidR="00E75191" w:rsidRDefault="00E75191" w:rsidP="00E75191">
      <w:pPr>
        <w:pStyle w:val="ListParagraph"/>
        <w:numPr>
          <w:ilvl w:val="1"/>
          <w:numId w:val="16"/>
        </w:numPr>
        <w:spacing w:line="240" w:lineRule="auto"/>
        <w:jc w:val="both"/>
        <w:rPr>
          <w:sz w:val="24"/>
          <w:szCs w:val="24"/>
          <w:lang w:val="en-US"/>
        </w:rPr>
      </w:pPr>
      <w:r>
        <w:rPr>
          <w:sz w:val="24"/>
          <w:szCs w:val="24"/>
          <w:lang w:val="en-US"/>
        </w:rPr>
        <w:t xml:space="preserve">Greater support is required for organisations working on political participation of women and, funding and other restrictions allowing, funding, mentorship support for women and women’s groups. </w:t>
      </w:r>
    </w:p>
    <w:p w14:paraId="6A9BE5B8" w14:textId="77777777" w:rsidR="00E75191" w:rsidRPr="006E3C5B" w:rsidRDefault="00C41A71" w:rsidP="00C41A71">
      <w:pPr>
        <w:pStyle w:val="ListParagraph"/>
        <w:numPr>
          <w:ilvl w:val="1"/>
          <w:numId w:val="16"/>
        </w:numPr>
        <w:spacing w:line="240" w:lineRule="auto"/>
        <w:jc w:val="both"/>
        <w:rPr>
          <w:sz w:val="24"/>
          <w:szCs w:val="24"/>
          <w:lang w:val="en-US"/>
        </w:rPr>
      </w:pPr>
      <w:r>
        <w:rPr>
          <w:sz w:val="24"/>
          <w:szCs w:val="24"/>
          <w:lang w:val="en-US"/>
        </w:rPr>
        <w:t>It is critical to</w:t>
      </w:r>
      <w:r w:rsidR="00E75191" w:rsidRPr="006E3C5B">
        <w:rPr>
          <w:sz w:val="24"/>
          <w:szCs w:val="24"/>
          <w:lang w:val="en-US"/>
        </w:rPr>
        <w:t xml:space="preserve"> s</w:t>
      </w:r>
      <w:r w:rsidR="00E75191" w:rsidRPr="006E3C5B">
        <w:rPr>
          <w:sz w:val="24"/>
          <w:szCs w:val="24"/>
        </w:rPr>
        <w:t>upport advocacy for legal reforms to support affirmative quotas.</w:t>
      </w:r>
    </w:p>
    <w:p w14:paraId="79C8C29F" w14:textId="77777777" w:rsidR="00E75191" w:rsidRDefault="00E75191" w:rsidP="00E75191">
      <w:pPr>
        <w:pStyle w:val="ListParagraph"/>
        <w:numPr>
          <w:ilvl w:val="1"/>
          <w:numId w:val="16"/>
        </w:numPr>
        <w:spacing w:line="240" w:lineRule="auto"/>
        <w:jc w:val="both"/>
        <w:rPr>
          <w:sz w:val="24"/>
          <w:szCs w:val="24"/>
          <w:lang w:val="en-US"/>
        </w:rPr>
      </w:pPr>
      <w:r>
        <w:rPr>
          <w:sz w:val="24"/>
          <w:szCs w:val="24"/>
          <w:lang w:val="en-US"/>
        </w:rPr>
        <w:t xml:space="preserve">Support advocacy </w:t>
      </w:r>
      <w:r>
        <w:rPr>
          <w:sz w:val="24"/>
          <w:szCs w:val="24"/>
        </w:rPr>
        <w:t>to key electoral institutions including INEC, political parties and other entities to place women as candidates.</w:t>
      </w:r>
    </w:p>
    <w:p w14:paraId="25DF347E" w14:textId="77777777" w:rsidR="00E75191" w:rsidRDefault="00E75191" w:rsidP="00E75191">
      <w:pPr>
        <w:pStyle w:val="ListParagraph"/>
        <w:numPr>
          <w:ilvl w:val="1"/>
          <w:numId w:val="16"/>
        </w:numPr>
        <w:spacing w:line="240" w:lineRule="auto"/>
        <w:jc w:val="both"/>
        <w:rPr>
          <w:sz w:val="24"/>
          <w:szCs w:val="24"/>
          <w:lang w:val="en-US"/>
        </w:rPr>
      </w:pPr>
      <w:r>
        <w:rPr>
          <w:sz w:val="24"/>
          <w:szCs w:val="24"/>
          <w:lang w:val="en-US"/>
        </w:rPr>
        <w:t xml:space="preserve">It is also recommended </w:t>
      </w:r>
      <w:r w:rsidR="00C41A71">
        <w:rPr>
          <w:sz w:val="24"/>
          <w:szCs w:val="24"/>
          <w:lang w:val="en-US"/>
        </w:rPr>
        <w:t xml:space="preserve">to </w:t>
      </w:r>
      <w:r>
        <w:rPr>
          <w:sz w:val="24"/>
          <w:szCs w:val="24"/>
          <w:lang w:val="en-US"/>
        </w:rPr>
        <w:t xml:space="preserve">support initiatives improving media communication of women’s political participation including but not limited to election cycles. </w:t>
      </w:r>
    </w:p>
    <w:p w14:paraId="7EED7A72" w14:textId="77777777" w:rsidR="00E75191" w:rsidRDefault="00E75191" w:rsidP="00E75191">
      <w:pPr>
        <w:pStyle w:val="ListParagraph"/>
        <w:rPr>
          <w:sz w:val="24"/>
          <w:szCs w:val="24"/>
        </w:rPr>
      </w:pPr>
    </w:p>
    <w:p w14:paraId="777F5BD9" w14:textId="77777777" w:rsidR="00E75191" w:rsidRDefault="00E75191" w:rsidP="00E75191">
      <w:pPr>
        <w:pStyle w:val="ListParagraph"/>
        <w:numPr>
          <w:ilvl w:val="0"/>
          <w:numId w:val="16"/>
        </w:numPr>
        <w:spacing w:line="240" w:lineRule="auto"/>
        <w:jc w:val="both"/>
        <w:rPr>
          <w:b/>
          <w:sz w:val="24"/>
          <w:szCs w:val="24"/>
          <w:lang w:val="en-US"/>
        </w:rPr>
      </w:pPr>
      <w:r>
        <w:rPr>
          <w:b/>
          <w:sz w:val="24"/>
          <w:szCs w:val="24"/>
          <w:lang w:val="en-GB"/>
        </w:rPr>
        <w:t xml:space="preserve">Gender-Based Violence – </w:t>
      </w:r>
      <w:r w:rsidR="00DA2867" w:rsidRPr="00DA2867">
        <w:rPr>
          <w:sz w:val="24"/>
          <w:szCs w:val="24"/>
          <w:lang w:val="en-GB"/>
        </w:rPr>
        <w:t xml:space="preserve">There has been progress towards improving interventions for managing and responding to gender-based violence.  Much more effort is required towards improving prevention efforts.  As incidences during the COVID-19 lockdown indicated, there must be ongoing support against gender-based violence. </w:t>
      </w:r>
      <w:r w:rsidRPr="00DA2867">
        <w:rPr>
          <w:sz w:val="24"/>
          <w:szCs w:val="24"/>
          <w:lang w:val="en-GB"/>
        </w:rPr>
        <w:t>Recommendations include</w:t>
      </w:r>
      <w:r>
        <w:rPr>
          <w:b/>
          <w:sz w:val="24"/>
          <w:szCs w:val="24"/>
          <w:lang w:val="en-GB"/>
        </w:rPr>
        <w:t xml:space="preserve">: </w:t>
      </w:r>
    </w:p>
    <w:p w14:paraId="6BF39E86" w14:textId="77777777" w:rsidR="00E75191" w:rsidRPr="00E75191" w:rsidRDefault="00E75191" w:rsidP="00E75191">
      <w:pPr>
        <w:pStyle w:val="ListParagraph"/>
        <w:numPr>
          <w:ilvl w:val="1"/>
          <w:numId w:val="16"/>
        </w:numPr>
        <w:spacing w:line="240" w:lineRule="auto"/>
        <w:jc w:val="both"/>
        <w:rPr>
          <w:sz w:val="24"/>
          <w:szCs w:val="24"/>
          <w:lang w:val="en-US"/>
        </w:rPr>
      </w:pPr>
      <w:r>
        <w:rPr>
          <w:sz w:val="24"/>
          <w:szCs w:val="24"/>
          <w:lang w:val="en-GB"/>
        </w:rPr>
        <w:lastRenderedPageBreak/>
        <w:t>Support initiatives on gender norms transformation across micro, meso, macro levels</w:t>
      </w:r>
      <w:r w:rsidR="00C41A71">
        <w:rPr>
          <w:sz w:val="24"/>
          <w:szCs w:val="24"/>
          <w:lang w:val="en-GB"/>
        </w:rPr>
        <w:t xml:space="preserve">. </w:t>
      </w:r>
    </w:p>
    <w:p w14:paraId="7C155CE8" w14:textId="77777777" w:rsidR="00E75191" w:rsidRDefault="00C41A71" w:rsidP="00E75191">
      <w:pPr>
        <w:pStyle w:val="ListParagraph"/>
        <w:numPr>
          <w:ilvl w:val="1"/>
          <w:numId w:val="16"/>
        </w:numPr>
        <w:spacing w:line="240" w:lineRule="auto"/>
        <w:jc w:val="both"/>
        <w:rPr>
          <w:sz w:val="24"/>
          <w:szCs w:val="24"/>
          <w:lang w:val="en-US"/>
        </w:rPr>
      </w:pPr>
      <w:r>
        <w:rPr>
          <w:sz w:val="24"/>
          <w:szCs w:val="24"/>
          <w:lang w:val="en-GB"/>
        </w:rPr>
        <w:t>W</w:t>
      </w:r>
      <w:r w:rsidR="00E75191">
        <w:rPr>
          <w:sz w:val="24"/>
          <w:szCs w:val="24"/>
          <w:lang w:val="en-GB"/>
        </w:rPr>
        <w:t>ork with national and state level stakeholders to provide shelters and psychological/psychiatric services to victims of GBV especially in high risk states given the low number of shelters.</w:t>
      </w:r>
    </w:p>
    <w:p w14:paraId="5A9A3594" w14:textId="77777777" w:rsidR="00E75191" w:rsidRPr="00DA2867" w:rsidRDefault="00E75191" w:rsidP="00E75191">
      <w:pPr>
        <w:pStyle w:val="ListParagraph"/>
        <w:numPr>
          <w:ilvl w:val="1"/>
          <w:numId w:val="16"/>
        </w:numPr>
        <w:spacing w:line="240" w:lineRule="auto"/>
        <w:jc w:val="both"/>
        <w:rPr>
          <w:sz w:val="24"/>
          <w:szCs w:val="24"/>
          <w:lang w:val="en-US"/>
        </w:rPr>
      </w:pPr>
      <w:r>
        <w:rPr>
          <w:sz w:val="24"/>
          <w:szCs w:val="24"/>
          <w:lang w:val="en-GB"/>
        </w:rPr>
        <w:t>Support for initiatives on enforcement of legal rights</w:t>
      </w:r>
      <w:r w:rsidR="00C41A71">
        <w:rPr>
          <w:sz w:val="24"/>
          <w:szCs w:val="24"/>
          <w:lang w:val="en-GB"/>
        </w:rPr>
        <w:t xml:space="preserve"> and prosecution of perpetuators of GBV.</w:t>
      </w:r>
    </w:p>
    <w:p w14:paraId="69064DFF" w14:textId="77777777" w:rsidR="00DA2867" w:rsidRDefault="00DA2867" w:rsidP="00E75191">
      <w:pPr>
        <w:pStyle w:val="ListParagraph"/>
        <w:numPr>
          <w:ilvl w:val="1"/>
          <w:numId w:val="16"/>
        </w:numPr>
        <w:spacing w:line="240" w:lineRule="auto"/>
        <w:jc w:val="both"/>
        <w:rPr>
          <w:sz w:val="24"/>
          <w:szCs w:val="24"/>
          <w:lang w:val="en-US"/>
        </w:rPr>
      </w:pPr>
      <w:r>
        <w:rPr>
          <w:sz w:val="24"/>
          <w:szCs w:val="24"/>
          <w:lang w:val="en-GB"/>
        </w:rPr>
        <w:t xml:space="preserve">Increasing funding for existing initiatives. </w:t>
      </w:r>
    </w:p>
    <w:p w14:paraId="31EB2AAC" w14:textId="77777777" w:rsidR="00E75191" w:rsidRDefault="00E75191" w:rsidP="00E75191">
      <w:pPr>
        <w:pStyle w:val="ListParagraph"/>
        <w:spacing w:line="240" w:lineRule="auto"/>
        <w:jc w:val="both"/>
        <w:rPr>
          <w:b/>
          <w:sz w:val="24"/>
          <w:szCs w:val="24"/>
          <w:lang w:val="en-US"/>
        </w:rPr>
      </w:pPr>
    </w:p>
    <w:p w14:paraId="25D0C5B4" w14:textId="77777777" w:rsidR="00E75191" w:rsidRPr="00E75191" w:rsidRDefault="00E75191" w:rsidP="00E75191">
      <w:pPr>
        <w:pStyle w:val="ListParagraph"/>
        <w:numPr>
          <w:ilvl w:val="0"/>
          <w:numId w:val="16"/>
        </w:numPr>
        <w:spacing w:line="240" w:lineRule="auto"/>
        <w:jc w:val="both"/>
        <w:rPr>
          <w:sz w:val="24"/>
          <w:szCs w:val="24"/>
        </w:rPr>
      </w:pPr>
      <w:r>
        <w:rPr>
          <w:b/>
          <w:sz w:val="24"/>
          <w:szCs w:val="24"/>
          <w:lang w:val="en-US"/>
        </w:rPr>
        <w:t xml:space="preserve">Poverty and Inequality: </w:t>
      </w:r>
    </w:p>
    <w:p w14:paraId="553D4D3A" w14:textId="77777777" w:rsidR="00E75191" w:rsidRPr="00E75191" w:rsidRDefault="00E75191" w:rsidP="00E75191">
      <w:pPr>
        <w:pStyle w:val="ListParagraph"/>
        <w:numPr>
          <w:ilvl w:val="1"/>
          <w:numId w:val="16"/>
        </w:numPr>
        <w:spacing w:line="240" w:lineRule="auto"/>
        <w:jc w:val="both"/>
        <w:rPr>
          <w:sz w:val="24"/>
          <w:szCs w:val="24"/>
        </w:rPr>
      </w:pPr>
      <w:r>
        <w:rPr>
          <w:sz w:val="24"/>
          <w:szCs w:val="24"/>
          <w:lang w:val="en-US"/>
        </w:rPr>
        <w:t xml:space="preserve">We recommend </w:t>
      </w:r>
      <w:r w:rsidR="00C41A71">
        <w:rPr>
          <w:sz w:val="24"/>
          <w:szCs w:val="24"/>
          <w:lang w:val="en-US"/>
        </w:rPr>
        <w:t>prioritizing</w:t>
      </w:r>
      <w:r>
        <w:rPr>
          <w:sz w:val="24"/>
          <w:szCs w:val="24"/>
          <w:lang w:val="en-US"/>
        </w:rPr>
        <w:t xml:space="preserve"> women’s financial inclusion as a key issue. </w:t>
      </w:r>
      <w:r w:rsidR="00C41A71">
        <w:rPr>
          <w:sz w:val="24"/>
          <w:szCs w:val="24"/>
          <w:lang w:val="en-US"/>
        </w:rPr>
        <w:t>To close the wealth gap, p</w:t>
      </w:r>
      <w:r>
        <w:rPr>
          <w:sz w:val="24"/>
          <w:szCs w:val="24"/>
          <w:lang w:val="en-US"/>
        </w:rPr>
        <w:t xml:space="preserve">rivate sector engagement targeted at providing banking services to low income earners and women in rural areas </w:t>
      </w:r>
      <w:r w:rsidR="00C41A71">
        <w:rPr>
          <w:sz w:val="24"/>
          <w:szCs w:val="24"/>
          <w:lang w:val="en-US"/>
        </w:rPr>
        <w:t>is key</w:t>
      </w:r>
      <w:r>
        <w:rPr>
          <w:sz w:val="24"/>
          <w:szCs w:val="24"/>
          <w:lang w:val="en-US"/>
        </w:rPr>
        <w:t>.</w:t>
      </w:r>
    </w:p>
    <w:p w14:paraId="2BC884CF" w14:textId="77777777" w:rsidR="00E75191" w:rsidRPr="00E75191" w:rsidRDefault="00E75191" w:rsidP="00E75191">
      <w:pPr>
        <w:pStyle w:val="ListParagraph"/>
        <w:numPr>
          <w:ilvl w:val="1"/>
          <w:numId w:val="16"/>
        </w:numPr>
        <w:spacing w:line="240" w:lineRule="auto"/>
        <w:jc w:val="both"/>
        <w:rPr>
          <w:sz w:val="24"/>
          <w:szCs w:val="24"/>
        </w:rPr>
      </w:pPr>
      <w:r>
        <w:rPr>
          <w:sz w:val="24"/>
          <w:szCs w:val="24"/>
          <w:lang w:val="en-US"/>
        </w:rPr>
        <w:t>Achieving financial inclusion within the context of the tech-oriented 21</w:t>
      </w:r>
      <w:r w:rsidRPr="00E75191">
        <w:rPr>
          <w:sz w:val="24"/>
          <w:szCs w:val="24"/>
          <w:vertAlign w:val="superscript"/>
          <w:lang w:val="en-US"/>
        </w:rPr>
        <w:t>st</w:t>
      </w:r>
      <w:r>
        <w:rPr>
          <w:sz w:val="24"/>
          <w:szCs w:val="24"/>
          <w:lang w:val="en-US"/>
        </w:rPr>
        <w:t xml:space="preserve"> century will require </w:t>
      </w:r>
      <w:r w:rsidRPr="00E75191">
        <w:rPr>
          <w:sz w:val="24"/>
          <w:szCs w:val="24"/>
          <w:lang w:val="en-US"/>
        </w:rPr>
        <w:t xml:space="preserve">support for digital skills training. </w:t>
      </w:r>
    </w:p>
    <w:p w14:paraId="469BD1C4" w14:textId="77777777" w:rsidR="00E75191" w:rsidRPr="002E3467" w:rsidRDefault="00E75191" w:rsidP="002E3467">
      <w:pPr>
        <w:pStyle w:val="ListParagraph"/>
        <w:numPr>
          <w:ilvl w:val="1"/>
          <w:numId w:val="16"/>
        </w:numPr>
        <w:spacing w:line="240" w:lineRule="auto"/>
        <w:jc w:val="both"/>
        <w:rPr>
          <w:sz w:val="24"/>
          <w:szCs w:val="24"/>
        </w:rPr>
      </w:pPr>
      <w:r>
        <w:rPr>
          <w:sz w:val="24"/>
          <w:szCs w:val="24"/>
          <w:lang w:val="en-US"/>
        </w:rPr>
        <w:t xml:space="preserve">Funded research </w:t>
      </w:r>
      <w:r w:rsidRPr="00E75191">
        <w:rPr>
          <w:sz w:val="24"/>
          <w:szCs w:val="24"/>
          <w:lang w:val="en-US"/>
        </w:rPr>
        <w:t xml:space="preserve">on female poverty and </w:t>
      </w:r>
      <w:r w:rsidR="00C41A71">
        <w:rPr>
          <w:sz w:val="24"/>
          <w:szCs w:val="24"/>
          <w:lang w:val="en-US"/>
        </w:rPr>
        <w:t>long-term</w:t>
      </w:r>
      <w:r>
        <w:rPr>
          <w:sz w:val="24"/>
          <w:szCs w:val="24"/>
          <w:lang w:val="en-US"/>
        </w:rPr>
        <w:t xml:space="preserve"> practical </w:t>
      </w:r>
      <w:r w:rsidRPr="00E75191">
        <w:rPr>
          <w:sz w:val="24"/>
          <w:szCs w:val="24"/>
          <w:lang w:val="en-US"/>
        </w:rPr>
        <w:t xml:space="preserve">solutions </w:t>
      </w:r>
      <w:r>
        <w:rPr>
          <w:sz w:val="24"/>
          <w:szCs w:val="24"/>
          <w:lang w:val="en-US"/>
        </w:rPr>
        <w:t>need to be considered to prevent program failure</w:t>
      </w:r>
      <w:r w:rsidRPr="00E75191">
        <w:rPr>
          <w:sz w:val="24"/>
          <w:szCs w:val="24"/>
          <w:lang w:val="en-US"/>
        </w:rPr>
        <w:t xml:space="preserve">. </w:t>
      </w:r>
    </w:p>
    <w:p w14:paraId="62CB1A80" w14:textId="77777777" w:rsidR="002E3467" w:rsidRPr="002E3467" w:rsidRDefault="002E3467" w:rsidP="002E3467">
      <w:pPr>
        <w:pStyle w:val="ListParagraph"/>
        <w:spacing w:line="240" w:lineRule="auto"/>
        <w:ind w:left="1440"/>
        <w:jc w:val="both"/>
        <w:rPr>
          <w:sz w:val="24"/>
          <w:szCs w:val="24"/>
        </w:rPr>
      </w:pPr>
    </w:p>
    <w:p w14:paraId="24C49996" w14:textId="77777777" w:rsidR="009C43D4" w:rsidRPr="009C43D4" w:rsidRDefault="00E75191" w:rsidP="009C43D4">
      <w:pPr>
        <w:pStyle w:val="ListParagraph"/>
        <w:numPr>
          <w:ilvl w:val="0"/>
          <w:numId w:val="16"/>
        </w:numPr>
        <w:spacing w:line="240" w:lineRule="auto"/>
        <w:jc w:val="both"/>
        <w:rPr>
          <w:sz w:val="24"/>
          <w:szCs w:val="24"/>
        </w:rPr>
      </w:pPr>
      <w:r w:rsidRPr="009C43D4">
        <w:rPr>
          <w:b/>
          <w:sz w:val="24"/>
          <w:szCs w:val="24"/>
          <w:lang w:val="en-US"/>
        </w:rPr>
        <w:t>Employment and enterprise:</w:t>
      </w:r>
      <w:r w:rsidRPr="009C43D4">
        <w:rPr>
          <w:sz w:val="24"/>
          <w:szCs w:val="24"/>
          <w:lang w:val="en-US"/>
        </w:rPr>
        <w:t xml:space="preserve"> </w:t>
      </w:r>
      <w:r w:rsidR="009C43D4">
        <w:rPr>
          <w:sz w:val="24"/>
          <w:szCs w:val="24"/>
          <w:lang w:val="en-US"/>
        </w:rPr>
        <w:t>It is clear that unemployment is a problem across the demographics group in the country and it disproportionate</w:t>
      </w:r>
      <w:r w:rsidR="00D05C3F">
        <w:rPr>
          <w:sz w:val="24"/>
          <w:szCs w:val="24"/>
          <w:lang w:val="en-US"/>
        </w:rPr>
        <w:t>ly affects women and young people</w:t>
      </w:r>
      <w:r w:rsidR="009C43D4">
        <w:rPr>
          <w:sz w:val="24"/>
          <w:szCs w:val="24"/>
          <w:lang w:val="en-US"/>
        </w:rPr>
        <w:t xml:space="preserve">. Thus, </w:t>
      </w:r>
      <w:r w:rsidR="009C43D4" w:rsidRPr="00FD02E5">
        <w:rPr>
          <w:sz w:val="24"/>
          <w:szCs w:val="24"/>
          <w:lang w:val="en-US"/>
        </w:rPr>
        <w:t xml:space="preserve">Nigeria must prioritise investment in youth, with a special focus on women and girls to ensure that the next generations of </w:t>
      </w:r>
      <w:r w:rsidR="009C43D4">
        <w:rPr>
          <w:sz w:val="24"/>
          <w:szCs w:val="24"/>
          <w:lang w:val="en-US"/>
        </w:rPr>
        <w:t>young adults</w:t>
      </w:r>
      <w:r w:rsidR="009C43D4" w:rsidRPr="00FD02E5">
        <w:rPr>
          <w:sz w:val="24"/>
          <w:szCs w:val="24"/>
          <w:lang w:val="en-US"/>
        </w:rPr>
        <w:t xml:space="preserve"> are </w:t>
      </w:r>
      <w:r w:rsidR="009C43D4">
        <w:rPr>
          <w:sz w:val="24"/>
          <w:szCs w:val="24"/>
          <w:lang w:val="en-US"/>
        </w:rPr>
        <w:t xml:space="preserve">exposed to opportunities for human capital development so that they can contribute maximally to </w:t>
      </w:r>
      <w:r w:rsidR="009C43D4" w:rsidRPr="00FD02E5">
        <w:rPr>
          <w:sz w:val="24"/>
          <w:szCs w:val="24"/>
          <w:lang w:val="en-US"/>
        </w:rPr>
        <w:t>decision making, economic growth and development</w:t>
      </w:r>
      <w:r w:rsidR="009C43D4">
        <w:rPr>
          <w:sz w:val="24"/>
          <w:szCs w:val="24"/>
          <w:lang w:val="en-US"/>
        </w:rPr>
        <w:t xml:space="preserve">. To this end, partners and stakeholders must consider strategic ways to: </w:t>
      </w:r>
    </w:p>
    <w:p w14:paraId="2544D75A" w14:textId="77777777" w:rsidR="009C43D4" w:rsidRPr="004B4171" w:rsidRDefault="009C43D4" w:rsidP="00D05C3F">
      <w:pPr>
        <w:pStyle w:val="ListParagraph"/>
        <w:spacing w:line="240" w:lineRule="auto"/>
        <w:jc w:val="both"/>
        <w:rPr>
          <w:sz w:val="24"/>
          <w:szCs w:val="24"/>
        </w:rPr>
      </w:pPr>
    </w:p>
    <w:p w14:paraId="5D065296" w14:textId="77777777" w:rsidR="00E75191" w:rsidRPr="009C43D4" w:rsidRDefault="00E75191" w:rsidP="00372C4D">
      <w:pPr>
        <w:pStyle w:val="ListParagraph"/>
        <w:numPr>
          <w:ilvl w:val="1"/>
          <w:numId w:val="16"/>
        </w:numPr>
        <w:spacing w:line="240" w:lineRule="auto"/>
        <w:jc w:val="both"/>
        <w:rPr>
          <w:sz w:val="24"/>
          <w:szCs w:val="24"/>
        </w:rPr>
      </w:pPr>
      <w:r w:rsidRPr="009C43D4">
        <w:rPr>
          <w:sz w:val="24"/>
          <w:szCs w:val="24"/>
          <w:lang w:val="en-US"/>
        </w:rPr>
        <w:t xml:space="preserve">Support initiatives promoting women’s employment and entrepreneurship. </w:t>
      </w:r>
    </w:p>
    <w:p w14:paraId="569B3BDA" w14:textId="77777777" w:rsidR="00E75191" w:rsidRPr="009C43D4" w:rsidRDefault="00E75191" w:rsidP="00E75191">
      <w:pPr>
        <w:pStyle w:val="ListParagraph"/>
        <w:numPr>
          <w:ilvl w:val="1"/>
          <w:numId w:val="16"/>
        </w:numPr>
        <w:spacing w:line="240" w:lineRule="auto"/>
        <w:jc w:val="both"/>
        <w:rPr>
          <w:sz w:val="24"/>
          <w:szCs w:val="24"/>
        </w:rPr>
      </w:pPr>
      <w:r>
        <w:rPr>
          <w:sz w:val="24"/>
          <w:szCs w:val="24"/>
          <w:lang w:val="en-US"/>
        </w:rPr>
        <w:t>Support financial education for women.</w:t>
      </w:r>
    </w:p>
    <w:p w14:paraId="1C540199" w14:textId="77777777" w:rsidR="009C43D4" w:rsidRPr="009C43D4" w:rsidRDefault="009C43D4" w:rsidP="009C43D4">
      <w:pPr>
        <w:pStyle w:val="ListParagraph"/>
        <w:numPr>
          <w:ilvl w:val="1"/>
          <w:numId w:val="16"/>
        </w:numPr>
        <w:spacing w:line="240" w:lineRule="auto"/>
        <w:jc w:val="both"/>
        <w:rPr>
          <w:sz w:val="24"/>
          <w:szCs w:val="24"/>
        </w:rPr>
      </w:pPr>
      <w:r w:rsidRPr="009C43D4">
        <w:rPr>
          <w:sz w:val="24"/>
          <w:szCs w:val="24"/>
          <w:lang w:val="en-US"/>
        </w:rPr>
        <w:t xml:space="preserve">Support initiatives promoting women’s employment and entrepreneurship. </w:t>
      </w:r>
    </w:p>
    <w:p w14:paraId="5DCE1788" w14:textId="77777777" w:rsidR="00E75191" w:rsidRDefault="00E75191" w:rsidP="00E75191">
      <w:pPr>
        <w:pStyle w:val="ListParagraph"/>
        <w:numPr>
          <w:ilvl w:val="1"/>
          <w:numId w:val="16"/>
        </w:numPr>
        <w:spacing w:line="240" w:lineRule="auto"/>
        <w:jc w:val="both"/>
        <w:rPr>
          <w:sz w:val="24"/>
          <w:szCs w:val="24"/>
          <w:lang w:val="en-US"/>
        </w:rPr>
      </w:pPr>
      <w:r>
        <w:rPr>
          <w:sz w:val="24"/>
          <w:szCs w:val="24"/>
          <w:lang w:val="en-GB"/>
        </w:rPr>
        <w:t xml:space="preserve">Support capacity building on, and implementation of, gender-friendly policies in the private sector, especially at the micro and </w:t>
      </w:r>
      <w:r w:rsidR="00C41A71">
        <w:rPr>
          <w:sz w:val="24"/>
          <w:szCs w:val="24"/>
          <w:lang w:val="en-GB"/>
        </w:rPr>
        <w:t xml:space="preserve">sectoral </w:t>
      </w:r>
      <w:r>
        <w:rPr>
          <w:sz w:val="24"/>
          <w:szCs w:val="24"/>
          <w:lang w:val="en-GB"/>
        </w:rPr>
        <w:t>levels</w:t>
      </w:r>
      <w:r w:rsidR="00C41A71">
        <w:rPr>
          <w:sz w:val="24"/>
          <w:szCs w:val="24"/>
          <w:lang w:val="en-GB"/>
        </w:rPr>
        <w:t>.</w:t>
      </w:r>
    </w:p>
    <w:p w14:paraId="4669AB26" w14:textId="77777777" w:rsidR="00E75191" w:rsidRDefault="00EF7553" w:rsidP="00E75191">
      <w:pPr>
        <w:pStyle w:val="ListParagraph"/>
        <w:numPr>
          <w:ilvl w:val="1"/>
          <w:numId w:val="16"/>
        </w:numPr>
        <w:spacing w:line="240" w:lineRule="auto"/>
        <w:jc w:val="both"/>
        <w:rPr>
          <w:sz w:val="24"/>
          <w:szCs w:val="24"/>
          <w:lang w:val="en-US"/>
        </w:rPr>
      </w:pPr>
      <w:r>
        <w:rPr>
          <w:sz w:val="24"/>
          <w:szCs w:val="24"/>
          <w:lang w:val="en-GB"/>
        </w:rPr>
        <w:t xml:space="preserve">Promote board diversity in </w:t>
      </w:r>
      <w:r w:rsidR="00E75191">
        <w:rPr>
          <w:sz w:val="24"/>
          <w:szCs w:val="24"/>
          <w:lang w:val="en-GB"/>
        </w:rPr>
        <w:t xml:space="preserve">big private sector organisations </w:t>
      </w:r>
      <w:r w:rsidR="00C41A71">
        <w:rPr>
          <w:sz w:val="24"/>
          <w:szCs w:val="24"/>
          <w:lang w:val="en-GB"/>
        </w:rPr>
        <w:t>.</w:t>
      </w:r>
    </w:p>
    <w:p w14:paraId="5ED7BC7A" w14:textId="77777777" w:rsidR="00E75191" w:rsidRDefault="00E75191" w:rsidP="00E75191">
      <w:pPr>
        <w:pStyle w:val="ListParagraph"/>
        <w:rPr>
          <w:b/>
          <w:sz w:val="24"/>
          <w:szCs w:val="24"/>
          <w:lang w:val="en-US"/>
        </w:rPr>
      </w:pPr>
    </w:p>
    <w:p w14:paraId="15666ED6" w14:textId="77777777" w:rsidR="00E75191" w:rsidRPr="00B60568" w:rsidRDefault="00E75191" w:rsidP="00E75191">
      <w:pPr>
        <w:pStyle w:val="ListParagraph"/>
        <w:numPr>
          <w:ilvl w:val="0"/>
          <w:numId w:val="16"/>
        </w:numPr>
        <w:spacing w:line="240" w:lineRule="auto"/>
        <w:jc w:val="both"/>
        <w:rPr>
          <w:sz w:val="24"/>
          <w:szCs w:val="24"/>
        </w:rPr>
      </w:pPr>
      <w:r>
        <w:rPr>
          <w:b/>
          <w:sz w:val="24"/>
          <w:szCs w:val="24"/>
          <w:lang w:val="en-US"/>
        </w:rPr>
        <w:t>Peace and Security</w:t>
      </w:r>
    </w:p>
    <w:p w14:paraId="15B6CB68" w14:textId="77777777" w:rsidR="00B60568" w:rsidRDefault="00B60568" w:rsidP="00B60568">
      <w:pPr>
        <w:pStyle w:val="ListParagraph"/>
        <w:spacing w:line="240" w:lineRule="auto"/>
        <w:jc w:val="both"/>
        <w:rPr>
          <w:sz w:val="24"/>
          <w:szCs w:val="24"/>
          <w:lang w:val="en-US"/>
        </w:rPr>
      </w:pPr>
      <w:r>
        <w:rPr>
          <w:sz w:val="24"/>
          <w:szCs w:val="24"/>
          <w:lang w:val="en-US"/>
        </w:rPr>
        <w:t xml:space="preserve">This is the most pressing issue in Nigeria today.  Its impact is felt by all demographics, including women, men, girls and boys.  However, as with all spheres of life, women and girls are more adversely impacted, across the areas of education, health (in particular reproductive health), gender-based violence etc.   It further disempowers women and girls and renders them even more vulnerable in a situation where gender inequality is predominant. </w:t>
      </w:r>
    </w:p>
    <w:p w14:paraId="20A60915" w14:textId="77777777" w:rsidR="00B60568" w:rsidRDefault="00B60568" w:rsidP="00B60568">
      <w:pPr>
        <w:pStyle w:val="ListParagraph"/>
        <w:spacing w:line="240" w:lineRule="auto"/>
        <w:jc w:val="both"/>
        <w:rPr>
          <w:sz w:val="24"/>
          <w:szCs w:val="24"/>
          <w:lang w:val="en-US"/>
        </w:rPr>
      </w:pPr>
    </w:p>
    <w:p w14:paraId="1CB73C3A" w14:textId="77777777" w:rsidR="00403627" w:rsidRDefault="00B60568" w:rsidP="00403627">
      <w:pPr>
        <w:pStyle w:val="ListParagraph"/>
        <w:numPr>
          <w:ilvl w:val="1"/>
          <w:numId w:val="16"/>
        </w:numPr>
        <w:spacing w:line="240" w:lineRule="auto"/>
        <w:jc w:val="both"/>
        <w:rPr>
          <w:sz w:val="24"/>
          <w:szCs w:val="24"/>
          <w:lang w:val="en-US"/>
        </w:rPr>
      </w:pPr>
      <w:r>
        <w:rPr>
          <w:sz w:val="24"/>
          <w:szCs w:val="24"/>
          <w:lang w:val="en-US"/>
        </w:rPr>
        <w:t xml:space="preserve">Broad intervention and support to government programmes to manage insecurity is critical to improve security in general.  </w:t>
      </w:r>
      <w:r w:rsidR="00403627">
        <w:rPr>
          <w:sz w:val="24"/>
          <w:szCs w:val="24"/>
          <w:lang w:val="en-US"/>
        </w:rPr>
        <w:t xml:space="preserve">The deepening insecurity, violence and conflict, require high level intervention to </w:t>
      </w:r>
      <w:r w:rsidR="00DB58ED">
        <w:rPr>
          <w:sz w:val="24"/>
          <w:szCs w:val="24"/>
          <w:lang w:val="en-US"/>
        </w:rPr>
        <w:t xml:space="preserve">encourage the Nigerian government to implement multi-sectoral strategies, to improve security in the country.  This will support gender equality and increase prosperity. </w:t>
      </w:r>
    </w:p>
    <w:p w14:paraId="3C8E4F7E" w14:textId="77777777" w:rsidR="00CE784B" w:rsidRDefault="00CE784B" w:rsidP="00403627">
      <w:pPr>
        <w:pStyle w:val="ListParagraph"/>
        <w:numPr>
          <w:ilvl w:val="1"/>
          <w:numId w:val="16"/>
        </w:numPr>
        <w:spacing w:line="240" w:lineRule="auto"/>
        <w:jc w:val="both"/>
        <w:rPr>
          <w:sz w:val="24"/>
          <w:szCs w:val="24"/>
          <w:lang w:val="en-US"/>
        </w:rPr>
      </w:pPr>
      <w:r>
        <w:rPr>
          <w:sz w:val="24"/>
          <w:szCs w:val="24"/>
          <w:lang w:val="en-US"/>
        </w:rPr>
        <w:lastRenderedPageBreak/>
        <w:t>Support should include the implementation of the NAP and adoption and implementation of the NAP at State and local levels, especially in the most</w:t>
      </w:r>
      <w:r w:rsidR="00181C27">
        <w:rPr>
          <w:sz w:val="24"/>
          <w:szCs w:val="24"/>
          <w:lang w:val="en-US"/>
        </w:rPr>
        <w:t xml:space="preserve"> violent-</w:t>
      </w:r>
      <w:r>
        <w:rPr>
          <w:sz w:val="24"/>
          <w:szCs w:val="24"/>
          <w:lang w:val="en-US"/>
        </w:rPr>
        <w:t xml:space="preserve">prone areas.  The NAP 2017-2020 has expired.  Support is recommended for the development of a new NAP and adoption at state and local levels. </w:t>
      </w:r>
    </w:p>
    <w:p w14:paraId="3A8C671F" w14:textId="77777777" w:rsidR="00E75191" w:rsidRDefault="00560153" w:rsidP="00B60568">
      <w:pPr>
        <w:pStyle w:val="ListParagraph"/>
        <w:numPr>
          <w:ilvl w:val="1"/>
          <w:numId w:val="16"/>
        </w:numPr>
        <w:spacing w:line="240" w:lineRule="auto"/>
        <w:jc w:val="both"/>
        <w:rPr>
          <w:sz w:val="24"/>
          <w:szCs w:val="24"/>
          <w:lang w:val="en-US"/>
        </w:rPr>
      </w:pPr>
      <w:r>
        <w:rPr>
          <w:sz w:val="24"/>
          <w:szCs w:val="24"/>
          <w:lang w:val="en-US"/>
        </w:rPr>
        <w:t>High level advocacy is required to improve budget allocations for implementing the NAP</w:t>
      </w:r>
      <w:r w:rsidR="00DA2867">
        <w:rPr>
          <w:sz w:val="24"/>
          <w:szCs w:val="24"/>
          <w:lang w:val="en-US"/>
        </w:rPr>
        <w:t xml:space="preserve"> at all levels</w:t>
      </w:r>
      <w:r>
        <w:rPr>
          <w:sz w:val="24"/>
          <w:szCs w:val="24"/>
          <w:lang w:val="en-US"/>
        </w:rPr>
        <w:t xml:space="preserve">. </w:t>
      </w:r>
    </w:p>
    <w:p w14:paraId="375CDBA4" w14:textId="77777777" w:rsidR="00C04287" w:rsidRPr="00C04287" w:rsidRDefault="00C04287" w:rsidP="00C04287">
      <w:pPr>
        <w:pStyle w:val="ListParagraph"/>
        <w:spacing w:line="240" w:lineRule="auto"/>
        <w:ind w:left="1440"/>
        <w:jc w:val="both"/>
        <w:rPr>
          <w:sz w:val="24"/>
          <w:szCs w:val="24"/>
          <w:lang w:val="en-US"/>
        </w:rPr>
      </w:pPr>
    </w:p>
    <w:p w14:paraId="0062F215" w14:textId="77777777" w:rsidR="00E75191" w:rsidRDefault="00E75191" w:rsidP="00E75191">
      <w:pPr>
        <w:pStyle w:val="ListParagraph"/>
        <w:numPr>
          <w:ilvl w:val="0"/>
          <w:numId w:val="16"/>
        </w:numPr>
        <w:spacing w:line="240" w:lineRule="auto"/>
        <w:jc w:val="both"/>
        <w:rPr>
          <w:sz w:val="24"/>
          <w:szCs w:val="24"/>
        </w:rPr>
      </w:pPr>
      <w:r>
        <w:rPr>
          <w:b/>
          <w:sz w:val="24"/>
          <w:szCs w:val="24"/>
          <w:lang w:val="en-US"/>
        </w:rPr>
        <w:t>Health</w:t>
      </w:r>
      <w:r>
        <w:rPr>
          <w:sz w:val="24"/>
          <w:szCs w:val="24"/>
          <w:lang w:val="en-US"/>
        </w:rPr>
        <w:t xml:space="preserve">: In general, there is need to embed gender as a cross-cutting issue in health initiatives and interventions supported by the EU. There are many gaps in health for women and girls, in particular </w:t>
      </w:r>
      <w:r w:rsidR="00EF7553">
        <w:rPr>
          <w:sz w:val="24"/>
          <w:szCs w:val="24"/>
          <w:lang w:val="en-US"/>
        </w:rPr>
        <w:t xml:space="preserve">with regards to </w:t>
      </w:r>
      <w:r>
        <w:rPr>
          <w:sz w:val="24"/>
          <w:szCs w:val="24"/>
          <w:lang w:val="en-US"/>
        </w:rPr>
        <w:t>sexual and reproductive health</w:t>
      </w:r>
      <w:r w:rsidR="00EF7553">
        <w:rPr>
          <w:sz w:val="24"/>
          <w:szCs w:val="24"/>
          <w:lang w:val="en-US"/>
        </w:rPr>
        <w:t xml:space="preserve">. There are specific challenges related to access to health for </w:t>
      </w:r>
      <w:r>
        <w:rPr>
          <w:sz w:val="24"/>
          <w:szCs w:val="24"/>
          <w:lang w:val="en-US"/>
        </w:rPr>
        <w:t xml:space="preserve">men. We recommend: </w:t>
      </w:r>
    </w:p>
    <w:p w14:paraId="6EEDB863" w14:textId="77777777" w:rsidR="00E75191" w:rsidRDefault="00E75191" w:rsidP="00E75191">
      <w:pPr>
        <w:pStyle w:val="ListParagraph"/>
        <w:rPr>
          <w:sz w:val="24"/>
          <w:szCs w:val="24"/>
          <w:lang w:val="en-US"/>
        </w:rPr>
      </w:pPr>
    </w:p>
    <w:p w14:paraId="30C7A6FA" w14:textId="77777777" w:rsidR="00E75191" w:rsidRDefault="00E75191" w:rsidP="00E75191">
      <w:pPr>
        <w:pStyle w:val="ListParagraph"/>
        <w:numPr>
          <w:ilvl w:val="1"/>
          <w:numId w:val="16"/>
        </w:numPr>
        <w:spacing w:line="240" w:lineRule="auto"/>
        <w:jc w:val="both"/>
        <w:rPr>
          <w:sz w:val="24"/>
          <w:szCs w:val="24"/>
        </w:rPr>
      </w:pPr>
      <w:r>
        <w:rPr>
          <w:sz w:val="24"/>
          <w:szCs w:val="24"/>
          <w:lang w:val="en-US"/>
        </w:rPr>
        <w:t>Support for government initiatives on MNCH, the Family Pledge</w:t>
      </w:r>
      <w:r w:rsidR="00DB58ED">
        <w:rPr>
          <w:sz w:val="24"/>
          <w:szCs w:val="24"/>
          <w:lang w:val="en-US"/>
        </w:rPr>
        <w:t xml:space="preserve"> for family planning</w:t>
      </w:r>
      <w:r>
        <w:rPr>
          <w:sz w:val="24"/>
          <w:szCs w:val="24"/>
          <w:lang w:val="en-US"/>
        </w:rPr>
        <w:t xml:space="preserve"> is crucial and related policies and action plans.  </w:t>
      </w:r>
    </w:p>
    <w:p w14:paraId="765D942B" w14:textId="77777777" w:rsidR="00E75191" w:rsidRDefault="00E75191" w:rsidP="00E75191">
      <w:pPr>
        <w:pStyle w:val="ListParagraph"/>
        <w:numPr>
          <w:ilvl w:val="1"/>
          <w:numId w:val="16"/>
        </w:numPr>
        <w:spacing w:line="240" w:lineRule="auto"/>
        <w:jc w:val="both"/>
        <w:rPr>
          <w:sz w:val="24"/>
          <w:szCs w:val="24"/>
        </w:rPr>
      </w:pPr>
      <w:r>
        <w:rPr>
          <w:sz w:val="24"/>
          <w:szCs w:val="24"/>
          <w:lang w:val="en-US"/>
        </w:rPr>
        <w:t>Support the implementation of the National Gender and Health Policy 2021-2025</w:t>
      </w:r>
    </w:p>
    <w:p w14:paraId="7F0A1D2B" w14:textId="77777777" w:rsidR="00CE784B" w:rsidRPr="00CE784B" w:rsidRDefault="00E75191" w:rsidP="00E75191">
      <w:pPr>
        <w:pStyle w:val="ListParagraph"/>
        <w:numPr>
          <w:ilvl w:val="1"/>
          <w:numId w:val="16"/>
        </w:numPr>
        <w:spacing w:line="240" w:lineRule="auto"/>
        <w:jc w:val="both"/>
        <w:rPr>
          <w:sz w:val="24"/>
          <w:szCs w:val="24"/>
        </w:rPr>
      </w:pPr>
      <w:r>
        <w:rPr>
          <w:sz w:val="24"/>
          <w:szCs w:val="24"/>
          <w:lang w:val="en-US"/>
        </w:rPr>
        <w:t xml:space="preserve">Initiatives that work at grassroots </w:t>
      </w:r>
      <w:r w:rsidR="00EF7553">
        <w:rPr>
          <w:sz w:val="24"/>
          <w:szCs w:val="24"/>
          <w:lang w:val="en-US"/>
        </w:rPr>
        <w:t xml:space="preserve">level </w:t>
      </w:r>
      <w:r>
        <w:rPr>
          <w:sz w:val="24"/>
          <w:szCs w:val="24"/>
          <w:lang w:val="en-US"/>
        </w:rPr>
        <w:t>and initiatives that promote access to health care such as health insurance</w:t>
      </w:r>
      <w:r w:rsidR="00EF7553">
        <w:rPr>
          <w:sz w:val="24"/>
          <w:szCs w:val="24"/>
          <w:lang w:val="en-US"/>
        </w:rPr>
        <w:t>.</w:t>
      </w:r>
      <w:r>
        <w:rPr>
          <w:sz w:val="24"/>
          <w:szCs w:val="24"/>
          <w:lang w:val="en-US"/>
        </w:rPr>
        <w:t xml:space="preserve"> </w:t>
      </w:r>
      <w:r w:rsidR="00CE784B">
        <w:rPr>
          <w:sz w:val="24"/>
          <w:szCs w:val="24"/>
          <w:lang w:val="en-US"/>
        </w:rPr>
        <w:t xml:space="preserve"> It is important to understand how gender is reflected in social safety nets like health insurance.  At the present time, there is insufficient research and data on this in Nigeria.  </w:t>
      </w:r>
    </w:p>
    <w:p w14:paraId="420DFC06" w14:textId="77777777" w:rsidR="00E75191" w:rsidRDefault="00EF7553" w:rsidP="00E75191">
      <w:pPr>
        <w:pStyle w:val="ListParagraph"/>
        <w:numPr>
          <w:ilvl w:val="1"/>
          <w:numId w:val="16"/>
        </w:numPr>
        <w:spacing w:line="240" w:lineRule="auto"/>
        <w:jc w:val="both"/>
        <w:rPr>
          <w:sz w:val="24"/>
          <w:szCs w:val="24"/>
        </w:rPr>
      </w:pPr>
      <w:r>
        <w:rPr>
          <w:sz w:val="24"/>
          <w:szCs w:val="24"/>
          <w:lang w:val="en-US"/>
        </w:rPr>
        <w:t>E</w:t>
      </w:r>
      <w:r w:rsidR="00CE784B">
        <w:rPr>
          <w:sz w:val="24"/>
          <w:szCs w:val="24"/>
          <w:lang w:val="en-US"/>
        </w:rPr>
        <w:t>ngage health care personnel</w:t>
      </w:r>
      <w:r w:rsidR="00E75191">
        <w:rPr>
          <w:sz w:val="24"/>
          <w:szCs w:val="24"/>
          <w:lang w:val="en-US"/>
        </w:rPr>
        <w:t xml:space="preserve"> in gender norms transformation </w:t>
      </w:r>
      <w:r>
        <w:rPr>
          <w:sz w:val="24"/>
          <w:szCs w:val="24"/>
          <w:lang w:val="en-US"/>
        </w:rPr>
        <w:t xml:space="preserve">to </w:t>
      </w:r>
      <w:r w:rsidR="00E75191">
        <w:rPr>
          <w:sz w:val="24"/>
          <w:szCs w:val="24"/>
          <w:lang w:val="en-US"/>
        </w:rPr>
        <w:t>support the</w:t>
      </w:r>
      <w:r w:rsidR="00CE784B">
        <w:rPr>
          <w:sz w:val="24"/>
          <w:szCs w:val="24"/>
          <w:lang w:val="en-US"/>
        </w:rPr>
        <w:t xml:space="preserve"> promotion of gender equality in health delivery and among the health workforce</w:t>
      </w:r>
    </w:p>
    <w:p w14:paraId="2D8A4055" w14:textId="77777777" w:rsidR="00E75191" w:rsidRDefault="00E75191" w:rsidP="00E75191">
      <w:pPr>
        <w:pStyle w:val="ListParagraph"/>
        <w:numPr>
          <w:ilvl w:val="1"/>
          <w:numId w:val="16"/>
        </w:numPr>
        <w:spacing w:line="240" w:lineRule="auto"/>
        <w:jc w:val="both"/>
        <w:rPr>
          <w:sz w:val="24"/>
          <w:szCs w:val="24"/>
        </w:rPr>
      </w:pPr>
      <w:r>
        <w:rPr>
          <w:sz w:val="24"/>
          <w:szCs w:val="24"/>
          <w:lang w:val="en-US"/>
        </w:rPr>
        <w:t xml:space="preserve">Support for digital initiatives for women’s health, including telemedicine, </w:t>
      </w:r>
      <w:r w:rsidR="00EF7553">
        <w:rPr>
          <w:sz w:val="24"/>
          <w:szCs w:val="24"/>
          <w:lang w:val="en-US"/>
        </w:rPr>
        <w:t xml:space="preserve">and </w:t>
      </w:r>
      <w:r>
        <w:rPr>
          <w:sz w:val="24"/>
          <w:szCs w:val="24"/>
          <w:lang w:val="en-US"/>
        </w:rPr>
        <w:t xml:space="preserve">access to information are also recommended.  </w:t>
      </w:r>
    </w:p>
    <w:p w14:paraId="2BD2C1AA" w14:textId="77777777" w:rsidR="00E75191" w:rsidRDefault="00E75191" w:rsidP="00E75191">
      <w:pPr>
        <w:pStyle w:val="ListParagraph"/>
        <w:numPr>
          <w:ilvl w:val="1"/>
          <w:numId w:val="16"/>
        </w:numPr>
        <w:spacing w:line="240" w:lineRule="auto"/>
        <w:jc w:val="both"/>
        <w:rPr>
          <w:sz w:val="24"/>
          <w:szCs w:val="24"/>
        </w:rPr>
      </w:pPr>
      <w:r>
        <w:rPr>
          <w:sz w:val="24"/>
          <w:szCs w:val="24"/>
          <w:lang w:val="en-US"/>
        </w:rPr>
        <w:t>Digitalization and telemedicine show strong potential for addressing the gap in access to healthcare</w:t>
      </w:r>
      <w:r w:rsidR="00EF7553">
        <w:rPr>
          <w:sz w:val="24"/>
          <w:szCs w:val="24"/>
          <w:lang w:val="en-US"/>
        </w:rPr>
        <w:t>,</w:t>
      </w:r>
      <w:r>
        <w:rPr>
          <w:sz w:val="24"/>
          <w:szCs w:val="24"/>
          <w:lang w:val="en-US"/>
        </w:rPr>
        <w:t xml:space="preserve"> both on the supply and demand side. Increased investment in private sector initiatives is required to correct rural urban divide in indices of maternal mortality.</w:t>
      </w:r>
    </w:p>
    <w:p w14:paraId="4F5C66DB" w14:textId="77777777" w:rsidR="00E75191" w:rsidRDefault="00E75191" w:rsidP="00E75191">
      <w:pPr>
        <w:pStyle w:val="ListParagraph"/>
        <w:spacing w:line="240" w:lineRule="auto"/>
        <w:ind w:left="1440"/>
        <w:jc w:val="both"/>
        <w:rPr>
          <w:sz w:val="24"/>
          <w:szCs w:val="24"/>
        </w:rPr>
      </w:pPr>
    </w:p>
    <w:p w14:paraId="26E2C011" w14:textId="77777777" w:rsidR="00CE784B" w:rsidRPr="00CE784B" w:rsidRDefault="00E75191" w:rsidP="00E75191">
      <w:pPr>
        <w:pStyle w:val="ListParagraph"/>
        <w:numPr>
          <w:ilvl w:val="0"/>
          <w:numId w:val="16"/>
        </w:numPr>
        <w:spacing w:line="240" w:lineRule="auto"/>
        <w:jc w:val="both"/>
        <w:rPr>
          <w:sz w:val="24"/>
          <w:szCs w:val="24"/>
        </w:rPr>
      </w:pPr>
      <w:r>
        <w:rPr>
          <w:b/>
          <w:sz w:val="24"/>
          <w:szCs w:val="24"/>
          <w:lang w:val="en-US"/>
        </w:rPr>
        <w:t>Education</w:t>
      </w:r>
      <w:r w:rsidR="00181C27">
        <w:rPr>
          <w:sz w:val="24"/>
          <w:szCs w:val="24"/>
          <w:lang w:val="en-US"/>
        </w:rPr>
        <w:t>: Education is a cross</w:t>
      </w:r>
      <w:r w:rsidR="00181C27" w:rsidRPr="00181C27">
        <w:rPr>
          <w:sz w:val="24"/>
          <w:szCs w:val="24"/>
        </w:rPr>
        <w:t>-</w:t>
      </w:r>
      <w:r w:rsidR="00181C27">
        <w:rPr>
          <w:sz w:val="24"/>
          <w:szCs w:val="24"/>
          <w:lang w:val="en-US"/>
        </w:rPr>
        <w:t>cutting matter that has the potential to impact other areas and create opportunities for gender equality.  In light of findings such as Nigeria’s high out of school rates, efforts must be made to increase school retention for girls and boys.   Particular care must be made to increase:</w:t>
      </w:r>
    </w:p>
    <w:p w14:paraId="63EF2437" w14:textId="77777777" w:rsidR="00E75191" w:rsidRDefault="00CE784B" w:rsidP="00CE784B">
      <w:pPr>
        <w:pStyle w:val="ListParagraph"/>
        <w:numPr>
          <w:ilvl w:val="1"/>
          <w:numId w:val="16"/>
        </w:numPr>
        <w:spacing w:line="240" w:lineRule="auto"/>
        <w:jc w:val="both"/>
        <w:rPr>
          <w:sz w:val="24"/>
          <w:szCs w:val="24"/>
        </w:rPr>
      </w:pPr>
      <w:r>
        <w:rPr>
          <w:sz w:val="24"/>
          <w:szCs w:val="24"/>
          <w:lang w:val="en-US"/>
        </w:rPr>
        <w:t>S</w:t>
      </w:r>
      <w:r w:rsidR="00E75191">
        <w:rPr>
          <w:sz w:val="24"/>
          <w:szCs w:val="24"/>
          <w:lang w:val="en-US"/>
        </w:rPr>
        <w:t xml:space="preserve">upport for gender norms transformation to increase female education, vocational education. </w:t>
      </w:r>
      <w:r>
        <w:rPr>
          <w:sz w:val="24"/>
          <w:szCs w:val="24"/>
          <w:lang w:val="en-US"/>
        </w:rPr>
        <w:t xml:space="preserve"> </w:t>
      </w:r>
    </w:p>
    <w:p w14:paraId="684D3C3A" w14:textId="77777777" w:rsidR="00E75191" w:rsidRDefault="00E75191" w:rsidP="00E75191">
      <w:pPr>
        <w:pStyle w:val="ListParagraph"/>
        <w:numPr>
          <w:ilvl w:val="1"/>
          <w:numId w:val="16"/>
        </w:numPr>
        <w:spacing w:line="240" w:lineRule="auto"/>
        <w:jc w:val="both"/>
        <w:rPr>
          <w:sz w:val="24"/>
          <w:szCs w:val="24"/>
        </w:rPr>
      </w:pPr>
      <w:r>
        <w:rPr>
          <w:sz w:val="24"/>
          <w:szCs w:val="24"/>
          <w:lang w:val="en-US"/>
        </w:rPr>
        <w:t xml:space="preserve">Support initiatives around e-learning and edutech, non-formal learning opportunities at primary school level for women and girls who have missed out on formal schooling altogether.  </w:t>
      </w:r>
    </w:p>
    <w:p w14:paraId="760C6CA3" w14:textId="77777777" w:rsidR="00E75191" w:rsidRDefault="00E75191" w:rsidP="00E75191">
      <w:pPr>
        <w:pStyle w:val="ListParagraph"/>
        <w:numPr>
          <w:ilvl w:val="1"/>
          <w:numId w:val="16"/>
        </w:numPr>
        <w:spacing w:line="240" w:lineRule="auto"/>
        <w:jc w:val="both"/>
        <w:rPr>
          <w:sz w:val="24"/>
          <w:szCs w:val="24"/>
        </w:rPr>
      </w:pPr>
      <w:r>
        <w:rPr>
          <w:sz w:val="24"/>
          <w:szCs w:val="24"/>
          <w:lang w:val="en-US"/>
        </w:rPr>
        <w:t xml:space="preserve">Disability inclusion in education should be prioritized. </w:t>
      </w:r>
    </w:p>
    <w:p w14:paraId="55B094D0" w14:textId="77777777" w:rsidR="00E75191" w:rsidRDefault="00E75191" w:rsidP="00E75191">
      <w:pPr>
        <w:pStyle w:val="ListParagraph"/>
        <w:rPr>
          <w:sz w:val="24"/>
          <w:szCs w:val="24"/>
        </w:rPr>
      </w:pPr>
    </w:p>
    <w:p w14:paraId="7249C31B" w14:textId="77777777" w:rsidR="00E75191" w:rsidRDefault="00E75191" w:rsidP="00E75191">
      <w:pPr>
        <w:pStyle w:val="ListParagraph"/>
        <w:numPr>
          <w:ilvl w:val="0"/>
          <w:numId w:val="16"/>
        </w:numPr>
        <w:spacing w:line="240" w:lineRule="auto"/>
        <w:jc w:val="both"/>
        <w:rPr>
          <w:sz w:val="24"/>
          <w:szCs w:val="24"/>
          <w:lang w:val="en-US"/>
        </w:rPr>
      </w:pPr>
      <w:r>
        <w:rPr>
          <w:b/>
          <w:sz w:val="24"/>
          <w:szCs w:val="24"/>
          <w:lang w:val="en-US"/>
        </w:rPr>
        <w:t>Digitalisation:</w:t>
      </w:r>
      <w:r w:rsidR="00DA2867">
        <w:rPr>
          <w:b/>
          <w:sz w:val="24"/>
          <w:szCs w:val="24"/>
          <w:lang w:val="en-US"/>
        </w:rPr>
        <w:t xml:space="preserve">  </w:t>
      </w:r>
      <w:r w:rsidR="00DA2867" w:rsidRPr="00333A1F">
        <w:rPr>
          <w:sz w:val="24"/>
          <w:szCs w:val="24"/>
          <w:lang w:val="en-US"/>
        </w:rPr>
        <w:t>This is perhaps the most important precursor of opportunities.  It is essential that women and girls benefit from digitalization.  This includes</w:t>
      </w:r>
      <w:r>
        <w:rPr>
          <w:b/>
          <w:sz w:val="24"/>
          <w:szCs w:val="24"/>
          <w:lang w:val="en-US"/>
        </w:rPr>
        <w:t xml:space="preserve"> </w:t>
      </w:r>
      <w:r w:rsidRPr="00E75191">
        <w:rPr>
          <w:sz w:val="24"/>
          <w:szCs w:val="24"/>
        </w:rPr>
        <w:t xml:space="preserve">support initiatives for the improving access for rural women. This can be cross-cutting in all interventions. </w:t>
      </w:r>
      <w:r w:rsidR="00DA2867">
        <w:rPr>
          <w:sz w:val="24"/>
          <w:szCs w:val="24"/>
          <w:lang w:val="en-US"/>
        </w:rPr>
        <w:t xml:space="preserve"> Improving female uptake of digital and STEM education an</w:t>
      </w:r>
      <w:r w:rsidR="00C04287">
        <w:rPr>
          <w:sz w:val="24"/>
          <w:szCs w:val="24"/>
          <w:lang w:val="en-US"/>
        </w:rPr>
        <w:t xml:space="preserve">d businesses </w:t>
      </w:r>
      <w:r w:rsidR="00C04287">
        <w:rPr>
          <w:sz w:val="24"/>
          <w:szCs w:val="24"/>
          <w:lang w:val="en-US"/>
        </w:rPr>
        <w:lastRenderedPageBreak/>
        <w:t>is also important especially</w:t>
      </w:r>
      <w:r w:rsidR="00DA2867">
        <w:rPr>
          <w:sz w:val="24"/>
          <w:szCs w:val="24"/>
          <w:lang w:val="en-US"/>
        </w:rPr>
        <w:t xml:space="preserve"> This will require funding initiatives an</w:t>
      </w:r>
      <w:r w:rsidR="00471C4A">
        <w:rPr>
          <w:sz w:val="24"/>
          <w:szCs w:val="24"/>
          <w:lang w:val="en-US"/>
        </w:rPr>
        <w:t>d interventions in these areas.</w:t>
      </w:r>
    </w:p>
    <w:p w14:paraId="12CED0F5" w14:textId="77777777" w:rsidR="00471C4A" w:rsidRDefault="00471C4A" w:rsidP="00471C4A">
      <w:pPr>
        <w:pStyle w:val="ListParagraph"/>
        <w:spacing w:line="240" w:lineRule="auto"/>
        <w:jc w:val="both"/>
        <w:rPr>
          <w:sz w:val="24"/>
          <w:szCs w:val="24"/>
          <w:lang w:val="en-US"/>
        </w:rPr>
      </w:pPr>
    </w:p>
    <w:p w14:paraId="2332FB15" w14:textId="77777777" w:rsidR="00471C4A" w:rsidRPr="00E75191" w:rsidRDefault="00B23B4C" w:rsidP="00E75191">
      <w:pPr>
        <w:pStyle w:val="ListParagraph"/>
        <w:numPr>
          <w:ilvl w:val="0"/>
          <w:numId w:val="16"/>
        </w:numPr>
        <w:spacing w:line="240" w:lineRule="auto"/>
        <w:jc w:val="both"/>
        <w:rPr>
          <w:sz w:val="24"/>
          <w:szCs w:val="24"/>
          <w:lang w:val="en-US"/>
        </w:rPr>
      </w:pPr>
      <w:r w:rsidRPr="004C144B">
        <w:rPr>
          <w:b/>
          <w:sz w:val="24"/>
          <w:szCs w:val="24"/>
          <w:lang w:val="en-US"/>
        </w:rPr>
        <w:t>Climate Change:</w:t>
      </w:r>
      <w:r w:rsidRPr="004C144B">
        <w:rPr>
          <w:sz w:val="24"/>
          <w:szCs w:val="24"/>
          <w:lang w:val="en-US"/>
        </w:rPr>
        <w:t xml:space="preserve"> To mitigate the impact of climate change on women, activities targeted at improving women’s access to avenues to learn skills which will improve their employability, entrepreneurship and career opportunities in the agricultural sector will strengthen their participation in the green and circular economy in the long run. As women become better skilled, they will be better positioned to contribute to </w:t>
      </w:r>
      <w:r w:rsidR="00C04287">
        <w:rPr>
          <w:sz w:val="24"/>
          <w:szCs w:val="24"/>
          <w:lang w:val="en-US"/>
        </w:rPr>
        <w:t xml:space="preserve">waste management, </w:t>
      </w:r>
      <w:r w:rsidRPr="004C144B">
        <w:rPr>
          <w:sz w:val="24"/>
          <w:szCs w:val="24"/>
          <w:lang w:val="en-US"/>
        </w:rPr>
        <w:t xml:space="preserve">climate change control efforts at decision making levels and at the grassroots. Given the crosscutting nature of climate change, collaboration with </w:t>
      </w:r>
      <w:r>
        <w:rPr>
          <w:sz w:val="24"/>
          <w:szCs w:val="24"/>
          <w:lang w:val="en-US"/>
        </w:rPr>
        <w:t xml:space="preserve">CSOs, </w:t>
      </w:r>
      <w:r w:rsidRPr="004C144B">
        <w:rPr>
          <w:sz w:val="24"/>
          <w:szCs w:val="24"/>
          <w:lang w:val="en-US"/>
        </w:rPr>
        <w:t xml:space="preserve">stakeholders in the renewable energy sector, and other actors in </w:t>
      </w:r>
      <w:r>
        <w:rPr>
          <w:sz w:val="24"/>
          <w:szCs w:val="24"/>
          <w:lang w:val="en-US"/>
        </w:rPr>
        <w:t>the circular economy will ensure that implementation of the National Action Plan on Gender and Climate Change is inclusive and caters to the needs of all demographics.</w:t>
      </w:r>
    </w:p>
    <w:p w14:paraId="75D71151" w14:textId="77777777" w:rsidR="00E75191" w:rsidRDefault="00E75191" w:rsidP="00E75191">
      <w:pPr>
        <w:pStyle w:val="ListParagraph"/>
        <w:spacing w:line="240" w:lineRule="auto"/>
        <w:jc w:val="both"/>
        <w:rPr>
          <w:b/>
          <w:sz w:val="24"/>
          <w:szCs w:val="24"/>
          <w:lang w:val="en-US"/>
        </w:rPr>
      </w:pPr>
    </w:p>
    <w:p w14:paraId="56C05593" w14:textId="77777777" w:rsidR="00D109B3" w:rsidRDefault="00E75191" w:rsidP="00D109B3">
      <w:pPr>
        <w:pStyle w:val="ListParagraph"/>
        <w:numPr>
          <w:ilvl w:val="0"/>
          <w:numId w:val="16"/>
        </w:numPr>
        <w:spacing w:line="240" w:lineRule="auto"/>
        <w:jc w:val="both"/>
        <w:rPr>
          <w:b/>
          <w:sz w:val="24"/>
          <w:szCs w:val="24"/>
          <w:lang w:val="en-US"/>
        </w:rPr>
      </w:pPr>
      <w:r>
        <w:rPr>
          <w:b/>
          <w:sz w:val="24"/>
          <w:szCs w:val="24"/>
          <w:lang w:val="en-US"/>
        </w:rPr>
        <w:t xml:space="preserve">Inclusion and Intersectionality: </w:t>
      </w:r>
    </w:p>
    <w:p w14:paraId="2B9FB9B3" w14:textId="77777777" w:rsidR="00D109B3" w:rsidRPr="00D109B3" w:rsidRDefault="00D109B3" w:rsidP="00D109B3">
      <w:pPr>
        <w:pStyle w:val="ListParagraph"/>
        <w:rPr>
          <w:sz w:val="24"/>
          <w:szCs w:val="24"/>
          <w:lang w:val="en-US"/>
        </w:rPr>
      </w:pPr>
    </w:p>
    <w:p w14:paraId="29A3E4F1" w14:textId="77777777" w:rsidR="00560153" w:rsidRDefault="00D109B3" w:rsidP="00D109B3">
      <w:pPr>
        <w:pStyle w:val="ListParagraph"/>
        <w:spacing w:line="240" w:lineRule="auto"/>
        <w:jc w:val="both"/>
        <w:rPr>
          <w:sz w:val="24"/>
          <w:szCs w:val="24"/>
          <w:lang w:val="en-US"/>
        </w:rPr>
      </w:pPr>
      <w:r>
        <w:rPr>
          <w:sz w:val="24"/>
          <w:szCs w:val="24"/>
          <w:lang w:val="en-US"/>
        </w:rPr>
        <w:t xml:space="preserve">There is need to prioritise inclusion across all EU interventions. </w:t>
      </w:r>
    </w:p>
    <w:p w14:paraId="0F92AE05" w14:textId="77777777" w:rsidR="00560153" w:rsidRDefault="00560153" w:rsidP="00D109B3">
      <w:pPr>
        <w:pStyle w:val="ListParagraph"/>
        <w:spacing w:line="240" w:lineRule="auto"/>
        <w:jc w:val="both"/>
        <w:rPr>
          <w:sz w:val="24"/>
          <w:szCs w:val="24"/>
          <w:lang w:val="en-US"/>
        </w:rPr>
      </w:pPr>
    </w:p>
    <w:p w14:paraId="092ABFB3" w14:textId="77777777" w:rsidR="00BD45F2" w:rsidRPr="00F817A0" w:rsidRDefault="00F817A0" w:rsidP="00F817A0">
      <w:pPr>
        <w:pStyle w:val="ListParagraph"/>
        <w:numPr>
          <w:ilvl w:val="1"/>
          <w:numId w:val="16"/>
        </w:numPr>
        <w:spacing w:line="240" w:lineRule="auto"/>
        <w:jc w:val="both"/>
        <w:rPr>
          <w:sz w:val="24"/>
          <w:szCs w:val="24"/>
          <w:lang w:val="en-US"/>
        </w:rPr>
      </w:pPr>
      <w:r w:rsidRPr="00F817A0">
        <w:rPr>
          <w:b/>
          <w:sz w:val="24"/>
          <w:szCs w:val="24"/>
          <w:lang w:val="en-US"/>
        </w:rPr>
        <w:t>Support implementation of Disability Laws</w:t>
      </w:r>
      <w:r>
        <w:rPr>
          <w:sz w:val="24"/>
          <w:szCs w:val="24"/>
          <w:lang w:val="en-US"/>
        </w:rPr>
        <w:t xml:space="preserve">: A key cross-cutting issue is disability.  </w:t>
      </w:r>
      <w:r w:rsidR="00BD45F2" w:rsidRPr="00F817A0">
        <w:rPr>
          <w:sz w:val="24"/>
          <w:szCs w:val="24"/>
          <w:lang w:val="en-US"/>
        </w:rPr>
        <w:t>Although laws have been enacted at the national level and in several S</w:t>
      </w:r>
      <w:r w:rsidRPr="00F817A0">
        <w:rPr>
          <w:sz w:val="24"/>
          <w:szCs w:val="24"/>
          <w:lang w:val="en-US"/>
        </w:rPr>
        <w:t>t</w:t>
      </w:r>
      <w:r w:rsidR="00BD45F2" w:rsidRPr="00F817A0">
        <w:rPr>
          <w:sz w:val="24"/>
          <w:szCs w:val="24"/>
          <w:lang w:val="en-US"/>
        </w:rPr>
        <w:t xml:space="preserve">ates on disability rights, these have remained unimplemented.  It is recommended that the EU supports initiatives which seek to advocate for the implementation of these laws and adoption by other States.  It is also recommended that support be provided for action plans for various types of disabilities to enable better support and evaluation.  Gender should be recognized as a cross cutting issue in these activities, with particular attention paid to the needs of women and girls living with disabilities. </w:t>
      </w:r>
    </w:p>
    <w:p w14:paraId="4808ED40" w14:textId="77777777" w:rsidR="00BD45F2" w:rsidRDefault="00BD45F2" w:rsidP="00BD45F2">
      <w:pPr>
        <w:pStyle w:val="ListParagraph"/>
        <w:spacing w:line="240" w:lineRule="auto"/>
        <w:ind w:left="1440"/>
        <w:jc w:val="both"/>
        <w:rPr>
          <w:sz w:val="24"/>
          <w:szCs w:val="24"/>
          <w:lang w:val="en-US"/>
        </w:rPr>
      </w:pPr>
      <w:r>
        <w:rPr>
          <w:sz w:val="24"/>
          <w:szCs w:val="24"/>
          <w:lang w:val="en-US"/>
        </w:rPr>
        <w:t xml:space="preserve"> </w:t>
      </w:r>
    </w:p>
    <w:p w14:paraId="19828512" w14:textId="77777777" w:rsidR="00F817A0" w:rsidRDefault="00F817A0" w:rsidP="00F817A0">
      <w:pPr>
        <w:pStyle w:val="ListParagraph"/>
        <w:numPr>
          <w:ilvl w:val="1"/>
          <w:numId w:val="16"/>
        </w:numPr>
        <w:spacing w:line="240" w:lineRule="auto"/>
        <w:jc w:val="both"/>
        <w:rPr>
          <w:sz w:val="24"/>
          <w:szCs w:val="24"/>
          <w:lang w:val="en-US"/>
        </w:rPr>
      </w:pPr>
      <w:r>
        <w:rPr>
          <w:b/>
          <w:sz w:val="24"/>
          <w:szCs w:val="24"/>
          <w:lang w:val="en-US"/>
        </w:rPr>
        <w:t>Invest in Interventions for PLWD</w:t>
      </w:r>
      <w:r>
        <w:rPr>
          <w:sz w:val="24"/>
          <w:szCs w:val="24"/>
          <w:lang w:val="en-US"/>
        </w:rPr>
        <w:t xml:space="preserve">: </w:t>
      </w:r>
      <w:r w:rsidRPr="00D109B3">
        <w:rPr>
          <w:sz w:val="24"/>
          <w:szCs w:val="24"/>
          <w:lang w:val="en-US"/>
        </w:rPr>
        <w:t xml:space="preserve">The most important need for people living with disabilities has been identified as education and access to social services. Through </w:t>
      </w:r>
      <w:r>
        <w:rPr>
          <w:sz w:val="24"/>
          <w:szCs w:val="24"/>
          <w:lang w:val="en-US"/>
        </w:rPr>
        <w:t xml:space="preserve">advocacy and </w:t>
      </w:r>
      <w:r w:rsidRPr="00D109B3">
        <w:rPr>
          <w:sz w:val="24"/>
          <w:szCs w:val="24"/>
          <w:lang w:val="en-US"/>
        </w:rPr>
        <w:t xml:space="preserve">direct investments, the EU and partner agencies can aid the Nigerian government in </w:t>
      </w:r>
      <w:r>
        <w:rPr>
          <w:sz w:val="24"/>
          <w:szCs w:val="24"/>
          <w:lang w:val="en-US"/>
        </w:rPr>
        <w:t xml:space="preserve">implementing relevant laws and policies, and provide </w:t>
      </w:r>
      <w:r w:rsidRPr="00D109B3">
        <w:rPr>
          <w:sz w:val="24"/>
          <w:szCs w:val="24"/>
          <w:lang w:val="en-US"/>
        </w:rPr>
        <w:t>social support to PWDs and disability mainstreamed education.</w:t>
      </w:r>
    </w:p>
    <w:p w14:paraId="3F37CEB1" w14:textId="77777777" w:rsidR="00F817A0" w:rsidRDefault="00F817A0" w:rsidP="00F817A0">
      <w:pPr>
        <w:pStyle w:val="ListParagraph"/>
        <w:spacing w:line="240" w:lineRule="auto"/>
        <w:ind w:left="1440"/>
        <w:jc w:val="both"/>
        <w:rPr>
          <w:sz w:val="24"/>
          <w:szCs w:val="24"/>
          <w:lang w:val="en-US"/>
        </w:rPr>
      </w:pPr>
    </w:p>
    <w:p w14:paraId="5B013D42" w14:textId="77777777" w:rsidR="00181C27" w:rsidRPr="00BD45F2" w:rsidRDefault="00F817A0" w:rsidP="00BD45F2">
      <w:pPr>
        <w:pStyle w:val="ListParagraph"/>
        <w:numPr>
          <w:ilvl w:val="1"/>
          <w:numId w:val="16"/>
        </w:numPr>
        <w:spacing w:line="240" w:lineRule="auto"/>
        <w:jc w:val="both"/>
        <w:rPr>
          <w:sz w:val="24"/>
          <w:szCs w:val="24"/>
          <w:lang w:val="en-US"/>
        </w:rPr>
      </w:pPr>
      <w:r w:rsidRPr="00F817A0">
        <w:rPr>
          <w:b/>
          <w:sz w:val="24"/>
          <w:szCs w:val="24"/>
          <w:lang w:val="en-US"/>
        </w:rPr>
        <w:t>Education for PLWD</w:t>
      </w:r>
      <w:r>
        <w:rPr>
          <w:sz w:val="24"/>
          <w:szCs w:val="24"/>
          <w:lang w:val="en-US"/>
        </w:rPr>
        <w:t xml:space="preserve">: </w:t>
      </w:r>
      <w:r w:rsidR="00D05C3F" w:rsidRPr="00BD45F2">
        <w:rPr>
          <w:sz w:val="24"/>
          <w:szCs w:val="24"/>
          <w:lang w:val="en-US"/>
        </w:rPr>
        <w:t>Schools for persons with disability across the country have been established to be inadequate and in many areas deficient of the capacity to manage some forms of disability. Thus, particular attention ought to be paid to education of PLWD, especially women and girls living with disabilities. This will involve infrastructural and programmatic investments as well as investment in capacity building of caregivers</w:t>
      </w:r>
      <w:r>
        <w:rPr>
          <w:sz w:val="24"/>
          <w:szCs w:val="24"/>
          <w:lang w:val="en-US"/>
        </w:rPr>
        <w:t xml:space="preserve"> (who are usually female)</w:t>
      </w:r>
      <w:r w:rsidR="00D05C3F" w:rsidRPr="00BD45F2">
        <w:rPr>
          <w:sz w:val="24"/>
          <w:szCs w:val="24"/>
          <w:lang w:val="en-US"/>
        </w:rPr>
        <w:t>, teachers and people who provide support to PLWD.</w:t>
      </w:r>
    </w:p>
    <w:p w14:paraId="5997E876" w14:textId="77777777" w:rsidR="00181C27" w:rsidRDefault="00181C27" w:rsidP="00181C27">
      <w:pPr>
        <w:pStyle w:val="ListParagraph"/>
        <w:spacing w:line="240" w:lineRule="auto"/>
        <w:jc w:val="both"/>
        <w:rPr>
          <w:sz w:val="24"/>
          <w:szCs w:val="24"/>
          <w:lang w:val="en-US"/>
        </w:rPr>
      </w:pPr>
    </w:p>
    <w:p w14:paraId="33BDEEC1" w14:textId="77777777" w:rsidR="00F817A0" w:rsidRDefault="00BD45F2" w:rsidP="005E7E64">
      <w:pPr>
        <w:pStyle w:val="ListParagraph"/>
        <w:numPr>
          <w:ilvl w:val="1"/>
          <w:numId w:val="16"/>
        </w:numPr>
        <w:spacing w:line="240" w:lineRule="auto"/>
        <w:jc w:val="both"/>
        <w:rPr>
          <w:sz w:val="24"/>
          <w:szCs w:val="24"/>
          <w:lang w:val="en-US"/>
        </w:rPr>
      </w:pPr>
      <w:r w:rsidRPr="00F817A0">
        <w:rPr>
          <w:b/>
          <w:sz w:val="24"/>
          <w:szCs w:val="24"/>
          <w:lang w:val="en-US"/>
        </w:rPr>
        <w:t>Revise and update the National Policy o</w:t>
      </w:r>
      <w:r w:rsidR="00F817A0" w:rsidRPr="00F817A0">
        <w:rPr>
          <w:b/>
          <w:sz w:val="24"/>
          <w:szCs w:val="24"/>
          <w:lang w:val="en-US"/>
        </w:rPr>
        <w:t>n Internally Displaced Persons</w:t>
      </w:r>
      <w:r w:rsidR="00F817A0">
        <w:rPr>
          <w:sz w:val="24"/>
          <w:szCs w:val="24"/>
          <w:lang w:val="en-US"/>
        </w:rPr>
        <w:t xml:space="preserve">:  The National Policy on Internally Displaced Persons was developed in 2012 and is stated to be due to be renewed every 5 years.  However, it has not be reviewed since 2012.  It is recommended that support be provided to review the policy </w:t>
      </w:r>
      <w:r w:rsidR="00F817A0">
        <w:rPr>
          <w:sz w:val="24"/>
          <w:szCs w:val="24"/>
          <w:lang w:val="en-US"/>
        </w:rPr>
        <w:lastRenderedPageBreak/>
        <w:t xml:space="preserve">and develop an action plan to help identify key activities that will be needed to improve gender equality and women empowerment indices amongst IDPs. </w:t>
      </w:r>
    </w:p>
    <w:p w14:paraId="187D2D92" w14:textId="77777777" w:rsidR="00F817A0" w:rsidRPr="00F817A0" w:rsidRDefault="00F817A0" w:rsidP="00F817A0">
      <w:pPr>
        <w:pStyle w:val="ListParagraph"/>
        <w:rPr>
          <w:sz w:val="24"/>
          <w:szCs w:val="24"/>
          <w:lang w:val="en-US"/>
        </w:rPr>
      </w:pPr>
    </w:p>
    <w:p w14:paraId="1549EA25" w14:textId="77777777" w:rsidR="00F817A0" w:rsidRDefault="00F817A0" w:rsidP="00F817A0">
      <w:pPr>
        <w:pStyle w:val="ListParagraph"/>
        <w:numPr>
          <w:ilvl w:val="1"/>
          <w:numId w:val="16"/>
        </w:numPr>
        <w:spacing w:line="240" w:lineRule="auto"/>
        <w:jc w:val="both"/>
        <w:rPr>
          <w:sz w:val="24"/>
          <w:szCs w:val="24"/>
          <w:lang w:val="en-US"/>
        </w:rPr>
      </w:pPr>
      <w:r w:rsidRPr="00F817A0">
        <w:rPr>
          <w:b/>
          <w:sz w:val="24"/>
          <w:szCs w:val="24"/>
          <w:lang w:val="en-US"/>
        </w:rPr>
        <w:t>Support high level advocacy to persuade government to provide for IDP</w:t>
      </w:r>
      <w:r w:rsidRPr="00403627">
        <w:rPr>
          <w:sz w:val="24"/>
          <w:szCs w:val="24"/>
          <w:lang w:val="en-US"/>
        </w:rPr>
        <w:t xml:space="preserve"> populations and not rely only on donor support; develop plans to support return, rehabilitation and reintegration of IDPs into communities. </w:t>
      </w:r>
    </w:p>
    <w:p w14:paraId="4FA85872" w14:textId="77777777" w:rsidR="00F817A0" w:rsidRPr="00F817A0" w:rsidRDefault="00F817A0" w:rsidP="00F817A0">
      <w:pPr>
        <w:pStyle w:val="ListParagraph"/>
        <w:rPr>
          <w:sz w:val="24"/>
          <w:szCs w:val="24"/>
          <w:lang w:val="en-US"/>
        </w:rPr>
      </w:pPr>
    </w:p>
    <w:p w14:paraId="0855E070" w14:textId="77777777" w:rsidR="005E7E64" w:rsidRDefault="00560153" w:rsidP="005E7E64">
      <w:pPr>
        <w:pStyle w:val="ListParagraph"/>
        <w:numPr>
          <w:ilvl w:val="1"/>
          <w:numId w:val="16"/>
        </w:numPr>
        <w:spacing w:line="240" w:lineRule="auto"/>
        <w:jc w:val="both"/>
        <w:rPr>
          <w:sz w:val="24"/>
          <w:szCs w:val="24"/>
          <w:lang w:val="en-US"/>
        </w:rPr>
      </w:pPr>
      <w:r w:rsidRPr="00F817A0">
        <w:rPr>
          <w:b/>
          <w:sz w:val="24"/>
          <w:szCs w:val="24"/>
          <w:lang w:val="en-US"/>
        </w:rPr>
        <w:t>Support for programmes that empower women, and improve living</w:t>
      </w:r>
      <w:r>
        <w:rPr>
          <w:sz w:val="24"/>
          <w:szCs w:val="24"/>
          <w:lang w:val="en-US"/>
        </w:rPr>
        <w:t xml:space="preserve"> conditions in IDP camps is essential.  At the present time, there are government programmes and CSO interventions in the areas of improving living conditions for IDPs.  It is essential that existing programmes be evaluated, gaps identified, and increased support be provided on the basis of assessments of gaps. </w:t>
      </w:r>
    </w:p>
    <w:p w14:paraId="618FE60D" w14:textId="77777777" w:rsidR="005E7E64" w:rsidRPr="005E7E64" w:rsidRDefault="00560153" w:rsidP="005E7E64">
      <w:pPr>
        <w:pStyle w:val="ListParagraph"/>
        <w:numPr>
          <w:ilvl w:val="1"/>
          <w:numId w:val="16"/>
        </w:numPr>
        <w:spacing w:line="240" w:lineRule="auto"/>
        <w:jc w:val="both"/>
        <w:rPr>
          <w:sz w:val="24"/>
          <w:szCs w:val="24"/>
          <w:lang w:val="en-US"/>
        </w:rPr>
      </w:pPr>
      <w:r>
        <w:rPr>
          <w:sz w:val="24"/>
          <w:szCs w:val="24"/>
          <w:lang w:val="en-US"/>
        </w:rPr>
        <w:t xml:space="preserve"> One key area of focus, it is recommended, should be in the area of reproductive health and gender-based violence.  This may include increased support for programmes on long acting contraceptives, health and sexuality education, and gender-based violence including prev</w:t>
      </w:r>
      <w:r w:rsidR="005E7E64">
        <w:rPr>
          <w:sz w:val="24"/>
          <w:szCs w:val="24"/>
          <w:lang w:val="en-US"/>
        </w:rPr>
        <w:t>ention, management and control.</w:t>
      </w:r>
      <w:r>
        <w:rPr>
          <w:sz w:val="24"/>
          <w:szCs w:val="24"/>
          <w:lang w:val="en-US"/>
        </w:rPr>
        <w:t xml:space="preserve"> </w:t>
      </w:r>
      <w:r w:rsidR="00181C27" w:rsidRPr="005E7E64">
        <w:rPr>
          <w:sz w:val="24"/>
          <w:szCs w:val="24"/>
        </w:rPr>
        <w:t>Initiatives to address the needs of IDPs must prioritize the identification and management of GBV, especially among women. In practice this can involve strengthening access to justice, providing women and girls with psychosocial support prompltly, upon report of experience of GBV.</w:t>
      </w:r>
      <w:r w:rsidR="00181C27" w:rsidRPr="005E7E64">
        <w:rPr>
          <w:sz w:val="24"/>
          <w:szCs w:val="24"/>
          <w:lang w:val="en-US"/>
        </w:rPr>
        <w:t xml:space="preserve"> </w:t>
      </w:r>
      <w:r w:rsidR="00181C27" w:rsidRPr="005E7E64">
        <w:rPr>
          <w:sz w:val="24"/>
          <w:szCs w:val="24"/>
        </w:rPr>
        <w:t xml:space="preserve">Sexual and reproductive health services in IDP camps must be strengthened and integrated across all camps. </w:t>
      </w:r>
    </w:p>
    <w:p w14:paraId="687977DB" w14:textId="77777777" w:rsidR="00302B11" w:rsidRPr="00BD45F2" w:rsidRDefault="00302B11" w:rsidP="00BD45F2">
      <w:pPr>
        <w:spacing w:line="240" w:lineRule="auto"/>
        <w:jc w:val="both"/>
        <w:rPr>
          <w:sz w:val="24"/>
          <w:szCs w:val="24"/>
          <w:lang w:val="en-US"/>
        </w:rPr>
      </w:pPr>
    </w:p>
    <w:p w14:paraId="16F8056C" w14:textId="77777777" w:rsidR="00302B11" w:rsidRDefault="00302B11" w:rsidP="00D109B3">
      <w:pPr>
        <w:pStyle w:val="ListParagraph"/>
        <w:spacing w:line="240" w:lineRule="auto"/>
        <w:jc w:val="both"/>
        <w:rPr>
          <w:sz w:val="24"/>
          <w:szCs w:val="24"/>
          <w:lang w:val="en-US"/>
        </w:rPr>
      </w:pPr>
    </w:p>
    <w:p w14:paraId="43F4B330" w14:textId="77777777" w:rsidR="00302B11" w:rsidRDefault="00302B11" w:rsidP="00D109B3">
      <w:pPr>
        <w:pStyle w:val="ListParagraph"/>
        <w:spacing w:line="240" w:lineRule="auto"/>
        <w:jc w:val="both"/>
        <w:rPr>
          <w:sz w:val="24"/>
          <w:szCs w:val="24"/>
          <w:lang w:val="en-US"/>
        </w:rPr>
      </w:pPr>
    </w:p>
    <w:p w14:paraId="1D8AFFB2" w14:textId="77777777" w:rsidR="00302B11" w:rsidRDefault="00302B11" w:rsidP="00D109B3">
      <w:pPr>
        <w:pStyle w:val="ListParagraph"/>
        <w:spacing w:line="240" w:lineRule="auto"/>
        <w:jc w:val="both"/>
        <w:rPr>
          <w:sz w:val="24"/>
          <w:szCs w:val="24"/>
          <w:lang w:val="en-US"/>
        </w:rPr>
      </w:pPr>
    </w:p>
    <w:p w14:paraId="78801F89" w14:textId="77777777" w:rsidR="00302B11" w:rsidRDefault="00302B11" w:rsidP="00D109B3">
      <w:pPr>
        <w:pStyle w:val="ListParagraph"/>
        <w:spacing w:line="240" w:lineRule="auto"/>
        <w:jc w:val="both"/>
        <w:rPr>
          <w:sz w:val="24"/>
          <w:szCs w:val="24"/>
          <w:lang w:val="en-US"/>
        </w:rPr>
      </w:pPr>
    </w:p>
    <w:p w14:paraId="6646BCBC" w14:textId="77777777" w:rsidR="00302B11" w:rsidRDefault="00302B11" w:rsidP="00D109B3">
      <w:pPr>
        <w:pStyle w:val="ListParagraph"/>
        <w:spacing w:line="240" w:lineRule="auto"/>
        <w:jc w:val="both"/>
        <w:rPr>
          <w:sz w:val="24"/>
          <w:szCs w:val="24"/>
          <w:lang w:val="en-US"/>
        </w:rPr>
      </w:pPr>
    </w:p>
    <w:p w14:paraId="42C35CC7" w14:textId="77777777" w:rsidR="00302B11" w:rsidRDefault="00302B11" w:rsidP="00D109B3">
      <w:pPr>
        <w:pStyle w:val="ListParagraph"/>
        <w:spacing w:line="240" w:lineRule="auto"/>
        <w:jc w:val="both"/>
        <w:rPr>
          <w:sz w:val="24"/>
          <w:szCs w:val="24"/>
          <w:lang w:val="en-US"/>
        </w:rPr>
      </w:pPr>
    </w:p>
    <w:p w14:paraId="5BCB0805" w14:textId="77777777" w:rsidR="00302B11" w:rsidRDefault="00302B11" w:rsidP="00D109B3">
      <w:pPr>
        <w:pStyle w:val="ListParagraph"/>
        <w:spacing w:line="240" w:lineRule="auto"/>
        <w:jc w:val="both"/>
        <w:rPr>
          <w:sz w:val="24"/>
          <w:szCs w:val="24"/>
          <w:lang w:val="en-US"/>
        </w:rPr>
      </w:pPr>
    </w:p>
    <w:p w14:paraId="16FF9DD5" w14:textId="77777777" w:rsidR="00302B11" w:rsidRDefault="00302B11" w:rsidP="00D109B3">
      <w:pPr>
        <w:pStyle w:val="ListParagraph"/>
        <w:spacing w:line="240" w:lineRule="auto"/>
        <w:jc w:val="both"/>
        <w:rPr>
          <w:sz w:val="24"/>
          <w:szCs w:val="24"/>
          <w:lang w:val="en-US"/>
        </w:rPr>
      </w:pPr>
    </w:p>
    <w:p w14:paraId="6756AB13" w14:textId="77777777" w:rsidR="00302B11" w:rsidRDefault="00302B11" w:rsidP="00D109B3">
      <w:pPr>
        <w:pStyle w:val="ListParagraph"/>
        <w:spacing w:line="240" w:lineRule="auto"/>
        <w:jc w:val="both"/>
        <w:rPr>
          <w:sz w:val="24"/>
          <w:szCs w:val="24"/>
          <w:lang w:val="en-US"/>
        </w:rPr>
      </w:pPr>
    </w:p>
    <w:p w14:paraId="02EDE8AC" w14:textId="77777777" w:rsidR="00302B11" w:rsidRDefault="00302B11" w:rsidP="00D109B3">
      <w:pPr>
        <w:pStyle w:val="ListParagraph"/>
        <w:spacing w:line="240" w:lineRule="auto"/>
        <w:jc w:val="both"/>
        <w:rPr>
          <w:sz w:val="24"/>
          <w:szCs w:val="24"/>
          <w:lang w:val="en-US"/>
        </w:rPr>
      </w:pPr>
    </w:p>
    <w:p w14:paraId="7C03D01E" w14:textId="77777777" w:rsidR="00302B11" w:rsidRDefault="00302B11" w:rsidP="00D109B3">
      <w:pPr>
        <w:pStyle w:val="ListParagraph"/>
        <w:spacing w:line="240" w:lineRule="auto"/>
        <w:jc w:val="both"/>
        <w:rPr>
          <w:sz w:val="24"/>
          <w:szCs w:val="24"/>
          <w:lang w:val="en-US"/>
        </w:rPr>
      </w:pPr>
    </w:p>
    <w:p w14:paraId="39541399" w14:textId="77777777" w:rsidR="00302B11" w:rsidRDefault="00302B11" w:rsidP="00D109B3">
      <w:pPr>
        <w:pStyle w:val="ListParagraph"/>
        <w:spacing w:line="240" w:lineRule="auto"/>
        <w:jc w:val="both"/>
        <w:rPr>
          <w:sz w:val="24"/>
          <w:szCs w:val="24"/>
          <w:lang w:val="en-US"/>
        </w:rPr>
      </w:pPr>
    </w:p>
    <w:p w14:paraId="6980B95C" w14:textId="77777777" w:rsidR="00302B11" w:rsidRDefault="00302B11" w:rsidP="00D109B3">
      <w:pPr>
        <w:pStyle w:val="ListParagraph"/>
        <w:spacing w:line="240" w:lineRule="auto"/>
        <w:jc w:val="both"/>
        <w:rPr>
          <w:sz w:val="24"/>
          <w:szCs w:val="24"/>
          <w:lang w:val="en-US"/>
        </w:rPr>
      </w:pPr>
    </w:p>
    <w:p w14:paraId="0A53E407" w14:textId="77777777" w:rsidR="00302B11" w:rsidRDefault="00302B11" w:rsidP="00D109B3">
      <w:pPr>
        <w:pStyle w:val="ListParagraph"/>
        <w:spacing w:line="240" w:lineRule="auto"/>
        <w:jc w:val="both"/>
        <w:rPr>
          <w:sz w:val="24"/>
          <w:szCs w:val="24"/>
          <w:lang w:val="en-US"/>
        </w:rPr>
      </w:pPr>
    </w:p>
    <w:p w14:paraId="4F5F9FB5" w14:textId="77777777" w:rsidR="00302B11" w:rsidRDefault="00302B11" w:rsidP="00D109B3">
      <w:pPr>
        <w:pStyle w:val="ListParagraph"/>
        <w:spacing w:line="240" w:lineRule="auto"/>
        <w:jc w:val="both"/>
        <w:rPr>
          <w:sz w:val="24"/>
          <w:szCs w:val="24"/>
          <w:lang w:val="en-US"/>
        </w:rPr>
      </w:pPr>
    </w:p>
    <w:p w14:paraId="227EC151" w14:textId="77777777" w:rsidR="00302B11" w:rsidRDefault="00302B11" w:rsidP="00D109B3">
      <w:pPr>
        <w:pStyle w:val="ListParagraph"/>
        <w:spacing w:line="240" w:lineRule="auto"/>
        <w:jc w:val="both"/>
        <w:rPr>
          <w:sz w:val="24"/>
          <w:szCs w:val="24"/>
          <w:lang w:val="en-US"/>
        </w:rPr>
      </w:pPr>
    </w:p>
    <w:p w14:paraId="73CAFCBD" w14:textId="77777777" w:rsidR="00302B11" w:rsidRDefault="00302B11" w:rsidP="00D109B3">
      <w:pPr>
        <w:pStyle w:val="ListParagraph"/>
        <w:spacing w:line="240" w:lineRule="auto"/>
        <w:jc w:val="both"/>
        <w:rPr>
          <w:sz w:val="24"/>
          <w:szCs w:val="24"/>
          <w:lang w:val="en-US"/>
        </w:rPr>
      </w:pPr>
    </w:p>
    <w:p w14:paraId="4D4EE754" w14:textId="77777777" w:rsidR="00302B11" w:rsidRDefault="00302B11" w:rsidP="00D109B3">
      <w:pPr>
        <w:pStyle w:val="ListParagraph"/>
        <w:spacing w:line="240" w:lineRule="auto"/>
        <w:jc w:val="both"/>
        <w:rPr>
          <w:sz w:val="24"/>
          <w:szCs w:val="24"/>
          <w:lang w:val="en-US"/>
        </w:rPr>
      </w:pPr>
    </w:p>
    <w:p w14:paraId="670D6757" w14:textId="77777777" w:rsidR="00302B11" w:rsidRDefault="00302B11" w:rsidP="00D109B3">
      <w:pPr>
        <w:pStyle w:val="ListParagraph"/>
        <w:spacing w:line="240" w:lineRule="auto"/>
        <w:jc w:val="both"/>
        <w:rPr>
          <w:sz w:val="24"/>
          <w:szCs w:val="24"/>
          <w:lang w:val="en-US"/>
        </w:rPr>
      </w:pPr>
    </w:p>
    <w:p w14:paraId="08426F0B" w14:textId="77777777" w:rsidR="00302B11" w:rsidRDefault="00302B11" w:rsidP="00D109B3">
      <w:pPr>
        <w:pStyle w:val="ListParagraph"/>
        <w:spacing w:line="240" w:lineRule="auto"/>
        <w:jc w:val="both"/>
        <w:rPr>
          <w:sz w:val="24"/>
          <w:szCs w:val="24"/>
          <w:lang w:val="en-US"/>
        </w:rPr>
      </w:pPr>
    </w:p>
    <w:p w14:paraId="77AAA4D3" w14:textId="77777777" w:rsidR="00302B11" w:rsidRDefault="00302B11" w:rsidP="00D109B3">
      <w:pPr>
        <w:pStyle w:val="ListParagraph"/>
        <w:spacing w:line="240" w:lineRule="auto"/>
        <w:jc w:val="both"/>
        <w:rPr>
          <w:sz w:val="24"/>
          <w:szCs w:val="24"/>
          <w:lang w:val="en-US"/>
        </w:rPr>
      </w:pPr>
    </w:p>
    <w:p w14:paraId="68823CD1" w14:textId="77777777" w:rsidR="00302B11" w:rsidRDefault="00302B11" w:rsidP="00D109B3">
      <w:pPr>
        <w:pStyle w:val="ListParagraph"/>
        <w:spacing w:line="240" w:lineRule="auto"/>
        <w:jc w:val="both"/>
        <w:rPr>
          <w:sz w:val="24"/>
          <w:szCs w:val="24"/>
          <w:lang w:val="en-US"/>
        </w:rPr>
      </w:pPr>
    </w:p>
    <w:p w14:paraId="67641C07" w14:textId="77777777" w:rsidR="00A541B4" w:rsidRPr="009A4FD6" w:rsidRDefault="00A541B4" w:rsidP="009A4FD6">
      <w:pPr>
        <w:pStyle w:val="Heading1"/>
      </w:pPr>
      <w:bookmarkStart w:id="55" w:name="_Toc81229104"/>
      <w:r w:rsidRPr="009A4FD6">
        <w:lastRenderedPageBreak/>
        <w:t>Bibliography</w:t>
      </w:r>
      <w:bookmarkEnd w:id="55"/>
    </w:p>
    <w:p w14:paraId="06942D49" w14:textId="77777777" w:rsidR="00A541B4" w:rsidRDefault="00A541B4" w:rsidP="00A541B4">
      <w:pPr>
        <w:spacing w:line="240" w:lineRule="auto"/>
        <w:jc w:val="both"/>
      </w:pPr>
    </w:p>
    <w:p w14:paraId="7D99FCD8" w14:textId="77777777" w:rsidR="00A541B4" w:rsidRDefault="00A541B4" w:rsidP="00A541B4">
      <w:pPr>
        <w:spacing w:line="240" w:lineRule="auto"/>
        <w:jc w:val="both"/>
      </w:pPr>
      <w:r>
        <w:t>Population, total - Nigeria | Data [Internet]. [cited 2021 Aug 4]. Available from: https://data.worldbank.org/indicator/SP.POP.TOTL?locations=NG</w:t>
      </w:r>
    </w:p>
    <w:p w14:paraId="1785D492" w14:textId="77777777" w:rsidR="00A541B4" w:rsidRDefault="00A541B4" w:rsidP="00A541B4">
      <w:pPr>
        <w:spacing w:line="240" w:lineRule="auto"/>
        <w:jc w:val="both"/>
      </w:pPr>
      <w:r>
        <w:t>NATIONAL BUREAU OF STATISTICS [Internet]. [cited 2021 Aug 4]. Available from: https://nigerianstat.gov.ng/elibrary?queries[search]=POPULATION</w:t>
      </w:r>
    </w:p>
    <w:p w14:paraId="0438A050" w14:textId="77777777" w:rsidR="00A541B4" w:rsidRDefault="00A541B4" w:rsidP="00A541B4">
      <w:pPr>
        <w:spacing w:line="240" w:lineRule="auto"/>
        <w:jc w:val="both"/>
      </w:pPr>
      <w:r>
        <w:t>Issues Policies Action 2nd edition [Internet]. 2012 [cited 2021 Aug 4]. Available from: https://www.britishcouncil.org/sites/default/files/british-council-gender-nigeria2012.pdf</w:t>
      </w:r>
    </w:p>
    <w:p w14:paraId="0B6AC42E" w14:textId="77777777" w:rsidR="00A541B4" w:rsidRDefault="00A541B4" w:rsidP="00A541B4">
      <w:pPr>
        <w:spacing w:line="240" w:lineRule="auto"/>
        <w:jc w:val="both"/>
      </w:pPr>
      <w:r>
        <w:t>MARCH 2021 Global Gender Gap Report The analysis presented in the Global Gender Gap Report 2021. 2021 [cited 2021 Aug 4]; Available from: http://reports.weforum.org/global-</w:t>
      </w:r>
    </w:p>
    <w:p w14:paraId="19F4C525" w14:textId="77777777" w:rsidR="00A541B4" w:rsidRDefault="00A541B4" w:rsidP="00A541B4">
      <w:pPr>
        <w:spacing w:line="240" w:lineRule="auto"/>
        <w:jc w:val="both"/>
      </w:pPr>
      <w:r>
        <w:t>GENDER-BASED VIOLENCE IN NIGERIA DURING THE COVID-19 CRISIS: THE SHADOW PANDEMIC. [cited 2021 Aug 4]; Available from: https://www.unwomen.org/en/news/</w:t>
      </w:r>
    </w:p>
    <w:p w14:paraId="5E3BEB44" w14:textId="77777777" w:rsidR="00A541B4" w:rsidRDefault="00A541B4" w:rsidP="00A541B4">
      <w:pPr>
        <w:spacing w:line="240" w:lineRule="auto"/>
        <w:jc w:val="both"/>
      </w:pPr>
      <w:r>
        <w:t>Mmonu NA, Aifah A, Onakomaiya D, Ogedegbe G. Why the global health community should support the EndSARS movement in Nigeria. Lancet. 2021 Feb 20 [cited 2021 Aug 4];397(10275):666–7.</w:t>
      </w:r>
    </w:p>
    <w:p w14:paraId="3BBD6CD7" w14:textId="77777777" w:rsidR="00A541B4" w:rsidRDefault="00A541B4" w:rsidP="00A541B4">
      <w:pPr>
        <w:spacing w:line="240" w:lineRule="auto"/>
        <w:jc w:val="both"/>
      </w:pPr>
      <w:r>
        <w:t>Constitution of the Federal Republic of Nigeria 1999 (as amended) Arrangement of sections Chapter I General Provisions Part I Federal Republic of Nigeria CAP C23 L.F.N 2004. [cited 2021 Aug 4]</w:t>
      </w:r>
    </w:p>
    <w:p w14:paraId="6D05457A" w14:textId="77777777" w:rsidR="00A541B4" w:rsidRDefault="00A541B4" w:rsidP="00A541B4">
      <w:pPr>
        <w:spacing w:line="240" w:lineRule="auto"/>
        <w:jc w:val="both"/>
      </w:pPr>
      <w:r>
        <w:t>Violence against Persons (Prohibition) Act, 2015. [cited 2021 Aug 4]</w:t>
      </w:r>
    </w:p>
    <w:p w14:paraId="7E473D32" w14:textId="77777777" w:rsidR="00A541B4" w:rsidRDefault="00A541B4" w:rsidP="00A541B4">
      <w:pPr>
        <w:spacing w:line="240" w:lineRule="auto"/>
        <w:jc w:val="both"/>
      </w:pPr>
      <w:r>
        <w:t>Child Rights Act, 2003. [cited 2021 Aug 4]</w:t>
      </w:r>
    </w:p>
    <w:p w14:paraId="0E03AC51" w14:textId="77777777" w:rsidR="00A541B4" w:rsidRDefault="00A541B4" w:rsidP="00A541B4">
      <w:pPr>
        <w:spacing w:line="240" w:lineRule="auto"/>
        <w:jc w:val="both"/>
      </w:pPr>
      <w:r>
        <w:t>Administration of Criminal Justice ACT, 2015. . [cited 2021 Aug 4</w:t>
      </w:r>
    </w:p>
    <w:p w14:paraId="3DF64A5C" w14:textId="77777777" w:rsidR="00A541B4" w:rsidRDefault="00A541B4" w:rsidP="00A541B4">
      <w:pPr>
        <w:spacing w:line="240" w:lineRule="auto"/>
        <w:jc w:val="both"/>
      </w:pPr>
      <w:r>
        <w:t>Administration of Criminal Justice Law, (Lagos). [cited 2021 Aug 4]</w:t>
      </w:r>
    </w:p>
    <w:p w14:paraId="2C8F8856" w14:textId="77777777" w:rsidR="00A541B4" w:rsidRDefault="00A541B4" w:rsidP="00A541B4">
      <w:pPr>
        <w:spacing w:line="240" w:lineRule="auto"/>
        <w:jc w:val="both"/>
      </w:pPr>
      <w:r>
        <w:t>Administration of Criminal Justice Law of Ondo State. [cited 2021 Aug 4]</w:t>
      </w:r>
    </w:p>
    <w:p w14:paraId="196E07B6" w14:textId="77777777" w:rsidR="00A541B4" w:rsidRDefault="00A541B4" w:rsidP="00A541B4">
      <w:pPr>
        <w:spacing w:line="240" w:lineRule="auto"/>
        <w:jc w:val="both"/>
      </w:pPr>
      <w:r>
        <w:t>The Police Act. [cited 2021 Aug 4]</w:t>
      </w:r>
    </w:p>
    <w:p w14:paraId="2D2A9AFF" w14:textId="77777777" w:rsidR="00A541B4" w:rsidRDefault="00A541B4" w:rsidP="00A541B4">
      <w:pPr>
        <w:spacing w:line="240" w:lineRule="auto"/>
        <w:jc w:val="both"/>
      </w:pPr>
      <w:r>
        <w:t>Okeke, U.O (2010). A Case for the Enforcement of Women’s Rights as Human Rights in Nigeria. [cited 2021 Aug 4]</w:t>
      </w:r>
    </w:p>
    <w:p w14:paraId="56890639" w14:textId="77777777" w:rsidR="00A541B4" w:rsidRDefault="00A541B4" w:rsidP="00A541B4">
      <w:pPr>
        <w:spacing w:line="240" w:lineRule="auto"/>
        <w:jc w:val="both"/>
      </w:pPr>
      <w:r>
        <w:t>PENAL CODE ACT. Revised Laws of the Federation of Nigeria 1990. Page 24. 477. CHAPTER 532. [cited 2021 Aug 4]</w:t>
      </w:r>
    </w:p>
    <w:p w14:paraId="61C08D86" w14:textId="77777777" w:rsidR="00A541B4" w:rsidRDefault="00A541B4" w:rsidP="00A541B4">
      <w:pPr>
        <w:spacing w:line="240" w:lineRule="auto"/>
        <w:jc w:val="both"/>
      </w:pPr>
      <w:r>
        <w:t>UNICEF Annual Report 2020 | UNICEF [Internet]. [cited 2021 Aug 5]. Available from: https://www.unicef.org/reports/unicef-annual-report-2020</w:t>
      </w:r>
    </w:p>
    <w:p w14:paraId="33023F32" w14:textId="77777777" w:rsidR="00A541B4" w:rsidRDefault="00A541B4" w:rsidP="00A541B4">
      <w:pPr>
        <w:spacing w:line="240" w:lineRule="auto"/>
        <w:jc w:val="both"/>
      </w:pPr>
      <w:r>
        <w:t>UNICEF, Technical Note on Gender Norms, 2020 | UNICEF [Internet]. [cited 2021 Aug 5]. Available from: GP-2020-Technical-Note-Gender-Norms.pdf (unicef.org)</w:t>
      </w:r>
    </w:p>
    <w:p w14:paraId="783F421E" w14:textId="77777777" w:rsidR="00A541B4" w:rsidRDefault="00A541B4" w:rsidP="00A541B4">
      <w:pPr>
        <w:spacing w:line="240" w:lineRule="auto"/>
        <w:jc w:val="both"/>
      </w:pPr>
      <w:r>
        <w:t>Keleher H, Franklin L. Changing gendered norms about women and girls at the level of household and community: a review of the evidence. Glob Public Health. 2008 [cited 2021 Aug 5];3 Suppl 1(SUPPL. 1):42–57. Available from: https://pubmed.ncbi.nlm.nih.gov/19288342/</w:t>
      </w:r>
    </w:p>
    <w:p w14:paraId="2DD87AC0" w14:textId="77777777" w:rsidR="00A541B4" w:rsidRDefault="00A541B4" w:rsidP="00A541B4">
      <w:pPr>
        <w:spacing w:line="240" w:lineRule="auto"/>
        <w:jc w:val="both"/>
      </w:pPr>
      <w:r>
        <w:t>Okigbo CC, Speizer IS, Domino ME, Curtis SL, Halpern CT,  Fotso JC. Gender norms and modern contraceptive use in urban Nigeria: a multilevel longitudinal study. BMC Womens Health. 2018 Oct 29 [cited 2021 Aug 5];18(1). Available from: https://pubmed.ncbi.nlm.nih.gov/30373570/</w:t>
      </w:r>
    </w:p>
    <w:p w14:paraId="64E9E958" w14:textId="77777777" w:rsidR="00A541B4" w:rsidRDefault="00A541B4" w:rsidP="00A541B4">
      <w:pPr>
        <w:spacing w:line="240" w:lineRule="auto"/>
        <w:jc w:val="both"/>
      </w:pPr>
      <w:r>
        <w:t>Nigeria anger as Gender and Equal Opportunity Bill fails - BBC News [Internet]. [cited 2021 Aug 5]. Available from: https://www.bbc.com/news/world-africa-35820970</w:t>
      </w:r>
    </w:p>
    <w:p w14:paraId="7CA9CDC0" w14:textId="77777777" w:rsidR="00A541B4" w:rsidRDefault="00A541B4" w:rsidP="00A541B4">
      <w:pPr>
        <w:spacing w:line="240" w:lineRule="auto"/>
        <w:jc w:val="both"/>
      </w:pPr>
      <w:r>
        <w:lastRenderedPageBreak/>
        <w:t>Okongwu OC. Are laws the appropriate solution: The need to adopt non-policy measures in aid of the implementation of sex discrimination laws in Nigeria: https://doi.org/101177/1358229120978915. 2020 Dec 22 [cited 2021 Aug 5];21(1):26–46. Available from: https://journals.sagepub.com/doi/full/10.1177/1358229120978915</w:t>
      </w:r>
    </w:p>
    <w:p w14:paraId="19473776" w14:textId="77777777" w:rsidR="00A541B4" w:rsidRDefault="00A541B4" w:rsidP="00A541B4">
      <w:pPr>
        <w:spacing w:line="240" w:lineRule="auto"/>
        <w:jc w:val="both"/>
      </w:pPr>
      <w:r>
        <w:t>UNICEF’s Global Social Protection Programme Framework [Internet]. [cited 2021 Aug 5]. Available from: Global-social-protection-programme-framework 2019.pdf (unicef.org)</w:t>
      </w:r>
    </w:p>
    <w:p w14:paraId="5C277552" w14:textId="77777777" w:rsidR="00A541B4" w:rsidRDefault="00A541B4" w:rsidP="00A541B4">
      <w:pPr>
        <w:spacing w:line="240" w:lineRule="auto"/>
        <w:jc w:val="both"/>
      </w:pPr>
      <w:r>
        <w:t>Women in Politics: 2021 | Inter-Parliamentary Union [Internet]. [cited 2021 Aug 5]. Available from: https://www.ipu.org/women-in-politics-2021</w:t>
      </w:r>
    </w:p>
    <w:p w14:paraId="70CCA141" w14:textId="77777777" w:rsidR="00A541B4" w:rsidRDefault="00A541B4" w:rsidP="00A541B4">
      <w:pPr>
        <w:spacing w:line="240" w:lineRule="auto"/>
        <w:jc w:val="both"/>
      </w:pPr>
      <w:r>
        <w:t>Nigeria has few women in politics: here’s why, and what to do about it [Internet]. [cited 2021 Aug 5]. Available from: https://theconversation.com/nigeria-has-few-women-in-politics-heres-why-and-what-to-do-about-it-159578</w:t>
      </w:r>
    </w:p>
    <w:p w14:paraId="75532BFA" w14:textId="77777777" w:rsidR="00A541B4" w:rsidRDefault="00A541B4" w:rsidP="00A541B4">
      <w:pPr>
        <w:spacing w:line="240" w:lineRule="auto"/>
        <w:jc w:val="both"/>
      </w:pPr>
      <w:r>
        <w:t>Nigeria: Poverty Capital of The World — endPoverty [Internet]. [cited 2021 Aug 5]. Available from: https://www.endpoverty.org/blog/nigeria-poverty-capital-of-the-world</w:t>
      </w:r>
    </w:p>
    <w:p w14:paraId="12CB0F48" w14:textId="77777777" w:rsidR="00A541B4" w:rsidRDefault="00A541B4" w:rsidP="00A541B4">
      <w:pPr>
        <w:spacing w:line="240" w:lineRule="auto"/>
        <w:jc w:val="both"/>
      </w:pPr>
      <w:r>
        <w:t>African countries show mixed progress towards poverty reduction and half of them have an extreme poverty rate above 35% [Internet]. [cited 2021 Aug 5]. Available from: https://blogs.worldbank.org/opendata/african-countries-show-mixed-progress-towards-poverty-reduction-and-half-them-have-extreme</w:t>
      </w:r>
    </w:p>
    <w:p w14:paraId="13160192" w14:textId="77777777" w:rsidR="00A541B4" w:rsidRDefault="00A541B4" w:rsidP="00A541B4">
      <w:pPr>
        <w:spacing w:line="240" w:lineRule="auto"/>
        <w:jc w:val="both"/>
      </w:pPr>
      <w:r>
        <w:t>Multidimensional Poverty Measure [Internet]. [cited 2021 Aug 5]. Available from: https://www.worldbank.org/en/topic/poverty/brief/multidimensional-poverty-measure</w:t>
      </w:r>
    </w:p>
    <w:p w14:paraId="4E46EB4C" w14:textId="77777777" w:rsidR="00A541B4" w:rsidRDefault="00A541B4" w:rsidP="00A541B4">
      <w:pPr>
        <w:spacing w:line="240" w:lineRule="auto"/>
        <w:jc w:val="both"/>
      </w:pPr>
      <w:r>
        <w:t>Tackling poverty in multiple dimensions: A proving ground in Nigeria? [Internet]. [cited 2021 Aug 5]. Available from: https://blogs.worldbank.org/opendata/tackling-poverty-multiple-dimensions-proving-ground-nigeria</w:t>
      </w:r>
    </w:p>
    <w:p w14:paraId="11BD915D" w14:textId="77777777" w:rsidR="00A541B4" w:rsidRDefault="00A541B4" w:rsidP="00A541B4">
      <w:pPr>
        <w:spacing w:line="240" w:lineRule="auto"/>
        <w:jc w:val="both"/>
      </w:pPr>
      <w:r>
        <w:t>Enfield S. Gender Roles and Inequalities in the Nigerian Labour Market. 2019 May 21 [cited 2021 Aug 5]; Available from: https://opendocs.ids.ac.uk/opendocs/handle/20.500.12413/14727</w:t>
      </w:r>
    </w:p>
    <w:p w14:paraId="307E4C97" w14:textId="77777777" w:rsidR="00A541B4" w:rsidRDefault="00A541B4" w:rsidP="00A541B4">
      <w:pPr>
        <w:spacing w:line="240" w:lineRule="auto"/>
        <w:jc w:val="both"/>
      </w:pPr>
      <w:r>
        <w:t>Mazzotta B and Ng’weno A. The enduring gender gap in Nigerian household headship. [cited 2021 Aug 5]. Available from: https://bfaglobal.com/insights/the-enduring-gender-gap-in-nigerian-household-headship/</w:t>
      </w:r>
    </w:p>
    <w:p w14:paraId="784D1258" w14:textId="77777777" w:rsidR="00A541B4" w:rsidRDefault="00A541B4" w:rsidP="00A541B4">
      <w:pPr>
        <w:spacing w:line="240" w:lineRule="auto"/>
        <w:jc w:val="both"/>
      </w:pPr>
      <w:r>
        <w:t>Adeosun OT, Owolabi KE. Gender inequality: determinants and outcomes in Nigeria. J Bus Socio-economic Dev. 2021 Jul 2). [cited 2021 Aug 5].</w:t>
      </w:r>
    </w:p>
    <w:p w14:paraId="3FC5C3D6" w14:textId="77777777" w:rsidR="00A541B4" w:rsidRDefault="00A541B4" w:rsidP="00A541B4">
      <w:pPr>
        <w:spacing w:line="240" w:lineRule="auto"/>
        <w:jc w:val="both"/>
      </w:pPr>
      <w:r>
        <w:t xml:space="preserve">Adenugba AA, Oderinde O. Wage Differentials and Discrimination Against Women in Informal Construction Sites: A Study in Ibadan, Nigeria. Niger J Sociol Anthropol. 2017 Nov 1;15(1). [cited 2021 Aug 5]. Available from: </w:t>
      </w:r>
      <w:r w:rsidRPr="00321375">
        <w:t>https://www.researchgate.net/profile/Adebimpe-Adenugba/publication/334376101_Wage_Differentials_and_Discrimination_Against_Women_in_Informal_Construction_Sites_A_Study_in_Ibadan_Nigeria/links/5d263b04458515c11c24d1df/Wage-Differentials-and-Discrimination-Against-Women-in-Informal-Construction-Sites-A-Study-in-Ibadan-Nigeria.pdf</w:t>
      </w:r>
    </w:p>
    <w:p w14:paraId="20F6CAFA" w14:textId="77777777" w:rsidR="00A541B4" w:rsidRDefault="00A541B4" w:rsidP="00A541B4">
      <w:pPr>
        <w:spacing w:line="240" w:lineRule="auto"/>
        <w:jc w:val="both"/>
      </w:pPr>
      <w:r>
        <w:t xml:space="preserve">Olakojo A. Gender gap in agricultural productivity in Nigeria: A commodity level analysis. Ekon Poljopr. 2017;64(2):415–35. [cited 2021 Aug 5]. Available from: </w:t>
      </w:r>
      <w:r w:rsidRPr="00321375">
        <w:t>https://doi.org/10.5937/ekoPolj1702415O</w:t>
      </w:r>
    </w:p>
    <w:p w14:paraId="36D59151" w14:textId="77777777" w:rsidR="00A541B4" w:rsidRDefault="00A541B4" w:rsidP="00A541B4">
      <w:pPr>
        <w:spacing w:line="240" w:lineRule="auto"/>
        <w:jc w:val="both"/>
      </w:pPr>
      <w:r>
        <w:t xml:space="preserve">Ugwuja VC, Nweze NJ. Gender analysis of micro-loan sizes accessed by small-scale agro-entrepreneurs in the Niger Delta region of Nigeria. J Dev Agric Econ. 2018 Jan 31;10(1):15–21. [cited 2021 Aug 5]. Available from: </w:t>
      </w:r>
      <w:hyperlink r:id="rId47" w:history="1">
        <w:r>
          <w:rPr>
            <w:rStyle w:val="Hyperlink"/>
          </w:rPr>
          <w:t>(PDF) Gender analysis of micro-loan sizes accessed by small-scale agro-entrepreneurs in the Niger Delta region of Nigeria (researchgate.net)</w:t>
        </w:r>
      </w:hyperlink>
    </w:p>
    <w:p w14:paraId="3A34A89E" w14:textId="77777777" w:rsidR="00A541B4" w:rsidRDefault="00A541B4" w:rsidP="00A541B4">
      <w:pPr>
        <w:spacing w:line="240" w:lineRule="auto"/>
        <w:jc w:val="both"/>
      </w:pPr>
      <w:r>
        <w:lastRenderedPageBreak/>
        <w:t>Yaya S, Okonofua F, Ntoimo L, Udenige O, Bishwajit G. Gender inequity as a barrier to women’s access to skilled pregnancy care in rural Nigeria: a qualitative study. Int Health. 2019 Nov 13 [cited 2021 Aug 5];11(6):551–60. Available from: https://academic.oup.com/inthealth/article/11/6/551/5480910</w:t>
      </w:r>
    </w:p>
    <w:p w14:paraId="11358739" w14:textId="77777777" w:rsidR="00A541B4" w:rsidRDefault="00A541B4" w:rsidP="00A541B4">
      <w:pPr>
        <w:spacing w:line="240" w:lineRule="auto"/>
        <w:jc w:val="both"/>
      </w:pPr>
      <w:r>
        <w:t>Nwosu CO, Ataguba JE. Socioeconomic inequalities in maternal health service utilisation: a case of antenatal care in Nigeria using a decomposition approach. BMC Public Heal 2019 191. 2019 Nov 8 [cited 2021 Aug 5];19(1):1–11. Available from: https://bmcpublichealth.biomedcentral.com/articles/10.1186/s12889-019-7840-8</w:t>
      </w:r>
    </w:p>
    <w:p w14:paraId="4D9156AB" w14:textId="77777777" w:rsidR="00A541B4" w:rsidRDefault="00A541B4" w:rsidP="00A541B4">
      <w:pPr>
        <w:spacing w:line="240" w:lineRule="auto"/>
        <w:jc w:val="both"/>
      </w:pPr>
      <w:r>
        <w:t>Ushie BA, Udoh EE , Ajayi AI. Examining inequalities in access to delivery by caesarean section in Nigeria. PLoS One. 2019 Aug 1 [cited 2021 Aug 5];14(8). Available from: https://pubmed.ncbi.nlm.nih.gov/31465505/</w:t>
      </w:r>
    </w:p>
    <w:p w14:paraId="5BB6CA77" w14:textId="77777777" w:rsidR="00A541B4" w:rsidRDefault="00A541B4" w:rsidP="00A541B4">
      <w:pPr>
        <w:spacing w:line="240" w:lineRule="auto"/>
        <w:jc w:val="both"/>
      </w:pPr>
      <w:r>
        <w:t xml:space="preserve">Ajayi AI. Inequalities in access to birth by caesarean section in the context of user fee exemption for maternal health services in southwest and north central Nigeria. Int Health. 2020 Mar 16; [cited 2021 Aug 5]. Available from: </w:t>
      </w:r>
      <w:r w:rsidRPr="00321375">
        <w:t>https://doi.org/10.1093/inthealth/ihz118</w:t>
      </w:r>
    </w:p>
    <w:p w14:paraId="0E822A19" w14:textId="77777777" w:rsidR="00A541B4" w:rsidRDefault="00A541B4" w:rsidP="00A541B4">
      <w:pPr>
        <w:spacing w:line="240" w:lineRule="auto"/>
        <w:jc w:val="both"/>
      </w:pPr>
      <w:r w:rsidRPr="006D6A0C">
        <w:rPr>
          <w:lang w:val="fr-BE"/>
        </w:rPr>
        <w:t xml:space="preserve">Falola A, Fakayode SB, Kayode AO, Amusa MA. </w:t>
      </w:r>
      <w:r>
        <w:t>Rural Women in Kwara State (Nigeria) and their Contributions to Rural Women in Kwara State (Nigeria) and their Contributions to the Welfare of their Households the Welfare of their Households. 2020 [cited 2021 Aug 5]; Available from: https://vc.bridgew.edu/jiws</w:t>
      </w:r>
    </w:p>
    <w:p w14:paraId="3295C604" w14:textId="77777777" w:rsidR="00A541B4" w:rsidRDefault="00A541B4" w:rsidP="00A541B4">
      <w:pPr>
        <w:spacing w:line="240" w:lineRule="auto"/>
        <w:jc w:val="both"/>
      </w:pPr>
      <w:r>
        <w:t>Assessment of Women’s Financial Inclusion in Nigeria – EFInA: Enhancing Financial Innovation and Access [Internet]. [cited 2021 Aug 5]. Available from: https://efina.org.ng/publication/assessment-of-womens-financial-inclusion-in-nigeria/</w:t>
      </w:r>
    </w:p>
    <w:p w14:paraId="36DA657D" w14:textId="77777777" w:rsidR="00A541B4" w:rsidRDefault="00A541B4" w:rsidP="00A541B4">
      <w:pPr>
        <w:spacing w:line="240" w:lineRule="auto"/>
        <w:jc w:val="both"/>
      </w:pPr>
      <w:r>
        <w:t>More, and more productive, jobs for Nigeria : a profile of work and workers [Internet]. [cited 2021 Aug 5]. Available from: https://documents.worldbank.org/en/publication/documents-reports/documentdetail/650371467987906739/more-and-more-productive-jobs-for-nigeria-a-profile-of-work-and-workers</w:t>
      </w:r>
    </w:p>
    <w:p w14:paraId="737444AC" w14:textId="77777777" w:rsidR="00A541B4" w:rsidRDefault="00A541B4" w:rsidP="00A541B4">
      <w:pPr>
        <w:spacing w:line="240" w:lineRule="auto"/>
        <w:jc w:val="both"/>
      </w:pPr>
      <w:r>
        <w:t>Labor Force Statistics: Unemployment and Underemployment Report Definition and Methodology. 2021; [cited 2021 Aug 5].</w:t>
      </w:r>
    </w:p>
    <w:p w14:paraId="4E7B79A3" w14:textId="77777777" w:rsidR="00A541B4" w:rsidRDefault="00A541B4" w:rsidP="00A541B4">
      <w:pPr>
        <w:spacing w:line="240" w:lineRule="auto"/>
        <w:jc w:val="both"/>
      </w:pPr>
      <w:r>
        <w:t>The Federal Republic of Nigeria Nigeria Demographic and Health Survey 2018 National Population Commission Abuja, Nigeria. 2019 [cited 2021 Aug 5]; Available from: www.DHSprogram.com.</w:t>
      </w:r>
    </w:p>
    <w:p w14:paraId="71F6457E" w14:textId="77777777" w:rsidR="00A541B4" w:rsidRDefault="00A541B4" w:rsidP="00A541B4">
      <w:pPr>
        <w:spacing w:line="240" w:lineRule="auto"/>
        <w:jc w:val="both"/>
      </w:pPr>
      <w:r>
        <w:t>United Nations Development Programme. Human Development Report 2016 Human Development for Everyone. [cited 2021 Aug 5]; Available from: http://hdr.undp.org/sites/default/files/2016_national_human_development_report_for_ nigeria.pdf</w:t>
      </w:r>
    </w:p>
    <w:p w14:paraId="0FD4E677" w14:textId="77777777" w:rsidR="00A541B4" w:rsidRDefault="00A541B4" w:rsidP="00A541B4">
      <w:pPr>
        <w:spacing w:line="240" w:lineRule="auto"/>
        <w:jc w:val="both"/>
      </w:pPr>
      <w:r>
        <w:t>UNICEF, Multiple Indicator cluster survery 2016-2017[Internet]. [cited 2021 Aug 5]. Available from: NG_publications_mics_201617_feb2018.pdf (unicef.org)</w:t>
      </w:r>
    </w:p>
    <w:p w14:paraId="759A2816" w14:textId="77777777" w:rsidR="00A541B4" w:rsidRDefault="00A541B4" w:rsidP="00A541B4">
      <w:pPr>
        <w:spacing w:line="240" w:lineRule="auto"/>
        <w:jc w:val="both"/>
      </w:pPr>
      <w:r>
        <w:t xml:space="preserve">National Gender Policy, 2006. [cited 2021 Aug 5]. Available from: </w:t>
      </w:r>
      <w:hyperlink r:id="rId48" w:history="1">
        <w:r>
          <w:rPr>
            <w:rStyle w:val="Hyperlink"/>
          </w:rPr>
          <w:t>National-Gender-PolicySituation-Analysis.pdf (nigerianwomentrustfund.org)</w:t>
        </w:r>
      </w:hyperlink>
    </w:p>
    <w:p w14:paraId="3600D16C" w14:textId="77777777" w:rsidR="00A541B4" w:rsidRDefault="00A541B4" w:rsidP="00A541B4">
      <w:pPr>
        <w:spacing w:line="240" w:lineRule="auto"/>
        <w:jc w:val="both"/>
      </w:pPr>
      <w:r>
        <w:t xml:space="preserve">Labour Act (Maternity Protection). [cited 2021 Aug 5]. Available from:  </w:t>
      </w:r>
      <w:hyperlink r:id="rId49" w:history="1">
        <w:r>
          <w:rPr>
            <w:rStyle w:val="Hyperlink"/>
          </w:rPr>
          <w:t>L1.pdf (placng.org)</w:t>
        </w:r>
      </w:hyperlink>
    </w:p>
    <w:p w14:paraId="586EF8C5" w14:textId="77777777" w:rsidR="00A541B4" w:rsidRDefault="00A541B4" w:rsidP="00A541B4">
      <w:pPr>
        <w:spacing w:line="240" w:lineRule="auto"/>
        <w:jc w:val="both"/>
      </w:pPr>
      <w:r>
        <w:t xml:space="preserve">Nigerian Drug Law Enforcement Agency (NDLEA) Act, 2002. [cited 2021 Aug 5]. Available from:   </w:t>
      </w:r>
      <w:hyperlink r:id="rId50" w:history="1">
        <w:r>
          <w:rPr>
            <w:rStyle w:val="Hyperlink"/>
          </w:rPr>
          <w:t>NATIONAL DRUG LAW ENFORCEMENT AGENCY ACT.pdf (placng.org)</w:t>
        </w:r>
      </w:hyperlink>
    </w:p>
    <w:p w14:paraId="344A83EB" w14:textId="77777777" w:rsidR="00A541B4" w:rsidRDefault="00A541B4" w:rsidP="00A541B4">
      <w:pPr>
        <w:spacing w:line="240" w:lineRule="auto"/>
        <w:jc w:val="both"/>
      </w:pPr>
      <w:r>
        <w:t xml:space="preserve">Criminal Code Act criminal code act Cap C38 LFN 2004. [cited 2021 Aug 5]. Available from: </w:t>
      </w:r>
      <w:hyperlink r:id="rId51" w:history="1">
        <w:r>
          <w:rPr>
            <w:rStyle w:val="Hyperlink"/>
          </w:rPr>
          <w:t>C38.pdf (placng.org)</w:t>
        </w:r>
      </w:hyperlink>
    </w:p>
    <w:p w14:paraId="29B3ACDB" w14:textId="77777777" w:rsidR="00A541B4" w:rsidRDefault="00A541B4" w:rsidP="00A541B4">
      <w:pPr>
        <w:spacing w:line="240" w:lineRule="auto"/>
        <w:jc w:val="both"/>
      </w:pPr>
      <w:r>
        <w:t>Easo. EASO Nigeria Sex Trafficking of women 2015. [cited 2021 Aug 5]; Available from: EASO Country of Origin Information Report — Nigeria. Sex trafficking of women (europa.eu)</w:t>
      </w:r>
    </w:p>
    <w:p w14:paraId="6CFB2945" w14:textId="77777777" w:rsidR="00A541B4" w:rsidRDefault="00A541B4" w:rsidP="00A541B4">
      <w:pPr>
        <w:spacing w:line="240" w:lineRule="auto"/>
        <w:jc w:val="both"/>
      </w:pPr>
      <w:r>
        <w:lastRenderedPageBreak/>
        <w:t>Police regulation, gender inclusiveness and the constitution — Features — The Guardian Nigeria News – Nigeria and World News [Internet]. [cited 2021 Aug 5]. Available from: https://guardian.ng/features/law/police-regulation-gender-inclusiveness-and-the-constitution/</w:t>
      </w:r>
    </w:p>
    <w:p w14:paraId="7A6B227D" w14:textId="77777777" w:rsidR="00A541B4" w:rsidRDefault="00A541B4" w:rsidP="00A541B4">
      <w:pPr>
        <w:spacing w:line="240" w:lineRule="auto"/>
        <w:jc w:val="both"/>
      </w:pPr>
      <w:r>
        <w:t>Agunbiade OM, Ogunleye O V. Constraints to exclusive breastfeeding practice among breastfeeding mothers in Southwest Nigeria: implications for scaling up. Int Breastfeed J 2012 71. 2012 Apr 23 [cited 2021 Aug 4];7(1):1–10. Available from: https://internationalbreastfeedingjournal.biomedcentral.com/articles/10.1186/1746-4358-7-5</w:t>
      </w:r>
    </w:p>
    <w:p w14:paraId="7B17214C" w14:textId="77777777" w:rsidR="00A541B4" w:rsidRDefault="00A541B4" w:rsidP="00A541B4">
      <w:pPr>
        <w:spacing w:line="240" w:lineRule="auto"/>
        <w:jc w:val="both"/>
      </w:pPr>
      <w:r>
        <w:t>Larossi G, Mousley P, Radwan I</w:t>
      </w:r>
      <w:r w:rsidRPr="00321375">
        <w:t>. An Assessment of the Investment Climate in Nigeria. Directions in Development ; private sector development</w:t>
      </w:r>
      <w:r>
        <w:t xml:space="preserve"> 2009</w:t>
      </w:r>
      <w:r w:rsidRPr="00321375">
        <w:t>. World Bank. © World Bank. https://openknowledge.worldbank.org/handle/10986/2608 License: CC BY 3.0 IGO.</w:t>
      </w:r>
    </w:p>
    <w:p w14:paraId="4165659B" w14:textId="77777777" w:rsidR="00A541B4" w:rsidRDefault="00A541B4" w:rsidP="00A541B4">
      <w:pPr>
        <w:spacing w:line="240" w:lineRule="auto"/>
        <w:jc w:val="both"/>
      </w:pPr>
      <w:r>
        <w:t>Women Entrepreneurs and Financial Inclusion in Nigeria [Internet]. [cited 2021 Aug 5]. Available from: https://newsroom.mastercard.com/mea/2015/12/10/women-entrepreneurs-and-financial-inclusion-in-nigeria/</w:t>
      </w:r>
    </w:p>
    <w:p w14:paraId="69F7D508" w14:textId="77777777" w:rsidR="00A541B4" w:rsidRDefault="00A541B4" w:rsidP="00A541B4">
      <w:pPr>
        <w:spacing w:line="240" w:lineRule="auto"/>
        <w:jc w:val="both"/>
      </w:pPr>
      <w:r>
        <w:t>Convention on the Elimination of All Forms of Discrimination Against Women (CEDAW) for Youth | UN Women – Headquarters [Internet]. [cited 2021 Aug 5]. Available from: https://www.unwomen.org/en/digital-library/publications/2016/12/cedaw-for-youth</w:t>
      </w:r>
    </w:p>
    <w:p w14:paraId="63B4790F" w14:textId="77777777" w:rsidR="00A541B4" w:rsidRDefault="00A541B4" w:rsidP="00A541B4">
      <w:pPr>
        <w:spacing w:line="240" w:lineRule="auto"/>
        <w:jc w:val="both"/>
      </w:pPr>
      <w:r>
        <w:t xml:space="preserve">Chapter I RESOLUTIONS ADOPTED BY THE CONFERENCE Resolution 1 Beijing Declaration and Platform for Action*. [cited 2021 Aug 5]; Available from: </w:t>
      </w:r>
      <w:hyperlink r:id="rId52" w:history="1">
        <w:r>
          <w:rPr>
            <w:rStyle w:val="Hyperlink"/>
          </w:rPr>
          <w:t>Beijing_Declaration_and_Platform_for_Action.pdf (un.org)</w:t>
        </w:r>
      </w:hyperlink>
    </w:p>
    <w:p w14:paraId="1D951688" w14:textId="77777777" w:rsidR="00A541B4" w:rsidRDefault="00A541B4" w:rsidP="00A541B4">
      <w:pPr>
        <w:spacing w:line="240" w:lineRule="auto"/>
        <w:jc w:val="both"/>
      </w:pPr>
      <w:r>
        <w:t xml:space="preserve">HARASSMENT AND DISCRIMINATION IN NIGERIAN WORKPLACES 2020. 2020 [cited 2021 Aug 5]; Available from: </w:t>
      </w:r>
      <w:hyperlink r:id="rId53" w:history="1">
        <w:r w:rsidRPr="00BD52A7">
          <w:rPr>
            <w:rStyle w:val="Hyperlink"/>
          </w:rPr>
          <w:t>www.hbalogunconsult.com</w:t>
        </w:r>
      </w:hyperlink>
    </w:p>
    <w:p w14:paraId="7B8E3053" w14:textId="77777777" w:rsidR="00A541B4" w:rsidRDefault="00A541B4" w:rsidP="00A541B4">
      <w:pPr>
        <w:spacing w:line="240" w:lineRule="auto"/>
        <w:jc w:val="both"/>
      </w:pPr>
      <w:r>
        <w:t xml:space="preserve">IFC, Women on Boards in Nigeria, 2019. [cited 2021 Aug 5]; Available from: </w:t>
      </w:r>
      <w:hyperlink r:id="rId54" w:history="1">
        <w:r>
          <w:rPr>
            <w:rStyle w:val="Hyperlink"/>
          </w:rPr>
          <w:t>World Bank Document</w:t>
        </w:r>
      </w:hyperlink>
    </w:p>
    <w:p w14:paraId="18E0E6F3" w14:textId="77777777" w:rsidR="00A541B4" w:rsidRDefault="00A541B4" w:rsidP="00A541B4">
      <w:pPr>
        <w:spacing w:line="240" w:lineRule="auto"/>
        <w:jc w:val="both"/>
      </w:pPr>
      <w:r>
        <w:t>Adebayo B. Nigeria: State governors resolve to declare state of emergency on rape - CNN [Internet]. [cited 2021 Aug 5]. Available from: https://edition.cnn.com/2020/06/12/africa/nigeria-state-of-emergency-rape/index.html</w:t>
      </w:r>
    </w:p>
    <w:p w14:paraId="0708C96E" w14:textId="77777777" w:rsidR="00A541B4" w:rsidRDefault="00A541B4" w:rsidP="00A541B4">
      <w:pPr>
        <w:spacing w:line="240" w:lineRule="auto"/>
        <w:jc w:val="both"/>
      </w:pPr>
      <w:r>
        <w:t>Easo. EASO Nigeria Trafficking in Human Beings Country of Origin Information Report. 2021 [cited 2021 Aug 5]; Available from: http://europa.eu</w:t>
      </w:r>
    </w:p>
    <w:p w14:paraId="77242992" w14:textId="77777777" w:rsidR="00A541B4" w:rsidRDefault="00A541B4" w:rsidP="00A541B4">
      <w:pPr>
        <w:spacing w:line="240" w:lineRule="auto"/>
        <w:jc w:val="both"/>
      </w:pPr>
      <w:r>
        <w:t>Chen ZJ, Sun LJ. Nonproteolytic Functions of Ubiquitin in Cell Signaling. Vol. 33, Molecular Cell. 2009. p. 275–86.</w:t>
      </w:r>
    </w:p>
    <w:p w14:paraId="415BB11D" w14:textId="77777777" w:rsidR="00A541B4" w:rsidRDefault="00A541B4" w:rsidP="00A541B4">
      <w:pPr>
        <w:spacing w:line="240" w:lineRule="auto"/>
        <w:jc w:val="both"/>
      </w:pPr>
      <w:r>
        <w:t>Edo State Trafficking in Persons Law 2018.</w:t>
      </w:r>
    </w:p>
    <w:p w14:paraId="75A66EBD" w14:textId="77777777" w:rsidR="00A541B4" w:rsidRDefault="00A541B4" w:rsidP="00A541B4">
      <w:pPr>
        <w:spacing w:line="240" w:lineRule="auto"/>
        <w:jc w:val="both"/>
      </w:pPr>
      <w:r>
        <w:t>Azad, Crawford, Kaila. Conflict and Violence in Nigeria; Results from the North East, North Central, and South South zones 2018. [cited 2021 Aug 5];</w:t>
      </w:r>
    </w:p>
    <w:p w14:paraId="0CF33443" w14:textId="77777777" w:rsidR="00A541B4" w:rsidRDefault="00A541B4" w:rsidP="00A541B4">
      <w:pPr>
        <w:spacing w:line="240" w:lineRule="auto"/>
        <w:jc w:val="both"/>
      </w:pPr>
      <w:r>
        <w:t>Federal Ministry of Health and National Agency for AIDS Control (NACA), Nigeria HIV/AIDS Indicator and Impact Survey, 2019. . [cited 2021 Aug 5] Available from https://www.naiis.ng/resource/factsheet/NAIIS%20PA%20NATIONAL%20FACTSHEET%20FINAL.pdf</w:t>
      </w:r>
    </w:p>
    <w:p w14:paraId="69289B85" w14:textId="77777777" w:rsidR="00A541B4" w:rsidRDefault="00A541B4" w:rsidP="00A541B4">
      <w:pPr>
        <w:spacing w:line="240" w:lineRule="auto"/>
        <w:jc w:val="both"/>
      </w:pPr>
      <w:r>
        <w:t>National Population Commission, Nigeria and ICF, Nigeria Demographic and Health Survey, 2018. . [cited 2021 Aug 5]. Available from https://dhsprogram.com/pubs/pdf/FR359/FR359.pdf</w:t>
      </w:r>
    </w:p>
    <w:p w14:paraId="55E32B76" w14:textId="77777777" w:rsidR="00A541B4" w:rsidRDefault="00A541B4" w:rsidP="00A541B4">
      <w:pPr>
        <w:spacing w:line="240" w:lineRule="auto"/>
        <w:jc w:val="both"/>
      </w:pPr>
      <w:r>
        <w:t>UNICEF, ‘Situation of Women and Children in Nigeria: Challenges faced by Women and Children in Nigeria’.  [cited 2021 Aug 5] Available from: https://www.unicef.org/nigeria/situation-women-and-children-nigeria</w:t>
      </w:r>
    </w:p>
    <w:p w14:paraId="07072829" w14:textId="77777777" w:rsidR="00A541B4" w:rsidRDefault="00A541B4" w:rsidP="00A541B4">
      <w:pPr>
        <w:spacing w:line="240" w:lineRule="auto"/>
        <w:jc w:val="both"/>
      </w:pPr>
      <w:r>
        <w:lastRenderedPageBreak/>
        <w:t>Adetifa IMO, Adamu AL, Karani A, Waithaka M, Odeyemi KA, Okoromah CAN, Bello MM, Abubakar IS, Inem V, Scott JAG. Nasopharyngeal Pneumococcal Carriage in Nigeria: a two-site, population-based survey. Sci Rep. 2018 Feb 22;8(1):3509. . [cited 2021 Aug 5];</w:t>
      </w:r>
    </w:p>
    <w:p w14:paraId="389C5BA7" w14:textId="77777777" w:rsidR="00A541B4" w:rsidRDefault="00A541B4" w:rsidP="00A541B4">
      <w:pPr>
        <w:spacing w:line="240" w:lineRule="auto"/>
        <w:jc w:val="both"/>
      </w:pPr>
      <w:r>
        <w:t>Agnese Juliano et al, The Burden and Risks of Pediatric Pneumonia in Nigeria: A Desk‐Based Review of Existing Literature and Data (2020) Pediatric Pulmonology. . [cited 2021 Aug 5]. Available from: https://doi.org/10.1002/ppul.24626</w:t>
      </w:r>
    </w:p>
    <w:p w14:paraId="6174D654" w14:textId="77777777" w:rsidR="00A541B4" w:rsidRDefault="00A541B4" w:rsidP="00A541B4">
      <w:pPr>
        <w:spacing w:line="240" w:lineRule="auto"/>
        <w:jc w:val="both"/>
      </w:pPr>
      <w:r>
        <w:t>World Health Organization 2010. The Abuja Declaration: Ten Years On. Available from: https://www.who.int/healthsystems/publications/Abuja10.pdf</w:t>
      </w:r>
    </w:p>
    <w:p w14:paraId="5A4F4B5A" w14:textId="77777777" w:rsidR="00A541B4" w:rsidRDefault="00A541B4" w:rsidP="00A541B4">
      <w:pPr>
        <w:spacing w:line="240" w:lineRule="auto"/>
        <w:jc w:val="both"/>
      </w:pPr>
      <w:r>
        <w:t>Adebisi Y., Umah J., Olaoye O., Alaran A., Sina-Odunsi, A., III Don. Assessment of Health Budgetary Allocation and Expenditure Toward Achieving Universal Health Coverage in Nigeria. 2020  International Journal of Health Sciences. 10.5812/ijhls.102552.</w:t>
      </w:r>
    </w:p>
    <w:p w14:paraId="2F0A98AF" w14:textId="77777777" w:rsidR="00A541B4" w:rsidRDefault="00A541B4" w:rsidP="00A541B4">
      <w:pPr>
        <w:spacing w:line="240" w:lineRule="auto"/>
        <w:jc w:val="both"/>
      </w:pPr>
      <w:r>
        <w:t>Wagstaff A, Cotlear D, Eozenou PH, Buisman LR. Measuring progress towards universal health coverage: with an application to 24 developing countries. 2016 Oxf Rev Econ Policy. 2016;32(1):147–89.</w:t>
      </w:r>
    </w:p>
    <w:p w14:paraId="44903502" w14:textId="77777777" w:rsidR="00A541B4" w:rsidRDefault="00A541B4" w:rsidP="00A541B4">
      <w:pPr>
        <w:spacing w:line="240" w:lineRule="auto"/>
        <w:jc w:val="both"/>
      </w:pPr>
      <w:r>
        <w:t>National Population Commission, Nigeria; Nigeria Demographic and Health Survey, 2018. p.374.</w:t>
      </w:r>
    </w:p>
    <w:p w14:paraId="6B4E79D9" w14:textId="77777777" w:rsidR="00A541B4" w:rsidRDefault="00A541B4" w:rsidP="00A541B4">
      <w:pPr>
        <w:spacing w:line="240" w:lineRule="auto"/>
        <w:jc w:val="both"/>
      </w:pPr>
      <w:r>
        <w:t>MICS Survey 2016.</w:t>
      </w:r>
    </w:p>
    <w:p w14:paraId="3CA557CB" w14:textId="77777777" w:rsidR="00A541B4" w:rsidRDefault="00A541B4" w:rsidP="00A541B4">
      <w:pPr>
        <w:spacing w:line="240" w:lineRule="auto"/>
        <w:jc w:val="both"/>
      </w:pPr>
      <w:r>
        <w:t>UNAIDS; New survey results indicate that Nigeria has an HIV prevalence of 1.4%. 2019 Available from: https://www.unaids.org/en/resources/presscentre/pressreleaseandstatementarchive/2019/march/20190314_nigeria. Accessed 24th June 2021.</w:t>
      </w:r>
    </w:p>
    <w:p w14:paraId="2E25D832" w14:textId="77777777" w:rsidR="00A541B4" w:rsidRDefault="00A541B4" w:rsidP="00A541B4">
      <w:pPr>
        <w:spacing w:line="240" w:lineRule="auto"/>
        <w:jc w:val="both"/>
      </w:pPr>
      <w:r>
        <w:t>National Strategic Health Development Plan II at 14. Al-Jazeera (2021). Nigeria’s medical brain drain: Healthcare woes as doctors flee. [Cited 2021 Jul 25]. Available from: https://www.aljazeera.com/features/2019/4/8/nigerias-medical-brain-drain-healthcare-woes-as-doctors-flee</w:t>
      </w:r>
    </w:p>
    <w:p w14:paraId="7CE3BAA5" w14:textId="77777777" w:rsidR="00A541B4" w:rsidRDefault="00A541B4" w:rsidP="00A541B4">
      <w:pPr>
        <w:spacing w:line="240" w:lineRule="auto"/>
        <w:jc w:val="both"/>
      </w:pPr>
      <w:r>
        <w:t>Okechukwu, C.E. Shortage of psychiatrists: A barrier to effective mental health-care delivery in Nigeria. 2020. 5. 22-23. 10.4103/jncd.jncd_1_20.</w:t>
      </w:r>
    </w:p>
    <w:p w14:paraId="477C4CE5" w14:textId="77777777" w:rsidR="00A541B4" w:rsidRDefault="00A541B4" w:rsidP="00A541B4">
      <w:pPr>
        <w:spacing w:line="240" w:lineRule="auto"/>
        <w:jc w:val="both"/>
      </w:pPr>
      <w:r>
        <w:t>United Nations Children’s Fund, Nigeria. Evaluation of the Maternal, Newborn and Child Health Week in Nigeria.2016. [Cited 2021 Jul 25]. Available from: https://www.unicef.org/nigeria/media/1436/file/Nigeria-evaluation-of-maternal-newborn-and-child-health-week_0.pdf.</w:t>
      </w:r>
    </w:p>
    <w:p w14:paraId="069EB7E6" w14:textId="77777777" w:rsidR="00A541B4" w:rsidRDefault="00A541B4" w:rsidP="00A541B4">
      <w:pPr>
        <w:spacing w:line="240" w:lineRule="auto"/>
        <w:jc w:val="both"/>
      </w:pPr>
      <w:r>
        <w:t>World Bank (2021). Life expectancy at birth, total (years) – Nigeria. [Cited 2021 Jul 25].  Available from: https://data.worldbank.org/indicator/SP.DYN.LE00.IN?locations=N</w:t>
      </w:r>
    </w:p>
    <w:p w14:paraId="1201A9B4" w14:textId="77777777" w:rsidR="00A541B4" w:rsidRDefault="00A541B4" w:rsidP="00A541B4">
      <w:pPr>
        <w:spacing w:line="240" w:lineRule="auto"/>
        <w:jc w:val="both"/>
      </w:pPr>
      <w:r>
        <w:t>WHO, ‘Maternal health in Nigeria: generating information for action’ 2019. [Cited 2021 Jun 24].  Available from: https://www.who.int/reproductivehealth/maternal-health-nigeria/en/</w:t>
      </w:r>
    </w:p>
    <w:p w14:paraId="64D82C3D" w14:textId="77777777" w:rsidR="00A541B4" w:rsidRDefault="00A541B4" w:rsidP="00A541B4">
      <w:pPr>
        <w:spacing w:line="240" w:lineRule="auto"/>
        <w:jc w:val="both"/>
      </w:pPr>
      <w:r>
        <w:t>Alawode, G.O., Adewole, D.A, Assessment of the design and implementation challenges of the National Health Insurance Scheme in Nigeria: a qualitative study among sub-national level actors, healthcare and insurance providers.2021. Available from: https://doi.org/10.1186/s12889-020-10133-5</w:t>
      </w:r>
    </w:p>
    <w:p w14:paraId="542615CC" w14:textId="77777777" w:rsidR="00A541B4" w:rsidRDefault="00A541B4" w:rsidP="00A541B4">
      <w:pPr>
        <w:spacing w:line="240" w:lineRule="auto"/>
        <w:jc w:val="both"/>
      </w:pPr>
      <w:r>
        <w:t>The National Agency for the Control of AIDS; Women, Girls Gender Equality and HIV in Nigeria: Fact Sheet 2016. . [Cited 2021 Jun 24]. Available from: https://naca.gov.ng/wp-content/uploads/2019/10/Fact-Sheet-Women-Girls-Gender-Equality-and-HIV-in-Nigeria.pdf</w:t>
      </w:r>
    </w:p>
    <w:p w14:paraId="541F13B1" w14:textId="77777777" w:rsidR="00A541B4" w:rsidRDefault="00A541B4" w:rsidP="00A541B4">
      <w:pPr>
        <w:spacing w:line="240" w:lineRule="auto"/>
        <w:jc w:val="both"/>
      </w:pPr>
      <w:r>
        <w:t xml:space="preserve">National Reproductive Health Policy and Strategy, 2006. [Cited 2021 Jun 24]. Available from: </w:t>
      </w:r>
      <w:hyperlink r:id="rId55" w:history="1">
        <w:r>
          <w:rPr>
            <w:rStyle w:val="Hyperlink"/>
          </w:rPr>
          <w:t>nigeria_reproductivehealth_2001_en.pdf (africanchildforum.org)</w:t>
        </w:r>
      </w:hyperlink>
    </w:p>
    <w:p w14:paraId="47434C4F" w14:textId="77777777" w:rsidR="00A541B4" w:rsidRDefault="00A541B4" w:rsidP="00A541B4">
      <w:pPr>
        <w:spacing w:line="240" w:lineRule="auto"/>
        <w:jc w:val="both"/>
      </w:pPr>
      <w:r>
        <w:lastRenderedPageBreak/>
        <w:t>International Covenant on Social, Economic and Cultural Rights. Available from: ch_iv_03.pdf (un.org)</w:t>
      </w:r>
    </w:p>
    <w:p w14:paraId="7BD358D3" w14:textId="77777777" w:rsidR="00A541B4" w:rsidRDefault="00A541B4" w:rsidP="00A541B4">
      <w:pPr>
        <w:spacing w:line="240" w:lineRule="auto"/>
        <w:jc w:val="both"/>
      </w:pPr>
      <w:r>
        <w:t>Federal Ministry of Health; National Health Analytical Tool showing Health Service Uptake during the COVID-19 pandemic. [Cited 2021 Jun 24].   Available from: https://msdat.fmohconnect.gov.ng/covid/index.html. Accessed 24th June 2021</w:t>
      </w:r>
    </w:p>
    <w:p w14:paraId="76038698" w14:textId="77777777" w:rsidR="00A541B4" w:rsidRDefault="00A541B4" w:rsidP="00A541B4">
      <w:pPr>
        <w:spacing w:line="240" w:lineRule="auto"/>
        <w:jc w:val="both"/>
      </w:pPr>
      <w:r>
        <w:t>UNICEF. Education. 2021. Available from: https://www.unicef.org/nigeria/education</w:t>
      </w:r>
    </w:p>
    <w:p w14:paraId="004F5D73" w14:textId="77777777" w:rsidR="00A541B4" w:rsidRDefault="00A541B4" w:rsidP="00A541B4">
      <w:pPr>
        <w:spacing w:line="240" w:lineRule="auto"/>
        <w:jc w:val="both"/>
      </w:pPr>
      <w:r>
        <w:t xml:space="preserve">Nigerian Bureau of Statistics, 2017. Available from: </w:t>
      </w:r>
      <w:hyperlink r:id="rId56" w:history="1">
        <w:r>
          <w:rPr>
            <w:rStyle w:val="Hyperlink"/>
          </w:rPr>
          <w:t>Demographic Statistics Bulletin 2017.pdf</w:t>
        </w:r>
      </w:hyperlink>
    </w:p>
    <w:p w14:paraId="7FC0AB5D" w14:textId="77777777" w:rsidR="00A541B4" w:rsidRDefault="00A541B4" w:rsidP="00A541B4">
      <w:pPr>
        <w:spacing w:line="240" w:lineRule="auto"/>
        <w:jc w:val="both"/>
      </w:pPr>
      <w:r>
        <w:t xml:space="preserve">Demographic Statistics Bulletin 2017. Available from: </w:t>
      </w:r>
      <w:hyperlink r:id="rId57" w:history="1">
        <w:r>
          <w:rPr>
            <w:rStyle w:val="Hyperlink"/>
          </w:rPr>
          <w:t>Demographic Statistics Bulletin 2017 (1).pdf</w:t>
        </w:r>
      </w:hyperlink>
    </w:p>
    <w:p w14:paraId="1D7AFD88" w14:textId="77777777" w:rsidR="00A541B4" w:rsidRDefault="00A541B4" w:rsidP="00A541B4">
      <w:pPr>
        <w:spacing w:line="240" w:lineRule="auto"/>
        <w:jc w:val="both"/>
      </w:pPr>
      <w:r>
        <w:t>Arise News. Nigeria Cannot Afford Funds to Revive Education, Buhari Says. 2021. Available from: https://www.arise.tv/nigeria-cannot-afford-funds-to-revive-education-buhari-says/</w:t>
      </w:r>
    </w:p>
    <w:p w14:paraId="125D1E1B" w14:textId="77777777" w:rsidR="00A541B4" w:rsidRDefault="00A541B4" w:rsidP="00A541B4">
      <w:pPr>
        <w:spacing w:line="240" w:lineRule="auto"/>
        <w:jc w:val="both"/>
      </w:pPr>
      <w:r>
        <w:t xml:space="preserve">Convention on the Rights of the Child, 1989. Available from: </w:t>
      </w:r>
      <w:hyperlink r:id="rId58" w:history="1">
        <w:r>
          <w:rPr>
            <w:rStyle w:val="Hyperlink"/>
          </w:rPr>
          <w:t>Treaties, States parties, and Commentaries - Convention on the Rights of the Child, 1989 (icrc.org)</w:t>
        </w:r>
      </w:hyperlink>
    </w:p>
    <w:p w14:paraId="1958A12A" w14:textId="77777777" w:rsidR="00A541B4" w:rsidRDefault="00A541B4" w:rsidP="00A541B4">
      <w:pPr>
        <w:spacing w:line="240" w:lineRule="auto"/>
        <w:jc w:val="both"/>
      </w:pPr>
      <w:r>
        <w:t xml:space="preserve">Universal Basic Education Act, 2004. Available from: </w:t>
      </w:r>
      <w:hyperlink r:id="rId59" w:history="1">
        <w:r>
          <w:rPr>
            <w:rStyle w:val="Hyperlink"/>
          </w:rPr>
          <w:t>NGA87623.pdf</w:t>
        </w:r>
      </w:hyperlink>
    </w:p>
    <w:p w14:paraId="782B9A4D" w14:textId="77777777" w:rsidR="00A541B4" w:rsidRDefault="00A541B4" w:rsidP="00A541B4">
      <w:pPr>
        <w:spacing w:line="240" w:lineRule="auto"/>
        <w:jc w:val="both"/>
      </w:pPr>
      <w:r>
        <w:t>World Bank. Disability Inclusion in Nigeria: A Rapid Assessment. World Bank, Washington, DC 2020. Available from: https://openknowledge.worldbank.org/handle/10986/34073 License: CC BY 3.0 IGO</w:t>
      </w:r>
    </w:p>
    <w:p w14:paraId="3BCB7834" w14:textId="77777777" w:rsidR="00A541B4" w:rsidRDefault="00A541B4" w:rsidP="00A541B4">
      <w:pPr>
        <w:spacing w:line="240" w:lineRule="auto"/>
        <w:jc w:val="both"/>
      </w:pPr>
      <w:r>
        <w:t>UK Aid. Nigeria Situational Analysis Version II - June 2020. Available from: https://opendocs.ids.ac.uk/opendocs/bitstream/handle/20.500.12413/15561/DID%20SITAN%20Nigeria%20V2%20July%202020.pdf?sequence=1&amp;isAllowed=y</w:t>
      </w:r>
    </w:p>
    <w:p w14:paraId="07CF4307" w14:textId="77777777" w:rsidR="00A541B4" w:rsidRDefault="00A541B4" w:rsidP="00A541B4">
      <w:pPr>
        <w:spacing w:line="240" w:lineRule="auto"/>
        <w:jc w:val="both"/>
      </w:pPr>
      <w:r>
        <w:t>Premium Times Nigeria. PWDs Are Not Benefitting Enough Form Social Protection Programmes In Four Nigerian States.2020. Available from: https://www.premiumtimesng.com/news/more-news/461527-pwds-not-benefitting-enough-from-social-protection-programmes-in-four-nigerian-states-survey.html</w:t>
      </w:r>
    </w:p>
    <w:p w14:paraId="354B18BE" w14:textId="77777777" w:rsidR="00A541B4" w:rsidRDefault="00A541B4" w:rsidP="00A541B4">
      <w:pPr>
        <w:spacing w:line="240" w:lineRule="auto"/>
        <w:jc w:val="both"/>
      </w:pPr>
      <w:r>
        <w:t>UNHCR. Nigeria emergency. 2020. Available from: https://www.unhcr.org/nigeria-emergency.html</w:t>
      </w:r>
    </w:p>
    <w:p w14:paraId="1D010984" w14:textId="77777777" w:rsidR="00A541B4" w:rsidRDefault="00A541B4" w:rsidP="00A541B4">
      <w:pPr>
        <w:spacing w:line="240" w:lineRule="auto"/>
        <w:jc w:val="both"/>
      </w:pPr>
      <w:r>
        <w:t>Internal Displacement Monitoring Centre. North-east Nigeria: A massive internal displacement crisis. 2020. Available from: https://www.internal-displacement.org/features/nigeria-internal-displacement-crisis-conflict-floods</w:t>
      </w:r>
    </w:p>
    <w:p w14:paraId="4BD6D449" w14:textId="77777777" w:rsidR="00A541B4" w:rsidRDefault="00A541B4" w:rsidP="00A541B4">
      <w:pPr>
        <w:spacing w:line="240" w:lineRule="auto"/>
        <w:jc w:val="both"/>
      </w:pPr>
      <w:r>
        <w:t>Walker.A. What is Boko Haram. 2012. Available from: SR308.pdf (usip.org)</w:t>
      </w:r>
    </w:p>
    <w:p w14:paraId="0B9ACB5D" w14:textId="77777777" w:rsidR="00A541B4" w:rsidRDefault="00A541B4" w:rsidP="00A541B4">
      <w:pPr>
        <w:spacing w:line="240" w:lineRule="auto"/>
        <w:jc w:val="both"/>
      </w:pPr>
      <w:r>
        <w:t>Child Marriage in West and Central Africa | UNICEF West and Central Africa [Internet]. [cited 2021 Aug 5]. Available from: https://www.unicef.org/wca/reports/child-marriage-west-and-central-africa</w:t>
      </w:r>
    </w:p>
    <w:p w14:paraId="4C787644" w14:textId="77777777" w:rsidR="00A541B4" w:rsidRDefault="00A541B4" w:rsidP="00A541B4">
      <w:pPr>
        <w:spacing w:line="240" w:lineRule="auto"/>
        <w:jc w:val="both"/>
      </w:pPr>
      <w:r>
        <w:t>Nigeria: completion rate for upper secondary school | Statista [Internet]. [cited 2021 Aug 5]. Available from: https://www.statista.com/statistics/1130675/completion-rate-for-upper-secondary-school-in-nigeria/</w:t>
      </w:r>
    </w:p>
    <w:p w14:paraId="445DF37B" w14:textId="77777777" w:rsidR="00A541B4" w:rsidRDefault="00A541B4" w:rsidP="00A541B4">
      <w:pPr>
        <w:spacing w:line="240" w:lineRule="auto"/>
        <w:jc w:val="both"/>
      </w:pPr>
      <w:r>
        <w:t>THE 17 GOALS | Sustainable Development [Internet]. [cited 2021 Aug 5]. Available from: https://sdgs.un.org/goals</w:t>
      </w:r>
    </w:p>
    <w:p w14:paraId="63529B49" w14:textId="77777777" w:rsidR="00A541B4" w:rsidRDefault="00A541B4" w:rsidP="00A541B4">
      <w:pPr>
        <w:spacing w:line="240" w:lineRule="auto"/>
        <w:jc w:val="both"/>
      </w:pPr>
      <w:r>
        <w:t>Solemn Declaration on Gender Equality in Africa | African Union [Internet]. [cited 2021 Aug 5]. Available from: https://au.int/en/documents/20200708/solemn-declaration-gender-equality-africa</w:t>
      </w:r>
    </w:p>
    <w:p w14:paraId="731C250B" w14:textId="77777777" w:rsidR="00A541B4" w:rsidRDefault="00A541B4" w:rsidP="00A541B4">
      <w:pPr>
        <w:spacing w:line="240" w:lineRule="auto"/>
        <w:jc w:val="both"/>
      </w:pPr>
      <w:r>
        <w:t>VAPP TRACKER | Partners West Africa Nigeria [Internet]. [cited 2021 Aug 5]. Available from: https://www.partnersnigeria.org/vapp-tracker/</w:t>
      </w:r>
    </w:p>
    <w:p w14:paraId="19C61BEC" w14:textId="77777777" w:rsidR="00A541B4" w:rsidRDefault="00A541B4" w:rsidP="00A541B4">
      <w:pPr>
        <w:spacing w:line="240" w:lineRule="auto"/>
        <w:jc w:val="both"/>
      </w:pPr>
      <w:r>
        <w:t>FMWA GBV [Internet]. [cited 2021 Aug 5]. Available from: https://reportgbv.ng/#/</w:t>
      </w:r>
    </w:p>
    <w:p w14:paraId="6029E933" w14:textId="77777777" w:rsidR="00A541B4" w:rsidRDefault="00A541B4" w:rsidP="00A541B4">
      <w:pPr>
        <w:spacing w:line="240" w:lineRule="auto"/>
        <w:jc w:val="both"/>
      </w:pPr>
      <w:r>
        <w:t>More Schoolchildren Abducted in Nigeria | Human Rights Watch [Internet]. [cited 2021 Aug 5]. Available from: https://www.hrw.org/news/2021/02/17/more-schoolchildren-abducted-nigeria</w:t>
      </w:r>
    </w:p>
    <w:p w14:paraId="42E439C5" w14:textId="77777777" w:rsidR="00A541B4" w:rsidRDefault="00A541B4" w:rsidP="00A541B4">
      <w:pPr>
        <w:spacing w:line="240" w:lineRule="auto"/>
        <w:jc w:val="both"/>
      </w:pPr>
      <w:r>
        <w:lastRenderedPageBreak/>
        <w:t xml:space="preserve">Rights UHC for H. Violations and abuses committed by Boko Haram and the impact on human rights in the countries affected. UN,; 2015 [cited 2021 Aug 5]. Available from: </w:t>
      </w:r>
      <w:hyperlink r:id="rId60" w:history="1">
        <w:r w:rsidRPr="00BD52A7">
          <w:rPr>
            <w:rStyle w:val="Hyperlink"/>
          </w:rPr>
          <w:t>https://digitallibrary.un.org/record/819031</w:t>
        </w:r>
      </w:hyperlink>
    </w:p>
    <w:p w14:paraId="48891827" w14:textId="77777777" w:rsidR="00A541B4" w:rsidRDefault="00A541B4" w:rsidP="00A541B4">
      <w:pPr>
        <w:spacing w:line="240" w:lineRule="auto"/>
        <w:jc w:val="both"/>
      </w:pPr>
      <w:r w:rsidRPr="00AC26E4">
        <w:t xml:space="preserve">Nigeria 2021 half-year kidnap report – Nigeria’s leading geopolitical intelligence platform [Internet]. [cited 2021 Aug 6]. Available from: </w:t>
      </w:r>
      <w:hyperlink r:id="rId61" w:history="1">
        <w:r w:rsidRPr="00BD52A7">
          <w:rPr>
            <w:rStyle w:val="Hyperlink"/>
          </w:rPr>
          <w:t>https://www.sbmintel.com/2021/07/chart-of-the-week-nigeria-2021-half-year-kidnap-report/</w:t>
        </w:r>
      </w:hyperlink>
      <w:r>
        <w:t xml:space="preserve"> </w:t>
      </w:r>
    </w:p>
    <w:p w14:paraId="4E7064FC" w14:textId="77777777" w:rsidR="00A541B4" w:rsidRDefault="00A541B4" w:rsidP="00A541B4">
      <w:pPr>
        <w:spacing w:line="240" w:lineRule="auto"/>
        <w:jc w:val="both"/>
      </w:pPr>
      <w:r>
        <w:t>Rights UHC for H. Annual report of the United Nations High Commissioner for Human Rights [Internet]. UN,; 2018 [cited 2021 Aug 5]. Available from: https://digitallibrary.un.org/record/1474804</w:t>
      </w:r>
    </w:p>
    <w:p w14:paraId="48DF0910" w14:textId="77777777" w:rsidR="00A541B4" w:rsidRDefault="00A541B4" w:rsidP="00A541B4">
      <w:pPr>
        <w:spacing w:line="240" w:lineRule="auto"/>
        <w:jc w:val="both"/>
      </w:pPr>
      <w:r>
        <w:t>Situation of women and children in Nigeria | UNICEF Nigeria [Internet]. [cited 2021 Aug 5]. Available from: https://www.unicef.org/nigeria/situation-women-and-children-nigeria</w:t>
      </w:r>
    </w:p>
    <w:p w14:paraId="2F6B8BC5" w14:textId="77777777" w:rsidR="00A541B4" w:rsidRDefault="00A541B4" w:rsidP="00A541B4">
      <w:pPr>
        <w:spacing w:line="240" w:lineRule="auto"/>
        <w:jc w:val="both"/>
      </w:pPr>
      <w:r>
        <w:t>Idris IO, Oguntade AS, Mensah EA, Kitamura N. Prevalence of non-communicable diseases and its risk factors among Ijegun-Isheri Osun residents in Lagos State, Nigeria: A community based cross-sectional study. BMC Public Health. 2020 Aug 18;20(1).</w:t>
      </w:r>
    </w:p>
    <w:p w14:paraId="4BDDE00E" w14:textId="77777777" w:rsidR="00A541B4" w:rsidRDefault="00A541B4" w:rsidP="00A541B4">
      <w:pPr>
        <w:spacing w:line="240" w:lineRule="auto"/>
        <w:jc w:val="both"/>
      </w:pPr>
      <w:r w:rsidRPr="00FC133D">
        <w:t>Minimum Standards for Primary Health Facilities, 2015</w:t>
      </w:r>
      <w:r>
        <w:t xml:space="preserve">. ]. [cited 2021 Aug 5]. Available from: </w:t>
      </w:r>
      <w:hyperlink r:id="rId62" w:history="1">
        <w:r>
          <w:rPr>
            <w:rStyle w:val="Hyperlink"/>
          </w:rPr>
          <w:t>Minimum Standards for Primary Health Care in Nigeria.pdf</w:t>
        </w:r>
      </w:hyperlink>
    </w:p>
    <w:p w14:paraId="19E94A9C" w14:textId="77777777" w:rsidR="00A541B4" w:rsidRDefault="00A541B4" w:rsidP="00A541B4">
      <w:pPr>
        <w:spacing w:line="240" w:lineRule="auto"/>
        <w:jc w:val="both"/>
        <w:rPr>
          <w:rStyle w:val="Hyperlink"/>
        </w:rPr>
      </w:pPr>
      <w:r>
        <w:t xml:space="preserve">Nigerian Bureau of Statistics (2021). [cited 2021 Aug 5]. Available from: Accessed via  </w:t>
      </w:r>
      <w:hyperlink r:id="rId63" w:history="1">
        <w:r>
          <w:rPr>
            <w:rStyle w:val="Hyperlink"/>
          </w:rPr>
          <w:t>https://nigerianstat.gov.ng/elibrary?queries[search]=POPULATION</w:t>
        </w:r>
      </w:hyperlink>
    </w:p>
    <w:p w14:paraId="25E00E20" w14:textId="77777777" w:rsidR="00A541B4" w:rsidRDefault="00A541B4" w:rsidP="00A541B4">
      <w:pPr>
        <w:spacing w:line="240" w:lineRule="auto"/>
        <w:jc w:val="both"/>
        <w:rPr>
          <w:rStyle w:val="Hyperlink"/>
        </w:rPr>
      </w:pPr>
      <w:r w:rsidRPr="006D6A0C">
        <w:rPr>
          <w:lang w:val="de-DE"/>
        </w:rPr>
        <w:t xml:space="preserve">Digital Global – Digital: Nigeria, 2021. [Internet]. </w:t>
      </w:r>
      <w:r>
        <w:t xml:space="preserve">[cited 2021 Aug 5]. Available from: </w:t>
      </w:r>
      <w:hyperlink r:id="rId64" w:history="1">
        <w:r>
          <w:rPr>
            <w:rStyle w:val="Hyperlink"/>
          </w:rPr>
          <w:t>Digital in Nigeria: All the Statistics You Need in 2021 — DataReportal – Global Digital Insights</w:t>
        </w:r>
      </w:hyperlink>
    </w:p>
    <w:p w14:paraId="1F8AB818" w14:textId="77777777" w:rsidR="00A541B4" w:rsidRDefault="00A541B4" w:rsidP="00A541B4">
      <w:pPr>
        <w:spacing w:line="240" w:lineRule="auto"/>
        <w:jc w:val="both"/>
      </w:pPr>
      <w:r>
        <w:t xml:space="preserve">OECD, Bridging the Digital Gender Divide Include, Upskill and Innovate, 2018. [cited 2021 Aug 5]. Available from: </w:t>
      </w:r>
      <w:hyperlink r:id="rId65" w:history="1">
        <w:r>
          <w:rPr>
            <w:rStyle w:val="Hyperlink"/>
          </w:rPr>
          <w:t>bridging-the-digital-gender-divide.pdf (oecd.org)</w:t>
        </w:r>
      </w:hyperlink>
    </w:p>
    <w:p w14:paraId="27C53BB9" w14:textId="77777777" w:rsidR="00A541B4" w:rsidRDefault="00A541B4" w:rsidP="00A541B4">
      <w:pPr>
        <w:spacing w:line="240" w:lineRule="auto"/>
        <w:jc w:val="both"/>
      </w:pPr>
      <w:r>
        <w:t xml:space="preserve">National Bureau of Statistics, GDP Report, Q4 &amp; FULL YEAR 2020. [cited 2021 Aug 5]. Available from: </w:t>
      </w:r>
      <w:hyperlink r:id="rId66" w:history="1">
        <w:r>
          <w:rPr>
            <w:rStyle w:val="Hyperlink"/>
          </w:rPr>
          <w:t>GDP_Report_Q4 &amp; FULL YEAR 2020.pdf</w:t>
        </w:r>
      </w:hyperlink>
    </w:p>
    <w:p w14:paraId="5490FB3A" w14:textId="77777777" w:rsidR="00A541B4" w:rsidRDefault="00A541B4" w:rsidP="00A541B4">
      <w:pPr>
        <w:spacing w:line="240" w:lineRule="auto"/>
        <w:jc w:val="both"/>
        <w:rPr>
          <w:rStyle w:val="Hyperlink"/>
        </w:rPr>
      </w:pPr>
      <w:r>
        <w:t xml:space="preserve">Vijaya R, Obado-Joel J, Fatai R, Masood JS, Omakwu B. The New Economy of Africa: Opportunities for Nigeria’s Emerging Technology Sector, 2019. [Internet]. [cited 2021 Aug 5]. Available from: </w:t>
      </w:r>
      <w:hyperlink r:id="rId67" w:history="1">
        <w:r>
          <w:rPr>
            <w:rStyle w:val="Hyperlink"/>
          </w:rPr>
          <w:t>The New Economy of Africa: Opportunities for Nigeria’s Emerging Technology Sector (cgdev.org)</w:t>
        </w:r>
      </w:hyperlink>
    </w:p>
    <w:p w14:paraId="5902C3CC" w14:textId="77777777" w:rsidR="00A541B4" w:rsidRDefault="00A541B4" w:rsidP="00A541B4">
      <w:pPr>
        <w:spacing w:line="240" w:lineRule="auto"/>
        <w:jc w:val="both"/>
      </w:pPr>
      <w:r>
        <w:t>National Bureau of Statistics (2021). General Household Survey, Panel 2018-2019, Wave 4 Nigeria, 2018 – 2019. [cited 2021 Aug 5]. Available from:  https://microdata.worldbank.org/index.php/catalog/3557</w:t>
      </w:r>
    </w:p>
    <w:p w14:paraId="5A1E603E" w14:textId="77777777" w:rsidR="00A541B4" w:rsidRDefault="00A541B4" w:rsidP="00A541B4">
      <w:pPr>
        <w:spacing w:line="240" w:lineRule="auto"/>
        <w:jc w:val="both"/>
      </w:pPr>
      <w:r>
        <w:t>African Development Bank, ‘African Development Bank Flagship Reports’ 2019. [cited 2021 Aug 5]. Available from: https://www.afdb.org/en/documents/african-development-bank-publications-catalogueseptember-2019</w:t>
      </w:r>
    </w:p>
    <w:p w14:paraId="5A5F2362" w14:textId="77777777" w:rsidR="00A541B4" w:rsidRDefault="00A541B4" w:rsidP="00A541B4">
      <w:pPr>
        <w:spacing w:line="240" w:lineRule="auto"/>
        <w:jc w:val="both"/>
      </w:pPr>
      <w:r>
        <w:t xml:space="preserve">Ajani EN, Onwubuya EA, Mgbenka RN. Approaches to Economic Empowerment of Rural Women for Climate Change Mitigation and Adaptation: Implications for Policy 2013. Journal of Agricultural Extension. [cited 2021 Aug 5]. Available from: </w:t>
      </w:r>
      <w:hyperlink r:id="rId68" w:history="1">
        <w:r>
          <w:rPr>
            <w:rStyle w:val="Hyperlink"/>
            <w:rFonts w:ascii="Arial" w:hAnsi="Arial" w:cs="Arial"/>
            <w:sz w:val="21"/>
            <w:szCs w:val="21"/>
            <w:shd w:val="clear" w:color="auto" w:fill="FFFFFF"/>
          </w:rPr>
          <w:t>10.4314/jae.v17i1.3</w:t>
        </w:r>
      </w:hyperlink>
    </w:p>
    <w:p w14:paraId="0EDD3FEB" w14:textId="77777777" w:rsidR="00A541B4" w:rsidRDefault="00A541B4" w:rsidP="00A541B4">
      <w:pPr>
        <w:spacing w:line="240" w:lineRule="auto"/>
        <w:jc w:val="both"/>
      </w:pPr>
      <w:r>
        <w:t xml:space="preserve">Department of Climate Change Federal Ministry of Environment. [cited 2021 Aug 5]. Available from: </w:t>
      </w:r>
      <w:hyperlink r:id="rId69" w:history="1">
        <w:r w:rsidRPr="00BD52A7">
          <w:rPr>
            <w:rStyle w:val="Hyperlink"/>
          </w:rPr>
          <w:t>www.climatechange.gov.org</w:t>
        </w:r>
      </w:hyperlink>
    </w:p>
    <w:p w14:paraId="58E9E1A0" w14:textId="77777777" w:rsidR="00A541B4" w:rsidRDefault="00A541B4" w:rsidP="00A541B4">
      <w:pPr>
        <w:spacing w:line="240" w:lineRule="auto"/>
        <w:jc w:val="both"/>
      </w:pPr>
      <w:r w:rsidRPr="00ED787A">
        <w:t>Lagos Special People’s Law, 2011</w:t>
      </w:r>
      <w:r>
        <w:t xml:space="preserve">. [cited 2021 Aug 5]. Available from: </w:t>
      </w:r>
      <w:hyperlink r:id="rId70" w:anchor=":~:text=LAGOS%20STATE%20SPECIAL%20PEOPLES%27%20LAW,SOCIETY%20AND%20FOR%20CONNECTED%20PURPOSES." w:history="1">
        <w:r>
          <w:rPr>
            <w:rStyle w:val="Hyperlink"/>
          </w:rPr>
          <w:t>SPECIAL PEOPLE’S LAW OF LAGOS STATE – LawNigeria</w:t>
        </w:r>
      </w:hyperlink>
    </w:p>
    <w:p w14:paraId="1F81AD5D" w14:textId="77777777" w:rsidR="00A541B4" w:rsidRDefault="00A541B4" w:rsidP="00A541B4">
      <w:pPr>
        <w:spacing w:line="240" w:lineRule="auto"/>
        <w:jc w:val="both"/>
      </w:pPr>
      <w:r>
        <w:t>UNHCR (2020). Nigeria emergency. [cited 2021 Aug 5]. Available from:  https://www.unhcr.org/nigeria-emergency.html</w:t>
      </w:r>
    </w:p>
    <w:p w14:paraId="4CE49463" w14:textId="77777777" w:rsidR="00A541B4" w:rsidRDefault="00A541B4" w:rsidP="00A541B4">
      <w:pPr>
        <w:spacing w:line="240" w:lineRule="auto"/>
        <w:jc w:val="both"/>
      </w:pPr>
      <w:r>
        <w:lastRenderedPageBreak/>
        <w:t xml:space="preserve">Internal Displacement Monitoring Centre. North-east Nigeria: A massive internal displacement crisis 2020. [cited 2021 Aug 5]. Available from: </w:t>
      </w:r>
      <w:hyperlink r:id="rId71" w:history="1">
        <w:r w:rsidRPr="00BD52A7">
          <w:rPr>
            <w:rStyle w:val="Hyperlink"/>
          </w:rPr>
          <w:t>https://www.internal-displacement.org/features/nigeria-internal-displacement-crisis-conflict-floods</w:t>
        </w:r>
      </w:hyperlink>
    </w:p>
    <w:p w14:paraId="781D7E5E" w14:textId="77777777" w:rsidR="00A541B4" w:rsidRDefault="00A541B4" w:rsidP="00A541B4">
      <w:pPr>
        <w:spacing w:line="240" w:lineRule="auto"/>
        <w:jc w:val="both"/>
      </w:pPr>
      <w:r>
        <w:t xml:space="preserve">Katherine Gambir. Displaced Women and Girls in Borno State, Nigeria, Need Life-Saving Contraceptive Services, Now. 2020. [cited 2021 Aug 5]. Available from:   </w:t>
      </w:r>
      <w:hyperlink r:id="rId72" w:history="1">
        <w:r w:rsidRPr="00A5723B">
          <w:rPr>
            <w:rStyle w:val="Hyperlink"/>
          </w:rPr>
          <w:t>https://reliefweb.int/report/nigeria/displaced-women-and-girls-borno-state-nigeria-need-life-saving-contraceptive-services</w:t>
        </w:r>
      </w:hyperlink>
    </w:p>
    <w:p w14:paraId="1E85C546" w14:textId="77777777" w:rsidR="00A541B4" w:rsidRDefault="00A541B4" w:rsidP="00A541B4">
      <w:pPr>
        <w:spacing w:line="240" w:lineRule="auto"/>
      </w:pPr>
      <w:r>
        <w:t>UNHCR in Nigeria Factsheet June 2021. [cited 2021 Aug 27]. Available from:  https://data2.unhcr.org/en/documents/details/88182</w:t>
      </w:r>
    </w:p>
    <w:p w14:paraId="0CEDE247" w14:textId="77777777" w:rsidR="00A541B4" w:rsidRDefault="00A541B4" w:rsidP="00A541B4">
      <w:pPr>
        <w:spacing w:line="240" w:lineRule="auto"/>
      </w:pPr>
      <w:r>
        <w:t>Haruna A. SPECIAL REPORT: How Boko Haram-displaced women, girls are sexually abused at IDP camps 2020. [Internet] [cited 2021 Aug 27]. Available from: https://www.premiumtimesng.com/news/headlines/407902-special-report-how-boko-haram-displaced-women-girls-are-sexually-abused-at-idp-camps-1.html</w:t>
      </w:r>
    </w:p>
    <w:p w14:paraId="1D0E7B16" w14:textId="77777777" w:rsidR="00A541B4" w:rsidRDefault="00A541B4" w:rsidP="00A541B4">
      <w:pPr>
        <w:spacing w:line="240" w:lineRule="auto"/>
      </w:pPr>
      <w:r>
        <w:t>Ojengbede, O., Babawarun, T., Olayiwola, O., Ogun, M., Kongnyuy, E., Adorin, O. Sexual and gender-based violence in camps for internally displaced people and host communities in northeast Nigeria: A mixed methods study 2019. The Lancet Global Health, 7, S6. [cited 2021 Aug 27]. Available from:  https://doi.org/10.1016/S2214-109X(19)30091-9</w:t>
      </w:r>
    </w:p>
    <w:p w14:paraId="4F94C4CC" w14:textId="77777777" w:rsidR="00A541B4" w:rsidRDefault="00A541B4" w:rsidP="00A541B4">
      <w:pPr>
        <w:spacing w:line="240" w:lineRule="auto"/>
      </w:pPr>
      <w:r>
        <w:t>Adejumo OA., Ntoimo L., Odimayo MS., Adebimpe WO., Okiei B., Osungbemiro W, Olajuyigbe E, Igbafe K, Temitayo-Oboh A, Faboya T, Oludiran O, Okonofua FE. Experience of Gender-based Violence by Internally Displaced Women in Southern Nigeria: A Cross-sectional Study.</w:t>
      </w:r>
      <w:r w:rsidRPr="00146992">
        <w:t xml:space="preserve"> </w:t>
      </w:r>
      <w:r>
        <w:t xml:space="preserve">[cited 2021 Aug 27]. Available from: </w:t>
      </w:r>
      <w:hyperlink r:id="rId73" w:history="1">
        <w:r w:rsidRPr="00A5723B">
          <w:rPr>
            <w:rStyle w:val="Hyperlink"/>
          </w:rPr>
          <w:t>https://doi.org/10.1177%2F08862605211001464</w:t>
        </w:r>
      </w:hyperlink>
      <w:r>
        <w:t xml:space="preserve"> </w:t>
      </w:r>
    </w:p>
    <w:p w14:paraId="194E9CBB" w14:textId="77777777" w:rsidR="00A541B4" w:rsidRDefault="00A541B4" w:rsidP="00A541B4">
      <w:pPr>
        <w:spacing w:line="240" w:lineRule="auto"/>
      </w:pPr>
      <w:r>
        <w:t xml:space="preserve">Ekezie W, Timmons S, Myles P, Siebert P, Bains M, Pritchard C. An audit of healthcare provision in internally displaced population camps in Nigeria. J Public Health (Oxf) 2019.[cited 2021 Aug 27]. Available from: </w:t>
      </w:r>
      <w:r w:rsidRPr="00E00987">
        <w:t>https://pubmed.ncbi.nlm.nih.gov/30137460/</w:t>
      </w:r>
    </w:p>
    <w:p w14:paraId="77DF6482" w14:textId="77777777" w:rsidR="00A541B4" w:rsidRDefault="00A541B4" w:rsidP="00A541B4">
      <w:pPr>
        <w:spacing w:line="240" w:lineRule="auto"/>
      </w:pPr>
      <w:r>
        <w:t xml:space="preserve">Amodu OC, Salami BO, Richter S, Okeke-Ihejirika P. Reproductive healthcare for women in IDP camps in Nigeria: An analysis of structural gaps. Glob Public Health. 2021.[cited 2021 Aug 27]. Available from: </w:t>
      </w:r>
      <w:r w:rsidRPr="00E00987">
        <w:t>https://www.tandfonline.com/doi/abs/10.1080/17441692.2020.1810296</w:t>
      </w:r>
    </w:p>
    <w:p w14:paraId="501FC05E" w14:textId="77777777" w:rsidR="00A541B4" w:rsidRDefault="00A541B4" w:rsidP="00A541B4">
      <w:pPr>
        <w:spacing w:line="240" w:lineRule="auto"/>
      </w:pPr>
      <w:r>
        <w:t xml:space="preserve">Water Supply and Sanitation Collaborative Council (2020). Providing menstrual hygiene support to women and girls living in IDP camps.[cited 2021 Aug 27]. Available from:   </w:t>
      </w:r>
      <w:hyperlink r:id="rId74" w:history="1">
        <w:r w:rsidRPr="00A5723B">
          <w:rPr>
            <w:rStyle w:val="Hyperlink"/>
          </w:rPr>
          <w:t>https://reliefweb.int/report/nigeria/providing-menstrual-hygiene-support-women-and-girls-living-idp-camps</w:t>
        </w:r>
      </w:hyperlink>
    </w:p>
    <w:p w14:paraId="6D23BAC6" w14:textId="77777777" w:rsidR="00A541B4" w:rsidRDefault="00A541B4" w:rsidP="00A541B4">
      <w:pPr>
        <w:spacing w:line="240" w:lineRule="auto"/>
      </w:pPr>
      <w:r>
        <w:t>Women’s Media Centre (2021). Sexual Abuse Thrives in Nigeria’s IDP Camps with No Recourse for Victims. [cited 2021 Aug 27]. Available from:  https://reliefweb.int/report/nigeria/sexual-abuse-thrives-nigeria-s-idp-camps-no-recourse-victims</w:t>
      </w:r>
    </w:p>
    <w:p w14:paraId="0EC13BF6" w14:textId="77777777" w:rsidR="00A541B4" w:rsidRDefault="00A541B4" w:rsidP="00A541B4">
      <w:pPr>
        <w:spacing w:line="240" w:lineRule="auto"/>
      </w:pPr>
      <w:r>
        <w:t>Human Rights Watch (2016) Nigeria: Officials Abusing Displaced Women, Girls. [cited 2021 Aug 27]. Available from: https://www.hrw.org/news/2016/10/31/nigeria-officials-abusing-displaced-women-girls</w:t>
      </w:r>
    </w:p>
    <w:p w14:paraId="262613ED" w14:textId="77777777" w:rsidR="00A541B4" w:rsidRDefault="00A541B4" w:rsidP="00A541B4">
      <w:pPr>
        <w:spacing w:line="240" w:lineRule="auto"/>
      </w:pPr>
      <w:r>
        <w:t>Women’s Media Centre (2021). Sexual Abuse Thrives in Nigeria’s IDP Camps with No Recourse for Victims. [cited 2021 Aug 27]. Available from: https://reliefweb.int/report/nigeria/sexual-abuse-thrives-nigeria-s-idp-camps-no-recourse-victims</w:t>
      </w:r>
    </w:p>
    <w:p w14:paraId="1DD7307C" w14:textId="77777777" w:rsidR="00A541B4" w:rsidRDefault="00A541B4" w:rsidP="00A541B4">
      <w:pPr>
        <w:spacing w:line="240" w:lineRule="auto"/>
      </w:pPr>
      <w:r>
        <w:t xml:space="preserve">Oladeji O., Oladeji B., Chamla D., Safiyanu G., Mele S., Mshelia H., Agbor J. Sexual Violence–Related Pregnancy Among Internally Displaced Women in an Internally Displaced Persons Camp in Northeast Nigeria. Journal of Interpersonal Violence. 2018. [cited 2021 Aug 27]. Available from: </w:t>
      </w:r>
      <w:r w:rsidRPr="00A541B4">
        <w:t>https://pubmed.ncbi.nlm.nih.gov/30095013/</w:t>
      </w:r>
    </w:p>
    <w:p w14:paraId="636BC02A" w14:textId="77777777" w:rsidR="00A541B4" w:rsidRDefault="00A541B4" w:rsidP="00A541B4">
      <w:pPr>
        <w:spacing w:line="240" w:lineRule="auto"/>
      </w:pPr>
      <w:r>
        <w:lastRenderedPageBreak/>
        <w:t>Katherine G. Displaced Women and Girls in Borno State, Nigeria, Need Life-Saving Contraceptive Services, Now. 2020. [cited 2021 Aug 27]. Available from: https://reliefweb.int/report/nigeria/displaced-women-and-girls-borno-state-nigeria-need-life-saving-contraceptive-services</w:t>
      </w:r>
    </w:p>
    <w:p w14:paraId="37B7F129" w14:textId="77777777" w:rsidR="00A541B4" w:rsidRDefault="00A541B4" w:rsidP="00A541B4">
      <w:pPr>
        <w:spacing w:line="240" w:lineRule="auto"/>
      </w:pPr>
      <w:r>
        <w:t xml:space="preserve">Okanlawon, K., Reeves, M., &amp; Agbaje, O. Contraceptive Use: Knowledge, Perceptions and Attitudes of Refugee Youths in Oru Refugee Camp, Nigeria. </w:t>
      </w:r>
      <w:r w:rsidRPr="006D6A0C">
        <w:rPr>
          <w:lang w:val="fr-BE"/>
        </w:rPr>
        <w:t xml:space="preserve">African Journal of Reproductive Health / La Revue Africaine De La Santé Reproductive, 14(4), 16-25 2020. </w:t>
      </w:r>
      <w:r>
        <w:t xml:space="preserve">[cited 2021 Aug 27]. Available from: </w:t>
      </w:r>
      <w:hyperlink r:id="rId75" w:history="1">
        <w:r w:rsidRPr="00A5723B">
          <w:rPr>
            <w:rStyle w:val="Hyperlink"/>
          </w:rPr>
          <w:t>http://www.jstor.org/stable/41329750</w:t>
        </w:r>
      </w:hyperlink>
    </w:p>
    <w:p w14:paraId="26AB8CEF" w14:textId="77777777" w:rsidR="00A541B4" w:rsidRDefault="00A541B4" w:rsidP="00A541B4">
      <w:pPr>
        <w:spacing w:line="240" w:lineRule="auto"/>
      </w:pPr>
      <w:r w:rsidRPr="002126FA">
        <w:t>National Policy on Internally Displaced Persons (IDPs) in Nigeria</w:t>
      </w:r>
      <w:r>
        <w:t xml:space="preserve">. 2012 [cited 2021 Aug 27]. Available from: </w:t>
      </w:r>
      <w:hyperlink r:id="rId76" w:history="1">
        <w:r w:rsidRPr="00A5723B">
          <w:rPr>
            <w:rStyle w:val="Hyperlink"/>
          </w:rPr>
          <w:t>https://www.refworld.org/pdfid/5a7ae2324.pdf</w:t>
        </w:r>
      </w:hyperlink>
    </w:p>
    <w:p w14:paraId="1E4A7AE7" w14:textId="77777777" w:rsidR="00A541B4" w:rsidRDefault="00A541B4" w:rsidP="00A541B4">
      <w:pPr>
        <w:spacing w:line="240" w:lineRule="auto"/>
      </w:pPr>
      <w:r w:rsidRPr="00354519">
        <w:t>Reuters (2020). A police raid, viral videos and the broken live</w:t>
      </w:r>
      <w:r>
        <w:t xml:space="preserve">s of Nigerian gay law suspects.[cited 2021 Aug 27]. Available from: </w:t>
      </w:r>
      <w:hyperlink r:id="rId77" w:history="1">
        <w:r w:rsidRPr="00354519">
          <w:rPr>
            <w:rStyle w:val="Hyperlink"/>
          </w:rPr>
          <w:t>https://www.reuters.com/article/us-nigeria-lgbt-widerimage-idUSKCN20I105</w:t>
        </w:r>
      </w:hyperlink>
    </w:p>
    <w:p w14:paraId="2A59ADBC" w14:textId="77777777" w:rsidR="00A541B4" w:rsidRDefault="00A541B4" w:rsidP="00A541B4">
      <w:pPr>
        <w:spacing w:line="240" w:lineRule="auto"/>
        <w:jc w:val="both"/>
      </w:pPr>
      <w:r>
        <w:t>IOM 2019. International Organization for Migration (IOM)  North-East Nigeria Update January – June 2019. [cited 2021 Aug 5]. Available from: https://www.iom.int/sites/default/files/situation_reports/file/iom_northeast_nigeria_update_jan_to_jun_2019.pdf</w:t>
      </w:r>
    </w:p>
    <w:p w14:paraId="4D6AD984" w14:textId="77777777" w:rsidR="00A541B4" w:rsidRDefault="00A541B4" w:rsidP="00A541B4">
      <w:pPr>
        <w:spacing w:line="240" w:lineRule="auto"/>
        <w:jc w:val="both"/>
      </w:pPr>
      <w:r>
        <w:t xml:space="preserve">Reuters. A police raid, viral videos and the broken lives of Nigerian gay law suspects. 2020. [Internet] [cited 2021 Aug 5]. Available from:  </w:t>
      </w:r>
      <w:hyperlink r:id="rId78" w:history="1">
        <w:r w:rsidRPr="00BD52A7">
          <w:rPr>
            <w:rStyle w:val="Hyperlink"/>
          </w:rPr>
          <w:t>https://www.reuters.com/article/us-nigeria-lgbt-widerimage-idUSKCN20I105</w:t>
        </w:r>
      </w:hyperlink>
    </w:p>
    <w:p w14:paraId="17277D17" w14:textId="77777777" w:rsidR="00A541B4" w:rsidRDefault="00A541B4" w:rsidP="00A541B4">
      <w:pPr>
        <w:spacing w:line="240" w:lineRule="auto"/>
        <w:jc w:val="both"/>
      </w:pPr>
      <w:r>
        <w:t>Adejoke Adeboyejo. COVID-19’s Impact on Educational Inequality in Lagos State, Nigeria | COVID-19 Africa Watch [Internet]. [cited 2021 Aug 26]. Available from: https://covid19africawatch.org/pandemic-impacts-on-educational-inequality-in-lagos-state-nigeria/</w:t>
      </w:r>
    </w:p>
    <w:p w14:paraId="60F6908E" w14:textId="77777777" w:rsidR="00A541B4" w:rsidRDefault="00A541B4" w:rsidP="00A541B4">
      <w:pPr>
        <w:spacing w:line="240" w:lineRule="auto"/>
        <w:jc w:val="both"/>
      </w:pPr>
      <w:r>
        <w:t xml:space="preserve">Musa SS, Odey GO, Musa MK, Alhaj SM, Sunday BA, Muhammad SM, et al. Early marriage and teenage pregnancy: The unspoken consequences of COVID-19 pandemic in Nigeria. Public Heal Pract. 2021 Nov 1;2:100152. </w:t>
      </w:r>
    </w:p>
    <w:p w14:paraId="6E147013" w14:textId="77777777" w:rsidR="00A541B4" w:rsidRDefault="00A541B4" w:rsidP="00A541B4">
      <w:pPr>
        <w:spacing w:line="240" w:lineRule="auto"/>
        <w:jc w:val="both"/>
      </w:pPr>
      <w:r>
        <w:t xml:space="preserve">ADDING IT UP: Investing in Contraception and Maternal and Newborn Health in Nigeria, 2018. [cited 2021 Aug 26]. Available from: </w:t>
      </w:r>
      <w:r w:rsidRPr="00A541B4">
        <w:t>https://www.familyplanning2020.org/resources/adding-it-investing-contraception-and-maternal-and-newborn-health-ouagadougou-partnership</w:t>
      </w:r>
      <w:r>
        <w:t xml:space="preserve"> </w:t>
      </w:r>
    </w:p>
    <w:p w14:paraId="211C7699" w14:textId="77777777" w:rsidR="00A541B4" w:rsidRDefault="00A541B4" w:rsidP="00A541B4">
      <w:pPr>
        <w:spacing w:line="240" w:lineRule="auto"/>
        <w:jc w:val="both"/>
      </w:pPr>
      <w:r>
        <w:t>Total Fertility Rate in Nigeria Decreases Slightly as the Contraceptive Prevalence Rate Increases | JHU - Advance Family Planning [Internet]. [cited 2021 Aug 26]. Available from: https://www.advancefamilyplanning.org/total-fertility-rate-nigeria-decreases-slightly-contraceptive-prevalence-rate-increases</w:t>
      </w:r>
    </w:p>
    <w:p w14:paraId="5BFEA26C" w14:textId="77777777" w:rsidR="00A541B4" w:rsidRDefault="00A541B4" w:rsidP="00A541B4">
      <w:pPr>
        <w:spacing w:line="240" w:lineRule="auto"/>
        <w:jc w:val="both"/>
      </w:pPr>
      <w:r>
        <w:t>Nigeria Education Sector COVID19 Response Strategy in North East. 2020 [cited 2021 Aug 26]; Available from: https://reporthub.org/desk/#/cluster/login</w:t>
      </w:r>
    </w:p>
    <w:p w14:paraId="52A9F714" w14:textId="77777777" w:rsidR="00A541B4" w:rsidRDefault="00A541B4" w:rsidP="00A541B4">
      <w:pPr>
        <w:spacing w:line="240" w:lineRule="auto"/>
        <w:jc w:val="both"/>
      </w:pPr>
      <w:r>
        <w:t>COVID-19: FG launches free e-learning portals for students [Internet]. [cited 2021 Aug 26]. Available from: https://www.premiumtimesng.com/coronavirus/389775-covid-19-fg-launches-free-e-learning-portals-for-students.html</w:t>
      </w:r>
    </w:p>
    <w:p w14:paraId="5D789F0B" w14:textId="77777777" w:rsidR="00A541B4" w:rsidRDefault="00A541B4" w:rsidP="00A541B4">
      <w:pPr>
        <w:spacing w:line="240" w:lineRule="auto"/>
        <w:jc w:val="both"/>
      </w:pPr>
      <w:r>
        <w:t>In focus: Women and the Sustainable Development Goals (SDGs): SDG 5: Gender equality | UN Women – Headquarters [Internet]. [cited 2021 Aug 26]. Available from: https://www.unwomen.org/en/news/in-focus/women-and-the-sdgs/sdg-5-gender-equality</w:t>
      </w:r>
    </w:p>
    <w:p w14:paraId="777A4E99" w14:textId="77777777" w:rsidR="00A541B4" w:rsidRDefault="00A541B4" w:rsidP="00A541B4">
      <w:pPr>
        <w:spacing w:line="240" w:lineRule="auto"/>
        <w:jc w:val="both"/>
      </w:pPr>
      <w:r>
        <w:t>Africa Internet Users, 2021 Population and Facebook Statistics [Internet]. [cited 2021 Aug 26]. Available from: https://www.internetworldstats.com/stats1.htm</w:t>
      </w:r>
    </w:p>
    <w:p w14:paraId="2A26291D" w14:textId="77777777" w:rsidR="00A541B4" w:rsidRDefault="00A541B4" w:rsidP="00A541B4">
      <w:pPr>
        <w:spacing w:line="240" w:lineRule="auto"/>
        <w:jc w:val="both"/>
      </w:pPr>
      <w:r>
        <w:lastRenderedPageBreak/>
        <w:t>The Mobile Gender Gap Report 2020. [cited 2021 Aug 26]; Available from: www.gsma.com/r/gender-gap</w:t>
      </w:r>
    </w:p>
    <w:p w14:paraId="1503F5CF" w14:textId="77777777" w:rsidR="00A541B4" w:rsidRDefault="00A541B4" w:rsidP="00A541B4">
      <w:pPr>
        <w:spacing w:line="240" w:lineRule="auto"/>
        <w:jc w:val="both"/>
      </w:pPr>
      <w:r>
        <w:t>Ya’u YZ, Aliyu MA. Internet for Men? The Digital Marginalisation of Women in Northern Nigeria, 2017. [cited 2021 Aug 26]; Available from: www.citad.org</w:t>
      </w:r>
    </w:p>
    <w:p w14:paraId="53F9C97C" w14:textId="77777777" w:rsidR="00A541B4" w:rsidRDefault="00A541B4" w:rsidP="00A541B4">
      <w:pPr>
        <w:spacing w:line="240" w:lineRule="auto"/>
        <w:jc w:val="both"/>
      </w:pPr>
      <w:r>
        <w:t>The Gender Gap – Women’s Technology Empowerment Centre – W.TEC [Internet]. [cited 2021 Aug 26]. Available from: https://wtec.org.ng/the-gender-gap/</w:t>
      </w:r>
    </w:p>
    <w:p w14:paraId="30B3783C" w14:textId="77777777" w:rsidR="00A541B4" w:rsidRDefault="00A541B4" w:rsidP="00A541B4">
      <w:pPr>
        <w:spacing w:line="240" w:lineRule="auto"/>
        <w:jc w:val="both"/>
      </w:pPr>
      <w:r>
        <w:t xml:space="preserve">Makinde OA, Abdulaziz B, Okunlola DA, Olufemi O. Gender-based violence in a male-dominated industry: Identifying and responding to challenges in Nigeria’s Information and Communications Technology sector. 2021; [cited 2021 Aug 26]; Available from:  </w:t>
      </w:r>
      <w:r w:rsidRPr="009611EA">
        <w:t>https://www.alignplatform.org/sites/default/files/2021-06/vhdo_report_final.pdf</w:t>
      </w:r>
    </w:p>
    <w:p w14:paraId="701855A2" w14:textId="77777777" w:rsidR="00A541B4" w:rsidRDefault="00A541B4" w:rsidP="00A541B4">
      <w:pPr>
        <w:spacing w:line="240" w:lineRule="auto"/>
        <w:jc w:val="both"/>
      </w:pPr>
      <w:r w:rsidRPr="006D6A0C">
        <w:rPr>
          <w:lang w:val="fr-BE"/>
        </w:rPr>
        <w:t xml:space="preserve">Pham-Duc B, Sylvestre F, Papa F, Frappart F, Bouchez C, Crétaux J-F. </w:t>
      </w:r>
      <w:r>
        <w:t xml:space="preserve">The Lake Chad hydrology under current climate change. Sci Reports 2020 101. [cited 2021 Aug 26];10(1):1–10. Available from: </w:t>
      </w:r>
      <w:hyperlink r:id="rId79" w:history="1">
        <w:r w:rsidRPr="00BD52A7">
          <w:rPr>
            <w:rStyle w:val="Hyperlink"/>
          </w:rPr>
          <w:t>https://www.nature.com/articles/s41598-020-62417-w</w:t>
        </w:r>
      </w:hyperlink>
    </w:p>
    <w:p w14:paraId="709A1EC3" w14:textId="77777777" w:rsidR="00A541B4" w:rsidRDefault="00A541B4" w:rsidP="00A541B4">
      <w:pPr>
        <w:spacing w:line="240" w:lineRule="auto"/>
        <w:jc w:val="both"/>
      </w:pPr>
    </w:p>
    <w:p w14:paraId="639B02DE" w14:textId="77777777" w:rsidR="00A541B4" w:rsidRDefault="00A541B4" w:rsidP="00A541B4">
      <w:pPr>
        <w:spacing w:line="240" w:lineRule="auto"/>
        <w:jc w:val="both"/>
      </w:pPr>
    </w:p>
    <w:p w14:paraId="4CC9EB5E" w14:textId="77777777" w:rsidR="00A541B4" w:rsidRDefault="00A541B4" w:rsidP="00A541B4">
      <w:pPr>
        <w:spacing w:line="240" w:lineRule="auto"/>
        <w:jc w:val="both"/>
        <w:rPr>
          <w:b/>
        </w:rPr>
      </w:pPr>
      <w:r>
        <w:rPr>
          <w:b/>
        </w:rPr>
        <w:t>Cases</w:t>
      </w:r>
    </w:p>
    <w:p w14:paraId="7957647D" w14:textId="77777777" w:rsidR="00A541B4" w:rsidRDefault="00A541B4" w:rsidP="00A541B4">
      <w:pPr>
        <w:spacing w:line="240" w:lineRule="auto"/>
        <w:jc w:val="both"/>
      </w:pPr>
      <w:r>
        <w:t>Ukeje v Ukeje (2014) 11 NWLR 384. [cited 2021 Aug 4]</w:t>
      </w:r>
    </w:p>
    <w:p w14:paraId="28B70C78" w14:textId="77777777" w:rsidR="00A541B4" w:rsidRDefault="00A541B4" w:rsidP="00A541B4">
      <w:pPr>
        <w:spacing w:line="240" w:lineRule="auto"/>
        <w:jc w:val="both"/>
      </w:pPr>
      <w:r>
        <w:t>Mojekwu v Mojekwu [1997] 7 NWLR 283. [cited 2021 Aug 4]</w:t>
      </w:r>
    </w:p>
    <w:p w14:paraId="11661137" w14:textId="77777777" w:rsidR="00A541B4" w:rsidRDefault="00A541B4" w:rsidP="00A541B4">
      <w:pPr>
        <w:spacing w:line="240" w:lineRule="auto"/>
        <w:jc w:val="both"/>
      </w:pPr>
      <w:r>
        <w:t>Mojekwu v Ejikeme, (2000) 5 NWLR 402. [cited 2021 Aug 4]</w:t>
      </w:r>
    </w:p>
    <w:p w14:paraId="13AF389C" w14:textId="77777777" w:rsidR="00A541B4" w:rsidRDefault="00A541B4" w:rsidP="00A541B4">
      <w:pPr>
        <w:spacing w:line="240" w:lineRule="auto"/>
        <w:jc w:val="both"/>
      </w:pPr>
      <w:r>
        <w:t>Anekwe v Nweke (2014) 9 NWLR (PT 1412) 393. [cited 2021 Aug 4]</w:t>
      </w:r>
    </w:p>
    <w:p w14:paraId="441B730B" w14:textId="77777777" w:rsidR="00A541B4" w:rsidRDefault="00A541B4" w:rsidP="00A541B4">
      <w:pPr>
        <w:spacing w:line="240" w:lineRule="auto"/>
        <w:jc w:val="both"/>
      </w:pPr>
      <w:r>
        <w:t>Yetunde Tolani v Kwara State Judicial Service Commission &amp; Ors (2009) LPELR CA/IL/2/2008</w:t>
      </w:r>
    </w:p>
    <w:p w14:paraId="6C193394" w14:textId="77777777" w:rsidR="00A541B4" w:rsidRDefault="00A541B4" w:rsidP="00A541B4">
      <w:pPr>
        <w:spacing w:line="240" w:lineRule="auto"/>
        <w:jc w:val="both"/>
      </w:pPr>
      <w:r w:rsidRPr="00F118E0">
        <w:rPr>
          <w:highlight w:val="yellow"/>
        </w:rPr>
        <w:t>Dr Priye Iyalla-Amadi v. Comptroller- General, Nigerian Immigration Services and Another. Suit No FHC/PH/CS/198/2008 (Unreported) (Judgement delivered by Justice G. K. Olotu on June 15, 2009)</w:t>
      </w:r>
    </w:p>
    <w:p w14:paraId="1DDC92A7" w14:textId="77777777" w:rsidR="00A541B4" w:rsidRDefault="00A541B4" w:rsidP="00A541B4">
      <w:pPr>
        <w:spacing w:line="240" w:lineRule="auto"/>
        <w:jc w:val="both"/>
      </w:pPr>
    </w:p>
    <w:p w14:paraId="31F2DB13" w14:textId="77777777" w:rsidR="00302B11" w:rsidRDefault="00302B11" w:rsidP="00D109B3">
      <w:pPr>
        <w:pStyle w:val="ListParagraph"/>
        <w:spacing w:line="240" w:lineRule="auto"/>
        <w:jc w:val="both"/>
        <w:rPr>
          <w:sz w:val="24"/>
          <w:szCs w:val="24"/>
          <w:lang w:val="en-US"/>
        </w:rPr>
      </w:pPr>
    </w:p>
    <w:p w14:paraId="4CCB298A" w14:textId="77777777" w:rsidR="00302B11" w:rsidRDefault="00302B11" w:rsidP="00D109B3">
      <w:pPr>
        <w:pStyle w:val="ListParagraph"/>
        <w:spacing w:line="240" w:lineRule="auto"/>
        <w:jc w:val="both"/>
        <w:rPr>
          <w:sz w:val="24"/>
          <w:szCs w:val="24"/>
          <w:lang w:val="en-US"/>
        </w:rPr>
      </w:pPr>
    </w:p>
    <w:p w14:paraId="29057178" w14:textId="77777777" w:rsidR="00302B11" w:rsidRDefault="00302B11" w:rsidP="00D109B3">
      <w:pPr>
        <w:pStyle w:val="ListParagraph"/>
        <w:spacing w:line="240" w:lineRule="auto"/>
        <w:jc w:val="both"/>
        <w:rPr>
          <w:sz w:val="24"/>
          <w:szCs w:val="24"/>
          <w:lang w:val="en-US"/>
        </w:rPr>
      </w:pPr>
    </w:p>
    <w:p w14:paraId="50DED65E" w14:textId="77777777" w:rsidR="00302B11" w:rsidRDefault="00302B11" w:rsidP="00D109B3">
      <w:pPr>
        <w:pStyle w:val="ListParagraph"/>
        <w:spacing w:line="240" w:lineRule="auto"/>
        <w:jc w:val="both"/>
        <w:rPr>
          <w:sz w:val="24"/>
          <w:szCs w:val="24"/>
          <w:lang w:val="en-US"/>
        </w:rPr>
      </w:pPr>
    </w:p>
    <w:p w14:paraId="0FD2C2D2" w14:textId="77777777" w:rsidR="00302B11" w:rsidRDefault="00302B11" w:rsidP="00D109B3">
      <w:pPr>
        <w:pStyle w:val="ListParagraph"/>
        <w:spacing w:line="240" w:lineRule="auto"/>
        <w:jc w:val="both"/>
        <w:rPr>
          <w:sz w:val="24"/>
          <w:szCs w:val="24"/>
          <w:lang w:val="en-US"/>
        </w:rPr>
      </w:pPr>
    </w:p>
    <w:p w14:paraId="2388B0A2" w14:textId="77777777" w:rsidR="00302B11" w:rsidRDefault="00302B11" w:rsidP="00D109B3">
      <w:pPr>
        <w:pStyle w:val="ListParagraph"/>
        <w:spacing w:line="240" w:lineRule="auto"/>
        <w:jc w:val="both"/>
        <w:rPr>
          <w:sz w:val="24"/>
          <w:szCs w:val="24"/>
          <w:lang w:val="en-US"/>
        </w:rPr>
      </w:pPr>
    </w:p>
    <w:p w14:paraId="4DECEF1F" w14:textId="77777777" w:rsidR="00302B11" w:rsidRDefault="00302B11" w:rsidP="00D109B3">
      <w:pPr>
        <w:pStyle w:val="ListParagraph"/>
        <w:spacing w:line="240" w:lineRule="auto"/>
        <w:jc w:val="both"/>
        <w:rPr>
          <w:sz w:val="24"/>
          <w:szCs w:val="24"/>
          <w:lang w:val="en-US"/>
        </w:rPr>
      </w:pPr>
    </w:p>
    <w:p w14:paraId="159E61EA" w14:textId="77777777" w:rsidR="00302B11" w:rsidRDefault="00302B11" w:rsidP="00D109B3">
      <w:pPr>
        <w:pStyle w:val="ListParagraph"/>
        <w:spacing w:line="240" w:lineRule="auto"/>
        <w:jc w:val="both"/>
        <w:rPr>
          <w:sz w:val="24"/>
          <w:szCs w:val="24"/>
          <w:lang w:val="en-US"/>
        </w:rPr>
      </w:pPr>
    </w:p>
    <w:p w14:paraId="781F05D4" w14:textId="77777777" w:rsidR="00302B11" w:rsidRDefault="00302B11" w:rsidP="00D109B3">
      <w:pPr>
        <w:pStyle w:val="ListParagraph"/>
        <w:spacing w:line="240" w:lineRule="auto"/>
        <w:jc w:val="both"/>
        <w:rPr>
          <w:sz w:val="24"/>
          <w:szCs w:val="24"/>
          <w:lang w:val="en-US"/>
        </w:rPr>
      </w:pPr>
    </w:p>
    <w:p w14:paraId="592F7C37" w14:textId="77777777" w:rsidR="00302B11" w:rsidRDefault="00302B11" w:rsidP="00D109B3">
      <w:pPr>
        <w:pStyle w:val="ListParagraph"/>
        <w:spacing w:line="240" w:lineRule="auto"/>
        <w:jc w:val="both"/>
        <w:rPr>
          <w:sz w:val="24"/>
          <w:szCs w:val="24"/>
          <w:lang w:val="en-US"/>
        </w:rPr>
      </w:pPr>
    </w:p>
    <w:p w14:paraId="0DBD40E5" w14:textId="77777777" w:rsidR="00681F77" w:rsidRDefault="00681F77" w:rsidP="00E75191">
      <w:pPr>
        <w:spacing w:line="240" w:lineRule="auto"/>
        <w:jc w:val="both"/>
      </w:pPr>
    </w:p>
    <w:p w14:paraId="306F4EC9" w14:textId="77777777" w:rsidR="00681F77" w:rsidRDefault="00681F77" w:rsidP="00E75191">
      <w:pPr>
        <w:spacing w:line="240" w:lineRule="auto"/>
        <w:jc w:val="both"/>
      </w:pPr>
    </w:p>
    <w:p w14:paraId="392E3456" w14:textId="77777777" w:rsidR="00404575" w:rsidRDefault="00404575" w:rsidP="00E75191">
      <w:pPr>
        <w:spacing w:line="240" w:lineRule="auto"/>
      </w:pPr>
    </w:p>
    <w:p w14:paraId="3C9A8D60" w14:textId="77777777" w:rsidR="00404575" w:rsidRDefault="00404575" w:rsidP="00E75191">
      <w:pPr>
        <w:spacing w:line="240" w:lineRule="auto"/>
      </w:pPr>
    </w:p>
    <w:p w14:paraId="102E7651" w14:textId="77777777" w:rsidR="00404575" w:rsidRDefault="00404575" w:rsidP="00E75191">
      <w:pPr>
        <w:spacing w:line="240" w:lineRule="auto"/>
      </w:pPr>
    </w:p>
    <w:p w14:paraId="617DBE1E" w14:textId="77777777" w:rsidR="00547F82" w:rsidRPr="009A4FD6" w:rsidRDefault="00547F82" w:rsidP="009A4FD6">
      <w:pPr>
        <w:pStyle w:val="Heading1"/>
      </w:pPr>
      <w:bookmarkStart w:id="56" w:name="_Toc81229105"/>
      <w:r w:rsidRPr="009A4FD6">
        <w:lastRenderedPageBreak/>
        <w:t>Methodology</w:t>
      </w:r>
      <w:bookmarkEnd w:id="56"/>
    </w:p>
    <w:p w14:paraId="2FF363AF" w14:textId="77777777" w:rsidR="00547F82" w:rsidRDefault="00547F82" w:rsidP="00E75191">
      <w:pPr>
        <w:spacing w:line="240" w:lineRule="auto"/>
        <w:jc w:val="both"/>
        <w:rPr>
          <w:sz w:val="24"/>
          <w:szCs w:val="24"/>
        </w:rPr>
      </w:pPr>
      <w:r>
        <w:rPr>
          <w:sz w:val="24"/>
          <w:szCs w:val="24"/>
        </w:rPr>
        <w:t xml:space="preserve">To achieve the objectives states above, </w:t>
      </w:r>
      <w:r w:rsidR="00681F77">
        <w:rPr>
          <w:sz w:val="24"/>
          <w:szCs w:val="24"/>
        </w:rPr>
        <w:t xml:space="preserve">the </w:t>
      </w:r>
      <w:r>
        <w:rPr>
          <w:sz w:val="24"/>
          <w:szCs w:val="24"/>
        </w:rPr>
        <w:t>study involve</w:t>
      </w:r>
      <w:r w:rsidR="00681F77">
        <w:rPr>
          <w:sz w:val="24"/>
          <w:szCs w:val="24"/>
        </w:rPr>
        <w:t>d</w:t>
      </w:r>
      <w:r>
        <w:rPr>
          <w:sz w:val="24"/>
          <w:szCs w:val="24"/>
        </w:rPr>
        <w:t xml:space="preserve"> a mix of quantitative and qualitative methods. </w:t>
      </w:r>
    </w:p>
    <w:p w14:paraId="274401CC" w14:textId="77777777" w:rsidR="00547F82" w:rsidRDefault="00547F82" w:rsidP="00E75191">
      <w:pPr>
        <w:pStyle w:val="Heading2"/>
        <w:spacing w:line="240" w:lineRule="auto"/>
        <w:jc w:val="both"/>
        <w:rPr>
          <w:sz w:val="24"/>
          <w:szCs w:val="24"/>
        </w:rPr>
      </w:pPr>
      <w:bookmarkStart w:id="57" w:name="_Toc74920925"/>
      <w:bookmarkStart w:id="58" w:name="_Toc81229106"/>
      <w:r>
        <w:rPr>
          <w:sz w:val="24"/>
          <w:szCs w:val="24"/>
        </w:rPr>
        <w:t>D</w:t>
      </w:r>
      <w:bookmarkEnd w:id="57"/>
      <w:r>
        <w:rPr>
          <w:sz w:val="24"/>
          <w:szCs w:val="24"/>
        </w:rPr>
        <w:t>esk Review</w:t>
      </w:r>
      <w:bookmarkEnd w:id="58"/>
    </w:p>
    <w:p w14:paraId="7705C50D" w14:textId="77777777" w:rsidR="00547F82" w:rsidRDefault="00547F82" w:rsidP="00E75191">
      <w:pPr>
        <w:spacing w:line="240" w:lineRule="auto"/>
        <w:jc w:val="both"/>
        <w:rPr>
          <w:sz w:val="24"/>
          <w:szCs w:val="24"/>
        </w:rPr>
      </w:pPr>
      <w:r>
        <w:rPr>
          <w:sz w:val="24"/>
          <w:szCs w:val="24"/>
        </w:rPr>
        <w:t xml:space="preserve">An extensive desk review of relevant legislation and policies and their impact on gender </w:t>
      </w:r>
      <w:r w:rsidR="00681F77">
        <w:rPr>
          <w:sz w:val="24"/>
          <w:szCs w:val="24"/>
        </w:rPr>
        <w:t>was</w:t>
      </w:r>
      <w:r>
        <w:rPr>
          <w:sz w:val="24"/>
          <w:szCs w:val="24"/>
        </w:rPr>
        <w:t xml:space="preserve"> conducted. The desk review shall seek to analyse and identify lapses in policy provisions, presence/absence of best practices in gender planning, feasibility of policies, strategies and action plans expressed in terms of indicators such resource allocation. The desk review shall include but will not be limited to the following documents itemized below</w:t>
      </w:r>
      <w:r>
        <w:rPr>
          <w:noProof/>
          <w:sz w:val="24"/>
          <w:szCs w:val="24"/>
          <w:lang w:val="en-IE" w:eastAsia="en-IE"/>
        </w:rPr>
        <w:drawing>
          <wp:inline distT="0" distB="0" distL="0" distR="0" wp14:anchorId="62A1C122" wp14:editId="727B3267">
            <wp:extent cx="5753100" cy="1895475"/>
            <wp:effectExtent l="19050" t="0" r="19050" b="9525"/>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0" r:lo="rId81" r:qs="rId82" r:cs="rId83"/>
              </a:graphicData>
            </a:graphic>
          </wp:inline>
        </w:drawing>
      </w:r>
    </w:p>
    <w:p w14:paraId="33656AAD" w14:textId="77777777" w:rsidR="00547F82" w:rsidRDefault="00547F82" w:rsidP="00E75191">
      <w:pPr>
        <w:spacing w:line="240" w:lineRule="auto"/>
        <w:jc w:val="both"/>
        <w:rPr>
          <w:sz w:val="24"/>
          <w:szCs w:val="24"/>
          <w:lang w:val="en-US"/>
        </w:rPr>
      </w:pPr>
      <w:r>
        <w:rPr>
          <w:sz w:val="24"/>
          <w:szCs w:val="24"/>
          <w:lang w:val="en-US"/>
        </w:rPr>
        <w:t>The desk review will be supplemented with findings from grey and academic literature such as Global Gender Gap Report, NBS Statistical Reports on Women and Men in Nigeria. The desk review will be supplemented with findings from grey and academic literature such as Global Gender Gap Report, NBS Statistical Reports on Women and Men in Nigeria. All documents to be examined using the following themes:</w:t>
      </w:r>
    </w:p>
    <w:p w14:paraId="54BA3880" w14:textId="77777777" w:rsidR="00547F82" w:rsidRDefault="00547F82" w:rsidP="00E75191">
      <w:pPr>
        <w:shd w:val="clear" w:color="auto" w:fill="BDD6EE" w:themeFill="accent1" w:themeFillTint="66"/>
        <w:spacing w:line="240" w:lineRule="auto"/>
        <w:jc w:val="both"/>
        <w:rPr>
          <w:sz w:val="24"/>
          <w:szCs w:val="24"/>
        </w:rPr>
      </w:pPr>
      <w:r>
        <w:rPr>
          <w:sz w:val="24"/>
          <w:szCs w:val="24"/>
        </w:rPr>
        <w:t>1. Poverty and Economic Inequality (Income disparities within populations, regions, gender gap, unemployment within populations, variation by gender etc.)</w:t>
      </w:r>
    </w:p>
    <w:p w14:paraId="0716758C" w14:textId="77777777" w:rsidR="00547F82" w:rsidRDefault="00547F82" w:rsidP="00E75191">
      <w:pPr>
        <w:shd w:val="clear" w:color="auto" w:fill="BDD6EE" w:themeFill="accent1" w:themeFillTint="66"/>
        <w:spacing w:line="240" w:lineRule="auto"/>
        <w:jc w:val="both"/>
        <w:rPr>
          <w:sz w:val="24"/>
          <w:szCs w:val="24"/>
        </w:rPr>
      </w:pPr>
      <w:r>
        <w:rPr>
          <w:sz w:val="24"/>
          <w:szCs w:val="24"/>
        </w:rPr>
        <w:t>2. Enterprise and Employment (Access to employment, distribution of formal and informal employment by gender (reasons), access to land and production input, business climate and effect on gender etc.)</w:t>
      </w:r>
    </w:p>
    <w:p w14:paraId="03A836AF" w14:textId="77777777" w:rsidR="00547F82" w:rsidRDefault="00547F82" w:rsidP="00E75191">
      <w:pPr>
        <w:shd w:val="clear" w:color="auto" w:fill="BDD6EE" w:themeFill="accent1" w:themeFillTint="66"/>
        <w:spacing w:line="240" w:lineRule="auto"/>
        <w:jc w:val="both"/>
        <w:rPr>
          <w:sz w:val="24"/>
          <w:szCs w:val="24"/>
        </w:rPr>
      </w:pPr>
      <w:r>
        <w:rPr>
          <w:sz w:val="24"/>
          <w:szCs w:val="24"/>
        </w:rPr>
        <w:t>3. Gender Based Violence (prevalence of sexual harassment and rape, changing climate of GBV (cyberbullying, workplace harassment), male engagement in GBV, circumcision)</w:t>
      </w:r>
    </w:p>
    <w:p w14:paraId="67467B3D" w14:textId="77777777" w:rsidR="00547F82" w:rsidRDefault="00547F82" w:rsidP="00E75191">
      <w:pPr>
        <w:shd w:val="clear" w:color="auto" w:fill="BDD6EE" w:themeFill="accent1" w:themeFillTint="66"/>
        <w:spacing w:line="240" w:lineRule="auto"/>
        <w:jc w:val="both"/>
        <w:rPr>
          <w:sz w:val="24"/>
          <w:szCs w:val="24"/>
        </w:rPr>
      </w:pPr>
      <w:r>
        <w:rPr>
          <w:sz w:val="24"/>
          <w:szCs w:val="24"/>
        </w:rPr>
        <w:t>4. Education and Health (maternal mortality, SRH indices, drivers for health outcomes, rate of school entry and drop out in the context of COVID-19 pandemic)</w:t>
      </w:r>
    </w:p>
    <w:p w14:paraId="15F2BEAF" w14:textId="77777777" w:rsidR="00547F82" w:rsidRDefault="00547F82" w:rsidP="00E75191">
      <w:pPr>
        <w:shd w:val="clear" w:color="auto" w:fill="BDD6EE" w:themeFill="accent1" w:themeFillTint="66"/>
        <w:spacing w:line="240" w:lineRule="auto"/>
        <w:jc w:val="both"/>
        <w:rPr>
          <w:sz w:val="24"/>
          <w:szCs w:val="24"/>
        </w:rPr>
      </w:pPr>
      <w:r>
        <w:rPr>
          <w:sz w:val="24"/>
          <w:szCs w:val="24"/>
        </w:rPr>
        <w:t>5. Political Participation (women in leadership, gender parity, attitude of private sector to fostering women leadership, commitment to achieving 35% etc.)</w:t>
      </w:r>
    </w:p>
    <w:p w14:paraId="1C8A0C27" w14:textId="77777777" w:rsidR="00547F82" w:rsidRDefault="00547F82" w:rsidP="00E75191">
      <w:pPr>
        <w:shd w:val="clear" w:color="auto" w:fill="BDD6EE" w:themeFill="accent1" w:themeFillTint="66"/>
        <w:spacing w:line="240" w:lineRule="auto"/>
        <w:jc w:val="both"/>
        <w:rPr>
          <w:sz w:val="24"/>
          <w:szCs w:val="24"/>
        </w:rPr>
      </w:pPr>
      <w:r>
        <w:rPr>
          <w:sz w:val="24"/>
          <w:szCs w:val="24"/>
        </w:rPr>
        <w:t>6. Peace and Security (impact of conflict on gender, cost of insecurity to women, health education etc.)</w:t>
      </w:r>
    </w:p>
    <w:p w14:paraId="77010011" w14:textId="77777777" w:rsidR="00547F82" w:rsidRDefault="00547F82" w:rsidP="00E75191">
      <w:pPr>
        <w:shd w:val="clear" w:color="auto" w:fill="BDD6EE" w:themeFill="accent1" w:themeFillTint="66"/>
        <w:spacing w:line="240" w:lineRule="auto"/>
        <w:jc w:val="both"/>
        <w:rPr>
          <w:sz w:val="24"/>
          <w:szCs w:val="24"/>
        </w:rPr>
      </w:pPr>
      <w:r>
        <w:rPr>
          <w:sz w:val="24"/>
          <w:szCs w:val="24"/>
        </w:rPr>
        <w:t>7. Inclusion and Intersectionality (inclusion of minority groups in planning and programming, sensitivity to intersectionality in gender programming)</w:t>
      </w:r>
    </w:p>
    <w:p w14:paraId="7C6C8C73" w14:textId="77777777" w:rsidR="00547F82" w:rsidRDefault="00547F82" w:rsidP="00E75191">
      <w:pPr>
        <w:shd w:val="clear" w:color="auto" w:fill="BDD6EE" w:themeFill="accent1" w:themeFillTint="66"/>
        <w:spacing w:line="240" w:lineRule="auto"/>
        <w:jc w:val="both"/>
        <w:rPr>
          <w:sz w:val="24"/>
          <w:szCs w:val="24"/>
        </w:rPr>
      </w:pPr>
    </w:p>
    <w:p w14:paraId="6B5516C7" w14:textId="77777777" w:rsidR="00547F82" w:rsidRDefault="00547F82" w:rsidP="00E75191">
      <w:pPr>
        <w:pStyle w:val="Heading2"/>
        <w:spacing w:line="240" w:lineRule="auto"/>
        <w:jc w:val="both"/>
        <w:rPr>
          <w:sz w:val="24"/>
          <w:szCs w:val="24"/>
        </w:rPr>
      </w:pPr>
      <w:bookmarkStart w:id="59" w:name="_Toc74920926"/>
      <w:bookmarkStart w:id="60" w:name="_Toc81229107"/>
      <w:r>
        <w:rPr>
          <w:sz w:val="24"/>
          <w:szCs w:val="24"/>
        </w:rPr>
        <w:lastRenderedPageBreak/>
        <w:t>S</w:t>
      </w:r>
      <w:bookmarkEnd w:id="59"/>
      <w:r>
        <w:rPr>
          <w:sz w:val="24"/>
          <w:szCs w:val="24"/>
        </w:rPr>
        <w:t>ampling</w:t>
      </w:r>
      <w:bookmarkEnd w:id="60"/>
      <w:r>
        <w:rPr>
          <w:sz w:val="24"/>
          <w:szCs w:val="24"/>
        </w:rPr>
        <w:t xml:space="preserve"> </w:t>
      </w:r>
    </w:p>
    <w:p w14:paraId="3A57CC00" w14:textId="77777777" w:rsidR="00547F82" w:rsidRDefault="00547F82" w:rsidP="00E75191">
      <w:pPr>
        <w:spacing w:line="240" w:lineRule="auto"/>
        <w:jc w:val="both"/>
        <w:rPr>
          <w:sz w:val="24"/>
          <w:szCs w:val="24"/>
          <w:lang w:val="en-US"/>
        </w:rPr>
      </w:pPr>
      <w:r>
        <w:rPr>
          <w:sz w:val="24"/>
          <w:szCs w:val="24"/>
          <w:lang w:val="en-US"/>
        </w:rPr>
        <w:t xml:space="preserve">For the focus group discussions, key informant interviews and the administration of questionnaires, respondents </w:t>
      </w:r>
      <w:r w:rsidR="00D92574">
        <w:rPr>
          <w:sz w:val="24"/>
          <w:szCs w:val="24"/>
          <w:lang w:val="en-US"/>
        </w:rPr>
        <w:t>were</w:t>
      </w:r>
      <w:r>
        <w:rPr>
          <w:sz w:val="24"/>
          <w:szCs w:val="24"/>
          <w:lang w:val="en-US"/>
        </w:rPr>
        <w:t xml:space="preserve"> selected by purposive sampling given the constraints of time and themes under consideration. The 36 states of Nigeria </w:t>
      </w:r>
      <w:r w:rsidR="00D92574">
        <w:rPr>
          <w:sz w:val="24"/>
          <w:szCs w:val="24"/>
          <w:lang w:val="en-US"/>
        </w:rPr>
        <w:t>was</w:t>
      </w:r>
      <w:r>
        <w:rPr>
          <w:sz w:val="24"/>
          <w:szCs w:val="24"/>
          <w:lang w:val="en-US"/>
        </w:rPr>
        <w:t xml:space="preserve"> stratifie</w:t>
      </w:r>
      <w:r w:rsidR="00D92574">
        <w:rPr>
          <w:sz w:val="24"/>
          <w:szCs w:val="24"/>
          <w:lang w:val="en-US"/>
        </w:rPr>
        <w:t>d by geopolitical zones. This was to ensure that some regard was</w:t>
      </w:r>
      <w:r>
        <w:rPr>
          <w:sz w:val="24"/>
          <w:szCs w:val="24"/>
          <w:lang w:val="en-US"/>
        </w:rPr>
        <w:t xml:space="preserve"> paid to the heterogeneity of the country and to adequately account for regional variations in demographic and sociocultural factors. </w:t>
      </w:r>
    </w:p>
    <w:p w14:paraId="5539F1A4" w14:textId="77777777" w:rsidR="00547F82" w:rsidRDefault="00547F82" w:rsidP="00E75191">
      <w:pPr>
        <w:spacing w:line="240" w:lineRule="auto"/>
        <w:jc w:val="both"/>
        <w:rPr>
          <w:sz w:val="24"/>
          <w:szCs w:val="24"/>
          <w:lang w:val="en-US"/>
        </w:rPr>
      </w:pPr>
      <w:r>
        <w:rPr>
          <w:sz w:val="24"/>
          <w:szCs w:val="24"/>
          <w:lang w:val="en-US"/>
        </w:rPr>
        <w:t>From each of the 6 geopolitical zones, one state will be selected to serve as the representative population. Stakeholders from the target groups will be engaged to participate in KIIs, FGDs and surveys to provide information for the development of the gender profile. The consultants shall spend a minimum of two days in each state to conduct the KIIs and FGDs.</w:t>
      </w:r>
    </w:p>
    <w:p w14:paraId="2AF81205" w14:textId="77777777" w:rsidR="00547F82" w:rsidRDefault="00547F82" w:rsidP="00E75191">
      <w:pPr>
        <w:pStyle w:val="ListParagraph"/>
        <w:numPr>
          <w:ilvl w:val="0"/>
          <w:numId w:val="2"/>
        </w:numPr>
        <w:spacing w:line="240" w:lineRule="auto"/>
        <w:jc w:val="both"/>
        <w:rPr>
          <w:sz w:val="24"/>
          <w:szCs w:val="24"/>
          <w:lang w:val="en-US"/>
        </w:rPr>
      </w:pPr>
      <w:r>
        <w:rPr>
          <w:sz w:val="24"/>
          <w:szCs w:val="24"/>
          <w:lang w:val="en-US"/>
        </w:rPr>
        <w:t>The FCT was chosen to represent the North Central to allow for ease of data collection at the federal level. For North East, Adamawa was selected for its long established history of conflict which have led to widened gaps in outcomes such as access to education, health etc. among men and women. The state recently domesticated the VAPP Act, thus studying this context illustrate how legislation and current events may affect planning and investments in gender programming.</w:t>
      </w:r>
    </w:p>
    <w:p w14:paraId="09D823CF" w14:textId="77777777" w:rsidR="00547F82" w:rsidRDefault="00547F82" w:rsidP="00E75191">
      <w:pPr>
        <w:pStyle w:val="ListParagraph"/>
        <w:numPr>
          <w:ilvl w:val="0"/>
          <w:numId w:val="2"/>
        </w:numPr>
        <w:spacing w:line="240" w:lineRule="auto"/>
        <w:jc w:val="both"/>
        <w:rPr>
          <w:sz w:val="24"/>
          <w:szCs w:val="24"/>
          <w:lang w:val="en-US"/>
        </w:rPr>
      </w:pPr>
      <w:r>
        <w:rPr>
          <w:sz w:val="24"/>
          <w:szCs w:val="24"/>
          <w:lang w:val="en-US"/>
        </w:rPr>
        <w:t>For North West, Kano was selected for its accessibility as well as the potential to identify how religion and commerce may be contributing to changing gender norms in Kano.</w:t>
      </w:r>
    </w:p>
    <w:p w14:paraId="43E27572" w14:textId="77777777" w:rsidR="00547F82" w:rsidRDefault="00547F82" w:rsidP="00E75191">
      <w:pPr>
        <w:pStyle w:val="ListParagraph"/>
        <w:numPr>
          <w:ilvl w:val="0"/>
          <w:numId w:val="2"/>
        </w:numPr>
        <w:spacing w:line="240" w:lineRule="auto"/>
        <w:jc w:val="both"/>
        <w:rPr>
          <w:sz w:val="24"/>
          <w:szCs w:val="24"/>
          <w:lang w:val="en-US"/>
        </w:rPr>
      </w:pPr>
      <w:r>
        <w:rPr>
          <w:sz w:val="24"/>
          <w:szCs w:val="24"/>
          <w:lang w:val="en-US"/>
        </w:rPr>
        <w:t xml:space="preserve">In the South East, Anambra was selected at random.  </w:t>
      </w:r>
    </w:p>
    <w:p w14:paraId="61C0678F" w14:textId="77777777" w:rsidR="00547F82" w:rsidRDefault="00547F82" w:rsidP="00E75191">
      <w:pPr>
        <w:pStyle w:val="ListParagraph"/>
        <w:numPr>
          <w:ilvl w:val="0"/>
          <w:numId w:val="2"/>
        </w:numPr>
        <w:spacing w:line="240" w:lineRule="auto"/>
        <w:jc w:val="both"/>
        <w:rPr>
          <w:sz w:val="24"/>
          <w:szCs w:val="24"/>
          <w:lang w:val="en-US"/>
        </w:rPr>
      </w:pPr>
      <w:r>
        <w:rPr>
          <w:sz w:val="24"/>
          <w:szCs w:val="24"/>
          <w:lang w:val="en-US"/>
        </w:rPr>
        <w:t>For the South West, Lagos State was selected for its largely positive gender outcomes and to identify lessons from the state context which could aid the formulation of the country level Implementation Plan (CLIP) for Nigeria.</w:t>
      </w:r>
    </w:p>
    <w:p w14:paraId="2D51CE4A" w14:textId="77777777" w:rsidR="00547F82" w:rsidRDefault="00D92574" w:rsidP="00E75191">
      <w:pPr>
        <w:pStyle w:val="ListParagraph"/>
        <w:numPr>
          <w:ilvl w:val="0"/>
          <w:numId w:val="2"/>
        </w:numPr>
        <w:spacing w:line="240" w:lineRule="auto"/>
        <w:jc w:val="both"/>
        <w:rPr>
          <w:sz w:val="24"/>
          <w:szCs w:val="24"/>
          <w:lang w:val="en-US"/>
        </w:rPr>
      </w:pPr>
      <w:r>
        <w:rPr>
          <w:sz w:val="24"/>
          <w:szCs w:val="24"/>
          <w:lang w:val="en-US"/>
        </w:rPr>
        <w:t xml:space="preserve"> For the South South, Edo which has the</w:t>
      </w:r>
      <w:r w:rsidR="00547F82">
        <w:rPr>
          <w:sz w:val="24"/>
          <w:szCs w:val="24"/>
          <w:lang w:val="en-US"/>
        </w:rPr>
        <w:t xml:space="preserve"> highest rate of women trafficking was selected.</w:t>
      </w:r>
    </w:p>
    <w:p w14:paraId="3663B198" w14:textId="77777777" w:rsidR="00547F82" w:rsidRDefault="00547F82" w:rsidP="00E75191">
      <w:pPr>
        <w:pStyle w:val="ListParagraph"/>
        <w:spacing w:line="240" w:lineRule="auto"/>
        <w:jc w:val="both"/>
        <w:rPr>
          <w:sz w:val="24"/>
          <w:szCs w:val="24"/>
          <w:lang w:val="en-US"/>
        </w:rPr>
      </w:pPr>
    </w:p>
    <w:p w14:paraId="29A0DD5A" w14:textId="77777777" w:rsidR="00547F82" w:rsidRDefault="00547F82" w:rsidP="00E75191">
      <w:pPr>
        <w:pStyle w:val="ListParagraph"/>
        <w:spacing w:line="240" w:lineRule="auto"/>
        <w:jc w:val="both"/>
        <w:rPr>
          <w:sz w:val="24"/>
          <w:szCs w:val="24"/>
          <w:lang w:val="en-US"/>
        </w:rPr>
      </w:pPr>
      <w:r>
        <w:rPr>
          <w:sz w:val="24"/>
          <w:szCs w:val="24"/>
          <w:lang w:val="en-US"/>
        </w:rPr>
        <w:t>The selected states totaling 6 states from each geopolitical zone are highlighted in the table below.</w:t>
      </w:r>
    </w:p>
    <w:p w14:paraId="1B5883F7" w14:textId="77777777" w:rsidR="00547F82" w:rsidRDefault="00547F82" w:rsidP="00E75191">
      <w:pPr>
        <w:pStyle w:val="ListParagraph"/>
        <w:spacing w:line="240" w:lineRule="auto"/>
        <w:jc w:val="both"/>
        <w:rPr>
          <w:sz w:val="24"/>
          <w:szCs w:val="24"/>
          <w:lang w:val="en-US"/>
        </w:rPr>
      </w:pPr>
    </w:p>
    <w:tbl>
      <w:tblPr>
        <w:tblW w:w="9428" w:type="dxa"/>
        <w:jc w:val="center"/>
        <w:tblLook w:val="0600" w:firstRow="0" w:lastRow="0" w:firstColumn="0" w:lastColumn="0" w:noHBand="1" w:noVBand="1"/>
      </w:tblPr>
      <w:tblGrid>
        <w:gridCol w:w="1571"/>
        <w:gridCol w:w="1571"/>
        <w:gridCol w:w="1572"/>
        <w:gridCol w:w="1571"/>
        <w:gridCol w:w="1571"/>
        <w:gridCol w:w="1572"/>
      </w:tblGrid>
      <w:tr w:rsidR="00547F82" w14:paraId="031D29C2" w14:textId="77777777" w:rsidTr="00547CC9">
        <w:trPr>
          <w:trHeight w:val="439"/>
          <w:jc w:val="center"/>
        </w:trPr>
        <w:tc>
          <w:tcPr>
            <w:tcW w:w="15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CB4C09" w14:textId="77777777" w:rsidR="00547F82" w:rsidRDefault="00547F82" w:rsidP="00E75191">
            <w:pPr>
              <w:spacing w:line="240" w:lineRule="auto"/>
              <w:jc w:val="both"/>
              <w:textAlignment w:val="center"/>
              <w:rPr>
                <w:rFonts w:ascii="Calibri" w:eastAsia="Times New Roman" w:hAnsi="Calibri" w:cs="Calibri"/>
                <w:b/>
                <w:bCs/>
                <w:color w:val="000000" w:themeColor="dark1"/>
                <w:kern w:val="24"/>
                <w:sz w:val="24"/>
                <w:szCs w:val="24"/>
                <w:lang w:eastAsia="en-GB"/>
              </w:rPr>
            </w:pPr>
            <w:r>
              <w:rPr>
                <w:rFonts w:ascii="Calibri" w:eastAsia="Times New Roman" w:hAnsi="Calibri" w:cs="Calibri"/>
                <w:b/>
                <w:bCs/>
                <w:color w:val="000000" w:themeColor="dark1"/>
                <w:kern w:val="24"/>
                <w:sz w:val="24"/>
                <w:szCs w:val="24"/>
                <w:lang w:eastAsia="en-GB"/>
              </w:rPr>
              <w:t>North</w:t>
            </w:r>
          </w:p>
          <w:p w14:paraId="6B30BCAD" w14:textId="77777777" w:rsidR="00547F82" w:rsidRDefault="00547F82" w:rsidP="00E75191">
            <w:pPr>
              <w:spacing w:line="240" w:lineRule="auto"/>
              <w:jc w:val="both"/>
              <w:textAlignment w:val="center"/>
              <w:rPr>
                <w:rFonts w:ascii="Arial" w:eastAsia="Times New Roman" w:hAnsi="Arial" w:cs="Arial"/>
                <w:sz w:val="24"/>
                <w:szCs w:val="24"/>
                <w:lang w:eastAsia="en-GB"/>
              </w:rPr>
            </w:pPr>
            <w:r>
              <w:rPr>
                <w:rFonts w:ascii="Calibri" w:eastAsia="Times New Roman" w:hAnsi="Calibri" w:cs="Calibri"/>
                <w:b/>
                <w:bCs/>
                <w:color w:val="000000" w:themeColor="dark1"/>
                <w:kern w:val="24"/>
                <w:sz w:val="24"/>
                <w:szCs w:val="24"/>
                <w:lang w:eastAsia="en-GB"/>
              </w:rPr>
              <w:t>Central</w:t>
            </w:r>
          </w:p>
        </w:tc>
        <w:tc>
          <w:tcPr>
            <w:tcW w:w="15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7C316A8" w14:textId="77777777" w:rsidR="00547F82" w:rsidRDefault="00547F82" w:rsidP="00E75191">
            <w:pPr>
              <w:spacing w:line="240" w:lineRule="auto"/>
              <w:jc w:val="both"/>
              <w:textAlignment w:val="center"/>
              <w:rPr>
                <w:rFonts w:ascii="Calibri" w:eastAsia="Times New Roman" w:hAnsi="Calibri" w:cs="Calibri"/>
                <w:b/>
                <w:bCs/>
                <w:color w:val="000000" w:themeColor="dark1"/>
                <w:kern w:val="24"/>
                <w:sz w:val="24"/>
                <w:szCs w:val="24"/>
                <w:lang w:eastAsia="en-GB"/>
              </w:rPr>
            </w:pPr>
            <w:r>
              <w:rPr>
                <w:rFonts w:ascii="Calibri" w:eastAsia="Times New Roman" w:hAnsi="Calibri" w:cs="Calibri"/>
                <w:b/>
                <w:bCs/>
                <w:color w:val="000000" w:themeColor="dark1"/>
                <w:kern w:val="24"/>
                <w:sz w:val="24"/>
                <w:szCs w:val="24"/>
                <w:lang w:eastAsia="en-GB"/>
              </w:rPr>
              <w:t>North</w:t>
            </w:r>
          </w:p>
          <w:p w14:paraId="224914C2" w14:textId="77777777" w:rsidR="00547F82" w:rsidRDefault="00547F82" w:rsidP="00E75191">
            <w:pPr>
              <w:spacing w:line="240" w:lineRule="auto"/>
              <w:jc w:val="both"/>
              <w:textAlignment w:val="center"/>
              <w:rPr>
                <w:rFonts w:ascii="Arial" w:eastAsia="Times New Roman" w:hAnsi="Arial" w:cs="Arial"/>
                <w:sz w:val="24"/>
                <w:szCs w:val="24"/>
                <w:lang w:eastAsia="en-GB"/>
              </w:rPr>
            </w:pPr>
            <w:r>
              <w:rPr>
                <w:rFonts w:ascii="Calibri" w:eastAsia="Times New Roman" w:hAnsi="Calibri" w:cs="Calibri"/>
                <w:b/>
                <w:bCs/>
                <w:color w:val="000000" w:themeColor="dark1"/>
                <w:kern w:val="24"/>
                <w:sz w:val="24"/>
                <w:szCs w:val="24"/>
                <w:lang w:eastAsia="en-GB"/>
              </w:rPr>
              <w:t>East</w:t>
            </w:r>
          </w:p>
        </w:tc>
        <w:tc>
          <w:tcPr>
            <w:tcW w:w="15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AE1544" w14:textId="77777777" w:rsidR="00547F82" w:rsidRDefault="00547F82" w:rsidP="00E75191">
            <w:pPr>
              <w:spacing w:line="240" w:lineRule="auto"/>
              <w:jc w:val="both"/>
              <w:textAlignment w:val="center"/>
              <w:rPr>
                <w:rFonts w:ascii="Calibri" w:eastAsia="Times New Roman" w:hAnsi="Calibri" w:cs="Calibri"/>
                <w:b/>
                <w:bCs/>
                <w:color w:val="000000" w:themeColor="dark1"/>
                <w:kern w:val="24"/>
                <w:sz w:val="24"/>
                <w:szCs w:val="24"/>
                <w:lang w:eastAsia="en-GB"/>
              </w:rPr>
            </w:pPr>
            <w:r>
              <w:rPr>
                <w:rFonts w:ascii="Calibri" w:eastAsia="Times New Roman" w:hAnsi="Calibri" w:cs="Calibri"/>
                <w:b/>
                <w:bCs/>
                <w:color w:val="000000" w:themeColor="dark1"/>
                <w:kern w:val="24"/>
                <w:sz w:val="24"/>
                <w:szCs w:val="24"/>
                <w:lang w:eastAsia="en-GB"/>
              </w:rPr>
              <w:t>North</w:t>
            </w:r>
          </w:p>
          <w:p w14:paraId="7972B3C8" w14:textId="77777777" w:rsidR="00547F82" w:rsidRDefault="00547F82" w:rsidP="00E75191">
            <w:pPr>
              <w:spacing w:line="240" w:lineRule="auto"/>
              <w:jc w:val="both"/>
              <w:textAlignment w:val="center"/>
              <w:rPr>
                <w:rFonts w:ascii="Arial" w:eastAsia="Times New Roman" w:hAnsi="Arial" w:cs="Arial"/>
                <w:sz w:val="24"/>
                <w:szCs w:val="24"/>
                <w:lang w:eastAsia="en-GB"/>
              </w:rPr>
            </w:pPr>
            <w:r>
              <w:rPr>
                <w:rFonts w:ascii="Calibri" w:eastAsia="Times New Roman" w:hAnsi="Calibri" w:cs="Calibri"/>
                <w:b/>
                <w:bCs/>
                <w:color w:val="000000" w:themeColor="dark1"/>
                <w:kern w:val="24"/>
                <w:sz w:val="24"/>
                <w:szCs w:val="24"/>
                <w:lang w:eastAsia="en-GB"/>
              </w:rPr>
              <w:t>West</w:t>
            </w:r>
          </w:p>
        </w:tc>
        <w:tc>
          <w:tcPr>
            <w:tcW w:w="15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067F6F1" w14:textId="77777777" w:rsidR="00547F82" w:rsidRDefault="00547F82" w:rsidP="00E75191">
            <w:pPr>
              <w:spacing w:line="240" w:lineRule="auto"/>
              <w:jc w:val="both"/>
              <w:textAlignment w:val="center"/>
              <w:rPr>
                <w:rFonts w:ascii="Calibri" w:eastAsia="Times New Roman" w:hAnsi="Calibri" w:cs="Calibri"/>
                <w:b/>
                <w:bCs/>
                <w:color w:val="000000" w:themeColor="dark1"/>
                <w:kern w:val="24"/>
                <w:sz w:val="24"/>
                <w:szCs w:val="24"/>
                <w:lang w:eastAsia="en-GB"/>
              </w:rPr>
            </w:pPr>
            <w:r>
              <w:rPr>
                <w:rFonts w:ascii="Calibri" w:eastAsia="Times New Roman" w:hAnsi="Calibri" w:cs="Calibri"/>
                <w:b/>
                <w:bCs/>
                <w:color w:val="000000" w:themeColor="dark1"/>
                <w:kern w:val="24"/>
                <w:sz w:val="24"/>
                <w:szCs w:val="24"/>
                <w:lang w:eastAsia="en-GB"/>
              </w:rPr>
              <w:t>South</w:t>
            </w:r>
          </w:p>
          <w:p w14:paraId="6F795BFB" w14:textId="77777777" w:rsidR="00547F82" w:rsidRDefault="00547F82" w:rsidP="00E75191">
            <w:pPr>
              <w:spacing w:line="240" w:lineRule="auto"/>
              <w:jc w:val="both"/>
              <w:textAlignment w:val="center"/>
              <w:rPr>
                <w:rFonts w:ascii="Arial" w:eastAsia="Times New Roman" w:hAnsi="Arial" w:cs="Arial"/>
                <w:sz w:val="24"/>
                <w:szCs w:val="24"/>
                <w:lang w:eastAsia="en-GB"/>
              </w:rPr>
            </w:pPr>
            <w:r>
              <w:rPr>
                <w:rFonts w:ascii="Calibri" w:eastAsia="Times New Roman" w:hAnsi="Calibri" w:cs="Calibri"/>
                <w:b/>
                <w:bCs/>
                <w:color w:val="000000" w:themeColor="dark1"/>
                <w:kern w:val="24"/>
                <w:sz w:val="24"/>
                <w:szCs w:val="24"/>
                <w:lang w:eastAsia="en-GB"/>
              </w:rPr>
              <w:t>East</w:t>
            </w:r>
          </w:p>
        </w:tc>
        <w:tc>
          <w:tcPr>
            <w:tcW w:w="15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DCAA39F" w14:textId="77777777" w:rsidR="00547F82" w:rsidRDefault="00547F82" w:rsidP="00E75191">
            <w:pPr>
              <w:spacing w:line="240" w:lineRule="auto"/>
              <w:jc w:val="both"/>
              <w:textAlignment w:val="center"/>
              <w:rPr>
                <w:rFonts w:ascii="Calibri" w:eastAsia="Times New Roman" w:hAnsi="Calibri" w:cs="Calibri"/>
                <w:b/>
                <w:bCs/>
                <w:color w:val="000000" w:themeColor="dark1"/>
                <w:kern w:val="24"/>
                <w:sz w:val="24"/>
                <w:szCs w:val="24"/>
                <w:lang w:eastAsia="en-GB"/>
              </w:rPr>
            </w:pPr>
            <w:r>
              <w:rPr>
                <w:rFonts w:ascii="Calibri" w:eastAsia="Times New Roman" w:hAnsi="Calibri" w:cs="Calibri"/>
                <w:b/>
                <w:bCs/>
                <w:color w:val="000000" w:themeColor="dark1"/>
                <w:kern w:val="24"/>
                <w:sz w:val="24"/>
                <w:szCs w:val="24"/>
                <w:lang w:eastAsia="en-GB"/>
              </w:rPr>
              <w:t>South</w:t>
            </w:r>
          </w:p>
          <w:p w14:paraId="01F3D2EC" w14:textId="77777777" w:rsidR="00547F82" w:rsidRDefault="00547F82" w:rsidP="00E75191">
            <w:pPr>
              <w:spacing w:line="240" w:lineRule="auto"/>
              <w:jc w:val="both"/>
              <w:textAlignment w:val="center"/>
              <w:rPr>
                <w:rFonts w:ascii="Arial" w:eastAsia="Times New Roman" w:hAnsi="Arial" w:cs="Arial"/>
                <w:sz w:val="24"/>
                <w:szCs w:val="24"/>
                <w:lang w:eastAsia="en-GB"/>
              </w:rPr>
            </w:pPr>
            <w:r>
              <w:rPr>
                <w:rFonts w:ascii="Calibri" w:eastAsia="Times New Roman" w:hAnsi="Calibri" w:cs="Calibri"/>
                <w:b/>
                <w:bCs/>
                <w:color w:val="000000" w:themeColor="dark1"/>
                <w:kern w:val="24"/>
                <w:sz w:val="24"/>
                <w:szCs w:val="24"/>
                <w:lang w:eastAsia="en-GB"/>
              </w:rPr>
              <w:t>West</w:t>
            </w:r>
          </w:p>
        </w:tc>
        <w:tc>
          <w:tcPr>
            <w:tcW w:w="15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1EF5824" w14:textId="77777777" w:rsidR="00547F82" w:rsidRDefault="00547F82" w:rsidP="00E75191">
            <w:pPr>
              <w:spacing w:line="240" w:lineRule="auto"/>
              <w:jc w:val="both"/>
              <w:textAlignment w:val="center"/>
              <w:rPr>
                <w:rFonts w:ascii="Calibri" w:eastAsia="Times New Roman" w:hAnsi="Calibri" w:cs="Calibri"/>
                <w:b/>
                <w:bCs/>
                <w:color w:val="000000" w:themeColor="dark1"/>
                <w:kern w:val="24"/>
                <w:sz w:val="24"/>
                <w:szCs w:val="24"/>
                <w:lang w:eastAsia="en-GB"/>
              </w:rPr>
            </w:pPr>
            <w:r>
              <w:rPr>
                <w:rFonts w:ascii="Calibri" w:eastAsia="Times New Roman" w:hAnsi="Calibri" w:cs="Calibri"/>
                <w:b/>
                <w:bCs/>
                <w:color w:val="000000" w:themeColor="dark1"/>
                <w:kern w:val="24"/>
                <w:sz w:val="24"/>
                <w:szCs w:val="24"/>
                <w:lang w:eastAsia="en-GB"/>
              </w:rPr>
              <w:t>South</w:t>
            </w:r>
          </w:p>
          <w:p w14:paraId="56151D98" w14:textId="77777777" w:rsidR="00547F82" w:rsidRDefault="00547F82" w:rsidP="00E75191">
            <w:pPr>
              <w:spacing w:line="240" w:lineRule="auto"/>
              <w:jc w:val="both"/>
              <w:textAlignment w:val="center"/>
              <w:rPr>
                <w:rFonts w:ascii="Arial" w:eastAsia="Times New Roman" w:hAnsi="Arial" w:cs="Arial"/>
                <w:sz w:val="24"/>
                <w:szCs w:val="24"/>
                <w:lang w:eastAsia="en-GB"/>
              </w:rPr>
            </w:pPr>
            <w:r>
              <w:rPr>
                <w:rFonts w:ascii="Calibri" w:eastAsia="Times New Roman" w:hAnsi="Calibri" w:cs="Calibri"/>
                <w:b/>
                <w:bCs/>
                <w:color w:val="000000" w:themeColor="dark1"/>
                <w:kern w:val="24"/>
                <w:sz w:val="24"/>
                <w:szCs w:val="24"/>
                <w:lang w:eastAsia="en-GB"/>
              </w:rPr>
              <w:t>South</w:t>
            </w:r>
          </w:p>
        </w:tc>
      </w:tr>
      <w:tr w:rsidR="00547F82" w14:paraId="20206DB0" w14:textId="77777777" w:rsidTr="00547CC9">
        <w:trPr>
          <w:trHeight w:val="439"/>
          <w:jc w:val="center"/>
        </w:trPr>
        <w:tc>
          <w:tcPr>
            <w:tcW w:w="15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0D7A5A3" w14:textId="77777777" w:rsidR="00547F82" w:rsidRDefault="00547F82" w:rsidP="00E75191">
            <w:pPr>
              <w:spacing w:line="240" w:lineRule="auto"/>
              <w:jc w:val="both"/>
              <w:textAlignment w:val="bottom"/>
              <w:rPr>
                <w:rFonts w:ascii="Arial" w:eastAsia="Times New Roman" w:hAnsi="Arial" w:cs="Arial"/>
                <w:sz w:val="24"/>
                <w:szCs w:val="24"/>
                <w:lang w:eastAsia="en-GB"/>
              </w:rPr>
            </w:pPr>
            <w:r>
              <w:rPr>
                <w:rFonts w:ascii="Calibri" w:eastAsia="Times New Roman" w:hAnsi="Calibri" w:cs="Calibri"/>
                <w:color w:val="000000" w:themeColor="dark1"/>
                <w:kern w:val="24"/>
                <w:sz w:val="24"/>
                <w:szCs w:val="24"/>
                <w:lang w:eastAsia="en-GB"/>
              </w:rPr>
              <w:t xml:space="preserve">Kogi </w:t>
            </w:r>
          </w:p>
        </w:tc>
        <w:tc>
          <w:tcPr>
            <w:tcW w:w="15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5A5A5" w:themeFill="accent3"/>
            <w:hideMark/>
          </w:tcPr>
          <w:p w14:paraId="3BFA0D7F" w14:textId="77777777" w:rsidR="00547F82" w:rsidRDefault="00547F82" w:rsidP="00E75191">
            <w:pPr>
              <w:spacing w:line="240" w:lineRule="auto"/>
              <w:jc w:val="both"/>
              <w:textAlignment w:val="bottom"/>
              <w:rPr>
                <w:rFonts w:ascii="Arial" w:eastAsia="Times New Roman" w:hAnsi="Arial" w:cs="Arial"/>
                <w:sz w:val="24"/>
                <w:szCs w:val="24"/>
                <w:lang w:eastAsia="en-GB"/>
              </w:rPr>
            </w:pPr>
            <w:r>
              <w:rPr>
                <w:rFonts w:ascii="Calibri" w:eastAsia="Times New Roman" w:hAnsi="Calibri" w:cs="Calibri"/>
                <w:color w:val="000000" w:themeColor="dark1"/>
                <w:kern w:val="24"/>
                <w:sz w:val="24"/>
                <w:szCs w:val="24"/>
                <w:lang w:eastAsia="en-GB"/>
              </w:rPr>
              <w:t xml:space="preserve">Adamawa </w:t>
            </w:r>
          </w:p>
        </w:tc>
        <w:tc>
          <w:tcPr>
            <w:tcW w:w="15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E4A339" w14:textId="77777777" w:rsidR="00547F82" w:rsidRDefault="00547F82" w:rsidP="00E75191">
            <w:pPr>
              <w:spacing w:line="240" w:lineRule="auto"/>
              <w:jc w:val="both"/>
              <w:textAlignment w:val="bottom"/>
              <w:rPr>
                <w:rFonts w:ascii="Arial" w:eastAsia="Times New Roman" w:hAnsi="Arial" w:cs="Arial"/>
                <w:sz w:val="24"/>
                <w:szCs w:val="24"/>
                <w:lang w:eastAsia="en-GB"/>
              </w:rPr>
            </w:pPr>
            <w:r>
              <w:rPr>
                <w:rFonts w:ascii="Calibri" w:eastAsia="Times New Roman" w:hAnsi="Calibri" w:cs="Calibri"/>
                <w:color w:val="000000" w:themeColor="dark1"/>
                <w:kern w:val="24"/>
                <w:sz w:val="24"/>
                <w:szCs w:val="24"/>
                <w:lang w:eastAsia="en-GB"/>
              </w:rPr>
              <w:t xml:space="preserve">Jigawa </w:t>
            </w:r>
          </w:p>
        </w:tc>
        <w:tc>
          <w:tcPr>
            <w:tcW w:w="15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8566C45" w14:textId="77777777" w:rsidR="00547F82" w:rsidRDefault="00547F82" w:rsidP="00E75191">
            <w:pPr>
              <w:spacing w:line="240" w:lineRule="auto"/>
              <w:jc w:val="both"/>
              <w:textAlignment w:val="bottom"/>
              <w:rPr>
                <w:rFonts w:ascii="Arial" w:eastAsia="Times New Roman" w:hAnsi="Arial" w:cs="Arial"/>
                <w:sz w:val="24"/>
                <w:szCs w:val="24"/>
                <w:lang w:eastAsia="en-GB"/>
              </w:rPr>
            </w:pPr>
            <w:r>
              <w:rPr>
                <w:rFonts w:ascii="Calibri" w:eastAsia="Times New Roman" w:hAnsi="Calibri" w:cs="Calibri"/>
                <w:color w:val="000000" w:themeColor="dark1"/>
                <w:kern w:val="24"/>
                <w:sz w:val="24"/>
                <w:szCs w:val="24"/>
                <w:lang w:eastAsia="en-GB"/>
              </w:rPr>
              <w:t xml:space="preserve">Abia </w:t>
            </w:r>
          </w:p>
        </w:tc>
        <w:tc>
          <w:tcPr>
            <w:tcW w:w="15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6844D23" w14:textId="77777777" w:rsidR="00547F82" w:rsidRDefault="00547F82" w:rsidP="00E75191">
            <w:pPr>
              <w:spacing w:line="240" w:lineRule="auto"/>
              <w:jc w:val="both"/>
              <w:textAlignment w:val="bottom"/>
              <w:rPr>
                <w:rFonts w:ascii="Arial" w:eastAsia="Times New Roman" w:hAnsi="Arial" w:cs="Arial"/>
                <w:sz w:val="24"/>
                <w:szCs w:val="24"/>
                <w:lang w:eastAsia="en-GB"/>
              </w:rPr>
            </w:pPr>
            <w:r>
              <w:rPr>
                <w:rFonts w:ascii="Calibri" w:eastAsia="Times New Roman" w:hAnsi="Calibri" w:cs="Calibri"/>
                <w:color w:val="000000" w:themeColor="dark1"/>
                <w:kern w:val="24"/>
                <w:sz w:val="24"/>
                <w:szCs w:val="24"/>
                <w:lang w:eastAsia="en-GB"/>
              </w:rPr>
              <w:t xml:space="preserve">Ekiti </w:t>
            </w:r>
          </w:p>
        </w:tc>
        <w:tc>
          <w:tcPr>
            <w:tcW w:w="15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C901FCA" w14:textId="77777777" w:rsidR="00547F82" w:rsidRDefault="00547F82" w:rsidP="00E75191">
            <w:pPr>
              <w:spacing w:line="240" w:lineRule="auto"/>
              <w:jc w:val="both"/>
              <w:textAlignment w:val="bottom"/>
              <w:rPr>
                <w:rFonts w:ascii="Arial" w:eastAsia="Times New Roman" w:hAnsi="Arial" w:cs="Arial"/>
                <w:sz w:val="24"/>
                <w:szCs w:val="24"/>
                <w:lang w:eastAsia="en-GB"/>
              </w:rPr>
            </w:pPr>
            <w:r>
              <w:rPr>
                <w:rFonts w:ascii="Calibri" w:eastAsia="Times New Roman" w:hAnsi="Calibri" w:cs="Calibri"/>
                <w:color w:val="000000" w:themeColor="dark1"/>
                <w:kern w:val="24"/>
                <w:sz w:val="24"/>
                <w:szCs w:val="24"/>
                <w:lang w:eastAsia="en-GB"/>
              </w:rPr>
              <w:t xml:space="preserve">Akwa Ibom </w:t>
            </w:r>
          </w:p>
        </w:tc>
      </w:tr>
      <w:tr w:rsidR="00547F82" w14:paraId="14C62C52" w14:textId="77777777" w:rsidTr="00547CC9">
        <w:trPr>
          <w:trHeight w:val="439"/>
          <w:jc w:val="center"/>
        </w:trPr>
        <w:tc>
          <w:tcPr>
            <w:tcW w:w="1571" w:type="dxa"/>
            <w:hideMark/>
          </w:tcPr>
          <w:p w14:paraId="171CC298" w14:textId="77777777" w:rsidR="00547F82" w:rsidRDefault="00547F82" w:rsidP="00E75191">
            <w:pPr>
              <w:spacing w:line="240" w:lineRule="auto"/>
              <w:jc w:val="both"/>
              <w:textAlignment w:val="bottom"/>
              <w:rPr>
                <w:rFonts w:ascii="Arial" w:eastAsia="Times New Roman" w:hAnsi="Arial" w:cs="Arial"/>
                <w:sz w:val="24"/>
                <w:szCs w:val="24"/>
                <w:lang w:eastAsia="en-GB"/>
              </w:rPr>
            </w:pPr>
            <w:r>
              <w:rPr>
                <w:rFonts w:ascii="Calibri" w:eastAsia="Times New Roman" w:hAnsi="Calibri" w:cs="Calibri"/>
                <w:color w:val="000000" w:themeColor="dark1"/>
                <w:kern w:val="24"/>
                <w:sz w:val="24"/>
                <w:szCs w:val="24"/>
                <w:lang w:eastAsia="en-GB"/>
              </w:rPr>
              <w:t xml:space="preserve">Kwara </w:t>
            </w:r>
          </w:p>
        </w:tc>
        <w:tc>
          <w:tcPr>
            <w:tcW w:w="1571" w:type="dxa"/>
            <w:hideMark/>
          </w:tcPr>
          <w:p w14:paraId="456209E6" w14:textId="77777777" w:rsidR="00547F82" w:rsidRDefault="00547F82" w:rsidP="00E75191">
            <w:pPr>
              <w:spacing w:line="240" w:lineRule="auto"/>
              <w:jc w:val="both"/>
              <w:textAlignment w:val="bottom"/>
              <w:rPr>
                <w:rFonts w:ascii="Arial" w:eastAsia="Times New Roman" w:hAnsi="Arial" w:cs="Arial"/>
                <w:sz w:val="24"/>
                <w:szCs w:val="24"/>
                <w:lang w:eastAsia="en-GB"/>
              </w:rPr>
            </w:pPr>
            <w:r>
              <w:rPr>
                <w:rFonts w:ascii="Calibri" w:eastAsia="Times New Roman" w:hAnsi="Calibri" w:cs="Calibri"/>
                <w:color w:val="000000" w:themeColor="dark1"/>
                <w:kern w:val="24"/>
                <w:sz w:val="24"/>
                <w:szCs w:val="24"/>
                <w:lang w:eastAsia="en-GB"/>
              </w:rPr>
              <w:t xml:space="preserve">Bauchi </w:t>
            </w:r>
          </w:p>
        </w:tc>
        <w:tc>
          <w:tcPr>
            <w:tcW w:w="1572" w:type="dxa"/>
            <w:hideMark/>
          </w:tcPr>
          <w:p w14:paraId="5D229DBC" w14:textId="77777777" w:rsidR="00547F82" w:rsidRDefault="00547F82" w:rsidP="00E75191">
            <w:pPr>
              <w:spacing w:line="240" w:lineRule="auto"/>
              <w:jc w:val="both"/>
              <w:textAlignment w:val="bottom"/>
              <w:rPr>
                <w:rFonts w:ascii="Arial" w:eastAsia="Times New Roman" w:hAnsi="Arial" w:cs="Arial"/>
                <w:sz w:val="24"/>
                <w:szCs w:val="24"/>
                <w:lang w:eastAsia="en-GB"/>
              </w:rPr>
            </w:pPr>
            <w:r>
              <w:rPr>
                <w:rFonts w:ascii="Calibri" w:eastAsia="Times New Roman" w:hAnsi="Calibri" w:cs="Calibri"/>
                <w:color w:val="000000" w:themeColor="dark1"/>
                <w:kern w:val="24"/>
                <w:sz w:val="24"/>
                <w:szCs w:val="24"/>
                <w:lang w:eastAsia="en-GB"/>
              </w:rPr>
              <w:t xml:space="preserve">Kaduna </w:t>
            </w:r>
          </w:p>
        </w:tc>
        <w:tc>
          <w:tcPr>
            <w:tcW w:w="1571" w:type="dxa"/>
            <w:shd w:val="clear" w:color="auto" w:fill="A5A5A5" w:themeFill="accent3"/>
            <w:hideMark/>
          </w:tcPr>
          <w:p w14:paraId="140A25B1" w14:textId="77777777" w:rsidR="00547F82" w:rsidRDefault="00547F82" w:rsidP="00E75191">
            <w:pPr>
              <w:spacing w:line="240" w:lineRule="auto"/>
              <w:jc w:val="both"/>
              <w:textAlignment w:val="bottom"/>
              <w:rPr>
                <w:rFonts w:ascii="Arial" w:eastAsia="Times New Roman" w:hAnsi="Arial" w:cs="Arial"/>
                <w:sz w:val="24"/>
                <w:szCs w:val="24"/>
                <w:lang w:eastAsia="en-GB"/>
              </w:rPr>
            </w:pPr>
            <w:r>
              <w:rPr>
                <w:rFonts w:ascii="Calibri" w:eastAsia="Times New Roman" w:hAnsi="Calibri" w:cs="Calibri"/>
                <w:color w:val="000000" w:themeColor="dark1"/>
                <w:kern w:val="24"/>
                <w:sz w:val="24"/>
                <w:szCs w:val="24"/>
                <w:lang w:eastAsia="en-GB"/>
              </w:rPr>
              <w:t xml:space="preserve">Anambra </w:t>
            </w:r>
          </w:p>
        </w:tc>
        <w:tc>
          <w:tcPr>
            <w:tcW w:w="1571" w:type="dxa"/>
            <w:shd w:val="clear" w:color="auto" w:fill="A5A5A5" w:themeFill="accent3"/>
            <w:hideMark/>
          </w:tcPr>
          <w:p w14:paraId="6454BC75" w14:textId="77777777" w:rsidR="00547F82" w:rsidRDefault="00547F82" w:rsidP="00E75191">
            <w:pPr>
              <w:spacing w:line="240" w:lineRule="auto"/>
              <w:jc w:val="both"/>
              <w:textAlignment w:val="bottom"/>
              <w:rPr>
                <w:rFonts w:ascii="Arial" w:eastAsia="Times New Roman" w:hAnsi="Arial" w:cs="Arial"/>
                <w:sz w:val="24"/>
                <w:szCs w:val="24"/>
                <w:lang w:eastAsia="en-GB"/>
              </w:rPr>
            </w:pPr>
            <w:r>
              <w:rPr>
                <w:rFonts w:ascii="Calibri" w:eastAsia="Times New Roman" w:hAnsi="Calibri" w:cs="Calibri"/>
                <w:color w:val="000000" w:themeColor="dark1"/>
                <w:kern w:val="24"/>
                <w:sz w:val="24"/>
                <w:szCs w:val="24"/>
                <w:lang w:eastAsia="en-GB"/>
              </w:rPr>
              <w:t xml:space="preserve">Lagos </w:t>
            </w:r>
          </w:p>
        </w:tc>
        <w:tc>
          <w:tcPr>
            <w:tcW w:w="1572" w:type="dxa"/>
            <w:hideMark/>
          </w:tcPr>
          <w:p w14:paraId="21CEC772" w14:textId="77777777" w:rsidR="00547F82" w:rsidRDefault="00547F82" w:rsidP="00E75191">
            <w:pPr>
              <w:spacing w:line="240" w:lineRule="auto"/>
              <w:jc w:val="both"/>
              <w:textAlignment w:val="bottom"/>
              <w:rPr>
                <w:rFonts w:ascii="Arial" w:eastAsia="Times New Roman" w:hAnsi="Arial" w:cs="Arial"/>
                <w:sz w:val="24"/>
                <w:szCs w:val="24"/>
                <w:lang w:eastAsia="en-GB"/>
              </w:rPr>
            </w:pPr>
            <w:r>
              <w:rPr>
                <w:rFonts w:ascii="Calibri" w:eastAsia="Times New Roman" w:hAnsi="Calibri" w:cs="Calibri"/>
                <w:color w:val="000000" w:themeColor="dark1"/>
                <w:kern w:val="24"/>
                <w:sz w:val="24"/>
                <w:szCs w:val="24"/>
                <w:lang w:eastAsia="en-GB"/>
              </w:rPr>
              <w:t xml:space="preserve">Bayelsa </w:t>
            </w:r>
          </w:p>
        </w:tc>
      </w:tr>
      <w:tr w:rsidR="00547F82" w14:paraId="3A49600B" w14:textId="77777777" w:rsidTr="00547CC9">
        <w:trPr>
          <w:trHeight w:val="439"/>
          <w:jc w:val="center"/>
        </w:trPr>
        <w:tc>
          <w:tcPr>
            <w:tcW w:w="15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19EF958" w14:textId="77777777" w:rsidR="00547F82" w:rsidRDefault="00547F82" w:rsidP="00E75191">
            <w:pPr>
              <w:spacing w:line="240" w:lineRule="auto"/>
              <w:jc w:val="both"/>
              <w:textAlignment w:val="bottom"/>
              <w:rPr>
                <w:rFonts w:ascii="Arial" w:eastAsia="Times New Roman" w:hAnsi="Arial" w:cs="Arial"/>
                <w:sz w:val="24"/>
                <w:szCs w:val="24"/>
                <w:lang w:eastAsia="en-GB"/>
              </w:rPr>
            </w:pPr>
            <w:r>
              <w:rPr>
                <w:rFonts w:ascii="Calibri" w:eastAsia="Times New Roman" w:hAnsi="Calibri" w:cs="Calibri"/>
                <w:color w:val="000000" w:themeColor="dark1"/>
                <w:kern w:val="24"/>
                <w:sz w:val="24"/>
                <w:szCs w:val="24"/>
                <w:lang w:eastAsia="en-GB"/>
              </w:rPr>
              <w:t xml:space="preserve">Nassarawa </w:t>
            </w:r>
          </w:p>
        </w:tc>
        <w:tc>
          <w:tcPr>
            <w:tcW w:w="15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AD05740" w14:textId="77777777" w:rsidR="00547F82" w:rsidRDefault="00547F82" w:rsidP="00E75191">
            <w:pPr>
              <w:spacing w:line="240" w:lineRule="auto"/>
              <w:jc w:val="both"/>
              <w:textAlignment w:val="bottom"/>
              <w:rPr>
                <w:rFonts w:ascii="Arial" w:eastAsia="Times New Roman" w:hAnsi="Arial" w:cs="Arial"/>
                <w:sz w:val="24"/>
                <w:szCs w:val="24"/>
                <w:lang w:eastAsia="en-GB"/>
              </w:rPr>
            </w:pPr>
            <w:r>
              <w:rPr>
                <w:rFonts w:ascii="Calibri" w:eastAsia="Times New Roman" w:hAnsi="Calibri" w:cs="Calibri"/>
                <w:color w:val="000000" w:themeColor="text1"/>
                <w:kern w:val="24"/>
                <w:sz w:val="24"/>
                <w:szCs w:val="24"/>
                <w:lang w:eastAsia="en-GB"/>
              </w:rPr>
              <w:t xml:space="preserve">Borno </w:t>
            </w:r>
          </w:p>
        </w:tc>
        <w:tc>
          <w:tcPr>
            <w:tcW w:w="15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5A5A5" w:themeFill="accent3"/>
            <w:hideMark/>
          </w:tcPr>
          <w:p w14:paraId="45AFE128" w14:textId="77777777" w:rsidR="00547F82" w:rsidRDefault="00547F82" w:rsidP="00E75191">
            <w:pPr>
              <w:spacing w:line="240" w:lineRule="auto"/>
              <w:jc w:val="both"/>
              <w:textAlignment w:val="bottom"/>
              <w:rPr>
                <w:rFonts w:ascii="Arial" w:eastAsia="Times New Roman" w:hAnsi="Arial" w:cs="Arial"/>
                <w:sz w:val="24"/>
                <w:szCs w:val="24"/>
                <w:lang w:eastAsia="en-GB"/>
              </w:rPr>
            </w:pPr>
            <w:r>
              <w:rPr>
                <w:rFonts w:ascii="Calibri" w:eastAsia="Times New Roman" w:hAnsi="Calibri" w:cs="Calibri"/>
                <w:color w:val="000000" w:themeColor="dark1"/>
                <w:kern w:val="24"/>
                <w:sz w:val="24"/>
                <w:szCs w:val="24"/>
                <w:lang w:eastAsia="en-GB"/>
              </w:rPr>
              <w:t xml:space="preserve">Kano </w:t>
            </w:r>
          </w:p>
        </w:tc>
        <w:tc>
          <w:tcPr>
            <w:tcW w:w="15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75D8A23" w14:textId="77777777" w:rsidR="00547F82" w:rsidRDefault="00547F82" w:rsidP="00E75191">
            <w:pPr>
              <w:spacing w:line="240" w:lineRule="auto"/>
              <w:jc w:val="both"/>
              <w:textAlignment w:val="bottom"/>
              <w:rPr>
                <w:rFonts w:ascii="Arial" w:eastAsia="Times New Roman" w:hAnsi="Arial" w:cs="Arial"/>
                <w:sz w:val="24"/>
                <w:szCs w:val="24"/>
                <w:lang w:eastAsia="en-GB"/>
              </w:rPr>
            </w:pPr>
            <w:r>
              <w:rPr>
                <w:rFonts w:ascii="Calibri" w:eastAsia="Times New Roman" w:hAnsi="Calibri" w:cs="Calibri"/>
                <w:color w:val="000000" w:themeColor="dark1"/>
                <w:kern w:val="24"/>
                <w:sz w:val="24"/>
                <w:szCs w:val="24"/>
                <w:lang w:eastAsia="en-GB"/>
              </w:rPr>
              <w:t xml:space="preserve">Ebonyi </w:t>
            </w:r>
          </w:p>
        </w:tc>
        <w:tc>
          <w:tcPr>
            <w:tcW w:w="15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A890296" w14:textId="77777777" w:rsidR="00547F82" w:rsidRDefault="00547F82" w:rsidP="00E75191">
            <w:pPr>
              <w:spacing w:line="240" w:lineRule="auto"/>
              <w:jc w:val="both"/>
              <w:textAlignment w:val="bottom"/>
              <w:rPr>
                <w:rFonts w:ascii="Arial" w:eastAsia="Times New Roman" w:hAnsi="Arial" w:cs="Arial"/>
                <w:sz w:val="24"/>
                <w:szCs w:val="24"/>
                <w:lang w:eastAsia="en-GB"/>
              </w:rPr>
            </w:pPr>
            <w:r>
              <w:rPr>
                <w:rFonts w:ascii="Calibri" w:eastAsia="Times New Roman" w:hAnsi="Calibri" w:cs="Calibri"/>
                <w:color w:val="000000" w:themeColor="dark1"/>
                <w:kern w:val="24"/>
                <w:sz w:val="24"/>
                <w:szCs w:val="24"/>
                <w:lang w:eastAsia="en-GB"/>
              </w:rPr>
              <w:t xml:space="preserve">Ogun </w:t>
            </w:r>
          </w:p>
        </w:tc>
        <w:tc>
          <w:tcPr>
            <w:tcW w:w="15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534EBDD" w14:textId="77777777" w:rsidR="00547F82" w:rsidRDefault="00547F82" w:rsidP="00E75191">
            <w:pPr>
              <w:spacing w:line="240" w:lineRule="auto"/>
              <w:jc w:val="both"/>
              <w:textAlignment w:val="bottom"/>
              <w:rPr>
                <w:rFonts w:ascii="Arial" w:eastAsia="Times New Roman" w:hAnsi="Arial" w:cs="Arial"/>
                <w:sz w:val="24"/>
                <w:szCs w:val="24"/>
                <w:lang w:eastAsia="en-GB"/>
              </w:rPr>
            </w:pPr>
            <w:r>
              <w:rPr>
                <w:rFonts w:ascii="Calibri" w:eastAsia="Times New Roman" w:hAnsi="Calibri" w:cs="Calibri"/>
                <w:color w:val="000000" w:themeColor="dark1"/>
                <w:kern w:val="24"/>
                <w:sz w:val="24"/>
                <w:szCs w:val="24"/>
                <w:lang w:eastAsia="en-GB"/>
              </w:rPr>
              <w:t xml:space="preserve">Cross River </w:t>
            </w:r>
          </w:p>
        </w:tc>
      </w:tr>
      <w:tr w:rsidR="00547F82" w14:paraId="582094E1" w14:textId="77777777" w:rsidTr="00547CC9">
        <w:trPr>
          <w:trHeight w:val="439"/>
          <w:jc w:val="center"/>
        </w:trPr>
        <w:tc>
          <w:tcPr>
            <w:tcW w:w="15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BF648E9" w14:textId="77777777" w:rsidR="00547F82" w:rsidRDefault="00547F82" w:rsidP="00E75191">
            <w:pPr>
              <w:spacing w:line="240" w:lineRule="auto"/>
              <w:jc w:val="both"/>
              <w:textAlignment w:val="bottom"/>
              <w:rPr>
                <w:rFonts w:ascii="Arial" w:eastAsia="Times New Roman" w:hAnsi="Arial" w:cs="Arial"/>
                <w:sz w:val="24"/>
                <w:szCs w:val="24"/>
                <w:lang w:eastAsia="en-GB"/>
              </w:rPr>
            </w:pPr>
            <w:r>
              <w:rPr>
                <w:rFonts w:ascii="Calibri" w:eastAsia="Times New Roman" w:hAnsi="Calibri" w:cs="Calibri"/>
                <w:color w:val="000000" w:themeColor="dark1"/>
                <w:kern w:val="24"/>
                <w:sz w:val="24"/>
                <w:szCs w:val="24"/>
                <w:lang w:eastAsia="en-GB"/>
              </w:rPr>
              <w:t xml:space="preserve">Niger </w:t>
            </w:r>
          </w:p>
        </w:tc>
        <w:tc>
          <w:tcPr>
            <w:tcW w:w="15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257CDFD" w14:textId="77777777" w:rsidR="00547F82" w:rsidRDefault="00547F82" w:rsidP="00E75191">
            <w:pPr>
              <w:spacing w:line="240" w:lineRule="auto"/>
              <w:jc w:val="both"/>
              <w:textAlignment w:val="bottom"/>
              <w:rPr>
                <w:rFonts w:ascii="Arial" w:eastAsia="Times New Roman" w:hAnsi="Arial" w:cs="Arial"/>
                <w:sz w:val="24"/>
                <w:szCs w:val="24"/>
                <w:lang w:eastAsia="en-GB"/>
              </w:rPr>
            </w:pPr>
            <w:r>
              <w:rPr>
                <w:rFonts w:ascii="Calibri" w:eastAsia="Times New Roman" w:hAnsi="Calibri" w:cs="Calibri"/>
                <w:color w:val="000000" w:themeColor="dark1"/>
                <w:kern w:val="24"/>
                <w:sz w:val="24"/>
                <w:szCs w:val="24"/>
                <w:lang w:eastAsia="en-GB"/>
              </w:rPr>
              <w:t xml:space="preserve">Gombe </w:t>
            </w:r>
          </w:p>
        </w:tc>
        <w:tc>
          <w:tcPr>
            <w:tcW w:w="15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D86375B" w14:textId="77777777" w:rsidR="00547F82" w:rsidRDefault="00547F82" w:rsidP="00E75191">
            <w:pPr>
              <w:spacing w:line="240" w:lineRule="auto"/>
              <w:jc w:val="both"/>
              <w:textAlignment w:val="bottom"/>
              <w:rPr>
                <w:rFonts w:ascii="Arial" w:eastAsia="Times New Roman" w:hAnsi="Arial" w:cs="Arial"/>
                <w:sz w:val="24"/>
                <w:szCs w:val="24"/>
                <w:lang w:eastAsia="en-GB"/>
              </w:rPr>
            </w:pPr>
            <w:r>
              <w:rPr>
                <w:rFonts w:ascii="Calibri" w:eastAsia="Times New Roman" w:hAnsi="Calibri" w:cs="Calibri"/>
                <w:color w:val="000000" w:themeColor="dark1"/>
                <w:kern w:val="24"/>
                <w:sz w:val="24"/>
                <w:szCs w:val="24"/>
                <w:lang w:eastAsia="en-GB"/>
              </w:rPr>
              <w:t xml:space="preserve">Katsina </w:t>
            </w:r>
          </w:p>
        </w:tc>
        <w:tc>
          <w:tcPr>
            <w:tcW w:w="15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1066CBC" w14:textId="77777777" w:rsidR="00547F82" w:rsidRDefault="00547F82" w:rsidP="00E75191">
            <w:pPr>
              <w:spacing w:line="240" w:lineRule="auto"/>
              <w:jc w:val="both"/>
              <w:textAlignment w:val="bottom"/>
              <w:rPr>
                <w:rFonts w:ascii="Arial" w:eastAsia="Times New Roman" w:hAnsi="Arial" w:cs="Arial"/>
                <w:sz w:val="24"/>
                <w:szCs w:val="24"/>
                <w:lang w:eastAsia="en-GB"/>
              </w:rPr>
            </w:pPr>
            <w:r>
              <w:rPr>
                <w:rFonts w:ascii="Calibri" w:eastAsia="Times New Roman" w:hAnsi="Calibri" w:cs="Calibri"/>
                <w:color w:val="000000" w:themeColor="dark1"/>
                <w:kern w:val="24"/>
                <w:sz w:val="24"/>
                <w:szCs w:val="24"/>
                <w:lang w:eastAsia="en-GB"/>
              </w:rPr>
              <w:t xml:space="preserve">Enugu </w:t>
            </w:r>
          </w:p>
        </w:tc>
        <w:tc>
          <w:tcPr>
            <w:tcW w:w="15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E86377F" w14:textId="77777777" w:rsidR="00547F82" w:rsidRDefault="00547F82" w:rsidP="00E75191">
            <w:pPr>
              <w:spacing w:line="240" w:lineRule="auto"/>
              <w:jc w:val="both"/>
              <w:textAlignment w:val="bottom"/>
              <w:rPr>
                <w:rFonts w:ascii="Arial" w:eastAsia="Times New Roman" w:hAnsi="Arial" w:cs="Arial"/>
                <w:sz w:val="24"/>
                <w:szCs w:val="24"/>
                <w:lang w:eastAsia="en-GB"/>
              </w:rPr>
            </w:pPr>
            <w:r>
              <w:rPr>
                <w:rFonts w:ascii="Calibri" w:eastAsia="Times New Roman" w:hAnsi="Calibri" w:cs="Calibri"/>
                <w:color w:val="000000" w:themeColor="dark1"/>
                <w:kern w:val="24"/>
                <w:sz w:val="24"/>
                <w:szCs w:val="24"/>
                <w:lang w:eastAsia="en-GB"/>
              </w:rPr>
              <w:t xml:space="preserve">Ondo </w:t>
            </w:r>
          </w:p>
        </w:tc>
        <w:tc>
          <w:tcPr>
            <w:tcW w:w="15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E0BDCC0" w14:textId="77777777" w:rsidR="00547F82" w:rsidRDefault="00547F82" w:rsidP="00E75191">
            <w:pPr>
              <w:spacing w:line="240" w:lineRule="auto"/>
              <w:jc w:val="both"/>
              <w:textAlignment w:val="bottom"/>
              <w:rPr>
                <w:rFonts w:ascii="Arial" w:eastAsia="Times New Roman" w:hAnsi="Arial" w:cs="Arial"/>
                <w:sz w:val="24"/>
                <w:szCs w:val="24"/>
                <w:lang w:eastAsia="en-GB"/>
              </w:rPr>
            </w:pPr>
            <w:r>
              <w:rPr>
                <w:rFonts w:ascii="Calibri" w:eastAsia="Times New Roman" w:hAnsi="Calibri" w:cs="Calibri"/>
                <w:color w:val="000000" w:themeColor="dark1"/>
                <w:kern w:val="24"/>
                <w:sz w:val="24"/>
                <w:szCs w:val="24"/>
                <w:lang w:eastAsia="en-GB"/>
              </w:rPr>
              <w:t xml:space="preserve">Rivers </w:t>
            </w:r>
          </w:p>
        </w:tc>
      </w:tr>
      <w:tr w:rsidR="00547F82" w14:paraId="7E1D6B25" w14:textId="77777777" w:rsidTr="00D92574">
        <w:trPr>
          <w:trHeight w:val="439"/>
          <w:jc w:val="center"/>
        </w:trPr>
        <w:tc>
          <w:tcPr>
            <w:tcW w:w="15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4FC6190" w14:textId="77777777" w:rsidR="00547F82" w:rsidRDefault="00547F82" w:rsidP="00E75191">
            <w:pPr>
              <w:spacing w:line="240" w:lineRule="auto"/>
              <w:jc w:val="both"/>
              <w:textAlignment w:val="bottom"/>
              <w:rPr>
                <w:rFonts w:ascii="Arial" w:eastAsia="Times New Roman" w:hAnsi="Arial" w:cs="Arial"/>
                <w:sz w:val="24"/>
                <w:szCs w:val="24"/>
                <w:lang w:eastAsia="en-GB"/>
              </w:rPr>
            </w:pPr>
            <w:r>
              <w:rPr>
                <w:rFonts w:ascii="Calibri" w:eastAsia="Times New Roman" w:hAnsi="Calibri" w:cs="Calibri"/>
                <w:color w:val="000000" w:themeColor="dark1"/>
                <w:kern w:val="24"/>
                <w:sz w:val="24"/>
                <w:szCs w:val="24"/>
                <w:lang w:eastAsia="en-GB"/>
              </w:rPr>
              <w:t xml:space="preserve">Plateau </w:t>
            </w:r>
          </w:p>
        </w:tc>
        <w:tc>
          <w:tcPr>
            <w:tcW w:w="15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137CBC0" w14:textId="77777777" w:rsidR="00547F82" w:rsidRDefault="00547F82" w:rsidP="00E75191">
            <w:pPr>
              <w:spacing w:line="240" w:lineRule="auto"/>
              <w:jc w:val="both"/>
              <w:textAlignment w:val="bottom"/>
              <w:rPr>
                <w:rFonts w:ascii="Arial" w:eastAsia="Times New Roman" w:hAnsi="Arial" w:cs="Arial"/>
                <w:sz w:val="24"/>
                <w:szCs w:val="24"/>
                <w:lang w:eastAsia="en-GB"/>
              </w:rPr>
            </w:pPr>
            <w:r>
              <w:rPr>
                <w:rFonts w:ascii="Calibri" w:eastAsia="Times New Roman" w:hAnsi="Calibri" w:cs="Calibri"/>
                <w:color w:val="000000" w:themeColor="dark1"/>
                <w:kern w:val="24"/>
                <w:sz w:val="24"/>
                <w:szCs w:val="24"/>
                <w:lang w:eastAsia="en-GB"/>
              </w:rPr>
              <w:t xml:space="preserve">Taraba </w:t>
            </w:r>
          </w:p>
        </w:tc>
        <w:tc>
          <w:tcPr>
            <w:tcW w:w="15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49030BC" w14:textId="77777777" w:rsidR="00547F82" w:rsidRDefault="00547F82" w:rsidP="00E75191">
            <w:pPr>
              <w:spacing w:line="240" w:lineRule="auto"/>
              <w:jc w:val="both"/>
              <w:textAlignment w:val="bottom"/>
              <w:rPr>
                <w:rFonts w:ascii="Arial" w:eastAsia="Times New Roman" w:hAnsi="Arial" w:cs="Arial"/>
                <w:sz w:val="24"/>
                <w:szCs w:val="24"/>
                <w:lang w:eastAsia="en-GB"/>
              </w:rPr>
            </w:pPr>
            <w:r>
              <w:rPr>
                <w:rFonts w:ascii="Calibri" w:eastAsia="Times New Roman" w:hAnsi="Calibri" w:cs="Calibri"/>
                <w:color w:val="000000" w:themeColor="dark1"/>
                <w:kern w:val="24"/>
                <w:sz w:val="24"/>
                <w:szCs w:val="24"/>
                <w:lang w:eastAsia="en-GB"/>
              </w:rPr>
              <w:t xml:space="preserve">Zamfara </w:t>
            </w:r>
          </w:p>
        </w:tc>
        <w:tc>
          <w:tcPr>
            <w:tcW w:w="15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AAA67AD" w14:textId="77777777" w:rsidR="00547F82" w:rsidRDefault="00547F82" w:rsidP="00E75191">
            <w:pPr>
              <w:spacing w:line="240" w:lineRule="auto"/>
              <w:jc w:val="both"/>
              <w:textAlignment w:val="bottom"/>
              <w:rPr>
                <w:rFonts w:ascii="Arial" w:eastAsia="Times New Roman" w:hAnsi="Arial" w:cs="Arial"/>
                <w:sz w:val="24"/>
                <w:szCs w:val="24"/>
                <w:lang w:eastAsia="en-GB"/>
              </w:rPr>
            </w:pPr>
            <w:r>
              <w:rPr>
                <w:rFonts w:ascii="Calibri" w:eastAsia="Times New Roman" w:hAnsi="Calibri" w:cs="Calibri"/>
                <w:color w:val="000000" w:themeColor="dark1"/>
                <w:kern w:val="24"/>
                <w:sz w:val="24"/>
                <w:szCs w:val="24"/>
                <w:lang w:eastAsia="en-GB"/>
              </w:rPr>
              <w:t xml:space="preserve">Imo </w:t>
            </w:r>
          </w:p>
        </w:tc>
        <w:tc>
          <w:tcPr>
            <w:tcW w:w="15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658275A" w14:textId="77777777" w:rsidR="00547F82" w:rsidRDefault="00547F82" w:rsidP="00E75191">
            <w:pPr>
              <w:spacing w:line="240" w:lineRule="auto"/>
              <w:jc w:val="both"/>
              <w:textAlignment w:val="bottom"/>
              <w:rPr>
                <w:rFonts w:ascii="Arial" w:eastAsia="Times New Roman" w:hAnsi="Arial" w:cs="Arial"/>
                <w:sz w:val="24"/>
                <w:szCs w:val="24"/>
                <w:lang w:eastAsia="en-GB"/>
              </w:rPr>
            </w:pPr>
            <w:r>
              <w:rPr>
                <w:rFonts w:ascii="Calibri" w:eastAsia="Times New Roman" w:hAnsi="Calibri" w:cs="Calibri"/>
                <w:color w:val="000000" w:themeColor="dark1"/>
                <w:kern w:val="24"/>
                <w:sz w:val="24"/>
                <w:szCs w:val="24"/>
                <w:lang w:eastAsia="en-GB"/>
              </w:rPr>
              <w:t xml:space="preserve">Osun </w:t>
            </w:r>
          </w:p>
        </w:tc>
        <w:tc>
          <w:tcPr>
            <w:tcW w:w="15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7EEA5074" w14:textId="77777777" w:rsidR="00547F82" w:rsidRDefault="00547F82" w:rsidP="00E75191">
            <w:pPr>
              <w:spacing w:line="240" w:lineRule="auto"/>
              <w:jc w:val="both"/>
              <w:textAlignment w:val="bottom"/>
              <w:rPr>
                <w:rFonts w:ascii="Arial" w:eastAsia="Times New Roman" w:hAnsi="Arial" w:cs="Arial"/>
                <w:sz w:val="24"/>
                <w:szCs w:val="24"/>
                <w:lang w:eastAsia="en-GB"/>
              </w:rPr>
            </w:pPr>
            <w:r>
              <w:rPr>
                <w:rFonts w:ascii="Calibri" w:eastAsia="Times New Roman" w:hAnsi="Calibri" w:cs="Calibri"/>
                <w:color w:val="000000" w:themeColor="dark1"/>
                <w:kern w:val="24"/>
                <w:sz w:val="24"/>
                <w:szCs w:val="24"/>
                <w:lang w:eastAsia="en-GB"/>
              </w:rPr>
              <w:t xml:space="preserve">Delta </w:t>
            </w:r>
          </w:p>
        </w:tc>
      </w:tr>
      <w:tr w:rsidR="00547F82" w14:paraId="2A3DE112" w14:textId="77777777" w:rsidTr="00D92574">
        <w:trPr>
          <w:trHeight w:val="439"/>
          <w:jc w:val="center"/>
        </w:trPr>
        <w:tc>
          <w:tcPr>
            <w:tcW w:w="15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5A5A5" w:themeFill="accent3"/>
            <w:hideMark/>
          </w:tcPr>
          <w:p w14:paraId="49A47821" w14:textId="77777777" w:rsidR="00547F82" w:rsidRDefault="00547F82" w:rsidP="00E75191">
            <w:pPr>
              <w:spacing w:line="240" w:lineRule="auto"/>
              <w:jc w:val="both"/>
              <w:textAlignment w:val="bottom"/>
              <w:rPr>
                <w:rFonts w:ascii="Arial" w:eastAsia="Times New Roman" w:hAnsi="Arial" w:cs="Arial"/>
                <w:sz w:val="24"/>
                <w:szCs w:val="24"/>
                <w:lang w:eastAsia="en-GB"/>
              </w:rPr>
            </w:pPr>
            <w:r>
              <w:rPr>
                <w:rFonts w:ascii="Calibri" w:eastAsia="Times New Roman" w:hAnsi="Calibri" w:cs="Calibri"/>
                <w:color w:val="000000" w:themeColor="dark1"/>
                <w:kern w:val="24"/>
                <w:sz w:val="24"/>
                <w:szCs w:val="24"/>
                <w:lang w:eastAsia="en-GB"/>
              </w:rPr>
              <w:t xml:space="preserve">FCT </w:t>
            </w:r>
          </w:p>
        </w:tc>
        <w:tc>
          <w:tcPr>
            <w:tcW w:w="15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A17669" w14:textId="77777777" w:rsidR="00547F82" w:rsidRDefault="00547F82" w:rsidP="00E75191">
            <w:pPr>
              <w:spacing w:line="240" w:lineRule="auto"/>
              <w:jc w:val="both"/>
              <w:textAlignment w:val="bottom"/>
              <w:rPr>
                <w:rFonts w:ascii="Arial" w:eastAsia="Times New Roman" w:hAnsi="Arial" w:cs="Arial"/>
                <w:sz w:val="24"/>
                <w:szCs w:val="24"/>
                <w:lang w:eastAsia="en-GB"/>
              </w:rPr>
            </w:pPr>
            <w:r>
              <w:rPr>
                <w:rFonts w:ascii="Calibri" w:eastAsia="Times New Roman" w:hAnsi="Calibri" w:cs="Calibri"/>
                <w:color w:val="000000" w:themeColor="dark1"/>
                <w:kern w:val="24"/>
                <w:sz w:val="24"/>
                <w:szCs w:val="24"/>
                <w:lang w:eastAsia="en-GB"/>
              </w:rPr>
              <w:t xml:space="preserve">Yobe </w:t>
            </w:r>
          </w:p>
        </w:tc>
        <w:tc>
          <w:tcPr>
            <w:tcW w:w="15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E486D9D" w14:textId="77777777" w:rsidR="00547F82" w:rsidRDefault="00547F82" w:rsidP="00E75191">
            <w:pPr>
              <w:spacing w:line="240" w:lineRule="auto"/>
              <w:jc w:val="both"/>
              <w:textAlignment w:val="bottom"/>
              <w:rPr>
                <w:rFonts w:ascii="Arial" w:eastAsia="Times New Roman" w:hAnsi="Arial" w:cs="Arial"/>
                <w:sz w:val="24"/>
                <w:szCs w:val="24"/>
                <w:lang w:eastAsia="en-GB"/>
              </w:rPr>
            </w:pPr>
            <w:r>
              <w:rPr>
                <w:rFonts w:ascii="Calibri" w:eastAsia="Times New Roman" w:hAnsi="Calibri" w:cs="Calibri"/>
                <w:color w:val="000000" w:themeColor="dark1"/>
                <w:kern w:val="24"/>
                <w:sz w:val="24"/>
                <w:szCs w:val="24"/>
                <w:lang w:eastAsia="en-GB"/>
              </w:rPr>
              <w:t xml:space="preserve">Kebbi </w:t>
            </w:r>
          </w:p>
        </w:tc>
        <w:tc>
          <w:tcPr>
            <w:tcW w:w="15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BA20737" w14:textId="77777777" w:rsidR="00547F82" w:rsidRDefault="00547F82" w:rsidP="00E75191">
            <w:pPr>
              <w:spacing w:line="240" w:lineRule="auto"/>
              <w:jc w:val="both"/>
              <w:textAlignment w:val="bottom"/>
              <w:rPr>
                <w:rFonts w:ascii="Arial" w:eastAsia="Times New Roman" w:hAnsi="Arial" w:cs="Arial"/>
                <w:sz w:val="24"/>
                <w:szCs w:val="24"/>
                <w:lang w:eastAsia="en-GB"/>
              </w:rPr>
            </w:pPr>
            <w:r>
              <w:rPr>
                <w:rFonts w:ascii="Calibri" w:eastAsia="Times New Roman" w:hAnsi="Calibri" w:cs="Calibri"/>
                <w:color w:val="000000" w:themeColor="dark1"/>
                <w:kern w:val="24"/>
                <w:sz w:val="24"/>
                <w:szCs w:val="24"/>
                <w:lang w:eastAsia="en-GB"/>
              </w:rPr>
              <w:t> </w:t>
            </w:r>
          </w:p>
        </w:tc>
        <w:tc>
          <w:tcPr>
            <w:tcW w:w="15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1FB8107" w14:textId="77777777" w:rsidR="00547F82" w:rsidRDefault="00547F82" w:rsidP="00E75191">
            <w:pPr>
              <w:spacing w:line="240" w:lineRule="auto"/>
              <w:jc w:val="both"/>
              <w:textAlignment w:val="bottom"/>
              <w:rPr>
                <w:rFonts w:ascii="Arial" w:eastAsia="Times New Roman" w:hAnsi="Arial" w:cs="Arial"/>
                <w:sz w:val="24"/>
                <w:szCs w:val="24"/>
                <w:lang w:eastAsia="en-GB"/>
              </w:rPr>
            </w:pPr>
            <w:r>
              <w:rPr>
                <w:rFonts w:ascii="Calibri" w:eastAsia="Times New Roman" w:hAnsi="Calibri" w:cs="Calibri"/>
                <w:color w:val="000000" w:themeColor="dark1"/>
                <w:kern w:val="24"/>
                <w:sz w:val="24"/>
                <w:szCs w:val="24"/>
                <w:lang w:eastAsia="en-GB"/>
              </w:rPr>
              <w:t xml:space="preserve">Oyo </w:t>
            </w:r>
          </w:p>
        </w:tc>
        <w:tc>
          <w:tcPr>
            <w:tcW w:w="15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EAAAA" w:themeFill="background2" w:themeFillShade="BF"/>
            <w:hideMark/>
          </w:tcPr>
          <w:p w14:paraId="1891BE4A" w14:textId="77777777" w:rsidR="00547F82" w:rsidRDefault="00547F82" w:rsidP="00E75191">
            <w:pPr>
              <w:spacing w:line="240" w:lineRule="auto"/>
              <w:jc w:val="both"/>
              <w:textAlignment w:val="bottom"/>
              <w:rPr>
                <w:rFonts w:ascii="Arial" w:eastAsia="Times New Roman" w:hAnsi="Arial" w:cs="Arial"/>
                <w:sz w:val="24"/>
                <w:szCs w:val="24"/>
                <w:lang w:eastAsia="en-GB"/>
              </w:rPr>
            </w:pPr>
            <w:r>
              <w:rPr>
                <w:rFonts w:ascii="Calibri" w:eastAsia="Times New Roman" w:hAnsi="Calibri" w:cs="Calibri"/>
                <w:color w:val="000000" w:themeColor="dark1"/>
                <w:kern w:val="24"/>
                <w:sz w:val="24"/>
                <w:szCs w:val="24"/>
                <w:lang w:eastAsia="en-GB"/>
              </w:rPr>
              <w:t xml:space="preserve">Edo </w:t>
            </w:r>
          </w:p>
        </w:tc>
      </w:tr>
      <w:tr w:rsidR="00547F82" w14:paraId="34429B02" w14:textId="77777777" w:rsidTr="00547CC9">
        <w:trPr>
          <w:trHeight w:val="439"/>
          <w:jc w:val="center"/>
        </w:trPr>
        <w:tc>
          <w:tcPr>
            <w:tcW w:w="15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2F02E42" w14:textId="77777777" w:rsidR="00547F82" w:rsidRDefault="00547F82" w:rsidP="00E75191">
            <w:pPr>
              <w:spacing w:line="240" w:lineRule="auto"/>
              <w:jc w:val="both"/>
              <w:textAlignment w:val="bottom"/>
              <w:rPr>
                <w:rFonts w:ascii="Arial" w:eastAsia="Times New Roman" w:hAnsi="Arial" w:cs="Arial"/>
                <w:sz w:val="24"/>
                <w:szCs w:val="24"/>
                <w:lang w:eastAsia="en-GB"/>
              </w:rPr>
            </w:pPr>
            <w:r>
              <w:rPr>
                <w:rFonts w:ascii="Calibri" w:eastAsia="Times New Roman" w:hAnsi="Calibri" w:cs="Calibri"/>
                <w:color w:val="000000" w:themeColor="dark1"/>
                <w:kern w:val="24"/>
                <w:sz w:val="24"/>
                <w:szCs w:val="24"/>
                <w:lang w:eastAsia="en-GB"/>
              </w:rPr>
              <w:t xml:space="preserve">Benue </w:t>
            </w:r>
          </w:p>
        </w:tc>
        <w:tc>
          <w:tcPr>
            <w:tcW w:w="15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32B4EB9" w14:textId="77777777" w:rsidR="00547F82" w:rsidRDefault="00547F82" w:rsidP="00E75191">
            <w:pPr>
              <w:spacing w:line="240" w:lineRule="auto"/>
              <w:jc w:val="both"/>
              <w:textAlignment w:val="bottom"/>
              <w:rPr>
                <w:rFonts w:ascii="Arial" w:eastAsia="Times New Roman" w:hAnsi="Arial" w:cs="Arial"/>
                <w:sz w:val="24"/>
                <w:szCs w:val="24"/>
                <w:lang w:eastAsia="en-GB"/>
              </w:rPr>
            </w:pPr>
            <w:r>
              <w:rPr>
                <w:rFonts w:ascii="Calibri" w:eastAsia="Times New Roman" w:hAnsi="Calibri" w:cs="Calibri"/>
                <w:color w:val="000000" w:themeColor="dark1"/>
                <w:kern w:val="24"/>
                <w:sz w:val="24"/>
                <w:szCs w:val="24"/>
                <w:lang w:eastAsia="en-GB"/>
              </w:rPr>
              <w:t> </w:t>
            </w:r>
          </w:p>
        </w:tc>
        <w:tc>
          <w:tcPr>
            <w:tcW w:w="15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F780A9D" w14:textId="77777777" w:rsidR="00547F82" w:rsidRDefault="00547F82" w:rsidP="00E75191">
            <w:pPr>
              <w:spacing w:line="240" w:lineRule="auto"/>
              <w:jc w:val="both"/>
              <w:textAlignment w:val="bottom"/>
              <w:rPr>
                <w:rFonts w:ascii="Arial" w:eastAsia="Times New Roman" w:hAnsi="Arial" w:cs="Arial"/>
                <w:sz w:val="24"/>
                <w:szCs w:val="24"/>
                <w:lang w:eastAsia="en-GB"/>
              </w:rPr>
            </w:pPr>
            <w:r>
              <w:rPr>
                <w:rFonts w:ascii="Calibri" w:eastAsia="Times New Roman" w:hAnsi="Calibri" w:cs="Calibri"/>
                <w:color w:val="000000" w:themeColor="dark1"/>
                <w:kern w:val="24"/>
                <w:sz w:val="24"/>
                <w:szCs w:val="24"/>
                <w:lang w:eastAsia="en-GB"/>
              </w:rPr>
              <w:t xml:space="preserve">Sokoto </w:t>
            </w:r>
          </w:p>
        </w:tc>
        <w:tc>
          <w:tcPr>
            <w:tcW w:w="15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B3C092C" w14:textId="77777777" w:rsidR="00547F82" w:rsidRDefault="00547F82" w:rsidP="00E75191">
            <w:pPr>
              <w:spacing w:line="240" w:lineRule="auto"/>
              <w:jc w:val="both"/>
              <w:textAlignment w:val="bottom"/>
              <w:rPr>
                <w:rFonts w:ascii="Arial" w:eastAsia="Times New Roman" w:hAnsi="Arial" w:cs="Arial"/>
                <w:sz w:val="24"/>
                <w:szCs w:val="24"/>
                <w:lang w:eastAsia="en-GB"/>
              </w:rPr>
            </w:pPr>
            <w:r>
              <w:rPr>
                <w:rFonts w:ascii="Calibri" w:eastAsia="Times New Roman" w:hAnsi="Calibri" w:cs="Calibri"/>
                <w:color w:val="000000" w:themeColor="dark1"/>
                <w:kern w:val="24"/>
                <w:sz w:val="24"/>
                <w:szCs w:val="24"/>
                <w:lang w:eastAsia="en-GB"/>
              </w:rPr>
              <w:t> </w:t>
            </w:r>
          </w:p>
        </w:tc>
        <w:tc>
          <w:tcPr>
            <w:tcW w:w="15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938922E" w14:textId="77777777" w:rsidR="00547F82" w:rsidRDefault="00547F82" w:rsidP="00E75191">
            <w:pPr>
              <w:spacing w:line="240" w:lineRule="auto"/>
              <w:jc w:val="both"/>
              <w:textAlignment w:val="bottom"/>
              <w:rPr>
                <w:rFonts w:ascii="Arial" w:eastAsia="Times New Roman" w:hAnsi="Arial" w:cs="Arial"/>
                <w:sz w:val="24"/>
                <w:szCs w:val="24"/>
                <w:lang w:eastAsia="en-GB"/>
              </w:rPr>
            </w:pPr>
            <w:r>
              <w:rPr>
                <w:rFonts w:ascii="Calibri" w:eastAsia="Times New Roman" w:hAnsi="Calibri" w:cs="Calibri"/>
                <w:color w:val="000000" w:themeColor="dark1"/>
                <w:kern w:val="24"/>
                <w:sz w:val="24"/>
                <w:szCs w:val="24"/>
                <w:lang w:eastAsia="en-GB"/>
              </w:rPr>
              <w:t> </w:t>
            </w:r>
          </w:p>
        </w:tc>
        <w:tc>
          <w:tcPr>
            <w:tcW w:w="15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A4CED91" w14:textId="77777777" w:rsidR="00547F82" w:rsidRDefault="00547F82" w:rsidP="00E75191">
            <w:pPr>
              <w:spacing w:line="240" w:lineRule="auto"/>
              <w:jc w:val="both"/>
              <w:textAlignment w:val="bottom"/>
              <w:rPr>
                <w:rFonts w:ascii="Arial" w:eastAsia="Times New Roman" w:hAnsi="Arial" w:cs="Arial"/>
                <w:sz w:val="24"/>
                <w:szCs w:val="24"/>
                <w:lang w:eastAsia="en-GB"/>
              </w:rPr>
            </w:pPr>
            <w:r>
              <w:rPr>
                <w:rFonts w:ascii="Calibri" w:eastAsia="Times New Roman" w:hAnsi="Calibri" w:cs="Calibri"/>
                <w:color w:val="000000" w:themeColor="dark1"/>
                <w:kern w:val="24"/>
                <w:sz w:val="24"/>
                <w:szCs w:val="24"/>
                <w:lang w:eastAsia="en-GB"/>
              </w:rPr>
              <w:t> </w:t>
            </w:r>
          </w:p>
        </w:tc>
      </w:tr>
    </w:tbl>
    <w:p w14:paraId="7A417291" w14:textId="77777777" w:rsidR="00547F82" w:rsidRDefault="00547F82" w:rsidP="00E75191">
      <w:pPr>
        <w:spacing w:line="240" w:lineRule="auto"/>
        <w:jc w:val="both"/>
        <w:rPr>
          <w:sz w:val="24"/>
          <w:szCs w:val="24"/>
          <w:lang w:val="en-US"/>
        </w:rPr>
      </w:pPr>
    </w:p>
    <w:p w14:paraId="3BD51285" w14:textId="77777777" w:rsidR="00547F82" w:rsidRDefault="00547F82" w:rsidP="00E75191">
      <w:pPr>
        <w:pStyle w:val="Heading2"/>
        <w:spacing w:line="240" w:lineRule="auto"/>
        <w:jc w:val="both"/>
        <w:rPr>
          <w:sz w:val="24"/>
          <w:szCs w:val="24"/>
          <w:lang w:val="en-US"/>
        </w:rPr>
      </w:pPr>
      <w:bookmarkStart w:id="61" w:name="_Toc74920927"/>
      <w:bookmarkStart w:id="62" w:name="_Toc81229108"/>
      <w:r>
        <w:rPr>
          <w:sz w:val="24"/>
          <w:szCs w:val="24"/>
          <w:lang w:val="en-US"/>
        </w:rPr>
        <w:t>F</w:t>
      </w:r>
      <w:r w:rsidR="00EB6159">
        <w:rPr>
          <w:sz w:val="24"/>
          <w:szCs w:val="24"/>
          <w:lang w:val="en-US"/>
        </w:rPr>
        <w:t>ocus Group Discussions</w:t>
      </w:r>
      <w:bookmarkEnd w:id="61"/>
      <w:bookmarkEnd w:id="62"/>
    </w:p>
    <w:p w14:paraId="78345D3E" w14:textId="77777777" w:rsidR="00547F82" w:rsidRDefault="00547F82" w:rsidP="00E75191">
      <w:pPr>
        <w:spacing w:line="240" w:lineRule="auto"/>
        <w:jc w:val="both"/>
        <w:rPr>
          <w:sz w:val="24"/>
          <w:szCs w:val="24"/>
          <w:lang w:val="en-US"/>
        </w:rPr>
      </w:pPr>
      <w:r>
        <w:rPr>
          <w:sz w:val="24"/>
          <w:szCs w:val="24"/>
          <w:lang w:val="en-US"/>
        </w:rPr>
        <w:t xml:space="preserve">Focus group discussions are to be held with grassroots organizations, households, minority groups and other stakeholders where necessary to ensure that local perspectives per context </w:t>
      </w:r>
      <w:r>
        <w:rPr>
          <w:sz w:val="24"/>
          <w:szCs w:val="24"/>
          <w:lang w:val="en-US"/>
        </w:rPr>
        <w:lastRenderedPageBreak/>
        <w:t>are reflected in the profile. In each state, there would be two FGDs held in each state with the following categories of persons:</w:t>
      </w:r>
    </w:p>
    <w:p w14:paraId="0BEA0711" w14:textId="77777777" w:rsidR="00547F82" w:rsidRDefault="00547F82" w:rsidP="00E75191">
      <w:pPr>
        <w:pStyle w:val="ListParagraph"/>
        <w:numPr>
          <w:ilvl w:val="0"/>
          <w:numId w:val="4"/>
        </w:numPr>
        <w:spacing w:line="240" w:lineRule="auto"/>
        <w:jc w:val="both"/>
        <w:rPr>
          <w:sz w:val="24"/>
          <w:szCs w:val="24"/>
          <w:lang w:val="en-US"/>
        </w:rPr>
      </w:pPr>
      <w:r>
        <w:rPr>
          <w:sz w:val="24"/>
          <w:szCs w:val="24"/>
          <w:lang w:val="en-US"/>
        </w:rPr>
        <w:t>Rural (or urban) poor women (a total of 10 participants including widows, farmers, women petty traders, rural community women leader and women that previously experienced abuse.</w:t>
      </w:r>
    </w:p>
    <w:p w14:paraId="2C1DCE40" w14:textId="77777777" w:rsidR="00547F82" w:rsidRDefault="00547F82" w:rsidP="00E75191">
      <w:pPr>
        <w:pStyle w:val="ListParagraph"/>
        <w:numPr>
          <w:ilvl w:val="0"/>
          <w:numId w:val="4"/>
        </w:numPr>
        <w:spacing w:line="240" w:lineRule="auto"/>
        <w:jc w:val="both"/>
        <w:rPr>
          <w:sz w:val="24"/>
          <w:szCs w:val="24"/>
          <w:lang w:val="en-US"/>
        </w:rPr>
      </w:pPr>
      <w:r>
        <w:rPr>
          <w:sz w:val="24"/>
          <w:szCs w:val="24"/>
          <w:lang w:val="en-US"/>
        </w:rPr>
        <w:t>CSOs, representatives of minority groups (e.g. women with disabilities) and private sector entities working in each state.</w:t>
      </w:r>
    </w:p>
    <w:p w14:paraId="0E7E3423" w14:textId="77777777" w:rsidR="00547F82" w:rsidRDefault="00547F82" w:rsidP="00E75191">
      <w:pPr>
        <w:pStyle w:val="Heading2"/>
        <w:spacing w:line="240" w:lineRule="auto"/>
        <w:jc w:val="both"/>
        <w:rPr>
          <w:sz w:val="24"/>
          <w:szCs w:val="24"/>
          <w:lang w:val="en-US"/>
        </w:rPr>
      </w:pPr>
      <w:bookmarkStart w:id="63" w:name="_Toc74920928"/>
      <w:bookmarkStart w:id="64" w:name="_Toc81229109"/>
      <w:r>
        <w:rPr>
          <w:sz w:val="24"/>
          <w:szCs w:val="24"/>
          <w:lang w:val="en-US"/>
        </w:rPr>
        <w:t>K</w:t>
      </w:r>
      <w:bookmarkEnd w:id="63"/>
      <w:r>
        <w:rPr>
          <w:sz w:val="24"/>
          <w:szCs w:val="24"/>
          <w:lang w:val="en-US"/>
        </w:rPr>
        <w:t>ey Informant Interviews</w:t>
      </w:r>
      <w:bookmarkEnd w:id="64"/>
    </w:p>
    <w:p w14:paraId="1AA2CFC0" w14:textId="77777777" w:rsidR="00547F82" w:rsidRDefault="00547F82" w:rsidP="00E75191">
      <w:pPr>
        <w:spacing w:line="240" w:lineRule="auto"/>
        <w:jc w:val="both"/>
        <w:rPr>
          <w:sz w:val="24"/>
          <w:szCs w:val="24"/>
          <w:lang w:val="en-US"/>
        </w:rPr>
      </w:pPr>
      <w:r>
        <w:rPr>
          <w:sz w:val="24"/>
          <w:szCs w:val="24"/>
          <w:lang w:val="en-US"/>
        </w:rPr>
        <w:t>Key informant interviews are to be held with respondents drawn from NGOs, private sector entities and other organizations working with gender/cross cutting areas with presence at the national level. KII will also be conducted with government ministries, departments and agencies shall be conducted to obtain industry specific information on issues such as employment, social inclusion etc. In each state, the following categories would be interviewed:</w:t>
      </w:r>
    </w:p>
    <w:p w14:paraId="7308B298" w14:textId="77777777" w:rsidR="00547F82" w:rsidRDefault="00547F82" w:rsidP="00E75191">
      <w:pPr>
        <w:spacing w:line="240" w:lineRule="auto"/>
        <w:jc w:val="both"/>
        <w:rPr>
          <w:b/>
          <w:sz w:val="24"/>
          <w:szCs w:val="24"/>
          <w:lang w:val="en-US"/>
        </w:rPr>
      </w:pPr>
      <w:r>
        <w:rPr>
          <w:b/>
          <w:sz w:val="24"/>
          <w:szCs w:val="24"/>
          <w:lang w:val="en-US"/>
        </w:rPr>
        <w:t>State Level Interviews</w:t>
      </w:r>
    </w:p>
    <w:tbl>
      <w:tblPr>
        <w:tblW w:w="0" w:type="auto"/>
        <w:tblLook w:val="04A0" w:firstRow="1" w:lastRow="0" w:firstColumn="1" w:lastColumn="0" w:noHBand="0" w:noVBand="1"/>
      </w:tblPr>
      <w:tblGrid>
        <w:gridCol w:w="828"/>
        <w:gridCol w:w="5333"/>
        <w:gridCol w:w="2407"/>
      </w:tblGrid>
      <w:tr w:rsidR="00547F82" w14:paraId="3DA22C4E" w14:textId="77777777" w:rsidTr="00547CC9">
        <w:tc>
          <w:tcPr>
            <w:tcW w:w="828" w:type="dxa"/>
            <w:tcBorders>
              <w:top w:val="single" w:sz="4" w:space="0" w:color="auto"/>
              <w:left w:val="single" w:sz="4" w:space="0" w:color="auto"/>
              <w:bottom w:val="single" w:sz="4" w:space="0" w:color="auto"/>
              <w:right w:val="single" w:sz="4" w:space="0" w:color="auto"/>
            </w:tcBorders>
          </w:tcPr>
          <w:p w14:paraId="2FB853C0" w14:textId="77777777" w:rsidR="00547F82" w:rsidRDefault="00547F82" w:rsidP="00E75191">
            <w:pPr>
              <w:spacing w:line="240" w:lineRule="auto"/>
              <w:jc w:val="both"/>
              <w:rPr>
                <w:b/>
                <w:sz w:val="24"/>
                <w:szCs w:val="24"/>
              </w:rPr>
            </w:pPr>
          </w:p>
        </w:tc>
        <w:tc>
          <w:tcPr>
            <w:tcW w:w="5333" w:type="dxa"/>
            <w:tcBorders>
              <w:top w:val="single" w:sz="4" w:space="0" w:color="auto"/>
              <w:left w:val="single" w:sz="4" w:space="0" w:color="auto"/>
              <w:bottom w:val="single" w:sz="4" w:space="0" w:color="auto"/>
              <w:right w:val="single" w:sz="4" w:space="0" w:color="auto"/>
            </w:tcBorders>
            <w:hideMark/>
          </w:tcPr>
          <w:p w14:paraId="4D71C132" w14:textId="77777777" w:rsidR="00547F82" w:rsidRDefault="00547F82" w:rsidP="00E75191">
            <w:pPr>
              <w:spacing w:line="240" w:lineRule="auto"/>
              <w:jc w:val="both"/>
              <w:rPr>
                <w:b/>
                <w:sz w:val="24"/>
                <w:szCs w:val="24"/>
              </w:rPr>
            </w:pPr>
            <w:r>
              <w:rPr>
                <w:b/>
                <w:sz w:val="24"/>
                <w:szCs w:val="24"/>
              </w:rPr>
              <w:t>Category</w:t>
            </w:r>
          </w:p>
        </w:tc>
        <w:tc>
          <w:tcPr>
            <w:tcW w:w="2407" w:type="dxa"/>
            <w:tcBorders>
              <w:top w:val="single" w:sz="4" w:space="0" w:color="auto"/>
              <w:left w:val="single" w:sz="4" w:space="0" w:color="auto"/>
              <w:bottom w:val="single" w:sz="4" w:space="0" w:color="auto"/>
              <w:right w:val="single" w:sz="4" w:space="0" w:color="auto"/>
            </w:tcBorders>
            <w:hideMark/>
          </w:tcPr>
          <w:p w14:paraId="200D69D7" w14:textId="77777777" w:rsidR="00547F82" w:rsidRDefault="00547F82" w:rsidP="00E75191">
            <w:pPr>
              <w:spacing w:line="240" w:lineRule="auto"/>
              <w:jc w:val="both"/>
              <w:rPr>
                <w:b/>
                <w:sz w:val="24"/>
                <w:szCs w:val="24"/>
              </w:rPr>
            </w:pPr>
            <w:r>
              <w:rPr>
                <w:b/>
                <w:sz w:val="24"/>
                <w:szCs w:val="24"/>
              </w:rPr>
              <w:t>Number of Interviews</w:t>
            </w:r>
          </w:p>
        </w:tc>
      </w:tr>
      <w:tr w:rsidR="00547F82" w14:paraId="0FE711E0" w14:textId="77777777" w:rsidTr="00547CC9">
        <w:tc>
          <w:tcPr>
            <w:tcW w:w="828" w:type="dxa"/>
            <w:tcBorders>
              <w:top w:val="single" w:sz="4" w:space="0" w:color="auto"/>
              <w:left w:val="single" w:sz="4" w:space="0" w:color="auto"/>
              <w:bottom w:val="single" w:sz="4" w:space="0" w:color="auto"/>
              <w:right w:val="single" w:sz="4" w:space="0" w:color="auto"/>
            </w:tcBorders>
          </w:tcPr>
          <w:p w14:paraId="118A85F4" w14:textId="77777777" w:rsidR="00547F82" w:rsidRDefault="00547F82" w:rsidP="00E75191">
            <w:pPr>
              <w:pStyle w:val="ListParagraph"/>
              <w:numPr>
                <w:ilvl w:val="0"/>
                <w:numId w:val="5"/>
              </w:numPr>
              <w:spacing w:line="240" w:lineRule="auto"/>
              <w:jc w:val="both"/>
              <w:rPr>
                <w:sz w:val="24"/>
                <w:szCs w:val="24"/>
                <w:lang w:val="en-US"/>
              </w:rPr>
            </w:pPr>
          </w:p>
        </w:tc>
        <w:tc>
          <w:tcPr>
            <w:tcW w:w="5333" w:type="dxa"/>
            <w:tcBorders>
              <w:top w:val="single" w:sz="4" w:space="0" w:color="auto"/>
              <w:left w:val="single" w:sz="4" w:space="0" w:color="auto"/>
              <w:bottom w:val="single" w:sz="4" w:space="0" w:color="auto"/>
              <w:right w:val="single" w:sz="4" w:space="0" w:color="auto"/>
            </w:tcBorders>
            <w:hideMark/>
          </w:tcPr>
          <w:p w14:paraId="0A419E69" w14:textId="77777777" w:rsidR="00547F82" w:rsidRDefault="00547F82" w:rsidP="00E75191">
            <w:pPr>
              <w:spacing w:line="240" w:lineRule="auto"/>
              <w:jc w:val="both"/>
              <w:rPr>
                <w:sz w:val="24"/>
                <w:szCs w:val="24"/>
              </w:rPr>
            </w:pPr>
            <w:r>
              <w:rPr>
                <w:sz w:val="24"/>
                <w:szCs w:val="24"/>
              </w:rPr>
              <w:t>State Ministry of Women Affairs and Social Development (someone from the level of deputy director and above)</w:t>
            </w:r>
          </w:p>
        </w:tc>
        <w:tc>
          <w:tcPr>
            <w:tcW w:w="2407" w:type="dxa"/>
            <w:tcBorders>
              <w:top w:val="single" w:sz="4" w:space="0" w:color="auto"/>
              <w:left w:val="single" w:sz="4" w:space="0" w:color="auto"/>
              <w:bottom w:val="single" w:sz="4" w:space="0" w:color="auto"/>
              <w:right w:val="single" w:sz="4" w:space="0" w:color="auto"/>
            </w:tcBorders>
            <w:hideMark/>
          </w:tcPr>
          <w:p w14:paraId="1266E189" w14:textId="77777777" w:rsidR="00547F82" w:rsidRDefault="00547F82" w:rsidP="00E75191">
            <w:pPr>
              <w:spacing w:line="240" w:lineRule="auto"/>
              <w:jc w:val="both"/>
              <w:rPr>
                <w:sz w:val="24"/>
                <w:szCs w:val="24"/>
              </w:rPr>
            </w:pPr>
            <w:r>
              <w:rPr>
                <w:sz w:val="24"/>
                <w:szCs w:val="24"/>
              </w:rPr>
              <w:t>2</w:t>
            </w:r>
          </w:p>
        </w:tc>
      </w:tr>
      <w:tr w:rsidR="00547F82" w14:paraId="74060B53" w14:textId="77777777" w:rsidTr="00547CC9">
        <w:tc>
          <w:tcPr>
            <w:tcW w:w="828" w:type="dxa"/>
            <w:tcBorders>
              <w:top w:val="single" w:sz="4" w:space="0" w:color="auto"/>
              <w:left w:val="single" w:sz="4" w:space="0" w:color="auto"/>
              <w:bottom w:val="single" w:sz="4" w:space="0" w:color="auto"/>
              <w:right w:val="single" w:sz="4" w:space="0" w:color="auto"/>
            </w:tcBorders>
          </w:tcPr>
          <w:p w14:paraId="2EA56E55" w14:textId="77777777" w:rsidR="00547F82" w:rsidRDefault="00547F82" w:rsidP="00E75191">
            <w:pPr>
              <w:pStyle w:val="ListParagraph"/>
              <w:numPr>
                <w:ilvl w:val="0"/>
                <w:numId w:val="5"/>
              </w:numPr>
              <w:spacing w:line="240" w:lineRule="auto"/>
              <w:jc w:val="both"/>
              <w:rPr>
                <w:sz w:val="24"/>
                <w:szCs w:val="24"/>
                <w:lang w:val="en-US"/>
              </w:rPr>
            </w:pPr>
          </w:p>
        </w:tc>
        <w:tc>
          <w:tcPr>
            <w:tcW w:w="5333" w:type="dxa"/>
            <w:tcBorders>
              <w:top w:val="single" w:sz="4" w:space="0" w:color="auto"/>
              <w:left w:val="single" w:sz="4" w:space="0" w:color="auto"/>
              <w:bottom w:val="single" w:sz="4" w:space="0" w:color="auto"/>
              <w:right w:val="single" w:sz="4" w:space="0" w:color="auto"/>
            </w:tcBorders>
            <w:hideMark/>
          </w:tcPr>
          <w:p w14:paraId="1B866FF3" w14:textId="77777777" w:rsidR="00547F82" w:rsidRDefault="00547F82" w:rsidP="00E75191">
            <w:pPr>
              <w:spacing w:line="240" w:lineRule="auto"/>
              <w:jc w:val="both"/>
              <w:rPr>
                <w:sz w:val="24"/>
                <w:szCs w:val="24"/>
              </w:rPr>
            </w:pPr>
            <w:r>
              <w:rPr>
                <w:sz w:val="24"/>
                <w:szCs w:val="24"/>
              </w:rPr>
              <w:t>CSO women leader</w:t>
            </w:r>
          </w:p>
        </w:tc>
        <w:tc>
          <w:tcPr>
            <w:tcW w:w="2407" w:type="dxa"/>
            <w:tcBorders>
              <w:top w:val="single" w:sz="4" w:space="0" w:color="auto"/>
              <w:left w:val="single" w:sz="4" w:space="0" w:color="auto"/>
              <w:bottom w:val="single" w:sz="4" w:space="0" w:color="auto"/>
              <w:right w:val="single" w:sz="4" w:space="0" w:color="auto"/>
            </w:tcBorders>
            <w:hideMark/>
          </w:tcPr>
          <w:p w14:paraId="0F81722E" w14:textId="77777777" w:rsidR="00547F82" w:rsidRDefault="00547F82" w:rsidP="00E75191">
            <w:pPr>
              <w:spacing w:line="240" w:lineRule="auto"/>
              <w:jc w:val="both"/>
              <w:rPr>
                <w:sz w:val="24"/>
                <w:szCs w:val="24"/>
              </w:rPr>
            </w:pPr>
            <w:r>
              <w:rPr>
                <w:sz w:val="24"/>
                <w:szCs w:val="24"/>
              </w:rPr>
              <w:t>2</w:t>
            </w:r>
          </w:p>
        </w:tc>
      </w:tr>
      <w:tr w:rsidR="00547F82" w14:paraId="4AC40B0D" w14:textId="77777777" w:rsidTr="00547CC9">
        <w:tc>
          <w:tcPr>
            <w:tcW w:w="828" w:type="dxa"/>
            <w:tcBorders>
              <w:top w:val="single" w:sz="4" w:space="0" w:color="auto"/>
              <w:left w:val="single" w:sz="4" w:space="0" w:color="auto"/>
              <w:bottom w:val="single" w:sz="4" w:space="0" w:color="auto"/>
              <w:right w:val="single" w:sz="4" w:space="0" w:color="auto"/>
            </w:tcBorders>
          </w:tcPr>
          <w:p w14:paraId="26ED6D55" w14:textId="77777777" w:rsidR="00547F82" w:rsidRDefault="00547F82" w:rsidP="00E75191">
            <w:pPr>
              <w:pStyle w:val="ListParagraph"/>
              <w:numPr>
                <w:ilvl w:val="0"/>
                <w:numId w:val="5"/>
              </w:numPr>
              <w:spacing w:line="240" w:lineRule="auto"/>
              <w:jc w:val="both"/>
              <w:rPr>
                <w:sz w:val="24"/>
                <w:szCs w:val="24"/>
                <w:lang w:val="en-US"/>
              </w:rPr>
            </w:pPr>
          </w:p>
        </w:tc>
        <w:tc>
          <w:tcPr>
            <w:tcW w:w="5333" w:type="dxa"/>
            <w:tcBorders>
              <w:top w:val="single" w:sz="4" w:space="0" w:color="auto"/>
              <w:left w:val="single" w:sz="4" w:space="0" w:color="auto"/>
              <w:bottom w:val="single" w:sz="4" w:space="0" w:color="auto"/>
              <w:right w:val="single" w:sz="4" w:space="0" w:color="auto"/>
            </w:tcBorders>
            <w:hideMark/>
          </w:tcPr>
          <w:p w14:paraId="7D882B38" w14:textId="77777777" w:rsidR="00547F82" w:rsidRDefault="00547F82" w:rsidP="00E75191">
            <w:pPr>
              <w:spacing w:line="240" w:lineRule="auto"/>
              <w:jc w:val="both"/>
              <w:rPr>
                <w:sz w:val="24"/>
                <w:szCs w:val="24"/>
              </w:rPr>
            </w:pPr>
            <w:r>
              <w:rPr>
                <w:sz w:val="24"/>
                <w:szCs w:val="24"/>
              </w:rPr>
              <w:t>Community-based women leaders</w:t>
            </w:r>
          </w:p>
        </w:tc>
        <w:tc>
          <w:tcPr>
            <w:tcW w:w="2407" w:type="dxa"/>
            <w:tcBorders>
              <w:top w:val="single" w:sz="4" w:space="0" w:color="auto"/>
              <w:left w:val="single" w:sz="4" w:space="0" w:color="auto"/>
              <w:bottom w:val="single" w:sz="4" w:space="0" w:color="auto"/>
              <w:right w:val="single" w:sz="4" w:space="0" w:color="auto"/>
            </w:tcBorders>
            <w:hideMark/>
          </w:tcPr>
          <w:p w14:paraId="6BEEFF46" w14:textId="77777777" w:rsidR="00547F82" w:rsidRDefault="00547F82" w:rsidP="00E75191">
            <w:pPr>
              <w:spacing w:line="240" w:lineRule="auto"/>
              <w:jc w:val="both"/>
              <w:rPr>
                <w:sz w:val="24"/>
                <w:szCs w:val="24"/>
              </w:rPr>
            </w:pPr>
            <w:r>
              <w:rPr>
                <w:sz w:val="24"/>
                <w:szCs w:val="24"/>
              </w:rPr>
              <w:t>2</w:t>
            </w:r>
          </w:p>
        </w:tc>
      </w:tr>
      <w:tr w:rsidR="00547F82" w14:paraId="372E26E3" w14:textId="77777777" w:rsidTr="00547CC9">
        <w:tc>
          <w:tcPr>
            <w:tcW w:w="828" w:type="dxa"/>
            <w:tcBorders>
              <w:top w:val="single" w:sz="4" w:space="0" w:color="auto"/>
              <w:left w:val="single" w:sz="4" w:space="0" w:color="auto"/>
              <w:bottom w:val="single" w:sz="4" w:space="0" w:color="auto"/>
              <w:right w:val="single" w:sz="4" w:space="0" w:color="auto"/>
            </w:tcBorders>
          </w:tcPr>
          <w:p w14:paraId="5DE8DDD8" w14:textId="77777777" w:rsidR="00547F82" w:rsidRDefault="00547F82" w:rsidP="00E75191">
            <w:pPr>
              <w:pStyle w:val="ListParagraph"/>
              <w:numPr>
                <w:ilvl w:val="0"/>
                <w:numId w:val="5"/>
              </w:numPr>
              <w:spacing w:line="240" w:lineRule="auto"/>
              <w:jc w:val="both"/>
              <w:rPr>
                <w:sz w:val="24"/>
                <w:szCs w:val="24"/>
                <w:lang w:val="en-US"/>
              </w:rPr>
            </w:pPr>
          </w:p>
        </w:tc>
        <w:tc>
          <w:tcPr>
            <w:tcW w:w="5333" w:type="dxa"/>
            <w:tcBorders>
              <w:top w:val="single" w:sz="4" w:space="0" w:color="auto"/>
              <w:left w:val="single" w:sz="4" w:space="0" w:color="auto"/>
              <w:bottom w:val="single" w:sz="4" w:space="0" w:color="auto"/>
              <w:right w:val="single" w:sz="4" w:space="0" w:color="auto"/>
            </w:tcBorders>
            <w:hideMark/>
          </w:tcPr>
          <w:p w14:paraId="4993856E" w14:textId="77777777" w:rsidR="00547F82" w:rsidRDefault="00547F82" w:rsidP="00E75191">
            <w:pPr>
              <w:spacing w:line="240" w:lineRule="auto"/>
              <w:jc w:val="both"/>
              <w:rPr>
                <w:sz w:val="24"/>
                <w:szCs w:val="24"/>
              </w:rPr>
            </w:pPr>
            <w:r>
              <w:rPr>
                <w:sz w:val="24"/>
                <w:szCs w:val="24"/>
              </w:rPr>
              <w:t>Religious leader (one Christian and one Muslim)</w:t>
            </w:r>
          </w:p>
        </w:tc>
        <w:tc>
          <w:tcPr>
            <w:tcW w:w="2407" w:type="dxa"/>
            <w:tcBorders>
              <w:top w:val="single" w:sz="4" w:space="0" w:color="auto"/>
              <w:left w:val="single" w:sz="4" w:space="0" w:color="auto"/>
              <w:bottom w:val="single" w:sz="4" w:space="0" w:color="auto"/>
              <w:right w:val="single" w:sz="4" w:space="0" w:color="auto"/>
            </w:tcBorders>
            <w:hideMark/>
          </w:tcPr>
          <w:p w14:paraId="3B729E42" w14:textId="77777777" w:rsidR="00547F82" w:rsidRDefault="00547F82" w:rsidP="00E75191">
            <w:pPr>
              <w:spacing w:line="240" w:lineRule="auto"/>
              <w:jc w:val="both"/>
              <w:rPr>
                <w:sz w:val="24"/>
                <w:szCs w:val="24"/>
              </w:rPr>
            </w:pPr>
            <w:r>
              <w:rPr>
                <w:sz w:val="24"/>
                <w:szCs w:val="24"/>
              </w:rPr>
              <w:t>2</w:t>
            </w:r>
          </w:p>
        </w:tc>
      </w:tr>
      <w:tr w:rsidR="00547F82" w14:paraId="47CB2CF5" w14:textId="77777777" w:rsidTr="00547CC9">
        <w:tc>
          <w:tcPr>
            <w:tcW w:w="828" w:type="dxa"/>
            <w:tcBorders>
              <w:top w:val="single" w:sz="4" w:space="0" w:color="auto"/>
              <w:left w:val="single" w:sz="4" w:space="0" w:color="auto"/>
              <w:bottom w:val="single" w:sz="4" w:space="0" w:color="auto"/>
              <w:right w:val="single" w:sz="4" w:space="0" w:color="auto"/>
            </w:tcBorders>
          </w:tcPr>
          <w:p w14:paraId="0096B54D" w14:textId="77777777" w:rsidR="00547F82" w:rsidRDefault="00547F82" w:rsidP="00E75191">
            <w:pPr>
              <w:pStyle w:val="ListParagraph"/>
              <w:numPr>
                <w:ilvl w:val="0"/>
                <w:numId w:val="5"/>
              </w:numPr>
              <w:spacing w:line="240" w:lineRule="auto"/>
              <w:jc w:val="both"/>
              <w:rPr>
                <w:sz w:val="24"/>
                <w:szCs w:val="24"/>
                <w:lang w:val="en-US"/>
              </w:rPr>
            </w:pPr>
          </w:p>
        </w:tc>
        <w:tc>
          <w:tcPr>
            <w:tcW w:w="5333" w:type="dxa"/>
            <w:tcBorders>
              <w:top w:val="single" w:sz="4" w:space="0" w:color="auto"/>
              <w:left w:val="single" w:sz="4" w:space="0" w:color="auto"/>
              <w:bottom w:val="single" w:sz="4" w:space="0" w:color="auto"/>
              <w:right w:val="single" w:sz="4" w:space="0" w:color="auto"/>
            </w:tcBorders>
            <w:hideMark/>
          </w:tcPr>
          <w:p w14:paraId="30B5EE7D" w14:textId="77777777" w:rsidR="00547F82" w:rsidRDefault="00547F82" w:rsidP="00E75191">
            <w:pPr>
              <w:spacing w:line="240" w:lineRule="auto"/>
              <w:jc w:val="both"/>
              <w:rPr>
                <w:sz w:val="24"/>
                <w:szCs w:val="24"/>
              </w:rPr>
            </w:pPr>
            <w:r>
              <w:rPr>
                <w:sz w:val="24"/>
                <w:szCs w:val="24"/>
              </w:rPr>
              <w:t>Christian Association of Nigeria, women wing leader</w:t>
            </w:r>
          </w:p>
        </w:tc>
        <w:tc>
          <w:tcPr>
            <w:tcW w:w="2407" w:type="dxa"/>
            <w:tcBorders>
              <w:top w:val="single" w:sz="4" w:space="0" w:color="auto"/>
              <w:left w:val="single" w:sz="4" w:space="0" w:color="auto"/>
              <w:bottom w:val="single" w:sz="4" w:space="0" w:color="auto"/>
              <w:right w:val="single" w:sz="4" w:space="0" w:color="auto"/>
            </w:tcBorders>
            <w:hideMark/>
          </w:tcPr>
          <w:p w14:paraId="4E8B0EFF" w14:textId="77777777" w:rsidR="00547F82" w:rsidRDefault="00547F82" w:rsidP="00E75191">
            <w:pPr>
              <w:spacing w:line="240" w:lineRule="auto"/>
              <w:jc w:val="both"/>
              <w:rPr>
                <w:sz w:val="24"/>
                <w:szCs w:val="24"/>
              </w:rPr>
            </w:pPr>
            <w:r>
              <w:rPr>
                <w:sz w:val="24"/>
                <w:szCs w:val="24"/>
              </w:rPr>
              <w:t>1</w:t>
            </w:r>
          </w:p>
        </w:tc>
      </w:tr>
      <w:tr w:rsidR="00547F82" w14:paraId="719C6B9D" w14:textId="77777777" w:rsidTr="00547CC9">
        <w:tc>
          <w:tcPr>
            <w:tcW w:w="828" w:type="dxa"/>
            <w:tcBorders>
              <w:top w:val="single" w:sz="4" w:space="0" w:color="auto"/>
              <w:left w:val="single" w:sz="4" w:space="0" w:color="auto"/>
              <w:bottom w:val="single" w:sz="4" w:space="0" w:color="auto"/>
              <w:right w:val="single" w:sz="4" w:space="0" w:color="auto"/>
            </w:tcBorders>
          </w:tcPr>
          <w:p w14:paraId="58888CC4" w14:textId="77777777" w:rsidR="00547F82" w:rsidRDefault="00547F82" w:rsidP="00E75191">
            <w:pPr>
              <w:pStyle w:val="ListParagraph"/>
              <w:numPr>
                <w:ilvl w:val="0"/>
                <w:numId w:val="5"/>
              </w:numPr>
              <w:spacing w:line="240" w:lineRule="auto"/>
              <w:jc w:val="both"/>
              <w:rPr>
                <w:sz w:val="24"/>
                <w:szCs w:val="24"/>
                <w:lang w:val="en-US"/>
              </w:rPr>
            </w:pPr>
          </w:p>
        </w:tc>
        <w:tc>
          <w:tcPr>
            <w:tcW w:w="5333" w:type="dxa"/>
            <w:tcBorders>
              <w:top w:val="single" w:sz="4" w:space="0" w:color="auto"/>
              <w:left w:val="single" w:sz="4" w:space="0" w:color="auto"/>
              <w:bottom w:val="single" w:sz="4" w:space="0" w:color="auto"/>
              <w:right w:val="single" w:sz="4" w:space="0" w:color="auto"/>
            </w:tcBorders>
            <w:hideMark/>
          </w:tcPr>
          <w:p w14:paraId="098D2C46" w14:textId="77777777" w:rsidR="00547F82" w:rsidRDefault="00547F82" w:rsidP="00E75191">
            <w:pPr>
              <w:spacing w:line="240" w:lineRule="auto"/>
              <w:jc w:val="both"/>
              <w:rPr>
                <w:sz w:val="24"/>
                <w:szCs w:val="24"/>
              </w:rPr>
            </w:pPr>
            <w:r>
              <w:rPr>
                <w:sz w:val="24"/>
                <w:szCs w:val="24"/>
              </w:rPr>
              <w:t>Federation of Muslim Women of Nigeria (FOMWAN)</w:t>
            </w:r>
          </w:p>
        </w:tc>
        <w:tc>
          <w:tcPr>
            <w:tcW w:w="2407" w:type="dxa"/>
            <w:tcBorders>
              <w:top w:val="single" w:sz="4" w:space="0" w:color="auto"/>
              <w:left w:val="single" w:sz="4" w:space="0" w:color="auto"/>
              <w:bottom w:val="single" w:sz="4" w:space="0" w:color="auto"/>
              <w:right w:val="single" w:sz="4" w:space="0" w:color="auto"/>
            </w:tcBorders>
            <w:hideMark/>
          </w:tcPr>
          <w:p w14:paraId="07E83095" w14:textId="77777777" w:rsidR="00547F82" w:rsidRDefault="00547F82" w:rsidP="00E75191">
            <w:pPr>
              <w:spacing w:line="240" w:lineRule="auto"/>
              <w:jc w:val="both"/>
              <w:rPr>
                <w:sz w:val="24"/>
                <w:szCs w:val="24"/>
              </w:rPr>
            </w:pPr>
            <w:r>
              <w:rPr>
                <w:sz w:val="24"/>
                <w:szCs w:val="24"/>
              </w:rPr>
              <w:t>1</w:t>
            </w:r>
          </w:p>
        </w:tc>
      </w:tr>
      <w:tr w:rsidR="00547F82" w14:paraId="561789FB" w14:textId="77777777" w:rsidTr="00547CC9">
        <w:tc>
          <w:tcPr>
            <w:tcW w:w="828" w:type="dxa"/>
            <w:tcBorders>
              <w:top w:val="single" w:sz="4" w:space="0" w:color="auto"/>
              <w:left w:val="single" w:sz="4" w:space="0" w:color="auto"/>
              <w:bottom w:val="single" w:sz="4" w:space="0" w:color="auto"/>
              <w:right w:val="single" w:sz="4" w:space="0" w:color="auto"/>
            </w:tcBorders>
          </w:tcPr>
          <w:p w14:paraId="18D95BAD" w14:textId="77777777" w:rsidR="00547F82" w:rsidRDefault="00547F82" w:rsidP="00E75191">
            <w:pPr>
              <w:pStyle w:val="ListParagraph"/>
              <w:numPr>
                <w:ilvl w:val="0"/>
                <w:numId w:val="5"/>
              </w:numPr>
              <w:spacing w:line="240" w:lineRule="auto"/>
              <w:jc w:val="both"/>
              <w:rPr>
                <w:sz w:val="24"/>
                <w:szCs w:val="24"/>
                <w:lang w:val="en-US"/>
              </w:rPr>
            </w:pPr>
          </w:p>
        </w:tc>
        <w:tc>
          <w:tcPr>
            <w:tcW w:w="5333" w:type="dxa"/>
            <w:tcBorders>
              <w:top w:val="single" w:sz="4" w:space="0" w:color="auto"/>
              <w:left w:val="single" w:sz="4" w:space="0" w:color="auto"/>
              <w:bottom w:val="single" w:sz="4" w:space="0" w:color="auto"/>
              <w:right w:val="single" w:sz="4" w:space="0" w:color="auto"/>
            </w:tcBorders>
            <w:hideMark/>
          </w:tcPr>
          <w:p w14:paraId="659EB637" w14:textId="77777777" w:rsidR="00547F82" w:rsidRDefault="00547F82" w:rsidP="00E75191">
            <w:pPr>
              <w:spacing w:line="240" w:lineRule="auto"/>
              <w:jc w:val="both"/>
              <w:rPr>
                <w:sz w:val="24"/>
                <w:szCs w:val="24"/>
              </w:rPr>
            </w:pPr>
            <w:r>
              <w:rPr>
                <w:sz w:val="24"/>
                <w:szCs w:val="24"/>
              </w:rPr>
              <w:t>Policy Maker (possibly those heading gender and inclusion committee at the House of Assembly)</w:t>
            </w:r>
          </w:p>
        </w:tc>
        <w:tc>
          <w:tcPr>
            <w:tcW w:w="2407" w:type="dxa"/>
            <w:tcBorders>
              <w:top w:val="single" w:sz="4" w:space="0" w:color="auto"/>
              <w:left w:val="single" w:sz="4" w:space="0" w:color="auto"/>
              <w:bottom w:val="single" w:sz="4" w:space="0" w:color="auto"/>
              <w:right w:val="single" w:sz="4" w:space="0" w:color="auto"/>
            </w:tcBorders>
            <w:hideMark/>
          </w:tcPr>
          <w:p w14:paraId="14C148EE" w14:textId="77777777" w:rsidR="00547F82" w:rsidRDefault="00547F82" w:rsidP="00E75191">
            <w:pPr>
              <w:spacing w:line="240" w:lineRule="auto"/>
              <w:jc w:val="both"/>
              <w:rPr>
                <w:sz w:val="24"/>
                <w:szCs w:val="24"/>
              </w:rPr>
            </w:pPr>
            <w:r>
              <w:rPr>
                <w:sz w:val="24"/>
                <w:szCs w:val="24"/>
              </w:rPr>
              <w:t>1</w:t>
            </w:r>
          </w:p>
        </w:tc>
      </w:tr>
      <w:tr w:rsidR="00547F82" w14:paraId="7C59A58F" w14:textId="77777777" w:rsidTr="00547CC9">
        <w:tc>
          <w:tcPr>
            <w:tcW w:w="828" w:type="dxa"/>
            <w:tcBorders>
              <w:top w:val="single" w:sz="4" w:space="0" w:color="auto"/>
              <w:left w:val="single" w:sz="4" w:space="0" w:color="auto"/>
              <w:bottom w:val="single" w:sz="4" w:space="0" w:color="auto"/>
              <w:right w:val="single" w:sz="4" w:space="0" w:color="auto"/>
            </w:tcBorders>
          </w:tcPr>
          <w:p w14:paraId="601552E0" w14:textId="77777777" w:rsidR="00547F82" w:rsidRDefault="00547F82" w:rsidP="00E75191">
            <w:pPr>
              <w:pStyle w:val="ListParagraph"/>
              <w:numPr>
                <w:ilvl w:val="0"/>
                <w:numId w:val="5"/>
              </w:numPr>
              <w:spacing w:line="240" w:lineRule="auto"/>
              <w:jc w:val="both"/>
              <w:rPr>
                <w:sz w:val="24"/>
                <w:szCs w:val="24"/>
                <w:lang w:val="en-US"/>
              </w:rPr>
            </w:pPr>
          </w:p>
        </w:tc>
        <w:tc>
          <w:tcPr>
            <w:tcW w:w="5333" w:type="dxa"/>
            <w:tcBorders>
              <w:top w:val="single" w:sz="4" w:space="0" w:color="auto"/>
              <w:left w:val="single" w:sz="4" w:space="0" w:color="auto"/>
              <w:bottom w:val="single" w:sz="4" w:space="0" w:color="auto"/>
              <w:right w:val="single" w:sz="4" w:space="0" w:color="auto"/>
            </w:tcBorders>
            <w:hideMark/>
          </w:tcPr>
          <w:p w14:paraId="2D193C69" w14:textId="77777777" w:rsidR="00547F82" w:rsidRDefault="00547F82" w:rsidP="00E75191">
            <w:pPr>
              <w:spacing w:line="240" w:lineRule="auto"/>
              <w:jc w:val="both"/>
              <w:rPr>
                <w:sz w:val="24"/>
                <w:szCs w:val="24"/>
              </w:rPr>
            </w:pPr>
            <w:r>
              <w:rPr>
                <w:sz w:val="24"/>
                <w:szCs w:val="24"/>
              </w:rPr>
              <w:t>Female Private Sector Leaders and Business Owners</w:t>
            </w:r>
          </w:p>
        </w:tc>
        <w:tc>
          <w:tcPr>
            <w:tcW w:w="2407" w:type="dxa"/>
            <w:tcBorders>
              <w:top w:val="single" w:sz="4" w:space="0" w:color="auto"/>
              <w:left w:val="single" w:sz="4" w:space="0" w:color="auto"/>
              <w:bottom w:val="single" w:sz="4" w:space="0" w:color="auto"/>
              <w:right w:val="single" w:sz="4" w:space="0" w:color="auto"/>
            </w:tcBorders>
            <w:hideMark/>
          </w:tcPr>
          <w:p w14:paraId="3C2F443D" w14:textId="77777777" w:rsidR="00547F82" w:rsidRDefault="00547F82" w:rsidP="00E75191">
            <w:pPr>
              <w:spacing w:line="240" w:lineRule="auto"/>
              <w:jc w:val="both"/>
              <w:rPr>
                <w:sz w:val="24"/>
                <w:szCs w:val="24"/>
              </w:rPr>
            </w:pPr>
            <w:r>
              <w:rPr>
                <w:sz w:val="24"/>
                <w:szCs w:val="24"/>
              </w:rPr>
              <w:t>2</w:t>
            </w:r>
          </w:p>
        </w:tc>
      </w:tr>
      <w:tr w:rsidR="00547F82" w14:paraId="2FE0F998" w14:textId="77777777" w:rsidTr="00547CC9">
        <w:tc>
          <w:tcPr>
            <w:tcW w:w="828" w:type="dxa"/>
            <w:tcBorders>
              <w:top w:val="single" w:sz="4" w:space="0" w:color="auto"/>
              <w:left w:val="single" w:sz="4" w:space="0" w:color="auto"/>
              <w:bottom w:val="single" w:sz="4" w:space="0" w:color="auto"/>
              <w:right w:val="single" w:sz="4" w:space="0" w:color="auto"/>
            </w:tcBorders>
          </w:tcPr>
          <w:p w14:paraId="16315125" w14:textId="77777777" w:rsidR="00547F82" w:rsidRDefault="00547F82" w:rsidP="00E75191">
            <w:pPr>
              <w:pStyle w:val="ListParagraph"/>
              <w:numPr>
                <w:ilvl w:val="0"/>
                <w:numId w:val="5"/>
              </w:numPr>
              <w:spacing w:line="240" w:lineRule="auto"/>
              <w:jc w:val="both"/>
              <w:rPr>
                <w:sz w:val="24"/>
                <w:szCs w:val="24"/>
                <w:lang w:val="en-US"/>
              </w:rPr>
            </w:pPr>
          </w:p>
        </w:tc>
        <w:tc>
          <w:tcPr>
            <w:tcW w:w="5333" w:type="dxa"/>
            <w:tcBorders>
              <w:top w:val="single" w:sz="4" w:space="0" w:color="auto"/>
              <w:left w:val="single" w:sz="4" w:space="0" w:color="auto"/>
              <w:bottom w:val="single" w:sz="4" w:space="0" w:color="auto"/>
              <w:right w:val="single" w:sz="4" w:space="0" w:color="auto"/>
            </w:tcBorders>
            <w:hideMark/>
          </w:tcPr>
          <w:p w14:paraId="7D02A505" w14:textId="77777777" w:rsidR="00547F82" w:rsidRDefault="00547F82" w:rsidP="00E75191">
            <w:pPr>
              <w:spacing w:line="240" w:lineRule="auto"/>
              <w:jc w:val="both"/>
              <w:rPr>
                <w:sz w:val="24"/>
                <w:szCs w:val="24"/>
              </w:rPr>
            </w:pPr>
            <w:r>
              <w:rPr>
                <w:sz w:val="24"/>
                <w:szCs w:val="24"/>
              </w:rPr>
              <w:t>Media representative</w:t>
            </w:r>
          </w:p>
        </w:tc>
        <w:tc>
          <w:tcPr>
            <w:tcW w:w="2407" w:type="dxa"/>
            <w:tcBorders>
              <w:top w:val="single" w:sz="4" w:space="0" w:color="auto"/>
              <w:left w:val="single" w:sz="4" w:space="0" w:color="auto"/>
              <w:bottom w:val="single" w:sz="4" w:space="0" w:color="auto"/>
              <w:right w:val="single" w:sz="4" w:space="0" w:color="auto"/>
            </w:tcBorders>
            <w:hideMark/>
          </w:tcPr>
          <w:p w14:paraId="6981B3F0" w14:textId="77777777" w:rsidR="00547F82" w:rsidRDefault="00547F82" w:rsidP="00E75191">
            <w:pPr>
              <w:spacing w:line="240" w:lineRule="auto"/>
              <w:jc w:val="both"/>
              <w:rPr>
                <w:sz w:val="24"/>
                <w:szCs w:val="24"/>
              </w:rPr>
            </w:pPr>
            <w:r>
              <w:rPr>
                <w:sz w:val="24"/>
                <w:szCs w:val="24"/>
              </w:rPr>
              <w:t>1</w:t>
            </w:r>
          </w:p>
        </w:tc>
      </w:tr>
      <w:tr w:rsidR="00547F82" w14:paraId="73A862B8" w14:textId="77777777" w:rsidTr="00547CC9">
        <w:tc>
          <w:tcPr>
            <w:tcW w:w="828" w:type="dxa"/>
            <w:tcBorders>
              <w:top w:val="single" w:sz="4" w:space="0" w:color="auto"/>
              <w:left w:val="single" w:sz="4" w:space="0" w:color="auto"/>
              <w:bottom w:val="single" w:sz="4" w:space="0" w:color="auto"/>
              <w:right w:val="single" w:sz="4" w:space="0" w:color="auto"/>
            </w:tcBorders>
          </w:tcPr>
          <w:p w14:paraId="64D41C46" w14:textId="77777777" w:rsidR="00547F82" w:rsidRDefault="00547F82" w:rsidP="00E75191">
            <w:pPr>
              <w:pStyle w:val="ListParagraph"/>
              <w:numPr>
                <w:ilvl w:val="0"/>
                <w:numId w:val="5"/>
              </w:numPr>
              <w:spacing w:line="240" w:lineRule="auto"/>
              <w:jc w:val="both"/>
              <w:rPr>
                <w:sz w:val="24"/>
                <w:szCs w:val="24"/>
                <w:lang w:val="en-US"/>
              </w:rPr>
            </w:pPr>
          </w:p>
        </w:tc>
        <w:tc>
          <w:tcPr>
            <w:tcW w:w="5333" w:type="dxa"/>
            <w:tcBorders>
              <w:top w:val="single" w:sz="4" w:space="0" w:color="auto"/>
              <w:left w:val="single" w:sz="4" w:space="0" w:color="auto"/>
              <w:bottom w:val="single" w:sz="4" w:space="0" w:color="auto"/>
              <w:right w:val="single" w:sz="4" w:space="0" w:color="auto"/>
            </w:tcBorders>
            <w:hideMark/>
          </w:tcPr>
          <w:p w14:paraId="384DA463" w14:textId="77777777" w:rsidR="00547F82" w:rsidRDefault="00547F82" w:rsidP="00E75191">
            <w:pPr>
              <w:spacing w:line="240" w:lineRule="auto"/>
              <w:jc w:val="both"/>
              <w:rPr>
                <w:sz w:val="24"/>
                <w:szCs w:val="24"/>
              </w:rPr>
            </w:pPr>
            <w:r>
              <w:rPr>
                <w:sz w:val="24"/>
                <w:szCs w:val="24"/>
              </w:rPr>
              <w:t>Total</w:t>
            </w:r>
          </w:p>
        </w:tc>
        <w:tc>
          <w:tcPr>
            <w:tcW w:w="2407" w:type="dxa"/>
            <w:tcBorders>
              <w:top w:val="single" w:sz="4" w:space="0" w:color="auto"/>
              <w:left w:val="single" w:sz="4" w:space="0" w:color="auto"/>
              <w:bottom w:val="single" w:sz="4" w:space="0" w:color="auto"/>
              <w:right w:val="single" w:sz="4" w:space="0" w:color="auto"/>
            </w:tcBorders>
            <w:hideMark/>
          </w:tcPr>
          <w:p w14:paraId="15A84694" w14:textId="77777777" w:rsidR="00547F82" w:rsidRDefault="00547F82" w:rsidP="00E75191">
            <w:pPr>
              <w:spacing w:line="240" w:lineRule="auto"/>
              <w:jc w:val="both"/>
              <w:rPr>
                <w:sz w:val="24"/>
                <w:szCs w:val="24"/>
              </w:rPr>
            </w:pPr>
            <w:r>
              <w:rPr>
                <w:sz w:val="24"/>
                <w:szCs w:val="24"/>
              </w:rPr>
              <w:t>14 interviews</w:t>
            </w:r>
          </w:p>
        </w:tc>
      </w:tr>
    </w:tbl>
    <w:p w14:paraId="1DE02D93" w14:textId="77777777" w:rsidR="00547F82" w:rsidRDefault="00547F82" w:rsidP="00E75191">
      <w:pPr>
        <w:spacing w:line="240" w:lineRule="auto"/>
        <w:jc w:val="both"/>
        <w:rPr>
          <w:sz w:val="24"/>
          <w:szCs w:val="24"/>
          <w:lang w:val="en-US"/>
        </w:rPr>
      </w:pPr>
    </w:p>
    <w:p w14:paraId="3C411647" w14:textId="77777777" w:rsidR="00547F82" w:rsidRDefault="00547F82" w:rsidP="00E75191">
      <w:pPr>
        <w:spacing w:line="240" w:lineRule="auto"/>
        <w:jc w:val="both"/>
        <w:rPr>
          <w:b/>
          <w:sz w:val="24"/>
          <w:szCs w:val="24"/>
          <w:lang w:val="en-US"/>
        </w:rPr>
      </w:pPr>
      <w:r>
        <w:rPr>
          <w:b/>
          <w:sz w:val="24"/>
          <w:szCs w:val="24"/>
          <w:lang w:val="en-US"/>
        </w:rPr>
        <w:t>Federal Level Interview</w:t>
      </w:r>
    </w:p>
    <w:tbl>
      <w:tblPr>
        <w:tblW w:w="0" w:type="auto"/>
        <w:tblLook w:val="04A0" w:firstRow="1" w:lastRow="0" w:firstColumn="1" w:lastColumn="0" w:noHBand="0" w:noVBand="1"/>
      </w:tblPr>
      <w:tblGrid>
        <w:gridCol w:w="4526"/>
        <w:gridCol w:w="4490"/>
      </w:tblGrid>
      <w:tr w:rsidR="00547F82" w14:paraId="32F76D7C" w14:textId="77777777" w:rsidTr="00547CC9">
        <w:tc>
          <w:tcPr>
            <w:tcW w:w="4525" w:type="dxa"/>
            <w:tcBorders>
              <w:top w:val="single" w:sz="4" w:space="0" w:color="auto"/>
              <w:left w:val="single" w:sz="4" w:space="0" w:color="auto"/>
              <w:bottom w:val="single" w:sz="4" w:space="0" w:color="auto"/>
              <w:right w:val="single" w:sz="4" w:space="0" w:color="auto"/>
            </w:tcBorders>
            <w:hideMark/>
          </w:tcPr>
          <w:p w14:paraId="28006C46" w14:textId="77777777" w:rsidR="00547F82" w:rsidRDefault="00547F82" w:rsidP="00E75191">
            <w:pPr>
              <w:spacing w:line="240" w:lineRule="auto"/>
              <w:jc w:val="both"/>
              <w:rPr>
                <w:sz w:val="24"/>
                <w:szCs w:val="24"/>
              </w:rPr>
            </w:pPr>
            <w:r>
              <w:rPr>
                <w:sz w:val="24"/>
                <w:szCs w:val="24"/>
              </w:rPr>
              <w:t>Leading gender scholars -  Academic (one male and one female)</w:t>
            </w:r>
          </w:p>
        </w:tc>
        <w:tc>
          <w:tcPr>
            <w:tcW w:w="4491" w:type="dxa"/>
            <w:tcBorders>
              <w:top w:val="single" w:sz="4" w:space="0" w:color="auto"/>
              <w:left w:val="single" w:sz="4" w:space="0" w:color="auto"/>
              <w:bottom w:val="single" w:sz="4" w:space="0" w:color="auto"/>
              <w:right w:val="single" w:sz="4" w:space="0" w:color="auto"/>
            </w:tcBorders>
            <w:hideMark/>
          </w:tcPr>
          <w:p w14:paraId="33468209" w14:textId="77777777" w:rsidR="00547F82" w:rsidRDefault="00547F82" w:rsidP="00E75191">
            <w:pPr>
              <w:spacing w:line="240" w:lineRule="auto"/>
              <w:jc w:val="both"/>
              <w:rPr>
                <w:sz w:val="24"/>
                <w:szCs w:val="24"/>
              </w:rPr>
            </w:pPr>
            <w:r>
              <w:rPr>
                <w:sz w:val="24"/>
                <w:szCs w:val="24"/>
              </w:rPr>
              <w:t>2</w:t>
            </w:r>
          </w:p>
        </w:tc>
      </w:tr>
      <w:tr w:rsidR="00547F82" w14:paraId="70D1CE28" w14:textId="77777777" w:rsidTr="00547CC9">
        <w:tc>
          <w:tcPr>
            <w:tcW w:w="4621" w:type="dxa"/>
            <w:tcBorders>
              <w:top w:val="single" w:sz="4" w:space="0" w:color="auto"/>
              <w:left w:val="single" w:sz="4" w:space="0" w:color="auto"/>
              <w:bottom w:val="single" w:sz="4" w:space="0" w:color="auto"/>
              <w:right w:val="single" w:sz="4" w:space="0" w:color="auto"/>
            </w:tcBorders>
            <w:hideMark/>
          </w:tcPr>
          <w:p w14:paraId="592FFC32" w14:textId="77777777" w:rsidR="00547F82" w:rsidRDefault="00547F82" w:rsidP="00E75191">
            <w:pPr>
              <w:spacing w:line="240" w:lineRule="auto"/>
              <w:jc w:val="both"/>
              <w:rPr>
                <w:sz w:val="24"/>
                <w:szCs w:val="24"/>
              </w:rPr>
            </w:pPr>
            <w:r>
              <w:rPr>
                <w:sz w:val="24"/>
                <w:szCs w:val="24"/>
              </w:rPr>
              <w:t>Spotlight UN Implementing Agencies (at least UN Women and UNICEF)</w:t>
            </w:r>
          </w:p>
        </w:tc>
        <w:tc>
          <w:tcPr>
            <w:tcW w:w="4621" w:type="dxa"/>
            <w:tcBorders>
              <w:top w:val="single" w:sz="4" w:space="0" w:color="auto"/>
              <w:left w:val="single" w:sz="4" w:space="0" w:color="auto"/>
              <w:bottom w:val="single" w:sz="4" w:space="0" w:color="auto"/>
              <w:right w:val="single" w:sz="4" w:space="0" w:color="auto"/>
            </w:tcBorders>
            <w:hideMark/>
          </w:tcPr>
          <w:p w14:paraId="20EAF550" w14:textId="77777777" w:rsidR="00547F82" w:rsidRDefault="00547F82" w:rsidP="00E75191">
            <w:pPr>
              <w:spacing w:line="240" w:lineRule="auto"/>
              <w:jc w:val="both"/>
              <w:rPr>
                <w:sz w:val="24"/>
                <w:szCs w:val="24"/>
              </w:rPr>
            </w:pPr>
            <w:r>
              <w:rPr>
                <w:sz w:val="24"/>
                <w:szCs w:val="24"/>
              </w:rPr>
              <w:t>2</w:t>
            </w:r>
          </w:p>
        </w:tc>
      </w:tr>
      <w:tr w:rsidR="00547F82" w14:paraId="159730C1" w14:textId="77777777" w:rsidTr="00547CC9">
        <w:tc>
          <w:tcPr>
            <w:tcW w:w="4621" w:type="dxa"/>
            <w:tcBorders>
              <w:top w:val="single" w:sz="4" w:space="0" w:color="auto"/>
              <w:left w:val="single" w:sz="4" w:space="0" w:color="auto"/>
              <w:bottom w:val="single" w:sz="4" w:space="0" w:color="auto"/>
              <w:right w:val="single" w:sz="4" w:space="0" w:color="auto"/>
            </w:tcBorders>
            <w:hideMark/>
          </w:tcPr>
          <w:p w14:paraId="3BDEDB67" w14:textId="77777777" w:rsidR="00547F82" w:rsidRDefault="00547F82" w:rsidP="00E75191">
            <w:pPr>
              <w:spacing w:line="240" w:lineRule="auto"/>
              <w:jc w:val="both"/>
              <w:rPr>
                <w:sz w:val="24"/>
                <w:szCs w:val="24"/>
              </w:rPr>
            </w:pPr>
            <w:r>
              <w:rPr>
                <w:sz w:val="24"/>
                <w:szCs w:val="24"/>
              </w:rPr>
              <w:lastRenderedPageBreak/>
              <w:t>Staff of development partners working on gender issues in Nigeria</w:t>
            </w:r>
          </w:p>
        </w:tc>
        <w:tc>
          <w:tcPr>
            <w:tcW w:w="4621" w:type="dxa"/>
            <w:tcBorders>
              <w:top w:val="single" w:sz="4" w:space="0" w:color="auto"/>
              <w:left w:val="single" w:sz="4" w:space="0" w:color="auto"/>
              <w:bottom w:val="single" w:sz="4" w:space="0" w:color="auto"/>
              <w:right w:val="single" w:sz="4" w:space="0" w:color="auto"/>
            </w:tcBorders>
            <w:hideMark/>
          </w:tcPr>
          <w:p w14:paraId="6F93D675" w14:textId="77777777" w:rsidR="00547F82" w:rsidRDefault="00547F82" w:rsidP="00E75191">
            <w:pPr>
              <w:spacing w:line="240" w:lineRule="auto"/>
              <w:jc w:val="both"/>
              <w:rPr>
                <w:sz w:val="24"/>
                <w:szCs w:val="24"/>
              </w:rPr>
            </w:pPr>
            <w:r>
              <w:rPr>
                <w:sz w:val="24"/>
                <w:szCs w:val="24"/>
              </w:rPr>
              <w:t>2</w:t>
            </w:r>
          </w:p>
        </w:tc>
      </w:tr>
      <w:tr w:rsidR="00547F82" w14:paraId="4AC30D81" w14:textId="77777777" w:rsidTr="00547CC9">
        <w:tc>
          <w:tcPr>
            <w:tcW w:w="4621" w:type="dxa"/>
            <w:tcBorders>
              <w:top w:val="single" w:sz="4" w:space="0" w:color="auto"/>
              <w:left w:val="single" w:sz="4" w:space="0" w:color="auto"/>
              <w:bottom w:val="single" w:sz="4" w:space="0" w:color="auto"/>
              <w:right w:val="single" w:sz="4" w:space="0" w:color="auto"/>
            </w:tcBorders>
            <w:hideMark/>
          </w:tcPr>
          <w:p w14:paraId="64362577" w14:textId="77777777" w:rsidR="00547F82" w:rsidRDefault="00547F82" w:rsidP="00E75191">
            <w:pPr>
              <w:spacing w:line="240" w:lineRule="auto"/>
              <w:jc w:val="both"/>
              <w:rPr>
                <w:sz w:val="24"/>
                <w:szCs w:val="24"/>
              </w:rPr>
            </w:pPr>
            <w:r>
              <w:rPr>
                <w:sz w:val="24"/>
                <w:szCs w:val="24"/>
              </w:rPr>
              <w:t>Federal Ministry of Women Affairs and Social Development</w:t>
            </w:r>
          </w:p>
        </w:tc>
        <w:tc>
          <w:tcPr>
            <w:tcW w:w="4621" w:type="dxa"/>
            <w:tcBorders>
              <w:top w:val="single" w:sz="4" w:space="0" w:color="auto"/>
              <w:left w:val="single" w:sz="4" w:space="0" w:color="auto"/>
              <w:bottom w:val="single" w:sz="4" w:space="0" w:color="auto"/>
              <w:right w:val="single" w:sz="4" w:space="0" w:color="auto"/>
            </w:tcBorders>
            <w:hideMark/>
          </w:tcPr>
          <w:p w14:paraId="0C483FC5" w14:textId="77777777" w:rsidR="00547F82" w:rsidRDefault="00547F82" w:rsidP="00E75191">
            <w:pPr>
              <w:spacing w:line="240" w:lineRule="auto"/>
              <w:jc w:val="both"/>
              <w:rPr>
                <w:sz w:val="24"/>
                <w:szCs w:val="24"/>
              </w:rPr>
            </w:pPr>
            <w:r>
              <w:rPr>
                <w:sz w:val="24"/>
                <w:szCs w:val="24"/>
              </w:rPr>
              <w:t>2</w:t>
            </w:r>
          </w:p>
        </w:tc>
      </w:tr>
      <w:tr w:rsidR="00547F82" w14:paraId="5B21987A" w14:textId="77777777" w:rsidTr="00547CC9">
        <w:tc>
          <w:tcPr>
            <w:tcW w:w="4621" w:type="dxa"/>
            <w:tcBorders>
              <w:top w:val="single" w:sz="4" w:space="0" w:color="auto"/>
              <w:left w:val="single" w:sz="4" w:space="0" w:color="auto"/>
              <w:bottom w:val="single" w:sz="4" w:space="0" w:color="auto"/>
              <w:right w:val="single" w:sz="4" w:space="0" w:color="auto"/>
            </w:tcBorders>
            <w:hideMark/>
          </w:tcPr>
          <w:p w14:paraId="37E9FCC2" w14:textId="77777777" w:rsidR="00547F82" w:rsidRDefault="00547F82" w:rsidP="00E75191">
            <w:pPr>
              <w:spacing w:line="240" w:lineRule="auto"/>
              <w:jc w:val="both"/>
              <w:rPr>
                <w:sz w:val="24"/>
                <w:szCs w:val="24"/>
              </w:rPr>
            </w:pPr>
            <w:r>
              <w:rPr>
                <w:sz w:val="24"/>
                <w:szCs w:val="24"/>
              </w:rPr>
              <w:t xml:space="preserve">Staff of gender and human rights organization at the Federal level  </w:t>
            </w:r>
          </w:p>
        </w:tc>
        <w:tc>
          <w:tcPr>
            <w:tcW w:w="4621" w:type="dxa"/>
            <w:tcBorders>
              <w:top w:val="single" w:sz="4" w:space="0" w:color="auto"/>
              <w:left w:val="single" w:sz="4" w:space="0" w:color="auto"/>
              <w:bottom w:val="single" w:sz="4" w:space="0" w:color="auto"/>
              <w:right w:val="single" w:sz="4" w:space="0" w:color="auto"/>
            </w:tcBorders>
            <w:hideMark/>
          </w:tcPr>
          <w:p w14:paraId="269271B9" w14:textId="77777777" w:rsidR="00547F82" w:rsidRDefault="00547F82" w:rsidP="00E75191">
            <w:pPr>
              <w:spacing w:line="240" w:lineRule="auto"/>
              <w:jc w:val="both"/>
              <w:rPr>
                <w:sz w:val="24"/>
                <w:szCs w:val="24"/>
              </w:rPr>
            </w:pPr>
            <w:r>
              <w:rPr>
                <w:sz w:val="24"/>
                <w:szCs w:val="24"/>
              </w:rPr>
              <w:t>2</w:t>
            </w:r>
          </w:p>
        </w:tc>
      </w:tr>
      <w:tr w:rsidR="00547F82" w14:paraId="0FA7175C" w14:textId="77777777" w:rsidTr="00547CC9">
        <w:tc>
          <w:tcPr>
            <w:tcW w:w="4525" w:type="dxa"/>
            <w:tcBorders>
              <w:top w:val="single" w:sz="4" w:space="0" w:color="auto"/>
              <w:left w:val="single" w:sz="4" w:space="0" w:color="auto"/>
              <w:bottom w:val="single" w:sz="4" w:space="0" w:color="auto"/>
              <w:right w:val="single" w:sz="4" w:space="0" w:color="auto"/>
            </w:tcBorders>
            <w:hideMark/>
          </w:tcPr>
          <w:p w14:paraId="32E36B18" w14:textId="77777777" w:rsidR="00547F82" w:rsidRDefault="00547F82" w:rsidP="00E75191">
            <w:pPr>
              <w:spacing w:line="240" w:lineRule="auto"/>
              <w:jc w:val="both"/>
              <w:rPr>
                <w:sz w:val="24"/>
                <w:szCs w:val="24"/>
              </w:rPr>
            </w:pPr>
            <w:r>
              <w:rPr>
                <w:sz w:val="24"/>
                <w:szCs w:val="24"/>
              </w:rPr>
              <w:t>Total</w:t>
            </w:r>
          </w:p>
        </w:tc>
        <w:tc>
          <w:tcPr>
            <w:tcW w:w="4491" w:type="dxa"/>
            <w:tcBorders>
              <w:top w:val="single" w:sz="4" w:space="0" w:color="auto"/>
              <w:left w:val="single" w:sz="4" w:space="0" w:color="auto"/>
              <w:bottom w:val="single" w:sz="4" w:space="0" w:color="auto"/>
              <w:right w:val="single" w:sz="4" w:space="0" w:color="auto"/>
            </w:tcBorders>
            <w:hideMark/>
          </w:tcPr>
          <w:p w14:paraId="59904B56" w14:textId="77777777" w:rsidR="00547F82" w:rsidRDefault="00547F82" w:rsidP="00E75191">
            <w:pPr>
              <w:spacing w:line="240" w:lineRule="auto"/>
              <w:jc w:val="both"/>
              <w:rPr>
                <w:sz w:val="24"/>
                <w:szCs w:val="24"/>
              </w:rPr>
            </w:pPr>
            <w:r>
              <w:rPr>
                <w:sz w:val="24"/>
                <w:szCs w:val="24"/>
              </w:rPr>
              <w:t>10</w:t>
            </w:r>
          </w:p>
        </w:tc>
      </w:tr>
    </w:tbl>
    <w:p w14:paraId="1837D43B" w14:textId="77777777" w:rsidR="00547F82" w:rsidRDefault="00547F82" w:rsidP="00E75191">
      <w:pPr>
        <w:spacing w:line="240" w:lineRule="auto"/>
        <w:jc w:val="both"/>
        <w:rPr>
          <w:sz w:val="24"/>
          <w:szCs w:val="24"/>
          <w:lang w:val="en-US"/>
        </w:rPr>
      </w:pPr>
    </w:p>
    <w:p w14:paraId="30D58A91" w14:textId="77777777" w:rsidR="00547F82" w:rsidRDefault="00547F82" w:rsidP="00E75191">
      <w:pPr>
        <w:spacing w:line="240" w:lineRule="auto"/>
        <w:jc w:val="both"/>
        <w:rPr>
          <w:sz w:val="24"/>
          <w:szCs w:val="24"/>
          <w:lang w:val="en-US"/>
        </w:rPr>
      </w:pPr>
      <w:r>
        <w:rPr>
          <w:sz w:val="24"/>
          <w:szCs w:val="24"/>
          <w:lang w:val="en-US"/>
        </w:rPr>
        <w:t xml:space="preserve">Apart from MDAs, other organizations to be engaged with will include those who work in private sector, gender based violence, economic empowerment, labour, minority rights, health. Below is a prospective list of organizations identified along their work streams. Organizations in this list will differ per state context. </w:t>
      </w:r>
      <w:bookmarkStart w:id="65" w:name="_Toc74920929"/>
    </w:p>
    <w:p w14:paraId="0B3199D2" w14:textId="77777777" w:rsidR="00547F82" w:rsidRDefault="00547F82" w:rsidP="00E75191">
      <w:pPr>
        <w:pStyle w:val="Heading2"/>
        <w:spacing w:line="240" w:lineRule="auto"/>
        <w:jc w:val="both"/>
        <w:rPr>
          <w:sz w:val="24"/>
          <w:szCs w:val="24"/>
          <w:lang w:val="en-US"/>
        </w:rPr>
      </w:pPr>
      <w:bookmarkStart w:id="66" w:name="_Toc81229110"/>
      <w:r>
        <w:rPr>
          <w:sz w:val="24"/>
          <w:szCs w:val="24"/>
          <w:lang w:val="en-US"/>
        </w:rPr>
        <w:t>Q</w:t>
      </w:r>
      <w:bookmarkEnd w:id="65"/>
      <w:r>
        <w:rPr>
          <w:sz w:val="24"/>
          <w:szCs w:val="24"/>
          <w:lang w:val="en-US"/>
        </w:rPr>
        <w:t>uestionnaire</w:t>
      </w:r>
      <w:bookmarkEnd w:id="66"/>
    </w:p>
    <w:p w14:paraId="08E6C929" w14:textId="77777777" w:rsidR="00547F82" w:rsidRDefault="00547F82" w:rsidP="00E75191">
      <w:pPr>
        <w:spacing w:line="240" w:lineRule="auto"/>
        <w:jc w:val="both"/>
        <w:rPr>
          <w:sz w:val="24"/>
          <w:szCs w:val="24"/>
          <w:lang w:val="en-US"/>
        </w:rPr>
      </w:pPr>
      <w:r>
        <w:rPr>
          <w:sz w:val="24"/>
          <w:szCs w:val="24"/>
          <w:lang w:val="en-US"/>
        </w:rPr>
        <w:t xml:space="preserve">Questionnaires </w:t>
      </w:r>
      <w:r w:rsidR="00681F77">
        <w:rPr>
          <w:sz w:val="24"/>
          <w:szCs w:val="24"/>
          <w:lang w:val="en-US"/>
        </w:rPr>
        <w:t>were</w:t>
      </w:r>
      <w:r>
        <w:rPr>
          <w:sz w:val="24"/>
          <w:szCs w:val="24"/>
          <w:lang w:val="en-US"/>
        </w:rPr>
        <w:t xml:space="preserve"> deployed across the six states targeting a total of 1,800 (300 per state) respondents, based on the following framework in </w:t>
      </w:r>
      <w:r>
        <w:rPr>
          <w:b/>
          <w:sz w:val="24"/>
          <w:szCs w:val="24"/>
          <w:lang w:val="en-US"/>
        </w:rPr>
        <w:t>each state</w:t>
      </w:r>
      <w:r>
        <w:rPr>
          <w:sz w:val="24"/>
          <w:szCs w:val="24"/>
          <w:lang w:val="en-US"/>
        </w:rPr>
        <w:t>:</w:t>
      </w:r>
    </w:p>
    <w:tbl>
      <w:tblPr>
        <w:tblW w:w="0" w:type="auto"/>
        <w:jc w:val="center"/>
        <w:tblLook w:val="04A0" w:firstRow="1" w:lastRow="0" w:firstColumn="1" w:lastColumn="0" w:noHBand="0" w:noVBand="1"/>
      </w:tblPr>
      <w:tblGrid>
        <w:gridCol w:w="4392"/>
        <w:gridCol w:w="2102"/>
      </w:tblGrid>
      <w:tr w:rsidR="00547F82" w:rsidRPr="00E75191" w14:paraId="4C373623" w14:textId="77777777" w:rsidTr="00E75191">
        <w:trPr>
          <w:trHeight w:val="304"/>
          <w:jc w:val="center"/>
        </w:trPr>
        <w:tc>
          <w:tcPr>
            <w:tcW w:w="4392" w:type="dxa"/>
            <w:tcBorders>
              <w:top w:val="single" w:sz="4" w:space="0" w:color="auto"/>
              <w:left w:val="single" w:sz="4" w:space="0" w:color="auto"/>
              <w:bottom w:val="single" w:sz="4" w:space="0" w:color="auto"/>
              <w:right w:val="single" w:sz="4" w:space="0" w:color="auto"/>
            </w:tcBorders>
            <w:hideMark/>
          </w:tcPr>
          <w:p w14:paraId="18BFE265" w14:textId="77777777" w:rsidR="00547F82" w:rsidRPr="00E75191" w:rsidRDefault="00547F82" w:rsidP="00E75191">
            <w:pPr>
              <w:spacing w:line="240" w:lineRule="auto"/>
              <w:jc w:val="both"/>
              <w:rPr>
                <w:b/>
                <w:sz w:val="24"/>
                <w:szCs w:val="24"/>
              </w:rPr>
            </w:pPr>
            <w:r w:rsidRPr="00E75191">
              <w:rPr>
                <w:b/>
                <w:sz w:val="24"/>
                <w:szCs w:val="24"/>
              </w:rPr>
              <w:t>Study Category</w:t>
            </w:r>
          </w:p>
        </w:tc>
        <w:tc>
          <w:tcPr>
            <w:tcW w:w="2102" w:type="dxa"/>
            <w:tcBorders>
              <w:top w:val="single" w:sz="4" w:space="0" w:color="auto"/>
              <w:left w:val="single" w:sz="4" w:space="0" w:color="auto"/>
              <w:bottom w:val="single" w:sz="4" w:space="0" w:color="auto"/>
              <w:right w:val="single" w:sz="4" w:space="0" w:color="auto"/>
            </w:tcBorders>
            <w:hideMark/>
          </w:tcPr>
          <w:p w14:paraId="145CEE86" w14:textId="77777777" w:rsidR="00547F82" w:rsidRPr="00E75191" w:rsidRDefault="00547F82" w:rsidP="00E75191">
            <w:pPr>
              <w:spacing w:line="240" w:lineRule="auto"/>
              <w:jc w:val="both"/>
              <w:rPr>
                <w:b/>
                <w:sz w:val="24"/>
                <w:szCs w:val="24"/>
              </w:rPr>
            </w:pPr>
            <w:r w:rsidRPr="00E75191">
              <w:rPr>
                <w:b/>
                <w:sz w:val="24"/>
                <w:szCs w:val="24"/>
              </w:rPr>
              <w:t>No of Respondents</w:t>
            </w:r>
          </w:p>
        </w:tc>
      </w:tr>
      <w:tr w:rsidR="00547F82" w14:paraId="35E32CD6" w14:textId="77777777" w:rsidTr="00E75191">
        <w:trPr>
          <w:trHeight w:val="297"/>
          <w:jc w:val="center"/>
        </w:trPr>
        <w:tc>
          <w:tcPr>
            <w:tcW w:w="4392" w:type="dxa"/>
            <w:tcBorders>
              <w:top w:val="single" w:sz="4" w:space="0" w:color="auto"/>
              <w:left w:val="single" w:sz="4" w:space="0" w:color="auto"/>
              <w:bottom w:val="single" w:sz="4" w:space="0" w:color="auto"/>
              <w:right w:val="single" w:sz="4" w:space="0" w:color="auto"/>
            </w:tcBorders>
            <w:hideMark/>
          </w:tcPr>
          <w:p w14:paraId="7D24C40A" w14:textId="77777777" w:rsidR="00547F82" w:rsidRDefault="00547F82" w:rsidP="00E75191">
            <w:pPr>
              <w:spacing w:line="240" w:lineRule="auto"/>
              <w:jc w:val="both"/>
              <w:rPr>
                <w:sz w:val="24"/>
                <w:szCs w:val="24"/>
              </w:rPr>
            </w:pPr>
            <w:r>
              <w:rPr>
                <w:sz w:val="24"/>
                <w:szCs w:val="24"/>
              </w:rPr>
              <w:t>Young female aged 15 – 24</w:t>
            </w:r>
          </w:p>
        </w:tc>
        <w:tc>
          <w:tcPr>
            <w:tcW w:w="2102" w:type="dxa"/>
            <w:tcBorders>
              <w:top w:val="single" w:sz="4" w:space="0" w:color="auto"/>
              <w:left w:val="single" w:sz="4" w:space="0" w:color="auto"/>
              <w:bottom w:val="single" w:sz="4" w:space="0" w:color="auto"/>
              <w:right w:val="single" w:sz="4" w:space="0" w:color="auto"/>
            </w:tcBorders>
            <w:hideMark/>
          </w:tcPr>
          <w:p w14:paraId="06819FFC" w14:textId="77777777" w:rsidR="00547F82" w:rsidRDefault="00547F82" w:rsidP="00E75191">
            <w:pPr>
              <w:spacing w:line="240" w:lineRule="auto"/>
              <w:jc w:val="both"/>
              <w:rPr>
                <w:sz w:val="24"/>
                <w:szCs w:val="24"/>
              </w:rPr>
            </w:pPr>
            <w:r>
              <w:rPr>
                <w:sz w:val="24"/>
                <w:szCs w:val="24"/>
              </w:rPr>
              <w:t>50</w:t>
            </w:r>
          </w:p>
        </w:tc>
      </w:tr>
      <w:tr w:rsidR="00547F82" w14:paraId="3F6CEA08" w14:textId="77777777" w:rsidTr="00E75191">
        <w:trPr>
          <w:trHeight w:val="304"/>
          <w:jc w:val="center"/>
        </w:trPr>
        <w:tc>
          <w:tcPr>
            <w:tcW w:w="4392" w:type="dxa"/>
            <w:tcBorders>
              <w:top w:val="single" w:sz="4" w:space="0" w:color="auto"/>
              <w:left w:val="single" w:sz="4" w:space="0" w:color="auto"/>
              <w:bottom w:val="single" w:sz="4" w:space="0" w:color="auto"/>
              <w:right w:val="single" w:sz="4" w:space="0" w:color="auto"/>
            </w:tcBorders>
            <w:hideMark/>
          </w:tcPr>
          <w:p w14:paraId="673BE09C" w14:textId="77777777" w:rsidR="00547F82" w:rsidRDefault="00547F82" w:rsidP="00E75191">
            <w:pPr>
              <w:spacing w:line="240" w:lineRule="auto"/>
              <w:jc w:val="both"/>
              <w:rPr>
                <w:sz w:val="24"/>
                <w:szCs w:val="24"/>
              </w:rPr>
            </w:pPr>
            <w:r>
              <w:rPr>
                <w:sz w:val="24"/>
                <w:szCs w:val="24"/>
              </w:rPr>
              <w:t>Adult female (from 25 years and above)</w:t>
            </w:r>
          </w:p>
        </w:tc>
        <w:tc>
          <w:tcPr>
            <w:tcW w:w="2102" w:type="dxa"/>
            <w:tcBorders>
              <w:top w:val="single" w:sz="4" w:space="0" w:color="auto"/>
              <w:left w:val="single" w:sz="4" w:space="0" w:color="auto"/>
              <w:bottom w:val="single" w:sz="4" w:space="0" w:color="auto"/>
              <w:right w:val="single" w:sz="4" w:space="0" w:color="auto"/>
            </w:tcBorders>
            <w:hideMark/>
          </w:tcPr>
          <w:p w14:paraId="7F24BCD3" w14:textId="77777777" w:rsidR="00547F82" w:rsidRDefault="00547F82" w:rsidP="00E75191">
            <w:pPr>
              <w:spacing w:line="240" w:lineRule="auto"/>
              <w:jc w:val="both"/>
              <w:rPr>
                <w:sz w:val="24"/>
                <w:szCs w:val="24"/>
              </w:rPr>
            </w:pPr>
            <w:r>
              <w:rPr>
                <w:sz w:val="24"/>
                <w:szCs w:val="24"/>
              </w:rPr>
              <w:t>100</w:t>
            </w:r>
          </w:p>
        </w:tc>
      </w:tr>
      <w:tr w:rsidR="00547F82" w14:paraId="5D0277A5" w14:textId="77777777" w:rsidTr="00E75191">
        <w:trPr>
          <w:trHeight w:val="297"/>
          <w:jc w:val="center"/>
        </w:trPr>
        <w:tc>
          <w:tcPr>
            <w:tcW w:w="4392" w:type="dxa"/>
            <w:tcBorders>
              <w:top w:val="single" w:sz="4" w:space="0" w:color="auto"/>
              <w:left w:val="single" w:sz="4" w:space="0" w:color="auto"/>
              <w:bottom w:val="single" w:sz="4" w:space="0" w:color="auto"/>
              <w:right w:val="single" w:sz="4" w:space="0" w:color="auto"/>
            </w:tcBorders>
            <w:hideMark/>
          </w:tcPr>
          <w:p w14:paraId="505B06A7" w14:textId="77777777" w:rsidR="00547F82" w:rsidRDefault="00547F82" w:rsidP="00E75191">
            <w:pPr>
              <w:spacing w:line="240" w:lineRule="auto"/>
              <w:jc w:val="both"/>
              <w:rPr>
                <w:sz w:val="24"/>
                <w:szCs w:val="24"/>
              </w:rPr>
            </w:pPr>
            <w:r>
              <w:rPr>
                <w:sz w:val="24"/>
                <w:szCs w:val="24"/>
              </w:rPr>
              <w:t>Young males aged 15 – 24</w:t>
            </w:r>
          </w:p>
        </w:tc>
        <w:tc>
          <w:tcPr>
            <w:tcW w:w="2102" w:type="dxa"/>
            <w:tcBorders>
              <w:top w:val="single" w:sz="4" w:space="0" w:color="auto"/>
              <w:left w:val="single" w:sz="4" w:space="0" w:color="auto"/>
              <w:bottom w:val="single" w:sz="4" w:space="0" w:color="auto"/>
              <w:right w:val="single" w:sz="4" w:space="0" w:color="auto"/>
            </w:tcBorders>
            <w:hideMark/>
          </w:tcPr>
          <w:p w14:paraId="4F1B1506" w14:textId="77777777" w:rsidR="00547F82" w:rsidRDefault="00547F82" w:rsidP="00E75191">
            <w:pPr>
              <w:spacing w:line="240" w:lineRule="auto"/>
              <w:jc w:val="both"/>
              <w:rPr>
                <w:sz w:val="24"/>
                <w:szCs w:val="24"/>
              </w:rPr>
            </w:pPr>
            <w:r>
              <w:rPr>
                <w:sz w:val="24"/>
                <w:szCs w:val="24"/>
              </w:rPr>
              <w:t>50</w:t>
            </w:r>
          </w:p>
        </w:tc>
      </w:tr>
      <w:tr w:rsidR="00547F82" w14:paraId="1A2AA5F0" w14:textId="77777777" w:rsidTr="00E75191">
        <w:trPr>
          <w:trHeight w:val="304"/>
          <w:jc w:val="center"/>
        </w:trPr>
        <w:tc>
          <w:tcPr>
            <w:tcW w:w="4392" w:type="dxa"/>
            <w:tcBorders>
              <w:top w:val="single" w:sz="4" w:space="0" w:color="auto"/>
              <w:left w:val="single" w:sz="4" w:space="0" w:color="auto"/>
              <w:bottom w:val="single" w:sz="4" w:space="0" w:color="auto"/>
              <w:right w:val="single" w:sz="4" w:space="0" w:color="auto"/>
            </w:tcBorders>
            <w:hideMark/>
          </w:tcPr>
          <w:p w14:paraId="42B4E76F" w14:textId="77777777" w:rsidR="00547F82" w:rsidRDefault="00547F82" w:rsidP="00E75191">
            <w:pPr>
              <w:spacing w:line="240" w:lineRule="auto"/>
              <w:jc w:val="both"/>
              <w:rPr>
                <w:sz w:val="24"/>
                <w:szCs w:val="24"/>
              </w:rPr>
            </w:pPr>
            <w:r>
              <w:rPr>
                <w:sz w:val="24"/>
                <w:szCs w:val="24"/>
              </w:rPr>
              <w:t>Adult male (from 25 years and above)</w:t>
            </w:r>
          </w:p>
        </w:tc>
        <w:tc>
          <w:tcPr>
            <w:tcW w:w="2102" w:type="dxa"/>
            <w:tcBorders>
              <w:top w:val="single" w:sz="4" w:space="0" w:color="auto"/>
              <w:left w:val="single" w:sz="4" w:space="0" w:color="auto"/>
              <w:bottom w:val="single" w:sz="4" w:space="0" w:color="auto"/>
              <w:right w:val="single" w:sz="4" w:space="0" w:color="auto"/>
            </w:tcBorders>
            <w:hideMark/>
          </w:tcPr>
          <w:p w14:paraId="311F55C8" w14:textId="77777777" w:rsidR="00547F82" w:rsidRDefault="00547F82" w:rsidP="00E75191">
            <w:pPr>
              <w:spacing w:line="240" w:lineRule="auto"/>
              <w:jc w:val="both"/>
              <w:rPr>
                <w:sz w:val="24"/>
                <w:szCs w:val="24"/>
              </w:rPr>
            </w:pPr>
            <w:r>
              <w:rPr>
                <w:sz w:val="24"/>
                <w:szCs w:val="24"/>
              </w:rPr>
              <w:t>100</w:t>
            </w:r>
          </w:p>
        </w:tc>
      </w:tr>
      <w:tr w:rsidR="00547F82" w14:paraId="45F64061" w14:textId="77777777" w:rsidTr="00E75191">
        <w:trPr>
          <w:trHeight w:val="50"/>
          <w:jc w:val="center"/>
        </w:trPr>
        <w:tc>
          <w:tcPr>
            <w:tcW w:w="4392" w:type="dxa"/>
            <w:tcBorders>
              <w:top w:val="single" w:sz="4" w:space="0" w:color="auto"/>
              <w:left w:val="single" w:sz="4" w:space="0" w:color="auto"/>
              <w:bottom w:val="single" w:sz="4" w:space="0" w:color="auto"/>
              <w:right w:val="single" w:sz="4" w:space="0" w:color="auto"/>
            </w:tcBorders>
            <w:hideMark/>
          </w:tcPr>
          <w:p w14:paraId="712C9837" w14:textId="77777777" w:rsidR="00547F82" w:rsidRDefault="00547F82" w:rsidP="00E75191">
            <w:pPr>
              <w:spacing w:line="240" w:lineRule="auto"/>
              <w:jc w:val="both"/>
              <w:rPr>
                <w:sz w:val="24"/>
                <w:szCs w:val="24"/>
              </w:rPr>
            </w:pPr>
            <w:r>
              <w:rPr>
                <w:sz w:val="24"/>
                <w:szCs w:val="24"/>
              </w:rPr>
              <w:t>Total</w:t>
            </w:r>
          </w:p>
        </w:tc>
        <w:tc>
          <w:tcPr>
            <w:tcW w:w="2102" w:type="dxa"/>
            <w:tcBorders>
              <w:top w:val="single" w:sz="4" w:space="0" w:color="auto"/>
              <w:left w:val="single" w:sz="4" w:space="0" w:color="auto"/>
              <w:bottom w:val="single" w:sz="4" w:space="0" w:color="auto"/>
              <w:right w:val="single" w:sz="4" w:space="0" w:color="auto"/>
            </w:tcBorders>
            <w:hideMark/>
          </w:tcPr>
          <w:p w14:paraId="56D86061" w14:textId="77777777" w:rsidR="00547F82" w:rsidRDefault="00547F82" w:rsidP="00E75191">
            <w:pPr>
              <w:spacing w:line="240" w:lineRule="auto"/>
              <w:jc w:val="both"/>
              <w:rPr>
                <w:sz w:val="24"/>
                <w:szCs w:val="24"/>
              </w:rPr>
            </w:pPr>
            <w:r>
              <w:rPr>
                <w:sz w:val="24"/>
                <w:szCs w:val="24"/>
              </w:rPr>
              <w:t>300</w:t>
            </w:r>
          </w:p>
        </w:tc>
      </w:tr>
    </w:tbl>
    <w:p w14:paraId="1310AC99" w14:textId="77777777" w:rsidR="00404575" w:rsidRDefault="00404575" w:rsidP="00E75191">
      <w:pPr>
        <w:spacing w:line="240" w:lineRule="auto"/>
      </w:pPr>
    </w:p>
    <w:p w14:paraId="01BA1784" w14:textId="77777777" w:rsidR="00681F77" w:rsidRPr="00E75191" w:rsidRDefault="00681F77" w:rsidP="00E75191">
      <w:pPr>
        <w:spacing w:line="240" w:lineRule="auto"/>
        <w:rPr>
          <w:sz w:val="24"/>
          <w:szCs w:val="24"/>
        </w:rPr>
      </w:pPr>
      <w:r w:rsidRPr="00E75191">
        <w:rPr>
          <w:sz w:val="24"/>
          <w:szCs w:val="24"/>
        </w:rPr>
        <w:t xml:space="preserve">The breakdown of participants obtained by state at the end of the data collection phase are providd below: </w:t>
      </w:r>
    </w:p>
    <w:tbl>
      <w:tblPr>
        <w:tblW w:w="0" w:type="auto"/>
        <w:jc w:val="center"/>
        <w:tblLook w:val="04A0" w:firstRow="1" w:lastRow="0" w:firstColumn="1" w:lastColumn="0" w:noHBand="0" w:noVBand="1"/>
      </w:tblPr>
      <w:tblGrid>
        <w:gridCol w:w="3321"/>
        <w:gridCol w:w="3333"/>
      </w:tblGrid>
      <w:tr w:rsidR="00681F77" w:rsidRPr="00E75191" w14:paraId="78D16CE3" w14:textId="77777777" w:rsidTr="00E75191">
        <w:trPr>
          <w:trHeight w:val="457"/>
          <w:jc w:val="center"/>
        </w:trPr>
        <w:tc>
          <w:tcPr>
            <w:tcW w:w="3321" w:type="dxa"/>
          </w:tcPr>
          <w:p w14:paraId="5B24E3B1" w14:textId="77777777" w:rsidR="00681F77" w:rsidRPr="00E75191" w:rsidRDefault="00681F77" w:rsidP="00E75191">
            <w:pPr>
              <w:spacing w:line="240" w:lineRule="auto"/>
              <w:rPr>
                <w:b/>
                <w:sz w:val="24"/>
                <w:szCs w:val="24"/>
              </w:rPr>
            </w:pPr>
            <w:r w:rsidRPr="00E75191">
              <w:rPr>
                <w:b/>
                <w:sz w:val="24"/>
                <w:szCs w:val="24"/>
              </w:rPr>
              <w:t>States</w:t>
            </w:r>
          </w:p>
        </w:tc>
        <w:tc>
          <w:tcPr>
            <w:tcW w:w="3333" w:type="dxa"/>
          </w:tcPr>
          <w:p w14:paraId="313FD4BF" w14:textId="77777777" w:rsidR="00681F77" w:rsidRPr="00E75191" w:rsidRDefault="00681F77" w:rsidP="00E75191">
            <w:pPr>
              <w:spacing w:line="240" w:lineRule="auto"/>
              <w:rPr>
                <w:b/>
                <w:sz w:val="24"/>
                <w:szCs w:val="24"/>
              </w:rPr>
            </w:pPr>
            <w:r w:rsidRPr="00E75191">
              <w:rPr>
                <w:b/>
                <w:sz w:val="24"/>
                <w:szCs w:val="24"/>
              </w:rPr>
              <w:t>Number of Participants</w:t>
            </w:r>
          </w:p>
        </w:tc>
      </w:tr>
      <w:tr w:rsidR="00681F77" w14:paraId="7BEBB187" w14:textId="77777777" w:rsidTr="00E75191">
        <w:trPr>
          <w:trHeight w:val="447"/>
          <w:jc w:val="center"/>
        </w:trPr>
        <w:tc>
          <w:tcPr>
            <w:tcW w:w="3321" w:type="dxa"/>
          </w:tcPr>
          <w:p w14:paraId="154B47F0" w14:textId="77777777" w:rsidR="00681F77" w:rsidRDefault="00681F77" w:rsidP="00E75191">
            <w:pPr>
              <w:spacing w:line="240" w:lineRule="auto"/>
              <w:rPr>
                <w:sz w:val="24"/>
                <w:szCs w:val="24"/>
              </w:rPr>
            </w:pPr>
            <w:r>
              <w:rPr>
                <w:sz w:val="24"/>
                <w:szCs w:val="24"/>
              </w:rPr>
              <w:t>Kano</w:t>
            </w:r>
          </w:p>
        </w:tc>
        <w:tc>
          <w:tcPr>
            <w:tcW w:w="3333" w:type="dxa"/>
          </w:tcPr>
          <w:p w14:paraId="04138541" w14:textId="77777777" w:rsidR="00681F77" w:rsidRDefault="00681F77" w:rsidP="00E75191">
            <w:pPr>
              <w:spacing w:line="240" w:lineRule="auto"/>
              <w:rPr>
                <w:sz w:val="24"/>
                <w:szCs w:val="24"/>
              </w:rPr>
            </w:pPr>
            <w:r>
              <w:rPr>
                <w:sz w:val="24"/>
                <w:szCs w:val="24"/>
              </w:rPr>
              <w:t>356</w:t>
            </w:r>
          </w:p>
        </w:tc>
      </w:tr>
      <w:tr w:rsidR="00681F77" w14:paraId="2580A11C" w14:textId="77777777" w:rsidTr="00E75191">
        <w:trPr>
          <w:trHeight w:val="457"/>
          <w:jc w:val="center"/>
        </w:trPr>
        <w:tc>
          <w:tcPr>
            <w:tcW w:w="3321" w:type="dxa"/>
          </w:tcPr>
          <w:p w14:paraId="1C067A9C" w14:textId="77777777" w:rsidR="00681F77" w:rsidRDefault="00681F77" w:rsidP="00E75191">
            <w:pPr>
              <w:spacing w:line="240" w:lineRule="auto"/>
              <w:rPr>
                <w:sz w:val="24"/>
                <w:szCs w:val="24"/>
              </w:rPr>
            </w:pPr>
            <w:r>
              <w:rPr>
                <w:sz w:val="24"/>
                <w:szCs w:val="24"/>
              </w:rPr>
              <w:t>Adamawa</w:t>
            </w:r>
          </w:p>
        </w:tc>
        <w:tc>
          <w:tcPr>
            <w:tcW w:w="3333" w:type="dxa"/>
          </w:tcPr>
          <w:p w14:paraId="3F9A822C" w14:textId="77777777" w:rsidR="00681F77" w:rsidRDefault="00681F77" w:rsidP="00E75191">
            <w:pPr>
              <w:spacing w:line="240" w:lineRule="auto"/>
              <w:rPr>
                <w:sz w:val="24"/>
                <w:szCs w:val="24"/>
              </w:rPr>
            </w:pPr>
            <w:r>
              <w:rPr>
                <w:sz w:val="24"/>
                <w:szCs w:val="24"/>
              </w:rPr>
              <w:t>322</w:t>
            </w:r>
          </w:p>
        </w:tc>
      </w:tr>
      <w:tr w:rsidR="00681F77" w14:paraId="4335A1BA" w14:textId="77777777" w:rsidTr="00E75191">
        <w:trPr>
          <w:trHeight w:val="288"/>
          <w:jc w:val="center"/>
        </w:trPr>
        <w:tc>
          <w:tcPr>
            <w:tcW w:w="3321" w:type="dxa"/>
          </w:tcPr>
          <w:p w14:paraId="52B181D1" w14:textId="77777777" w:rsidR="00681F77" w:rsidRDefault="00681F77" w:rsidP="00E75191">
            <w:pPr>
              <w:spacing w:line="240" w:lineRule="auto"/>
              <w:rPr>
                <w:sz w:val="24"/>
                <w:szCs w:val="24"/>
              </w:rPr>
            </w:pPr>
            <w:r>
              <w:rPr>
                <w:sz w:val="24"/>
                <w:szCs w:val="24"/>
              </w:rPr>
              <w:t>Edo</w:t>
            </w:r>
          </w:p>
        </w:tc>
        <w:tc>
          <w:tcPr>
            <w:tcW w:w="3333" w:type="dxa"/>
          </w:tcPr>
          <w:p w14:paraId="7ECE162C" w14:textId="77777777" w:rsidR="00681F77" w:rsidRDefault="00681F77" w:rsidP="00E75191">
            <w:pPr>
              <w:spacing w:line="240" w:lineRule="auto"/>
              <w:rPr>
                <w:sz w:val="24"/>
                <w:szCs w:val="24"/>
              </w:rPr>
            </w:pPr>
            <w:r>
              <w:rPr>
                <w:sz w:val="24"/>
                <w:szCs w:val="24"/>
              </w:rPr>
              <w:t>313</w:t>
            </w:r>
          </w:p>
        </w:tc>
      </w:tr>
      <w:tr w:rsidR="00681F77" w14:paraId="774D53A7" w14:textId="77777777" w:rsidTr="00E75191">
        <w:trPr>
          <w:trHeight w:val="457"/>
          <w:jc w:val="center"/>
        </w:trPr>
        <w:tc>
          <w:tcPr>
            <w:tcW w:w="3321" w:type="dxa"/>
          </w:tcPr>
          <w:p w14:paraId="7B8A2D44" w14:textId="77777777" w:rsidR="00681F77" w:rsidRDefault="00681F77" w:rsidP="00E75191">
            <w:pPr>
              <w:spacing w:line="240" w:lineRule="auto"/>
              <w:rPr>
                <w:sz w:val="24"/>
                <w:szCs w:val="24"/>
              </w:rPr>
            </w:pPr>
            <w:r>
              <w:rPr>
                <w:sz w:val="24"/>
                <w:szCs w:val="24"/>
              </w:rPr>
              <w:t>FCT</w:t>
            </w:r>
          </w:p>
        </w:tc>
        <w:tc>
          <w:tcPr>
            <w:tcW w:w="3333" w:type="dxa"/>
          </w:tcPr>
          <w:p w14:paraId="7EF77B97" w14:textId="77777777" w:rsidR="00681F77" w:rsidRDefault="00681F77" w:rsidP="00E75191">
            <w:pPr>
              <w:spacing w:line="240" w:lineRule="auto"/>
              <w:rPr>
                <w:sz w:val="24"/>
                <w:szCs w:val="24"/>
              </w:rPr>
            </w:pPr>
            <w:r>
              <w:rPr>
                <w:sz w:val="24"/>
                <w:szCs w:val="24"/>
              </w:rPr>
              <w:t>309</w:t>
            </w:r>
          </w:p>
        </w:tc>
      </w:tr>
      <w:tr w:rsidR="00681F77" w14:paraId="4E30D776" w14:textId="77777777" w:rsidTr="00E75191">
        <w:trPr>
          <w:trHeight w:val="457"/>
          <w:jc w:val="center"/>
        </w:trPr>
        <w:tc>
          <w:tcPr>
            <w:tcW w:w="3321" w:type="dxa"/>
          </w:tcPr>
          <w:p w14:paraId="6C8F1AFC" w14:textId="77777777" w:rsidR="00681F77" w:rsidRDefault="00681F77" w:rsidP="00E75191">
            <w:pPr>
              <w:spacing w:line="240" w:lineRule="auto"/>
              <w:rPr>
                <w:sz w:val="24"/>
                <w:szCs w:val="24"/>
              </w:rPr>
            </w:pPr>
            <w:r>
              <w:rPr>
                <w:sz w:val="24"/>
                <w:szCs w:val="24"/>
              </w:rPr>
              <w:t>Anambra</w:t>
            </w:r>
          </w:p>
        </w:tc>
        <w:tc>
          <w:tcPr>
            <w:tcW w:w="3333" w:type="dxa"/>
          </w:tcPr>
          <w:p w14:paraId="490B3659" w14:textId="77777777" w:rsidR="00681F77" w:rsidRDefault="00681F77" w:rsidP="00E75191">
            <w:pPr>
              <w:spacing w:line="240" w:lineRule="auto"/>
              <w:rPr>
                <w:sz w:val="24"/>
                <w:szCs w:val="24"/>
              </w:rPr>
            </w:pPr>
            <w:r>
              <w:rPr>
                <w:sz w:val="24"/>
                <w:szCs w:val="24"/>
              </w:rPr>
              <w:t>308</w:t>
            </w:r>
          </w:p>
        </w:tc>
      </w:tr>
      <w:tr w:rsidR="00681F77" w14:paraId="156E7B9B" w14:textId="77777777" w:rsidTr="00E75191">
        <w:trPr>
          <w:trHeight w:val="447"/>
          <w:jc w:val="center"/>
        </w:trPr>
        <w:tc>
          <w:tcPr>
            <w:tcW w:w="3321" w:type="dxa"/>
          </w:tcPr>
          <w:p w14:paraId="42C6AF9F" w14:textId="77777777" w:rsidR="00681F77" w:rsidRDefault="00681F77" w:rsidP="00E75191">
            <w:pPr>
              <w:spacing w:line="240" w:lineRule="auto"/>
              <w:rPr>
                <w:sz w:val="24"/>
                <w:szCs w:val="24"/>
              </w:rPr>
            </w:pPr>
            <w:r>
              <w:rPr>
                <w:sz w:val="24"/>
                <w:szCs w:val="24"/>
              </w:rPr>
              <w:t>Kwara</w:t>
            </w:r>
          </w:p>
        </w:tc>
        <w:tc>
          <w:tcPr>
            <w:tcW w:w="3333" w:type="dxa"/>
          </w:tcPr>
          <w:p w14:paraId="5B4C33DD" w14:textId="77777777" w:rsidR="00681F77" w:rsidRDefault="00681F77" w:rsidP="00E75191">
            <w:pPr>
              <w:spacing w:line="240" w:lineRule="auto"/>
              <w:rPr>
                <w:sz w:val="24"/>
                <w:szCs w:val="24"/>
              </w:rPr>
            </w:pPr>
            <w:r>
              <w:rPr>
                <w:sz w:val="24"/>
                <w:szCs w:val="24"/>
              </w:rPr>
              <w:t>155</w:t>
            </w:r>
          </w:p>
        </w:tc>
      </w:tr>
      <w:tr w:rsidR="00681F77" w14:paraId="4103FDB2" w14:textId="77777777" w:rsidTr="00E75191">
        <w:trPr>
          <w:trHeight w:val="457"/>
          <w:jc w:val="center"/>
        </w:trPr>
        <w:tc>
          <w:tcPr>
            <w:tcW w:w="3321" w:type="dxa"/>
          </w:tcPr>
          <w:p w14:paraId="4A88A660" w14:textId="77777777" w:rsidR="00681F77" w:rsidRDefault="00681F77" w:rsidP="00E75191">
            <w:pPr>
              <w:spacing w:line="240" w:lineRule="auto"/>
              <w:rPr>
                <w:sz w:val="24"/>
                <w:szCs w:val="24"/>
              </w:rPr>
            </w:pPr>
            <w:r>
              <w:rPr>
                <w:sz w:val="24"/>
                <w:szCs w:val="24"/>
              </w:rPr>
              <w:t>Lagos</w:t>
            </w:r>
          </w:p>
        </w:tc>
        <w:tc>
          <w:tcPr>
            <w:tcW w:w="3333" w:type="dxa"/>
          </w:tcPr>
          <w:p w14:paraId="77638C22" w14:textId="77777777" w:rsidR="00681F77" w:rsidRDefault="00681F77" w:rsidP="00E75191">
            <w:pPr>
              <w:spacing w:line="240" w:lineRule="auto"/>
              <w:rPr>
                <w:sz w:val="24"/>
                <w:szCs w:val="24"/>
              </w:rPr>
            </w:pPr>
            <w:r>
              <w:rPr>
                <w:sz w:val="24"/>
                <w:szCs w:val="24"/>
              </w:rPr>
              <w:t>110</w:t>
            </w:r>
          </w:p>
        </w:tc>
      </w:tr>
    </w:tbl>
    <w:p w14:paraId="51286D8E" w14:textId="77777777" w:rsidR="00681F77" w:rsidRDefault="00681F77" w:rsidP="00E75191">
      <w:pPr>
        <w:spacing w:line="240" w:lineRule="auto"/>
      </w:pPr>
    </w:p>
    <w:p w14:paraId="16FFBCE7" w14:textId="77777777" w:rsidR="00681F77" w:rsidRDefault="00681F77" w:rsidP="00E75191">
      <w:pPr>
        <w:spacing w:line="240" w:lineRule="auto"/>
        <w:rPr>
          <w:b/>
        </w:rPr>
      </w:pPr>
      <w:r>
        <w:rPr>
          <w:noProof/>
          <w:lang w:val="en-IE" w:eastAsia="en-IE"/>
        </w:rPr>
        <w:lastRenderedPageBreak/>
        <w:drawing>
          <wp:anchor distT="0" distB="0" distL="114300" distR="114300" simplePos="0" relativeHeight="251726848" behindDoc="0" locked="0" layoutInCell="1" allowOverlap="1" wp14:anchorId="7B499FB0" wp14:editId="52800FF5">
            <wp:simplePos x="0" y="0"/>
            <wp:positionH relativeFrom="column">
              <wp:posOffset>0</wp:posOffset>
            </wp:positionH>
            <wp:positionV relativeFrom="paragraph">
              <wp:posOffset>287020</wp:posOffset>
            </wp:positionV>
            <wp:extent cx="3898900" cy="2343150"/>
            <wp:effectExtent l="38100" t="0" r="6350" b="0"/>
            <wp:wrapSquare wrapText="bothSides"/>
            <wp:docPr id="471" name="Chart 471"/>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14:sizeRelH relativeFrom="margin">
              <wp14:pctWidth>0</wp14:pctWidth>
            </wp14:sizeRelH>
          </wp:anchor>
        </w:drawing>
      </w:r>
      <w:r w:rsidRPr="00DD1222">
        <w:rPr>
          <w:b/>
        </w:rPr>
        <w:t>Participants’ demographics</w:t>
      </w:r>
    </w:p>
    <w:p w14:paraId="6BFE9500" w14:textId="77777777" w:rsidR="00681F77" w:rsidRDefault="00681F77" w:rsidP="00E75191">
      <w:pPr>
        <w:spacing w:line="240" w:lineRule="auto"/>
        <w:rPr>
          <w:b/>
        </w:rPr>
      </w:pPr>
    </w:p>
    <w:tbl>
      <w:tblPr>
        <w:tblStyle w:val="TableGrid"/>
        <w:tblW w:w="0" w:type="auto"/>
        <w:jc w:val="center"/>
        <w:tblLook w:val="04A0" w:firstRow="1" w:lastRow="0" w:firstColumn="1" w:lastColumn="0" w:noHBand="0" w:noVBand="1"/>
      </w:tblPr>
      <w:tblGrid>
        <w:gridCol w:w="2511"/>
        <w:gridCol w:w="2511"/>
      </w:tblGrid>
      <w:tr w:rsidR="00681F77" w:rsidRPr="00E75191" w14:paraId="61FEDF9A" w14:textId="77777777" w:rsidTr="00E75191">
        <w:trPr>
          <w:trHeight w:val="413"/>
          <w:jc w:val="center"/>
        </w:trPr>
        <w:tc>
          <w:tcPr>
            <w:tcW w:w="2511" w:type="dxa"/>
          </w:tcPr>
          <w:p w14:paraId="20A70BDA" w14:textId="77777777" w:rsidR="00681F77" w:rsidRPr="00E75191" w:rsidRDefault="00681F77" w:rsidP="00E75191">
            <w:pPr>
              <w:rPr>
                <w:b/>
              </w:rPr>
            </w:pPr>
            <w:r w:rsidRPr="00E75191">
              <w:rPr>
                <w:b/>
              </w:rPr>
              <w:t>Gender</w:t>
            </w:r>
          </w:p>
        </w:tc>
        <w:tc>
          <w:tcPr>
            <w:tcW w:w="2511" w:type="dxa"/>
          </w:tcPr>
          <w:p w14:paraId="437E5E92" w14:textId="77777777" w:rsidR="00681F77" w:rsidRPr="00E75191" w:rsidRDefault="00681F77" w:rsidP="00E75191">
            <w:pPr>
              <w:rPr>
                <w:b/>
              </w:rPr>
            </w:pPr>
            <w:r w:rsidRPr="00E75191">
              <w:rPr>
                <w:b/>
              </w:rPr>
              <w:t>Number</w:t>
            </w:r>
          </w:p>
        </w:tc>
      </w:tr>
      <w:tr w:rsidR="00681F77" w14:paraId="0D39148D" w14:textId="77777777" w:rsidTr="00E75191">
        <w:trPr>
          <w:trHeight w:val="413"/>
          <w:jc w:val="center"/>
        </w:trPr>
        <w:tc>
          <w:tcPr>
            <w:tcW w:w="2511" w:type="dxa"/>
          </w:tcPr>
          <w:p w14:paraId="09D50B9D" w14:textId="77777777" w:rsidR="00681F77" w:rsidRDefault="00681F77" w:rsidP="00E75191">
            <w:pPr>
              <w:rPr>
                <w:b/>
              </w:rPr>
            </w:pPr>
            <w:r w:rsidRPr="00CE57D0">
              <w:t>Female</w:t>
            </w:r>
          </w:p>
        </w:tc>
        <w:tc>
          <w:tcPr>
            <w:tcW w:w="2511" w:type="dxa"/>
          </w:tcPr>
          <w:p w14:paraId="4D2B3264" w14:textId="77777777" w:rsidR="00681F77" w:rsidRDefault="00681F77" w:rsidP="00E75191">
            <w:pPr>
              <w:rPr>
                <w:b/>
              </w:rPr>
            </w:pPr>
            <w:r w:rsidRPr="00CE57D0">
              <w:t>989</w:t>
            </w:r>
          </w:p>
        </w:tc>
      </w:tr>
      <w:tr w:rsidR="00681F77" w14:paraId="48F20B98" w14:textId="77777777" w:rsidTr="00E75191">
        <w:trPr>
          <w:trHeight w:val="413"/>
          <w:jc w:val="center"/>
        </w:trPr>
        <w:tc>
          <w:tcPr>
            <w:tcW w:w="2511" w:type="dxa"/>
          </w:tcPr>
          <w:p w14:paraId="61D6201D" w14:textId="77777777" w:rsidR="00681F77" w:rsidRDefault="00681F77" w:rsidP="00E75191">
            <w:pPr>
              <w:rPr>
                <w:b/>
              </w:rPr>
            </w:pPr>
            <w:r w:rsidRPr="00CE57D0">
              <w:t>Male</w:t>
            </w:r>
          </w:p>
        </w:tc>
        <w:tc>
          <w:tcPr>
            <w:tcW w:w="2511" w:type="dxa"/>
          </w:tcPr>
          <w:p w14:paraId="6E9AEFE5" w14:textId="77777777" w:rsidR="00681F77" w:rsidRDefault="00681F77" w:rsidP="00E75191">
            <w:pPr>
              <w:rPr>
                <w:b/>
              </w:rPr>
            </w:pPr>
            <w:r w:rsidRPr="00CE57D0">
              <w:t>851</w:t>
            </w:r>
          </w:p>
        </w:tc>
      </w:tr>
      <w:tr w:rsidR="00681F77" w14:paraId="66EA2674" w14:textId="77777777" w:rsidTr="00E75191">
        <w:trPr>
          <w:trHeight w:val="398"/>
          <w:jc w:val="center"/>
        </w:trPr>
        <w:tc>
          <w:tcPr>
            <w:tcW w:w="2511" w:type="dxa"/>
          </w:tcPr>
          <w:p w14:paraId="08B3932C" w14:textId="77777777" w:rsidR="00681F77" w:rsidRDefault="00681F77" w:rsidP="00E75191">
            <w:pPr>
              <w:rPr>
                <w:b/>
              </w:rPr>
            </w:pPr>
            <w:r w:rsidRPr="00CE57D0">
              <w:t>Other</w:t>
            </w:r>
          </w:p>
        </w:tc>
        <w:tc>
          <w:tcPr>
            <w:tcW w:w="2511" w:type="dxa"/>
          </w:tcPr>
          <w:p w14:paraId="6C21C75D" w14:textId="77777777" w:rsidR="00681F77" w:rsidRDefault="00681F77" w:rsidP="00E75191">
            <w:pPr>
              <w:rPr>
                <w:b/>
              </w:rPr>
            </w:pPr>
            <w:r w:rsidRPr="00CE57D0">
              <w:t>12</w:t>
            </w:r>
          </w:p>
        </w:tc>
      </w:tr>
    </w:tbl>
    <w:p w14:paraId="3FD23118" w14:textId="77777777" w:rsidR="00681F77" w:rsidRDefault="00681F77" w:rsidP="00E75191">
      <w:pPr>
        <w:spacing w:line="240" w:lineRule="auto"/>
        <w:rPr>
          <w:b/>
        </w:rPr>
      </w:pPr>
    </w:p>
    <w:p w14:paraId="7DB23058" w14:textId="77777777" w:rsidR="00681F77" w:rsidRDefault="00681F77" w:rsidP="00E75191">
      <w:pPr>
        <w:spacing w:line="240" w:lineRule="auto"/>
        <w:rPr>
          <w:sz w:val="24"/>
          <w:szCs w:val="24"/>
        </w:rPr>
      </w:pPr>
    </w:p>
    <w:p w14:paraId="37F59CE0" w14:textId="77777777" w:rsidR="00681F77" w:rsidRDefault="00681F77" w:rsidP="00E75191">
      <w:pPr>
        <w:spacing w:line="240" w:lineRule="auto"/>
        <w:rPr>
          <w:sz w:val="24"/>
          <w:szCs w:val="24"/>
        </w:rPr>
      </w:pPr>
      <w:r>
        <w:rPr>
          <w:sz w:val="24"/>
          <w:szCs w:val="24"/>
        </w:rPr>
        <w:br w:type="page"/>
      </w:r>
    </w:p>
    <w:p w14:paraId="64900F6B" w14:textId="77777777" w:rsidR="00404575" w:rsidRPr="00404575" w:rsidRDefault="00404575" w:rsidP="00E75191">
      <w:pPr>
        <w:pStyle w:val="Heading1"/>
        <w:spacing w:line="240" w:lineRule="auto"/>
        <w:jc w:val="center"/>
      </w:pPr>
      <w:bookmarkStart w:id="67" w:name="_Toc81229111"/>
      <w:r w:rsidRPr="00404575">
        <w:lastRenderedPageBreak/>
        <w:t>Annex 1</w:t>
      </w:r>
      <w:bookmarkEnd w:id="67"/>
    </w:p>
    <w:p w14:paraId="05AC781B" w14:textId="77777777" w:rsidR="00404575" w:rsidRPr="00123592" w:rsidRDefault="00404575" w:rsidP="00E75191">
      <w:pPr>
        <w:pStyle w:val="Title"/>
        <w:jc w:val="center"/>
      </w:pPr>
      <w:r w:rsidRPr="00123592">
        <w:t>Research Instrument</w:t>
      </w:r>
    </w:p>
    <w:p w14:paraId="44885D6E" w14:textId="77777777" w:rsidR="00404575" w:rsidRPr="00E75191" w:rsidRDefault="00404575" w:rsidP="00E75191">
      <w:pPr>
        <w:rPr>
          <w:b/>
          <w:sz w:val="24"/>
          <w:szCs w:val="24"/>
        </w:rPr>
      </w:pPr>
      <w:r w:rsidRPr="00E75191">
        <w:rPr>
          <w:b/>
          <w:sz w:val="24"/>
          <w:szCs w:val="24"/>
        </w:rPr>
        <w:t>Introduction</w:t>
      </w:r>
    </w:p>
    <w:p w14:paraId="3E751296" w14:textId="77777777" w:rsidR="00404575" w:rsidRPr="00123592" w:rsidRDefault="00404575" w:rsidP="00E75191">
      <w:pPr>
        <w:spacing w:after="0" w:line="240" w:lineRule="auto"/>
        <w:ind w:left="-15" w:right="76"/>
        <w:jc w:val="both"/>
        <w:rPr>
          <w:rFonts w:eastAsia="Arial" w:cstheme="minorHAnsi"/>
          <w:color w:val="000000"/>
          <w:sz w:val="24"/>
          <w:szCs w:val="24"/>
          <w:lang w:eastAsia="en-GB"/>
        </w:rPr>
      </w:pPr>
      <w:r w:rsidRPr="00123592">
        <w:rPr>
          <w:rFonts w:eastAsia="Arial" w:cstheme="minorHAnsi"/>
          <w:color w:val="000000"/>
          <w:sz w:val="24"/>
          <w:szCs w:val="24"/>
          <w:lang w:eastAsia="en-GB"/>
        </w:rPr>
        <w:t>My name is ___________________. I am a member of the research team examining the</w:t>
      </w:r>
      <w:r w:rsidRPr="00123592">
        <w:rPr>
          <w:rFonts w:eastAsia="Arial" w:cstheme="minorHAnsi"/>
          <w:sz w:val="24"/>
          <w:szCs w:val="24"/>
        </w:rPr>
        <w:t xml:space="preserve"> Nigerian gender profile. The study is </w:t>
      </w:r>
      <w:r w:rsidRPr="006316A9">
        <w:rPr>
          <w:rFonts w:eastAsia="Arial" w:cstheme="minorHAnsi"/>
          <w:sz w:val="24"/>
          <w:szCs w:val="24"/>
        </w:rPr>
        <w:t>being</w:t>
      </w:r>
      <w:r w:rsidRPr="00123592">
        <w:rPr>
          <w:rFonts w:eastAsia="Arial" w:cstheme="minorHAnsi"/>
          <w:sz w:val="24"/>
          <w:szCs w:val="24"/>
        </w:rPr>
        <w:t xml:space="preserve"> implemented by the British Council and seeks to generate information on the country’s gender equality challenges and opportunities. The study is being conducted in all the six geopolitical zones in Nigeria (one state per geopolitical zone). </w:t>
      </w:r>
      <w:r w:rsidRPr="00123592">
        <w:rPr>
          <w:rFonts w:eastAsia="Arial" w:cstheme="minorHAnsi"/>
          <w:color w:val="000000"/>
          <w:sz w:val="24"/>
          <w:szCs w:val="24"/>
          <w:lang w:eastAsia="en-GB"/>
        </w:rPr>
        <w:t xml:space="preserve">We are approaching you because </w:t>
      </w:r>
      <w:r w:rsidRPr="00123592">
        <w:rPr>
          <w:rFonts w:eastAsia="Arial" w:cstheme="minorHAnsi"/>
          <w:sz w:val="24"/>
          <w:szCs w:val="24"/>
        </w:rPr>
        <w:t xml:space="preserve">we feel </w:t>
      </w:r>
      <w:r w:rsidRPr="00123592">
        <w:rPr>
          <w:rFonts w:eastAsia="Arial" w:cstheme="minorHAnsi"/>
          <w:color w:val="000000"/>
          <w:sz w:val="24"/>
          <w:szCs w:val="24"/>
          <w:lang w:eastAsia="en-GB"/>
        </w:rPr>
        <w:t xml:space="preserve">you are </w:t>
      </w:r>
      <w:r w:rsidRPr="00123592">
        <w:rPr>
          <w:rFonts w:eastAsia="Arial" w:cstheme="minorHAnsi"/>
          <w:sz w:val="24"/>
          <w:szCs w:val="24"/>
        </w:rPr>
        <w:t>in better position to share with us, from your wealth of experience, knowledge and perspectives, gender situation in your area, including issues, opportunities and challenges. We are also speaking to diverse categories of stakeholders in this state, including government agencies, civil society organisations, traditional and religious leaders and community members. We endeavour to keep all information we collect as part of the study confidential and i</w:t>
      </w:r>
      <w:r w:rsidRPr="00123592">
        <w:rPr>
          <w:rFonts w:eastAsia="Arial" w:cstheme="minorHAnsi"/>
          <w:color w:val="000000"/>
          <w:sz w:val="24"/>
          <w:szCs w:val="24"/>
          <w:lang w:eastAsia="en-GB"/>
        </w:rPr>
        <w:t>n all the analysis</w:t>
      </w:r>
      <w:r w:rsidRPr="00123592">
        <w:rPr>
          <w:rFonts w:eastAsia="Arial" w:cstheme="minorHAnsi"/>
          <w:sz w:val="24"/>
          <w:szCs w:val="24"/>
        </w:rPr>
        <w:t xml:space="preserve"> and reports, we will ensure that the respondents name is </w:t>
      </w:r>
      <w:r w:rsidRPr="00123592">
        <w:rPr>
          <w:rFonts w:eastAsia="Arial" w:cstheme="minorHAnsi"/>
          <w:color w:val="000000"/>
          <w:sz w:val="24"/>
          <w:szCs w:val="24"/>
          <w:lang w:eastAsia="en-GB"/>
        </w:rPr>
        <w:t xml:space="preserve">anonymized, </w:t>
      </w:r>
      <w:r w:rsidRPr="00123592">
        <w:rPr>
          <w:rFonts w:eastAsia="Arial" w:cstheme="minorHAnsi"/>
          <w:sz w:val="24"/>
          <w:szCs w:val="24"/>
        </w:rPr>
        <w:t>which means</w:t>
      </w:r>
      <w:r w:rsidRPr="00123592">
        <w:rPr>
          <w:rFonts w:eastAsia="Arial" w:cstheme="minorHAnsi"/>
          <w:color w:val="000000"/>
          <w:sz w:val="24"/>
          <w:szCs w:val="24"/>
          <w:lang w:eastAsia="en-GB"/>
        </w:rPr>
        <w:t xml:space="preserve"> that no one will be able to identify </w:t>
      </w:r>
      <w:r w:rsidRPr="00123592">
        <w:rPr>
          <w:rFonts w:eastAsia="Arial" w:cstheme="minorHAnsi"/>
          <w:sz w:val="24"/>
          <w:szCs w:val="24"/>
        </w:rPr>
        <w:t>what we are going to discuss here with you</w:t>
      </w:r>
      <w:r w:rsidRPr="00123592">
        <w:rPr>
          <w:rFonts w:eastAsia="Arial" w:cstheme="minorHAnsi"/>
          <w:color w:val="000000"/>
          <w:sz w:val="24"/>
          <w:szCs w:val="24"/>
          <w:lang w:eastAsia="en-GB"/>
        </w:rPr>
        <w:t xml:space="preserve">. Are you happy </w:t>
      </w:r>
      <w:r w:rsidRPr="00123592">
        <w:rPr>
          <w:rFonts w:eastAsia="Arial" w:cstheme="minorHAnsi"/>
          <w:sz w:val="24"/>
          <w:szCs w:val="24"/>
        </w:rPr>
        <w:t>to take part in the discussion</w:t>
      </w:r>
      <w:r w:rsidRPr="00123592">
        <w:rPr>
          <w:rFonts w:eastAsia="Arial" w:cstheme="minorHAnsi"/>
          <w:color w:val="000000"/>
          <w:sz w:val="24"/>
          <w:szCs w:val="24"/>
          <w:lang w:eastAsia="en-GB"/>
        </w:rPr>
        <w:t>?</w:t>
      </w:r>
      <w:r w:rsidRPr="00123592">
        <w:rPr>
          <w:rFonts w:eastAsia="Arial" w:cstheme="minorHAnsi"/>
          <w:sz w:val="24"/>
          <w:szCs w:val="24"/>
        </w:rPr>
        <w:t xml:space="preserve"> If you are happy, I would also request your permission to record the discussion to enable me to listen later and draw from the discussion for our report. </w:t>
      </w:r>
    </w:p>
    <w:p w14:paraId="2C56E53A" w14:textId="77777777" w:rsidR="00404575" w:rsidRDefault="00404575" w:rsidP="00E75191">
      <w:pPr>
        <w:pStyle w:val="ListParagraph"/>
        <w:spacing w:line="240" w:lineRule="auto"/>
        <w:rPr>
          <w:rFonts w:eastAsia="Times New Roman" w:cstheme="minorHAnsi"/>
          <w:b/>
          <w:sz w:val="24"/>
          <w:szCs w:val="24"/>
        </w:rPr>
      </w:pPr>
      <w:r w:rsidRPr="00292AEA">
        <w:rPr>
          <w:rFonts w:eastAsia="Times New Roman" w:cstheme="minorHAnsi"/>
          <w:b/>
          <w:sz w:val="24"/>
          <w:szCs w:val="24"/>
        </w:rPr>
        <w:t xml:space="preserve"> </w:t>
      </w:r>
    </w:p>
    <w:p w14:paraId="1CA4A8A8" w14:textId="77777777" w:rsidR="00404575" w:rsidRDefault="00404575" w:rsidP="00E75191">
      <w:pPr>
        <w:pStyle w:val="ListParagraph"/>
        <w:spacing w:line="240" w:lineRule="auto"/>
        <w:rPr>
          <w:rFonts w:eastAsia="Times New Roman" w:cstheme="minorHAnsi"/>
          <w:b/>
          <w:sz w:val="24"/>
          <w:szCs w:val="24"/>
        </w:rPr>
      </w:pPr>
    </w:p>
    <w:p w14:paraId="73E6EC8D" w14:textId="77777777" w:rsidR="00404575" w:rsidRPr="00DD1222" w:rsidRDefault="00404575" w:rsidP="00E75191">
      <w:pPr>
        <w:spacing w:line="240" w:lineRule="auto"/>
        <w:rPr>
          <w:rFonts w:eastAsia="Times New Roman" w:cstheme="minorHAnsi"/>
          <w:b/>
          <w:sz w:val="24"/>
          <w:szCs w:val="24"/>
        </w:rPr>
      </w:pPr>
      <w:r w:rsidRPr="00DD1222">
        <w:rPr>
          <w:rFonts w:eastAsia="Times New Roman" w:cstheme="minorHAnsi"/>
          <w:b/>
          <w:sz w:val="24"/>
          <w:szCs w:val="24"/>
        </w:rPr>
        <w:t>(MDAs/CSOs)</w:t>
      </w:r>
    </w:p>
    <w:p w14:paraId="7D0DCDE9" w14:textId="77777777" w:rsidR="00404575" w:rsidRPr="00292AEA" w:rsidRDefault="00404575" w:rsidP="00E75191">
      <w:pPr>
        <w:pStyle w:val="ListParagraph"/>
        <w:spacing w:line="240" w:lineRule="auto"/>
        <w:jc w:val="both"/>
        <w:rPr>
          <w:rFonts w:cstheme="minorHAnsi"/>
          <w:sz w:val="24"/>
          <w:szCs w:val="24"/>
        </w:rPr>
      </w:pPr>
    </w:p>
    <w:p w14:paraId="15A16B0B" w14:textId="77777777" w:rsidR="00404575" w:rsidRDefault="00404575" w:rsidP="00E75191">
      <w:pPr>
        <w:pStyle w:val="ListParagraph"/>
        <w:numPr>
          <w:ilvl w:val="0"/>
          <w:numId w:val="10"/>
        </w:numPr>
        <w:spacing w:after="228" w:line="240" w:lineRule="auto"/>
        <w:jc w:val="both"/>
        <w:rPr>
          <w:rFonts w:cstheme="minorHAnsi"/>
          <w:sz w:val="24"/>
          <w:szCs w:val="24"/>
        </w:rPr>
      </w:pPr>
      <w:r w:rsidRPr="00123592">
        <w:rPr>
          <w:rFonts w:cstheme="minorHAnsi"/>
          <w:sz w:val="24"/>
          <w:szCs w:val="24"/>
        </w:rPr>
        <w:t xml:space="preserve">Please describe </w:t>
      </w:r>
      <w:r>
        <w:rPr>
          <w:rFonts w:cstheme="minorHAnsi"/>
          <w:sz w:val="24"/>
          <w:szCs w:val="24"/>
        </w:rPr>
        <w:t xml:space="preserve">yourself/ </w:t>
      </w:r>
      <w:r w:rsidRPr="00123592">
        <w:rPr>
          <w:rFonts w:cstheme="minorHAnsi"/>
          <w:sz w:val="24"/>
          <w:szCs w:val="24"/>
        </w:rPr>
        <w:t>your institution/ organization’s mandate and its role in gender programming/related isses?</w:t>
      </w:r>
    </w:p>
    <w:p w14:paraId="6C944129" w14:textId="77777777" w:rsidR="00404575" w:rsidRPr="0090380A" w:rsidRDefault="00404575" w:rsidP="00E75191">
      <w:pPr>
        <w:pStyle w:val="ListParagraph"/>
        <w:numPr>
          <w:ilvl w:val="0"/>
          <w:numId w:val="10"/>
        </w:numPr>
        <w:spacing w:after="0" w:line="240" w:lineRule="auto"/>
        <w:jc w:val="both"/>
        <w:rPr>
          <w:b/>
          <w:i/>
        </w:rPr>
      </w:pPr>
      <w:r>
        <w:t xml:space="preserve">Could you tell me key assumptions, beliefs, widely held views about gender in the society? </w:t>
      </w:r>
      <w:r w:rsidRPr="001730D3">
        <w:rPr>
          <w:b/>
          <w:i/>
        </w:rPr>
        <w:t xml:space="preserve">Probe views about </w:t>
      </w:r>
      <w:r w:rsidRPr="00F56D36">
        <w:rPr>
          <w:noProof/>
        </w:rPr>
        <w:t>masculinity, femininity, gender relations, sexual orientation and gender identity</w:t>
      </w:r>
      <w:r>
        <w:rPr>
          <w:noProof/>
        </w:rPr>
        <w:t xml:space="preserve">. </w:t>
      </w:r>
    </w:p>
    <w:p w14:paraId="0E94BCA1" w14:textId="77777777" w:rsidR="00404575" w:rsidRPr="00123592" w:rsidRDefault="00404575" w:rsidP="00E75191">
      <w:pPr>
        <w:pStyle w:val="ListParagraph"/>
        <w:numPr>
          <w:ilvl w:val="0"/>
          <w:numId w:val="10"/>
        </w:numPr>
        <w:spacing w:after="228" w:line="240" w:lineRule="auto"/>
        <w:jc w:val="both"/>
        <w:rPr>
          <w:rFonts w:cstheme="minorHAnsi"/>
          <w:sz w:val="24"/>
          <w:szCs w:val="24"/>
        </w:rPr>
      </w:pPr>
      <w:r>
        <w:rPr>
          <w:rFonts w:cstheme="minorHAnsi"/>
          <w:sz w:val="24"/>
          <w:szCs w:val="24"/>
        </w:rPr>
        <w:t xml:space="preserve">From your </w:t>
      </w:r>
      <w:r w:rsidRPr="00123592">
        <w:rPr>
          <w:rFonts w:cstheme="minorHAnsi"/>
          <w:sz w:val="24"/>
          <w:szCs w:val="24"/>
        </w:rPr>
        <w:t xml:space="preserve">previous </w:t>
      </w:r>
      <w:r>
        <w:rPr>
          <w:rFonts w:cstheme="minorHAnsi"/>
          <w:sz w:val="24"/>
          <w:szCs w:val="24"/>
        </w:rPr>
        <w:t>engagement with gender</w:t>
      </w:r>
      <w:r w:rsidRPr="00123592">
        <w:rPr>
          <w:rFonts w:cstheme="minorHAnsi"/>
          <w:sz w:val="24"/>
          <w:szCs w:val="24"/>
        </w:rPr>
        <w:t>, what opportunities do females and males have in the society because of their gender?</w:t>
      </w:r>
      <w:r>
        <w:rPr>
          <w:rFonts w:cstheme="minorHAnsi"/>
          <w:sz w:val="24"/>
          <w:szCs w:val="24"/>
        </w:rPr>
        <w:t xml:space="preserve"> What opportunities are they lacking?</w:t>
      </w:r>
    </w:p>
    <w:p w14:paraId="7B153457" w14:textId="77777777" w:rsidR="00404575" w:rsidRPr="00123592" w:rsidRDefault="00404575" w:rsidP="00E75191">
      <w:pPr>
        <w:pStyle w:val="ListParagraph"/>
        <w:numPr>
          <w:ilvl w:val="0"/>
          <w:numId w:val="10"/>
        </w:numPr>
        <w:spacing w:after="0" w:line="240" w:lineRule="auto"/>
        <w:jc w:val="both"/>
        <w:rPr>
          <w:rFonts w:cstheme="minorHAnsi"/>
          <w:b/>
          <w:i/>
          <w:sz w:val="24"/>
          <w:szCs w:val="24"/>
        </w:rPr>
      </w:pPr>
      <w:r w:rsidRPr="00123592">
        <w:rPr>
          <w:rFonts w:cstheme="minorHAnsi"/>
          <w:sz w:val="24"/>
          <w:szCs w:val="24"/>
        </w:rPr>
        <w:t xml:space="preserve">Please tell me about general and/or context-specific social norms and cultural practices which result in gender discrimination and inequality especially in your line of work. </w:t>
      </w:r>
      <w:r w:rsidRPr="00123592">
        <w:rPr>
          <w:rFonts w:cstheme="minorHAnsi"/>
          <w:b/>
          <w:i/>
          <w:sz w:val="24"/>
          <w:szCs w:val="24"/>
        </w:rPr>
        <w:t xml:space="preserve">Probe beliefs – </w:t>
      </w:r>
      <w:r w:rsidRPr="00123592">
        <w:rPr>
          <w:rFonts w:cstheme="minorHAnsi"/>
          <w:sz w:val="24"/>
          <w:szCs w:val="24"/>
        </w:rPr>
        <w:t xml:space="preserve">also – </w:t>
      </w:r>
      <w:r w:rsidRPr="00123592">
        <w:rPr>
          <w:rFonts w:cstheme="minorHAnsi"/>
          <w:b/>
          <w:i/>
          <w:sz w:val="24"/>
          <w:szCs w:val="24"/>
        </w:rPr>
        <w:t>ask for as many examples as possible</w:t>
      </w:r>
    </w:p>
    <w:p w14:paraId="7785F539" w14:textId="77777777" w:rsidR="00404575" w:rsidRPr="00123592" w:rsidRDefault="00404575" w:rsidP="00E75191">
      <w:pPr>
        <w:pStyle w:val="ListParagraph"/>
        <w:numPr>
          <w:ilvl w:val="0"/>
          <w:numId w:val="10"/>
        </w:numPr>
        <w:spacing w:after="228" w:line="240" w:lineRule="auto"/>
        <w:jc w:val="both"/>
        <w:rPr>
          <w:rFonts w:cstheme="minorHAnsi"/>
          <w:sz w:val="24"/>
          <w:szCs w:val="24"/>
        </w:rPr>
      </w:pPr>
      <w:r w:rsidRPr="00123592">
        <w:rPr>
          <w:rFonts w:cstheme="minorHAnsi"/>
          <w:sz w:val="24"/>
          <w:szCs w:val="24"/>
        </w:rPr>
        <w:t xml:space="preserve">What social changes and crises have affected positions, roles and opportunities of females and males in the society in the past ten years (including COVID-19 pandemic and conflicts). </w:t>
      </w:r>
      <w:r w:rsidRPr="00123592">
        <w:rPr>
          <w:rFonts w:cstheme="minorHAnsi"/>
          <w:b/>
          <w:i/>
          <w:sz w:val="24"/>
          <w:szCs w:val="24"/>
        </w:rPr>
        <w:t>Allow the respondents to mention the social changes and crises and then probe details of each of them and their impacts.</w:t>
      </w:r>
    </w:p>
    <w:p w14:paraId="691D8337" w14:textId="77777777" w:rsidR="00404575" w:rsidRPr="00123592" w:rsidRDefault="00404575" w:rsidP="00E75191">
      <w:pPr>
        <w:pStyle w:val="ListParagraph"/>
        <w:numPr>
          <w:ilvl w:val="0"/>
          <w:numId w:val="10"/>
        </w:numPr>
        <w:spacing w:after="228" w:line="240" w:lineRule="auto"/>
        <w:jc w:val="both"/>
        <w:rPr>
          <w:rFonts w:cstheme="minorHAnsi"/>
          <w:sz w:val="24"/>
          <w:szCs w:val="24"/>
        </w:rPr>
      </w:pPr>
      <w:r w:rsidRPr="00123592">
        <w:rPr>
          <w:rFonts w:cstheme="minorHAnsi"/>
          <w:sz w:val="24"/>
          <w:szCs w:val="24"/>
        </w:rPr>
        <w:t xml:space="preserve">I would like to understand; What efforts are being made to promote equal opportunities for females and males in your work area? What has the result been? </w:t>
      </w:r>
      <w:r w:rsidRPr="00123592">
        <w:rPr>
          <w:rFonts w:cstheme="minorHAnsi"/>
          <w:b/>
          <w:i/>
          <w:sz w:val="24"/>
          <w:szCs w:val="24"/>
        </w:rPr>
        <w:t>Probe social, cultural, economic, political, religious, technological and legal</w:t>
      </w:r>
    </w:p>
    <w:p w14:paraId="2C3FCA65" w14:textId="77777777" w:rsidR="00404575" w:rsidRPr="00292AEA" w:rsidRDefault="00404575" w:rsidP="00E75191">
      <w:pPr>
        <w:pStyle w:val="ListParagraph"/>
        <w:numPr>
          <w:ilvl w:val="0"/>
          <w:numId w:val="10"/>
        </w:numPr>
        <w:spacing w:after="228" w:line="240" w:lineRule="auto"/>
        <w:jc w:val="both"/>
        <w:rPr>
          <w:rFonts w:cstheme="minorHAnsi"/>
          <w:b/>
          <w:i/>
          <w:sz w:val="24"/>
          <w:szCs w:val="24"/>
        </w:rPr>
      </w:pPr>
      <w:r w:rsidRPr="00123592">
        <w:rPr>
          <w:rFonts w:cstheme="minorHAnsi"/>
          <w:sz w:val="24"/>
          <w:szCs w:val="24"/>
        </w:rPr>
        <w:t xml:space="preserve">I would like to know key actors in your work area. Do they have any impact on gender equality/programming? -  </w:t>
      </w:r>
      <w:r w:rsidRPr="00123592">
        <w:rPr>
          <w:rFonts w:cstheme="minorHAnsi"/>
          <w:b/>
          <w:i/>
          <w:sz w:val="24"/>
          <w:szCs w:val="24"/>
        </w:rPr>
        <w:t xml:space="preserve">probe impact of their work on gender </w:t>
      </w:r>
      <w:r w:rsidRPr="00123592">
        <w:rPr>
          <w:rFonts w:cstheme="minorHAnsi"/>
          <w:b/>
          <w:sz w:val="24"/>
          <w:szCs w:val="24"/>
        </w:rPr>
        <w:t>(ask for a list of actors and their areas of engagement and domain of influence)</w:t>
      </w:r>
    </w:p>
    <w:p w14:paraId="2644505F" w14:textId="77777777" w:rsidR="00404575" w:rsidRPr="00123592" w:rsidRDefault="00404575" w:rsidP="00E75191">
      <w:pPr>
        <w:pStyle w:val="ListParagraph"/>
        <w:numPr>
          <w:ilvl w:val="0"/>
          <w:numId w:val="10"/>
        </w:numPr>
        <w:spacing w:after="65" w:line="240" w:lineRule="auto"/>
        <w:jc w:val="both"/>
        <w:rPr>
          <w:rFonts w:cstheme="minorHAnsi"/>
          <w:sz w:val="24"/>
          <w:szCs w:val="24"/>
        </w:rPr>
      </w:pPr>
      <w:r w:rsidRPr="006316A9">
        <w:rPr>
          <w:rFonts w:cstheme="minorHAnsi"/>
          <w:sz w:val="24"/>
          <w:szCs w:val="24"/>
        </w:rPr>
        <w:t>What</w:t>
      </w:r>
      <w:r w:rsidRPr="00123592">
        <w:rPr>
          <w:rFonts w:cstheme="minorHAnsi"/>
          <w:sz w:val="24"/>
          <w:szCs w:val="24"/>
        </w:rPr>
        <w:t xml:space="preserve"> legal   and   human   rights   frameworks in the state related to gender</w:t>
      </w:r>
      <w:r w:rsidRPr="006316A9">
        <w:rPr>
          <w:rFonts w:cstheme="minorHAnsi"/>
          <w:sz w:val="24"/>
          <w:szCs w:val="24"/>
        </w:rPr>
        <w:t xml:space="preserve"> are you aware of? What gaps have you identified in their implementation within your context?</w:t>
      </w:r>
    </w:p>
    <w:p w14:paraId="25CC1186" w14:textId="77777777" w:rsidR="00404575" w:rsidRPr="00292AEA" w:rsidRDefault="00404575" w:rsidP="00E75191">
      <w:pPr>
        <w:pStyle w:val="ListParagraph"/>
        <w:numPr>
          <w:ilvl w:val="0"/>
          <w:numId w:val="10"/>
        </w:numPr>
        <w:spacing w:after="228" w:line="240" w:lineRule="auto"/>
        <w:jc w:val="both"/>
        <w:rPr>
          <w:rFonts w:cstheme="minorHAnsi"/>
          <w:b/>
          <w:i/>
          <w:sz w:val="24"/>
          <w:szCs w:val="24"/>
        </w:rPr>
      </w:pPr>
      <w:r w:rsidRPr="00292AEA">
        <w:rPr>
          <w:rFonts w:cstheme="minorHAnsi"/>
          <w:sz w:val="24"/>
          <w:szCs w:val="24"/>
        </w:rPr>
        <w:lastRenderedPageBreak/>
        <w:t xml:space="preserve">Tell me about the state of women representation in </w:t>
      </w:r>
      <w:r w:rsidRPr="00292AEA">
        <w:rPr>
          <w:rFonts w:cstheme="minorHAnsi"/>
          <w:b/>
          <w:sz w:val="24"/>
          <w:szCs w:val="24"/>
        </w:rPr>
        <w:t>decision-making</w:t>
      </w:r>
      <w:r w:rsidRPr="00292AEA">
        <w:rPr>
          <w:rFonts w:cstheme="minorHAnsi"/>
          <w:sz w:val="24"/>
          <w:szCs w:val="24"/>
        </w:rPr>
        <w:t xml:space="preserve"> institutions in your state (</w:t>
      </w:r>
      <w:r>
        <w:rPr>
          <w:rFonts w:cstheme="minorHAnsi"/>
          <w:sz w:val="24"/>
          <w:szCs w:val="24"/>
        </w:rPr>
        <w:t>House of Assembly</w:t>
      </w:r>
      <w:r w:rsidRPr="00292AEA">
        <w:rPr>
          <w:rFonts w:cstheme="minorHAnsi"/>
          <w:sz w:val="24"/>
          <w:szCs w:val="24"/>
        </w:rPr>
        <w:t>,</w:t>
      </w:r>
      <w:r>
        <w:rPr>
          <w:rFonts w:cstheme="minorHAnsi"/>
          <w:sz w:val="24"/>
          <w:szCs w:val="24"/>
        </w:rPr>
        <w:t xml:space="preserve"> legislative</w:t>
      </w:r>
      <w:r w:rsidRPr="00292AEA">
        <w:rPr>
          <w:rFonts w:cstheme="minorHAnsi"/>
          <w:sz w:val="24"/>
          <w:szCs w:val="24"/>
        </w:rPr>
        <w:t xml:space="preserve"> committees, cabinet/executive body, ministries, local authority, scrutiny bodies, universities, semi-state bodies, private sector businesses)? </w:t>
      </w:r>
      <w:r w:rsidRPr="00292AEA">
        <w:rPr>
          <w:rFonts w:cstheme="minorHAnsi"/>
          <w:b/>
          <w:sz w:val="24"/>
          <w:szCs w:val="24"/>
        </w:rPr>
        <w:t>Probe data, obtain documents</w:t>
      </w:r>
    </w:p>
    <w:p w14:paraId="20C90052" w14:textId="77777777" w:rsidR="00404575" w:rsidRPr="00292AEA" w:rsidRDefault="00404575" w:rsidP="00E75191">
      <w:pPr>
        <w:pStyle w:val="ListParagraph"/>
        <w:numPr>
          <w:ilvl w:val="0"/>
          <w:numId w:val="10"/>
        </w:numPr>
        <w:spacing w:after="228" w:line="240" w:lineRule="auto"/>
        <w:jc w:val="both"/>
        <w:rPr>
          <w:rFonts w:cstheme="minorHAnsi"/>
          <w:b/>
          <w:i/>
          <w:sz w:val="24"/>
          <w:szCs w:val="24"/>
        </w:rPr>
      </w:pPr>
      <w:r w:rsidRPr="00292AEA">
        <w:rPr>
          <w:rFonts w:cstheme="minorHAnsi"/>
          <w:sz w:val="24"/>
          <w:szCs w:val="24"/>
        </w:rPr>
        <w:t xml:space="preserve">Does your organization have a commitment to gender equality or gender mainstream? What policies exist to that effect? Do they draw from any national or state level laws/policies? </w:t>
      </w:r>
    </w:p>
    <w:p w14:paraId="5A1E1DEF" w14:textId="77777777" w:rsidR="00404575" w:rsidRPr="00292AEA" w:rsidRDefault="00404575" w:rsidP="00E75191">
      <w:pPr>
        <w:pStyle w:val="ListParagraph"/>
        <w:numPr>
          <w:ilvl w:val="0"/>
          <w:numId w:val="10"/>
        </w:numPr>
        <w:spacing w:after="228" w:line="240" w:lineRule="auto"/>
        <w:jc w:val="both"/>
        <w:rPr>
          <w:rFonts w:cstheme="minorHAnsi"/>
          <w:b/>
          <w:i/>
          <w:sz w:val="24"/>
          <w:szCs w:val="24"/>
        </w:rPr>
      </w:pPr>
      <w:r>
        <w:rPr>
          <w:rFonts w:cstheme="minorHAnsi"/>
          <w:sz w:val="24"/>
          <w:szCs w:val="24"/>
        </w:rPr>
        <w:t>W</w:t>
      </w:r>
      <w:r w:rsidRPr="00292AEA">
        <w:rPr>
          <w:rFonts w:cstheme="minorHAnsi"/>
          <w:sz w:val="24"/>
          <w:szCs w:val="24"/>
        </w:rPr>
        <w:t xml:space="preserve">hat measures/actions are taken for women and men in all their diversity to participate equally in policy- and </w:t>
      </w:r>
      <w:r w:rsidRPr="00292AEA">
        <w:rPr>
          <w:rFonts w:cstheme="minorHAnsi"/>
          <w:b/>
          <w:sz w:val="24"/>
          <w:szCs w:val="24"/>
        </w:rPr>
        <w:t>decision-making</w:t>
      </w:r>
      <w:r w:rsidRPr="00292AEA">
        <w:rPr>
          <w:rFonts w:cstheme="minorHAnsi"/>
          <w:sz w:val="24"/>
          <w:szCs w:val="24"/>
        </w:rPr>
        <w:t xml:space="preserve"> on local, national, levels? Are all groups represented in these policies and decisions</w:t>
      </w:r>
      <w:r>
        <w:rPr>
          <w:rFonts w:cstheme="minorHAnsi"/>
          <w:sz w:val="24"/>
          <w:szCs w:val="24"/>
        </w:rPr>
        <w:t>?</w:t>
      </w:r>
    </w:p>
    <w:p w14:paraId="506F32FD" w14:textId="77777777" w:rsidR="00404575" w:rsidRPr="00292AEA" w:rsidRDefault="00404575" w:rsidP="00E75191">
      <w:pPr>
        <w:pStyle w:val="ListParagraph"/>
        <w:numPr>
          <w:ilvl w:val="0"/>
          <w:numId w:val="10"/>
        </w:numPr>
        <w:spacing w:after="228" w:line="240" w:lineRule="auto"/>
        <w:jc w:val="both"/>
        <w:rPr>
          <w:rFonts w:cstheme="minorHAnsi"/>
          <w:b/>
          <w:i/>
          <w:sz w:val="24"/>
          <w:szCs w:val="24"/>
        </w:rPr>
      </w:pPr>
      <w:r w:rsidRPr="00292AEA">
        <w:rPr>
          <w:rFonts w:cstheme="minorHAnsi"/>
          <w:sz w:val="24"/>
          <w:szCs w:val="24"/>
        </w:rPr>
        <w:t xml:space="preserve">What </w:t>
      </w:r>
      <w:r>
        <w:rPr>
          <w:rFonts w:cstheme="minorHAnsi"/>
          <w:sz w:val="24"/>
          <w:szCs w:val="24"/>
        </w:rPr>
        <w:t xml:space="preserve">laws and </w:t>
      </w:r>
      <w:r w:rsidRPr="00292AEA">
        <w:rPr>
          <w:rFonts w:cstheme="minorHAnsi"/>
          <w:sz w:val="24"/>
          <w:szCs w:val="24"/>
        </w:rPr>
        <w:t xml:space="preserve">policies are you aware of nationally and in your state related to fostering women representation? </w:t>
      </w:r>
      <w:r w:rsidRPr="00292AEA">
        <w:rPr>
          <w:rFonts w:cstheme="minorHAnsi"/>
          <w:b/>
          <w:sz w:val="24"/>
          <w:szCs w:val="24"/>
        </w:rPr>
        <w:t>Probe – Are those policies being implemented? What gaps exist? What are the drivers?</w:t>
      </w:r>
      <w:r>
        <w:rPr>
          <w:rFonts w:cstheme="minorHAnsi"/>
          <w:b/>
          <w:sz w:val="24"/>
          <w:szCs w:val="24"/>
        </w:rPr>
        <w:t xml:space="preserve"> </w:t>
      </w:r>
      <w:r w:rsidRPr="00123592">
        <w:rPr>
          <w:rFonts w:cstheme="minorHAnsi"/>
          <w:b/>
          <w:sz w:val="24"/>
          <w:szCs w:val="24"/>
        </w:rPr>
        <w:t>? Any measurable impact or implications on gender?</w:t>
      </w:r>
    </w:p>
    <w:p w14:paraId="5503F398" w14:textId="77777777" w:rsidR="00404575" w:rsidRPr="00292AEA" w:rsidRDefault="00404575" w:rsidP="00E75191">
      <w:pPr>
        <w:pStyle w:val="ListParagraph"/>
        <w:numPr>
          <w:ilvl w:val="0"/>
          <w:numId w:val="10"/>
        </w:numPr>
        <w:spacing w:after="228" w:line="240" w:lineRule="auto"/>
        <w:jc w:val="both"/>
        <w:rPr>
          <w:rFonts w:cstheme="minorHAnsi"/>
          <w:b/>
          <w:i/>
          <w:sz w:val="24"/>
          <w:szCs w:val="24"/>
        </w:rPr>
      </w:pPr>
      <w:r w:rsidRPr="00123592">
        <w:rPr>
          <w:rFonts w:cstheme="minorHAnsi"/>
          <w:sz w:val="24"/>
          <w:szCs w:val="24"/>
        </w:rPr>
        <w:t xml:space="preserve">Is there a </w:t>
      </w:r>
      <w:r>
        <w:rPr>
          <w:rFonts w:cstheme="minorHAnsi"/>
          <w:sz w:val="24"/>
          <w:szCs w:val="24"/>
        </w:rPr>
        <w:t>law/</w:t>
      </w:r>
      <w:r w:rsidRPr="00123592">
        <w:rPr>
          <w:rFonts w:cstheme="minorHAnsi"/>
          <w:sz w:val="24"/>
          <w:szCs w:val="24"/>
        </w:rPr>
        <w:t xml:space="preserve">government policy/strategy/action plan in place </w:t>
      </w:r>
      <w:r w:rsidRPr="006316A9">
        <w:rPr>
          <w:rFonts w:cstheme="minorHAnsi"/>
          <w:sz w:val="24"/>
          <w:szCs w:val="24"/>
        </w:rPr>
        <w:t>in your state that addresses</w:t>
      </w:r>
      <w:r w:rsidRPr="00123592">
        <w:rPr>
          <w:rFonts w:cstheme="minorHAnsi"/>
          <w:sz w:val="24"/>
          <w:szCs w:val="24"/>
        </w:rPr>
        <w:t xml:space="preserve"> gender equality and women’s empowerment? </w:t>
      </w:r>
      <w:r w:rsidRPr="00123592">
        <w:rPr>
          <w:rFonts w:cstheme="minorHAnsi"/>
          <w:b/>
          <w:sz w:val="24"/>
          <w:szCs w:val="24"/>
        </w:rPr>
        <w:t>Obtain documents where possible</w:t>
      </w:r>
      <w:r w:rsidRPr="006316A9">
        <w:rPr>
          <w:rFonts w:cstheme="minorHAnsi"/>
          <w:sz w:val="24"/>
          <w:szCs w:val="24"/>
        </w:rPr>
        <w:t xml:space="preserve"> </w:t>
      </w:r>
      <w:r>
        <w:rPr>
          <w:rFonts w:cstheme="minorHAnsi"/>
          <w:sz w:val="24"/>
          <w:szCs w:val="24"/>
        </w:rPr>
        <w:t xml:space="preserve">; </w:t>
      </w:r>
      <w:r w:rsidRPr="00292AEA">
        <w:rPr>
          <w:rFonts w:cstheme="minorHAnsi"/>
          <w:b/>
          <w:sz w:val="24"/>
          <w:szCs w:val="24"/>
        </w:rPr>
        <w:t>Are those policies being implemented? What gaps exist? What are the drivers?</w:t>
      </w:r>
      <w:r w:rsidRPr="00123592">
        <w:rPr>
          <w:rFonts w:cstheme="minorHAnsi"/>
          <w:b/>
          <w:sz w:val="24"/>
          <w:szCs w:val="24"/>
        </w:rPr>
        <w:t xml:space="preserve"> Any measurable impact or implications on gender?</w:t>
      </w:r>
    </w:p>
    <w:p w14:paraId="13A4E656" w14:textId="77777777" w:rsidR="00404575" w:rsidRPr="00292AEA" w:rsidRDefault="00404575" w:rsidP="00E75191">
      <w:pPr>
        <w:pStyle w:val="ListParagraph"/>
        <w:numPr>
          <w:ilvl w:val="0"/>
          <w:numId w:val="10"/>
        </w:numPr>
        <w:spacing w:after="228" w:line="240" w:lineRule="auto"/>
        <w:jc w:val="both"/>
        <w:rPr>
          <w:rFonts w:cstheme="minorHAnsi"/>
          <w:sz w:val="24"/>
          <w:szCs w:val="24"/>
        </w:rPr>
      </w:pPr>
      <w:r w:rsidRPr="006316A9">
        <w:rPr>
          <w:rFonts w:cstheme="minorHAnsi"/>
          <w:sz w:val="24"/>
          <w:szCs w:val="24"/>
        </w:rPr>
        <w:t>What social safety nets exist in the state? Any regard to gender and minority groups?</w:t>
      </w:r>
    </w:p>
    <w:p w14:paraId="38253C19" w14:textId="77777777" w:rsidR="00404575" w:rsidRPr="001D2B50" w:rsidRDefault="00404575" w:rsidP="00E75191">
      <w:pPr>
        <w:pStyle w:val="ListParagraph"/>
        <w:numPr>
          <w:ilvl w:val="0"/>
          <w:numId w:val="10"/>
        </w:numPr>
        <w:spacing w:after="65" w:line="240" w:lineRule="auto"/>
        <w:jc w:val="both"/>
        <w:rPr>
          <w:rFonts w:cstheme="minorHAnsi"/>
          <w:sz w:val="24"/>
          <w:szCs w:val="24"/>
        </w:rPr>
      </w:pPr>
      <w:r w:rsidRPr="006316A9">
        <w:rPr>
          <w:rFonts w:cstheme="minorHAnsi"/>
          <w:sz w:val="24"/>
          <w:szCs w:val="24"/>
        </w:rPr>
        <w:t>How are</w:t>
      </w:r>
      <w:r w:rsidRPr="00123592">
        <w:rPr>
          <w:rFonts w:cstheme="minorHAnsi"/>
          <w:sz w:val="24"/>
          <w:szCs w:val="24"/>
        </w:rPr>
        <w:t xml:space="preserve"> government resources allocated for the implementation of the policy/strategy/action? </w:t>
      </w:r>
      <w:r w:rsidRPr="00123592">
        <w:rPr>
          <w:rFonts w:cstheme="minorHAnsi"/>
          <w:b/>
          <w:sz w:val="24"/>
          <w:szCs w:val="24"/>
        </w:rPr>
        <w:t>Probe: gaps, factors affecting implementation</w:t>
      </w:r>
    </w:p>
    <w:p w14:paraId="077F502B" w14:textId="77777777" w:rsidR="00404575" w:rsidRPr="00292AEA" w:rsidRDefault="00404575" w:rsidP="00E75191">
      <w:pPr>
        <w:pStyle w:val="ListParagraph"/>
        <w:numPr>
          <w:ilvl w:val="0"/>
          <w:numId w:val="10"/>
        </w:numPr>
        <w:spacing w:after="228" w:line="240" w:lineRule="auto"/>
        <w:jc w:val="both"/>
        <w:rPr>
          <w:rFonts w:cstheme="minorHAnsi"/>
          <w:b/>
          <w:i/>
          <w:sz w:val="24"/>
          <w:szCs w:val="24"/>
        </w:rPr>
      </w:pPr>
      <w:r w:rsidRPr="00292AEA">
        <w:rPr>
          <w:rFonts w:cstheme="minorHAnsi"/>
          <w:sz w:val="24"/>
          <w:szCs w:val="24"/>
        </w:rPr>
        <w:t>What consultation processes exist to solicit the views of women and men in all their diversity? Are they effective?</w:t>
      </w:r>
    </w:p>
    <w:p w14:paraId="3A33473B" w14:textId="77777777" w:rsidR="00404575" w:rsidRPr="00292AEA" w:rsidRDefault="00404575" w:rsidP="00E75191">
      <w:pPr>
        <w:pStyle w:val="ListParagraph"/>
        <w:numPr>
          <w:ilvl w:val="0"/>
          <w:numId w:val="10"/>
        </w:numPr>
        <w:spacing w:after="228" w:line="240" w:lineRule="auto"/>
        <w:jc w:val="both"/>
        <w:rPr>
          <w:rFonts w:cstheme="minorHAnsi"/>
          <w:b/>
          <w:i/>
          <w:sz w:val="24"/>
          <w:szCs w:val="24"/>
        </w:rPr>
      </w:pPr>
      <w:r w:rsidRPr="00292AEA">
        <w:rPr>
          <w:rFonts w:cstheme="minorHAnsi"/>
          <w:sz w:val="24"/>
          <w:szCs w:val="24"/>
        </w:rPr>
        <w:t xml:space="preserve">What space and funding exist for </w:t>
      </w:r>
      <w:r w:rsidRPr="00292AEA">
        <w:rPr>
          <w:rFonts w:cstheme="minorHAnsi"/>
          <w:b/>
          <w:sz w:val="24"/>
          <w:szCs w:val="24"/>
        </w:rPr>
        <w:t>civil society organisations</w:t>
      </w:r>
      <w:r w:rsidRPr="00292AEA">
        <w:rPr>
          <w:rFonts w:cstheme="minorHAnsi"/>
          <w:sz w:val="24"/>
          <w:szCs w:val="24"/>
        </w:rPr>
        <w:t xml:space="preserve">, particularly women’s rights and gender equality organisations, to enable them to fulfil their outreach, awareness raising, advocacy and scrutiny roles, and to engage with policy- and decision-makers? </w:t>
      </w:r>
    </w:p>
    <w:p w14:paraId="5C407275" w14:textId="77777777" w:rsidR="00404575" w:rsidRPr="00292AEA" w:rsidRDefault="00404575" w:rsidP="00E75191">
      <w:pPr>
        <w:pStyle w:val="ListParagraph"/>
        <w:numPr>
          <w:ilvl w:val="0"/>
          <w:numId w:val="10"/>
        </w:numPr>
        <w:spacing w:after="228" w:line="240" w:lineRule="auto"/>
        <w:jc w:val="both"/>
        <w:rPr>
          <w:rFonts w:cstheme="minorHAnsi"/>
          <w:b/>
          <w:i/>
          <w:sz w:val="24"/>
          <w:szCs w:val="24"/>
        </w:rPr>
      </w:pPr>
      <w:r w:rsidRPr="00292AEA">
        <w:rPr>
          <w:rFonts w:cstheme="minorHAnsi"/>
          <w:sz w:val="24"/>
          <w:szCs w:val="24"/>
        </w:rPr>
        <w:t>What is the state of gender budgeting in your state, organization or workstream? Is it tracked? Is it effective? Where available, on what basis are those allocations made?  Are releases timely?</w:t>
      </w:r>
      <w:r w:rsidRPr="00292AEA">
        <w:rPr>
          <w:rFonts w:cstheme="minorHAnsi"/>
          <w:b/>
          <w:sz w:val="24"/>
          <w:szCs w:val="24"/>
        </w:rPr>
        <w:t xml:space="preserve"> Probe source of data, compare to industry average or national recommendation</w:t>
      </w:r>
    </w:p>
    <w:p w14:paraId="2F73CC0B" w14:textId="77777777" w:rsidR="00404575" w:rsidRPr="00292AEA" w:rsidRDefault="00404575" w:rsidP="00E75191">
      <w:pPr>
        <w:pStyle w:val="ListParagraph"/>
        <w:numPr>
          <w:ilvl w:val="0"/>
          <w:numId w:val="10"/>
        </w:numPr>
        <w:spacing w:after="228" w:line="240" w:lineRule="auto"/>
        <w:jc w:val="both"/>
        <w:rPr>
          <w:rFonts w:cstheme="minorHAnsi"/>
          <w:b/>
          <w:i/>
          <w:sz w:val="24"/>
          <w:szCs w:val="24"/>
        </w:rPr>
      </w:pPr>
      <w:r w:rsidRPr="00292AEA">
        <w:rPr>
          <w:rFonts w:cstheme="minorHAnsi"/>
          <w:sz w:val="24"/>
          <w:szCs w:val="24"/>
        </w:rPr>
        <w:t>Are fund allocation mechanism</w:t>
      </w:r>
      <w:r>
        <w:rPr>
          <w:rFonts w:cstheme="minorHAnsi"/>
          <w:sz w:val="24"/>
          <w:szCs w:val="24"/>
        </w:rPr>
        <w:t>s</w:t>
      </w:r>
      <w:r w:rsidRPr="00292AEA">
        <w:rPr>
          <w:rFonts w:cstheme="minorHAnsi"/>
          <w:sz w:val="24"/>
          <w:szCs w:val="24"/>
        </w:rPr>
        <w:t xml:space="preserve"> periodically revisited to reflect policy priorities or events such</w:t>
      </w:r>
      <w:r>
        <w:rPr>
          <w:rFonts w:cstheme="minorHAnsi"/>
          <w:sz w:val="24"/>
          <w:szCs w:val="24"/>
        </w:rPr>
        <w:t xml:space="preserve"> </w:t>
      </w:r>
      <w:r w:rsidRPr="00292AEA">
        <w:rPr>
          <w:rFonts w:cstheme="minorHAnsi"/>
          <w:sz w:val="24"/>
          <w:szCs w:val="24"/>
        </w:rPr>
        <w:t>as the COVID-19 pandemic which disproportionately affect men/women/others?</w:t>
      </w:r>
    </w:p>
    <w:p w14:paraId="08679E29" w14:textId="77777777" w:rsidR="00404575" w:rsidRDefault="00404575" w:rsidP="00E75191">
      <w:pPr>
        <w:pStyle w:val="ListParagraph"/>
        <w:numPr>
          <w:ilvl w:val="0"/>
          <w:numId w:val="10"/>
        </w:numPr>
        <w:spacing w:after="0" w:line="240" w:lineRule="auto"/>
        <w:jc w:val="both"/>
        <w:rPr>
          <w:rFonts w:cstheme="minorHAnsi"/>
          <w:sz w:val="24"/>
          <w:szCs w:val="24"/>
        </w:rPr>
      </w:pPr>
      <w:r w:rsidRPr="00292AEA">
        <w:rPr>
          <w:rFonts w:eastAsia="Calibri" w:cstheme="minorHAnsi"/>
          <w:color w:val="000000" w:themeColor="text1"/>
          <w:sz w:val="24"/>
          <w:szCs w:val="24"/>
        </w:rPr>
        <w:t xml:space="preserve">In what ways are you using ICT/digital tech </w:t>
      </w:r>
      <w:r w:rsidRPr="00292AEA">
        <w:rPr>
          <w:rFonts w:cstheme="minorHAnsi"/>
          <w:color w:val="000000" w:themeColor="text1"/>
          <w:sz w:val="24"/>
          <w:szCs w:val="24"/>
          <w:shd w:val="clear" w:color="auto" w:fill="FFFFFF"/>
        </w:rPr>
        <w:t xml:space="preserve">the use of digital technologies to </w:t>
      </w:r>
      <w:r>
        <w:rPr>
          <w:rFonts w:cstheme="minorHAnsi"/>
          <w:color w:val="000000" w:themeColor="text1"/>
          <w:sz w:val="24"/>
          <w:szCs w:val="24"/>
          <w:shd w:val="clear" w:color="auto" w:fill="FFFFFF"/>
        </w:rPr>
        <w:t>improve gender equality or support gender equality initiatives</w:t>
      </w:r>
      <w:r w:rsidRPr="00292AEA">
        <w:rPr>
          <w:rFonts w:cstheme="minorHAnsi"/>
          <w:color w:val="000000" w:themeColor="text1"/>
          <w:sz w:val="24"/>
          <w:szCs w:val="24"/>
          <w:shd w:val="clear" w:color="auto" w:fill="FFFFFF"/>
        </w:rPr>
        <w:t>?  I</w:t>
      </w:r>
      <w:r w:rsidRPr="00292AEA">
        <w:rPr>
          <w:rFonts w:eastAsia="Calibri" w:cstheme="minorHAnsi"/>
          <w:sz w:val="24"/>
          <w:szCs w:val="24"/>
        </w:rPr>
        <w:t>s ICT</w:t>
      </w:r>
      <w:r w:rsidRPr="00292AEA">
        <w:rPr>
          <w:rFonts w:eastAsia="Calibri" w:cstheme="minorHAnsi"/>
          <w:color w:val="000000" w:themeColor="text1"/>
          <w:sz w:val="24"/>
          <w:szCs w:val="24"/>
        </w:rPr>
        <w:t xml:space="preserve">/Digitalisation/Digital Technologies driving or hindering gender inequality in your organization, workstream, State? </w:t>
      </w:r>
      <w:r w:rsidRPr="00292AEA">
        <w:rPr>
          <w:rFonts w:cstheme="minorHAnsi"/>
          <w:sz w:val="24"/>
          <w:szCs w:val="24"/>
        </w:rPr>
        <w:t>Probe impact on gender outcomes in line with policies</w:t>
      </w:r>
    </w:p>
    <w:p w14:paraId="0A2B4E69" w14:textId="77777777" w:rsidR="00404575" w:rsidRPr="00292AEA" w:rsidRDefault="00404575" w:rsidP="00E75191">
      <w:pPr>
        <w:pStyle w:val="ListParagraph"/>
        <w:numPr>
          <w:ilvl w:val="0"/>
          <w:numId w:val="10"/>
        </w:numPr>
        <w:spacing w:after="0" w:line="240" w:lineRule="auto"/>
        <w:jc w:val="both"/>
        <w:rPr>
          <w:rFonts w:cstheme="minorHAnsi"/>
          <w:sz w:val="24"/>
          <w:szCs w:val="24"/>
        </w:rPr>
      </w:pPr>
      <w:r w:rsidRPr="00292AEA">
        <w:rPr>
          <w:rFonts w:cstheme="minorHAnsi"/>
          <w:sz w:val="24"/>
          <w:szCs w:val="24"/>
        </w:rPr>
        <w:t xml:space="preserve">I want to understand how women and men, in all their diversity, are </w:t>
      </w:r>
      <w:r w:rsidRPr="00292AEA">
        <w:rPr>
          <w:rFonts w:cstheme="minorHAnsi"/>
          <w:b/>
          <w:sz w:val="24"/>
          <w:szCs w:val="24"/>
        </w:rPr>
        <w:t>accessing services</w:t>
      </w:r>
      <w:r w:rsidRPr="00292AEA">
        <w:rPr>
          <w:rFonts w:cstheme="minorHAnsi"/>
          <w:sz w:val="24"/>
          <w:szCs w:val="24"/>
        </w:rPr>
        <w:t>, e.g., health, sexual and reproductive health, education and training, agricultural and business advisory,</w:t>
      </w:r>
      <w:r>
        <w:rPr>
          <w:rFonts w:cstheme="minorHAnsi"/>
          <w:sz w:val="24"/>
          <w:szCs w:val="24"/>
        </w:rPr>
        <w:t xml:space="preserve"> water, sanitation</w:t>
      </w:r>
      <w:r w:rsidRPr="00292AEA">
        <w:rPr>
          <w:rFonts w:cstheme="minorHAnsi"/>
          <w:sz w:val="24"/>
          <w:szCs w:val="24"/>
        </w:rPr>
        <w:t xml:space="preserve"> financial, legal services, transport, energy, new digital opportunities,</w:t>
      </w:r>
      <w:r>
        <w:rPr>
          <w:rFonts w:cstheme="minorHAnsi"/>
          <w:sz w:val="24"/>
          <w:szCs w:val="24"/>
        </w:rPr>
        <w:t xml:space="preserve"> other essential ecosystem services</w:t>
      </w:r>
      <w:r w:rsidRPr="00292AEA">
        <w:rPr>
          <w:rFonts w:cstheme="minorHAnsi"/>
          <w:sz w:val="24"/>
          <w:szCs w:val="24"/>
        </w:rPr>
        <w:t xml:space="preserve"> etc -  </w:t>
      </w:r>
      <w:r w:rsidRPr="00292AEA">
        <w:rPr>
          <w:rFonts w:cstheme="minorHAnsi"/>
          <w:b/>
          <w:sz w:val="24"/>
          <w:szCs w:val="24"/>
        </w:rPr>
        <w:t>Do they have equal access, how and why?</w:t>
      </w:r>
    </w:p>
    <w:p w14:paraId="3A6BB882" w14:textId="77777777" w:rsidR="00404575" w:rsidRDefault="00404575" w:rsidP="00E75191">
      <w:pPr>
        <w:pStyle w:val="ListParagraph"/>
        <w:numPr>
          <w:ilvl w:val="0"/>
          <w:numId w:val="10"/>
        </w:numPr>
        <w:spacing w:after="65" w:line="240" w:lineRule="auto"/>
        <w:jc w:val="both"/>
        <w:rPr>
          <w:rFonts w:cstheme="minorHAnsi"/>
          <w:sz w:val="24"/>
          <w:szCs w:val="24"/>
        </w:rPr>
      </w:pPr>
      <w:r w:rsidRPr="00123592">
        <w:rPr>
          <w:rFonts w:cstheme="minorHAnsi"/>
          <w:sz w:val="24"/>
          <w:szCs w:val="24"/>
        </w:rPr>
        <w:t>I would like to know how variables such as disability, social status and age contribute to enhance or undermine women’s rights?</w:t>
      </w:r>
    </w:p>
    <w:p w14:paraId="51922D11" w14:textId="77777777" w:rsidR="00404575" w:rsidRDefault="00404575" w:rsidP="00E75191">
      <w:pPr>
        <w:pStyle w:val="ListParagraph"/>
        <w:numPr>
          <w:ilvl w:val="0"/>
          <w:numId w:val="10"/>
        </w:numPr>
        <w:spacing w:after="65" w:line="240" w:lineRule="auto"/>
        <w:jc w:val="both"/>
        <w:rPr>
          <w:rFonts w:cstheme="minorHAnsi"/>
          <w:sz w:val="24"/>
          <w:szCs w:val="24"/>
        </w:rPr>
      </w:pPr>
      <w:r w:rsidRPr="00123592">
        <w:rPr>
          <w:rFonts w:cstheme="minorHAnsi"/>
          <w:sz w:val="24"/>
          <w:szCs w:val="24"/>
        </w:rPr>
        <w:t xml:space="preserve">Are there measures and mechanisms targeting urgent and emerging issues related to climate change and environmental protection and digitalisation/ digital economy? </w:t>
      </w:r>
    </w:p>
    <w:p w14:paraId="6FD7B6D8" w14:textId="77777777" w:rsidR="00404575" w:rsidRPr="00123592" w:rsidRDefault="00404575" w:rsidP="00E75191">
      <w:pPr>
        <w:pStyle w:val="ListParagraph"/>
        <w:numPr>
          <w:ilvl w:val="0"/>
          <w:numId w:val="10"/>
        </w:numPr>
        <w:spacing w:after="259" w:line="240" w:lineRule="auto"/>
        <w:jc w:val="both"/>
        <w:rPr>
          <w:rFonts w:cstheme="minorHAnsi"/>
          <w:sz w:val="24"/>
          <w:szCs w:val="24"/>
        </w:rPr>
      </w:pPr>
      <w:r>
        <w:rPr>
          <w:rFonts w:cstheme="minorHAnsi"/>
          <w:sz w:val="24"/>
          <w:szCs w:val="24"/>
        </w:rPr>
        <w:lastRenderedPageBreak/>
        <w:t xml:space="preserve">What issues related to gender equality should be prioritised? </w:t>
      </w:r>
      <w:r w:rsidRPr="00123592">
        <w:rPr>
          <w:rFonts w:cstheme="minorHAnsi"/>
          <w:sz w:val="24"/>
          <w:szCs w:val="24"/>
        </w:rPr>
        <w:t>What areas related to gender do you think are left behind or not targeted in which the</w:t>
      </w:r>
      <w:r>
        <w:rPr>
          <w:rFonts w:cstheme="minorHAnsi"/>
          <w:sz w:val="24"/>
          <w:szCs w:val="24"/>
        </w:rPr>
        <w:t>re is need for intervention</w:t>
      </w:r>
      <w:r w:rsidRPr="00123592">
        <w:rPr>
          <w:rFonts w:cstheme="minorHAnsi"/>
          <w:sz w:val="24"/>
          <w:szCs w:val="24"/>
        </w:rPr>
        <w:t xml:space="preserve">? </w:t>
      </w:r>
    </w:p>
    <w:p w14:paraId="418E7C39" w14:textId="77777777" w:rsidR="00404575" w:rsidRDefault="00404575" w:rsidP="00E75191">
      <w:pPr>
        <w:spacing w:after="65" w:line="240" w:lineRule="auto"/>
        <w:jc w:val="both"/>
        <w:rPr>
          <w:rFonts w:cstheme="minorHAnsi"/>
          <w:sz w:val="24"/>
          <w:szCs w:val="24"/>
        </w:rPr>
      </w:pPr>
    </w:p>
    <w:p w14:paraId="12406503" w14:textId="77777777" w:rsidR="00404575" w:rsidRDefault="00404575" w:rsidP="00E75191">
      <w:pPr>
        <w:spacing w:after="65" w:line="240" w:lineRule="auto"/>
        <w:jc w:val="both"/>
        <w:rPr>
          <w:rFonts w:cstheme="minorHAnsi"/>
          <w:sz w:val="24"/>
          <w:szCs w:val="24"/>
        </w:rPr>
      </w:pPr>
    </w:p>
    <w:p w14:paraId="4B6FD072" w14:textId="77777777" w:rsidR="00404575" w:rsidRPr="00E75191" w:rsidRDefault="00404575" w:rsidP="00E75191">
      <w:pPr>
        <w:rPr>
          <w:b/>
          <w:sz w:val="24"/>
          <w:szCs w:val="24"/>
        </w:rPr>
      </w:pPr>
      <w:r w:rsidRPr="00E75191">
        <w:rPr>
          <w:b/>
          <w:sz w:val="24"/>
          <w:szCs w:val="24"/>
        </w:rPr>
        <w:t>Institutional and sectoral level (Business Groups)</w:t>
      </w:r>
    </w:p>
    <w:p w14:paraId="1B9C93A3" w14:textId="77777777" w:rsidR="00404575" w:rsidRPr="00123592" w:rsidRDefault="00404575" w:rsidP="00E75191">
      <w:pPr>
        <w:pStyle w:val="ListParagraph"/>
        <w:numPr>
          <w:ilvl w:val="0"/>
          <w:numId w:val="11"/>
        </w:numPr>
        <w:spacing w:after="228" w:line="240" w:lineRule="auto"/>
        <w:jc w:val="both"/>
        <w:rPr>
          <w:rFonts w:cstheme="minorHAnsi"/>
          <w:sz w:val="24"/>
          <w:szCs w:val="24"/>
        </w:rPr>
      </w:pPr>
      <w:r w:rsidRPr="00123592">
        <w:rPr>
          <w:rFonts w:cstheme="minorHAnsi"/>
          <w:sz w:val="24"/>
          <w:szCs w:val="24"/>
        </w:rPr>
        <w:t xml:space="preserve">Please describe </w:t>
      </w:r>
      <w:r>
        <w:rPr>
          <w:rFonts w:cstheme="minorHAnsi"/>
          <w:sz w:val="24"/>
          <w:szCs w:val="24"/>
        </w:rPr>
        <w:t xml:space="preserve">yourself/ </w:t>
      </w:r>
      <w:r w:rsidRPr="00123592">
        <w:rPr>
          <w:rFonts w:cstheme="minorHAnsi"/>
          <w:sz w:val="24"/>
          <w:szCs w:val="24"/>
        </w:rPr>
        <w:t>your institution/ organization’s mandate and its role in gender programming/related isses?</w:t>
      </w:r>
    </w:p>
    <w:p w14:paraId="60D88F1B" w14:textId="77777777" w:rsidR="00404575" w:rsidRPr="0090380A" w:rsidRDefault="00404575" w:rsidP="00E75191">
      <w:pPr>
        <w:pStyle w:val="ListParagraph"/>
        <w:numPr>
          <w:ilvl w:val="0"/>
          <w:numId w:val="11"/>
        </w:numPr>
        <w:spacing w:after="0" w:line="240" w:lineRule="auto"/>
        <w:jc w:val="both"/>
        <w:rPr>
          <w:b/>
          <w:i/>
        </w:rPr>
      </w:pPr>
      <w:r>
        <w:t xml:space="preserve">Could you tell me key assumptions, beliefs, widely held views about gender in the society? </w:t>
      </w:r>
      <w:r w:rsidRPr="001730D3">
        <w:rPr>
          <w:b/>
          <w:i/>
        </w:rPr>
        <w:t xml:space="preserve">Probe views about </w:t>
      </w:r>
      <w:r w:rsidRPr="00F56D36">
        <w:rPr>
          <w:noProof/>
        </w:rPr>
        <w:t>masculinity, femininity, gender relations, sexual orientation and gender identity</w:t>
      </w:r>
      <w:r>
        <w:rPr>
          <w:noProof/>
        </w:rPr>
        <w:t xml:space="preserve">. </w:t>
      </w:r>
    </w:p>
    <w:p w14:paraId="6EF6F62B" w14:textId="77777777" w:rsidR="00404575" w:rsidRDefault="00404575" w:rsidP="00E75191">
      <w:pPr>
        <w:pStyle w:val="ListParagraph"/>
        <w:numPr>
          <w:ilvl w:val="0"/>
          <w:numId w:val="11"/>
        </w:numPr>
        <w:spacing w:after="0" w:line="240" w:lineRule="auto"/>
        <w:jc w:val="both"/>
        <w:rPr>
          <w:rFonts w:cstheme="minorHAnsi"/>
          <w:b/>
          <w:i/>
          <w:sz w:val="24"/>
          <w:szCs w:val="24"/>
        </w:rPr>
      </w:pPr>
      <w:r w:rsidRPr="00123592">
        <w:rPr>
          <w:rFonts w:cstheme="minorHAnsi"/>
          <w:sz w:val="24"/>
          <w:szCs w:val="24"/>
        </w:rPr>
        <w:t xml:space="preserve">Please tell me about general and/or context-specific social norms and cultural practices which result in gender discrimination and inequality especially in your line of work. </w:t>
      </w:r>
      <w:r w:rsidRPr="00123592">
        <w:rPr>
          <w:rFonts w:cstheme="minorHAnsi"/>
          <w:b/>
          <w:i/>
          <w:sz w:val="24"/>
          <w:szCs w:val="24"/>
        </w:rPr>
        <w:t xml:space="preserve">Probe beliefs – </w:t>
      </w:r>
      <w:r w:rsidRPr="00123592">
        <w:rPr>
          <w:rFonts w:cstheme="minorHAnsi"/>
          <w:sz w:val="24"/>
          <w:szCs w:val="24"/>
        </w:rPr>
        <w:t xml:space="preserve">also – </w:t>
      </w:r>
      <w:r w:rsidRPr="00123592">
        <w:rPr>
          <w:rFonts w:cstheme="minorHAnsi"/>
          <w:b/>
          <w:i/>
          <w:sz w:val="24"/>
          <w:szCs w:val="24"/>
        </w:rPr>
        <w:t>ask for as many examples as possible</w:t>
      </w:r>
    </w:p>
    <w:p w14:paraId="134EB706" w14:textId="77777777" w:rsidR="00404575" w:rsidRPr="00123592" w:rsidRDefault="00404575" w:rsidP="00E75191">
      <w:pPr>
        <w:pStyle w:val="ListParagraph"/>
        <w:numPr>
          <w:ilvl w:val="0"/>
          <w:numId w:val="11"/>
        </w:numPr>
        <w:spacing w:after="228" w:line="240" w:lineRule="auto"/>
        <w:jc w:val="both"/>
        <w:rPr>
          <w:rFonts w:cstheme="minorHAnsi"/>
          <w:sz w:val="24"/>
          <w:szCs w:val="24"/>
        </w:rPr>
      </w:pPr>
      <w:r w:rsidRPr="00123592">
        <w:rPr>
          <w:rFonts w:cstheme="minorHAnsi"/>
          <w:sz w:val="24"/>
          <w:szCs w:val="24"/>
        </w:rPr>
        <w:t xml:space="preserve">I would like to understand; What efforts are being made to promote equal opportunities for females and males in your work area? What has the result been? </w:t>
      </w:r>
      <w:r w:rsidRPr="00123592">
        <w:rPr>
          <w:rFonts w:cstheme="minorHAnsi"/>
          <w:b/>
          <w:i/>
          <w:sz w:val="24"/>
          <w:szCs w:val="24"/>
        </w:rPr>
        <w:t>Probe social, cultural, economic, political, religious, technological and legal</w:t>
      </w:r>
    </w:p>
    <w:p w14:paraId="4DD02E21" w14:textId="77777777" w:rsidR="00404575" w:rsidRPr="00D92E1A" w:rsidRDefault="00404575" w:rsidP="00E75191">
      <w:pPr>
        <w:pStyle w:val="ListParagraph"/>
        <w:numPr>
          <w:ilvl w:val="0"/>
          <w:numId w:val="11"/>
        </w:numPr>
        <w:spacing w:after="0" w:line="240" w:lineRule="auto"/>
        <w:jc w:val="both"/>
        <w:rPr>
          <w:rFonts w:cstheme="minorHAnsi"/>
          <w:sz w:val="24"/>
          <w:szCs w:val="24"/>
        </w:rPr>
      </w:pPr>
      <w:r w:rsidRPr="00D92E1A">
        <w:rPr>
          <w:rFonts w:cstheme="minorHAnsi"/>
          <w:sz w:val="24"/>
          <w:szCs w:val="24"/>
        </w:rPr>
        <w:t>Tell me about various practices established within your organization] to promote and support gender equality internally in staff and management, and with regard to suppliers, and externally in relation to citizens, clients, and consumers</w:t>
      </w:r>
    </w:p>
    <w:p w14:paraId="468696BB" w14:textId="77777777" w:rsidR="00404575" w:rsidRPr="00123592" w:rsidRDefault="00404575" w:rsidP="00E75191">
      <w:pPr>
        <w:numPr>
          <w:ilvl w:val="0"/>
          <w:numId w:val="11"/>
        </w:numPr>
        <w:spacing w:after="0" w:line="240" w:lineRule="auto"/>
        <w:jc w:val="both"/>
        <w:rPr>
          <w:rFonts w:cstheme="minorHAnsi"/>
          <w:sz w:val="24"/>
          <w:szCs w:val="24"/>
        </w:rPr>
      </w:pPr>
      <w:r w:rsidRPr="00123592">
        <w:rPr>
          <w:rFonts w:cstheme="minorHAnsi"/>
          <w:sz w:val="24"/>
          <w:szCs w:val="24"/>
        </w:rPr>
        <w:t xml:space="preserve">Explain to me various measures/actions taken for women and men in all their diversity to participate equally in policy- and </w:t>
      </w:r>
      <w:r w:rsidRPr="00123592">
        <w:rPr>
          <w:rFonts w:cstheme="minorHAnsi"/>
          <w:b/>
          <w:sz w:val="24"/>
          <w:szCs w:val="24"/>
        </w:rPr>
        <w:t>decision-making</w:t>
      </w:r>
      <w:r w:rsidRPr="00123592">
        <w:rPr>
          <w:rFonts w:cstheme="minorHAnsi"/>
          <w:sz w:val="24"/>
          <w:szCs w:val="24"/>
        </w:rPr>
        <w:t xml:space="preserve"> </w:t>
      </w:r>
      <w:r>
        <w:rPr>
          <w:rFonts w:cstheme="minorHAnsi"/>
          <w:sz w:val="24"/>
          <w:szCs w:val="24"/>
        </w:rPr>
        <w:t>in your business</w:t>
      </w:r>
      <w:r w:rsidRPr="00123592">
        <w:rPr>
          <w:rFonts w:cstheme="minorHAnsi"/>
          <w:sz w:val="24"/>
          <w:szCs w:val="24"/>
        </w:rPr>
        <w:t>, and are represented in these policies and decisions</w:t>
      </w:r>
    </w:p>
    <w:p w14:paraId="34516F9B" w14:textId="77777777" w:rsidR="00404575" w:rsidRPr="00123592" w:rsidRDefault="00404575" w:rsidP="00E75191">
      <w:pPr>
        <w:numPr>
          <w:ilvl w:val="0"/>
          <w:numId w:val="11"/>
        </w:numPr>
        <w:spacing w:after="0" w:line="240" w:lineRule="auto"/>
        <w:jc w:val="both"/>
        <w:rPr>
          <w:rFonts w:cstheme="minorHAnsi"/>
          <w:sz w:val="24"/>
          <w:szCs w:val="24"/>
        </w:rPr>
      </w:pPr>
      <w:r>
        <w:rPr>
          <w:rFonts w:cstheme="minorHAnsi"/>
          <w:sz w:val="24"/>
          <w:szCs w:val="24"/>
        </w:rPr>
        <w:t>In your view, a</w:t>
      </w:r>
      <w:r w:rsidRPr="00123592">
        <w:rPr>
          <w:rFonts w:cstheme="minorHAnsi"/>
          <w:sz w:val="24"/>
          <w:szCs w:val="24"/>
        </w:rPr>
        <w:t xml:space="preserve">re women and men, in all their diversity, accorded </w:t>
      </w:r>
      <w:r w:rsidRPr="00123592">
        <w:rPr>
          <w:rFonts w:cstheme="minorHAnsi"/>
          <w:b/>
          <w:sz w:val="24"/>
          <w:szCs w:val="24"/>
        </w:rPr>
        <w:t>equal access to employment, recruitment and promotion</w:t>
      </w:r>
      <w:r w:rsidRPr="00123592">
        <w:rPr>
          <w:rFonts w:cstheme="minorHAnsi"/>
          <w:sz w:val="24"/>
          <w:szCs w:val="24"/>
        </w:rPr>
        <w:t>?  In what ways could there be denial of equal access?</w:t>
      </w:r>
    </w:p>
    <w:p w14:paraId="333367D3" w14:textId="77777777" w:rsidR="00404575" w:rsidRPr="00123592" w:rsidRDefault="00404575" w:rsidP="00E75191">
      <w:pPr>
        <w:numPr>
          <w:ilvl w:val="0"/>
          <w:numId w:val="11"/>
        </w:numPr>
        <w:spacing w:after="0" w:line="240" w:lineRule="auto"/>
        <w:jc w:val="both"/>
        <w:rPr>
          <w:rFonts w:cstheme="minorHAnsi"/>
          <w:sz w:val="24"/>
          <w:szCs w:val="24"/>
        </w:rPr>
      </w:pPr>
      <w:r w:rsidRPr="00123592">
        <w:rPr>
          <w:rFonts w:cstheme="minorHAnsi"/>
          <w:sz w:val="24"/>
          <w:szCs w:val="24"/>
        </w:rPr>
        <w:t xml:space="preserve">Is equal treatment in terms of pay and benefits guaranteed for women and men? </w:t>
      </w:r>
      <w:r w:rsidRPr="00123592">
        <w:rPr>
          <w:rFonts w:cstheme="minorHAnsi"/>
          <w:b/>
          <w:sz w:val="24"/>
          <w:szCs w:val="24"/>
        </w:rPr>
        <w:t>Please provide details</w:t>
      </w:r>
    </w:p>
    <w:p w14:paraId="5622CD50" w14:textId="77777777" w:rsidR="00404575" w:rsidRPr="00123592" w:rsidRDefault="00404575" w:rsidP="00E75191">
      <w:pPr>
        <w:numPr>
          <w:ilvl w:val="0"/>
          <w:numId w:val="11"/>
        </w:numPr>
        <w:spacing w:after="0" w:line="240" w:lineRule="auto"/>
        <w:jc w:val="both"/>
        <w:rPr>
          <w:rFonts w:cstheme="minorHAnsi"/>
          <w:sz w:val="24"/>
          <w:szCs w:val="24"/>
        </w:rPr>
      </w:pPr>
      <w:r w:rsidRPr="00123592">
        <w:rPr>
          <w:rFonts w:cstheme="minorHAnsi"/>
          <w:sz w:val="24"/>
          <w:szCs w:val="24"/>
        </w:rPr>
        <w:t xml:space="preserve">Tell me the place of women and their extent of involvement in the formal and informal sectors </w:t>
      </w:r>
    </w:p>
    <w:p w14:paraId="102B50BB" w14:textId="77777777" w:rsidR="00404575" w:rsidRPr="00123592" w:rsidRDefault="00404575" w:rsidP="00E75191">
      <w:pPr>
        <w:numPr>
          <w:ilvl w:val="0"/>
          <w:numId w:val="11"/>
        </w:numPr>
        <w:spacing w:after="0" w:line="240" w:lineRule="auto"/>
        <w:jc w:val="both"/>
        <w:rPr>
          <w:rFonts w:cstheme="minorHAnsi"/>
          <w:sz w:val="24"/>
          <w:szCs w:val="24"/>
        </w:rPr>
      </w:pPr>
      <w:r w:rsidRPr="00123592">
        <w:rPr>
          <w:rFonts w:cstheme="minorHAnsi"/>
          <w:sz w:val="24"/>
          <w:szCs w:val="24"/>
        </w:rPr>
        <w:t xml:space="preserve">I would like to know how women and men are increasingly participating in and have improved access to jobs, entrepreneurship opportunities and alternative livelihoods in the green economy and the circular economy? </w:t>
      </w:r>
    </w:p>
    <w:p w14:paraId="68C4C12A" w14:textId="77777777" w:rsidR="00404575" w:rsidRPr="00123592" w:rsidRDefault="00404575" w:rsidP="00E75191">
      <w:pPr>
        <w:numPr>
          <w:ilvl w:val="0"/>
          <w:numId w:val="11"/>
        </w:numPr>
        <w:spacing w:after="0" w:line="240" w:lineRule="auto"/>
        <w:jc w:val="both"/>
        <w:rPr>
          <w:rFonts w:cstheme="minorHAnsi"/>
          <w:sz w:val="24"/>
          <w:szCs w:val="24"/>
        </w:rPr>
      </w:pPr>
      <w:r w:rsidRPr="00123592">
        <w:rPr>
          <w:rFonts w:cstheme="minorHAnsi"/>
          <w:sz w:val="24"/>
          <w:szCs w:val="24"/>
        </w:rPr>
        <w:t xml:space="preserve">I want to understand how women and men, in all their diversity, are </w:t>
      </w:r>
      <w:r w:rsidRPr="00123592">
        <w:rPr>
          <w:rFonts w:cstheme="minorHAnsi"/>
          <w:b/>
          <w:sz w:val="24"/>
          <w:szCs w:val="24"/>
        </w:rPr>
        <w:t>accessing services</w:t>
      </w:r>
      <w:r w:rsidRPr="00123592">
        <w:rPr>
          <w:rFonts w:cstheme="minorHAnsi"/>
          <w:sz w:val="24"/>
          <w:szCs w:val="24"/>
        </w:rPr>
        <w:t xml:space="preserve">, e.g., health, sexual and reproductive health, education and training, agricultural and business advisory, financial, legal services, transport, energy, new digital opportunities, etc -  </w:t>
      </w:r>
      <w:r>
        <w:rPr>
          <w:rFonts w:cstheme="minorHAnsi"/>
          <w:sz w:val="24"/>
          <w:szCs w:val="24"/>
        </w:rPr>
        <w:t xml:space="preserve">Particularly in your business? </w:t>
      </w:r>
      <w:r w:rsidRPr="00123592">
        <w:rPr>
          <w:rFonts w:cstheme="minorHAnsi"/>
          <w:b/>
          <w:sz w:val="24"/>
          <w:szCs w:val="24"/>
        </w:rPr>
        <w:t>Do they have equal access, how and why?</w:t>
      </w:r>
    </w:p>
    <w:p w14:paraId="5F33610A" w14:textId="77777777" w:rsidR="00404575" w:rsidRPr="00123592" w:rsidRDefault="00404575" w:rsidP="00E75191">
      <w:pPr>
        <w:numPr>
          <w:ilvl w:val="0"/>
          <w:numId w:val="11"/>
        </w:numPr>
        <w:spacing w:after="0" w:line="240" w:lineRule="auto"/>
        <w:jc w:val="both"/>
        <w:rPr>
          <w:rFonts w:cstheme="minorHAnsi"/>
          <w:sz w:val="24"/>
          <w:szCs w:val="24"/>
        </w:rPr>
      </w:pPr>
      <w:r w:rsidRPr="00123592">
        <w:rPr>
          <w:rFonts w:cstheme="minorHAnsi"/>
          <w:sz w:val="24"/>
          <w:szCs w:val="24"/>
        </w:rPr>
        <w:t xml:space="preserve">Are there specific service delivery gaps that hinder gender equality and affect women and girls disproportionately (e.g. access to affordable child care)? </w:t>
      </w:r>
      <w:r w:rsidRPr="00123592">
        <w:rPr>
          <w:rFonts w:cstheme="minorHAnsi"/>
          <w:b/>
          <w:sz w:val="24"/>
          <w:szCs w:val="24"/>
        </w:rPr>
        <w:t>If yes, tell me about them</w:t>
      </w:r>
      <w:r>
        <w:rPr>
          <w:rFonts w:cstheme="minorHAnsi"/>
          <w:b/>
          <w:sz w:val="24"/>
          <w:szCs w:val="24"/>
        </w:rPr>
        <w:t>. How are these managed in your sector/business?</w:t>
      </w:r>
    </w:p>
    <w:p w14:paraId="511EB557" w14:textId="77777777" w:rsidR="00404575" w:rsidRPr="00123592" w:rsidRDefault="00404575" w:rsidP="00E75191">
      <w:pPr>
        <w:numPr>
          <w:ilvl w:val="0"/>
          <w:numId w:val="11"/>
        </w:numPr>
        <w:spacing w:after="0" w:line="240" w:lineRule="auto"/>
        <w:jc w:val="both"/>
        <w:rPr>
          <w:rFonts w:cstheme="minorHAnsi"/>
          <w:sz w:val="24"/>
          <w:szCs w:val="24"/>
        </w:rPr>
      </w:pPr>
      <w:r w:rsidRPr="00123592">
        <w:rPr>
          <w:rFonts w:cstheme="minorHAnsi"/>
          <w:sz w:val="24"/>
          <w:szCs w:val="24"/>
        </w:rPr>
        <w:t xml:space="preserve">Tell me about women’s independent access to social security systems (eg health insurance, pension) where these exist and how effective are they? </w:t>
      </w:r>
    </w:p>
    <w:p w14:paraId="221FBC59" w14:textId="77777777" w:rsidR="00404575" w:rsidRPr="00123592" w:rsidRDefault="00404575" w:rsidP="00E75191">
      <w:pPr>
        <w:numPr>
          <w:ilvl w:val="0"/>
          <w:numId w:val="11"/>
        </w:numPr>
        <w:spacing w:after="0" w:line="240" w:lineRule="auto"/>
        <w:jc w:val="both"/>
        <w:rPr>
          <w:rFonts w:cstheme="minorHAnsi"/>
          <w:sz w:val="24"/>
          <w:szCs w:val="24"/>
        </w:rPr>
      </w:pPr>
      <w:r w:rsidRPr="00123592">
        <w:rPr>
          <w:rFonts w:cstheme="minorHAnsi"/>
          <w:sz w:val="24"/>
          <w:szCs w:val="24"/>
        </w:rPr>
        <w:t xml:space="preserve">Lets’ talk about </w:t>
      </w:r>
      <w:r w:rsidRPr="00123592">
        <w:rPr>
          <w:rFonts w:cstheme="minorHAnsi"/>
          <w:b/>
          <w:sz w:val="24"/>
          <w:szCs w:val="24"/>
        </w:rPr>
        <w:t>private sector businesses and institutions</w:t>
      </w:r>
      <w:r w:rsidRPr="00123592">
        <w:rPr>
          <w:rFonts w:cstheme="minorHAnsi"/>
          <w:sz w:val="24"/>
          <w:szCs w:val="24"/>
        </w:rPr>
        <w:t xml:space="preserve"> </w:t>
      </w:r>
      <w:r w:rsidRPr="006316A9">
        <w:rPr>
          <w:rFonts w:cstheme="minorHAnsi"/>
          <w:sz w:val="24"/>
          <w:szCs w:val="24"/>
        </w:rPr>
        <w:t xml:space="preserve">in your workstream </w:t>
      </w:r>
      <w:r w:rsidRPr="00123592">
        <w:rPr>
          <w:rFonts w:cstheme="minorHAnsi"/>
          <w:sz w:val="24"/>
          <w:szCs w:val="24"/>
        </w:rPr>
        <w:t xml:space="preserve">(including companies, banks, media, etc). Do you know about their policies and </w:t>
      </w:r>
      <w:r w:rsidRPr="00123592">
        <w:rPr>
          <w:rFonts w:cstheme="minorHAnsi"/>
          <w:sz w:val="24"/>
          <w:szCs w:val="24"/>
        </w:rPr>
        <w:lastRenderedPageBreak/>
        <w:t xml:space="preserve">gender-transformative or gender-responsive practice in relation to citizens, clients and consumers, and suppliers? Do they have the capacity to establish and monitor such policies and practices? </w:t>
      </w:r>
      <w:r w:rsidRPr="00123592">
        <w:rPr>
          <w:rFonts w:cstheme="minorHAnsi"/>
          <w:b/>
          <w:sz w:val="24"/>
          <w:szCs w:val="24"/>
        </w:rPr>
        <w:t>Tell me more about them</w:t>
      </w:r>
    </w:p>
    <w:p w14:paraId="368971D5" w14:textId="77777777" w:rsidR="00404575" w:rsidRDefault="00404575" w:rsidP="00E75191">
      <w:pPr>
        <w:numPr>
          <w:ilvl w:val="0"/>
          <w:numId w:val="11"/>
        </w:numPr>
        <w:spacing w:after="0" w:line="240" w:lineRule="auto"/>
        <w:jc w:val="both"/>
        <w:rPr>
          <w:rFonts w:cstheme="minorHAnsi"/>
          <w:sz w:val="24"/>
          <w:szCs w:val="24"/>
        </w:rPr>
      </w:pPr>
      <w:r w:rsidRPr="00123592">
        <w:rPr>
          <w:rFonts w:cstheme="minorHAnsi"/>
          <w:sz w:val="24"/>
          <w:szCs w:val="24"/>
        </w:rPr>
        <w:t xml:space="preserve">I would like to ask about </w:t>
      </w:r>
      <w:r w:rsidRPr="00123592">
        <w:rPr>
          <w:rFonts w:cstheme="minorHAnsi"/>
          <w:b/>
          <w:sz w:val="24"/>
          <w:szCs w:val="24"/>
        </w:rPr>
        <w:t>sectors</w:t>
      </w:r>
      <w:r w:rsidRPr="00123592">
        <w:rPr>
          <w:rFonts w:cstheme="minorHAnsi"/>
          <w:sz w:val="24"/>
          <w:szCs w:val="24"/>
        </w:rPr>
        <w:t xml:space="preserve"> where you think women and men are most represented? In which type of occupations and economic activities? Have measures been taken to reflect the diversity of women and men? </w:t>
      </w:r>
    </w:p>
    <w:p w14:paraId="51E0C781" w14:textId="77777777" w:rsidR="00404575" w:rsidRPr="0092564E" w:rsidRDefault="00404575" w:rsidP="00E75191">
      <w:pPr>
        <w:pStyle w:val="ListParagraph"/>
        <w:numPr>
          <w:ilvl w:val="0"/>
          <w:numId w:val="11"/>
        </w:numPr>
        <w:spacing w:after="29" w:line="240" w:lineRule="auto"/>
        <w:ind w:right="67"/>
        <w:jc w:val="both"/>
        <w:rPr>
          <w:rFonts w:cstheme="minorHAnsi"/>
          <w:sz w:val="24"/>
          <w:szCs w:val="24"/>
        </w:rPr>
      </w:pPr>
      <w:r w:rsidRPr="0092564E">
        <w:rPr>
          <w:rFonts w:eastAsia="Calibri" w:cstheme="minorHAnsi"/>
          <w:sz w:val="24"/>
          <w:szCs w:val="24"/>
        </w:rPr>
        <w:t xml:space="preserve">How does climate change impact gender relations in areas such as access and ownership of land, agriculture and water resources? </w:t>
      </w:r>
      <w:r w:rsidRPr="0092564E">
        <w:rPr>
          <w:rFonts w:cstheme="minorHAnsi"/>
          <w:sz w:val="24"/>
          <w:szCs w:val="24"/>
        </w:rPr>
        <w:t>How</w:t>
      </w:r>
      <w:r>
        <w:rPr>
          <w:rFonts w:cstheme="minorHAnsi"/>
          <w:sz w:val="24"/>
          <w:szCs w:val="24"/>
        </w:rPr>
        <w:t xml:space="preserve"> recognised</w:t>
      </w:r>
      <w:r w:rsidRPr="0092564E">
        <w:rPr>
          <w:rFonts w:cstheme="minorHAnsi"/>
          <w:sz w:val="24"/>
          <w:szCs w:val="24"/>
        </w:rPr>
        <w:t xml:space="preserve"> is women’s ability to contribute to tackling climate change?</w:t>
      </w:r>
    </w:p>
    <w:p w14:paraId="37527283" w14:textId="77777777" w:rsidR="00404575" w:rsidRPr="001D2B50" w:rsidRDefault="00404575" w:rsidP="00E75191">
      <w:pPr>
        <w:pStyle w:val="ListParagraph"/>
        <w:numPr>
          <w:ilvl w:val="0"/>
          <w:numId w:val="11"/>
        </w:numPr>
        <w:spacing w:after="29" w:line="240" w:lineRule="auto"/>
        <w:ind w:right="67"/>
        <w:jc w:val="both"/>
        <w:rPr>
          <w:rFonts w:cstheme="minorHAnsi"/>
          <w:sz w:val="24"/>
          <w:szCs w:val="24"/>
        </w:rPr>
      </w:pPr>
      <w:r w:rsidRPr="00123592">
        <w:rPr>
          <w:rFonts w:cstheme="minorHAnsi"/>
          <w:sz w:val="24"/>
          <w:szCs w:val="24"/>
        </w:rPr>
        <w:t>Can you tell me what steps governments, donors, and civil society can take to advance the incorporation of gender equality and women’s empowerment into policies, programmes and financing for climate change? Give examples</w:t>
      </w:r>
    </w:p>
    <w:p w14:paraId="70FFCC7A" w14:textId="77777777" w:rsidR="00404575" w:rsidRPr="00123592" w:rsidRDefault="00404575" w:rsidP="00E75191">
      <w:pPr>
        <w:pStyle w:val="ListParagraph"/>
        <w:numPr>
          <w:ilvl w:val="0"/>
          <w:numId w:val="11"/>
        </w:numPr>
        <w:spacing w:after="65" w:line="240" w:lineRule="auto"/>
        <w:jc w:val="both"/>
        <w:rPr>
          <w:rFonts w:cstheme="minorHAnsi"/>
          <w:sz w:val="24"/>
          <w:szCs w:val="24"/>
        </w:rPr>
      </w:pPr>
      <w:r w:rsidRPr="00123592">
        <w:rPr>
          <w:rFonts w:cstheme="minorHAnsi"/>
          <w:sz w:val="24"/>
          <w:szCs w:val="24"/>
        </w:rPr>
        <w:t>I would like to know how variables such as disability, social status</w:t>
      </w:r>
      <w:r>
        <w:rPr>
          <w:rFonts w:cstheme="minorHAnsi"/>
          <w:sz w:val="24"/>
          <w:szCs w:val="24"/>
        </w:rPr>
        <w:t>,</w:t>
      </w:r>
      <w:r w:rsidRPr="00123592">
        <w:rPr>
          <w:rFonts w:cstheme="minorHAnsi"/>
          <w:sz w:val="24"/>
          <w:szCs w:val="24"/>
        </w:rPr>
        <w:t xml:space="preserve"> age</w:t>
      </w:r>
      <w:r>
        <w:rPr>
          <w:rFonts w:cstheme="minorHAnsi"/>
          <w:sz w:val="24"/>
          <w:szCs w:val="24"/>
        </w:rPr>
        <w:t>, sexual orientation, gender identity</w:t>
      </w:r>
      <w:r w:rsidRPr="00123592">
        <w:rPr>
          <w:rFonts w:cstheme="minorHAnsi"/>
          <w:sz w:val="24"/>
          <w:szCs w:val="24"/>
        </w:rPr>
        <w:t xml:space="preserve"> contribute to enhance or undermine </w:t>
      </w:r>
      <w:r>
        <w:rPr>
          <w:rFonts w:cstheme="minorHAnsi"/>
          <w:sz w:val="24"/>
          <w:szCs w:val="24"/>
        </w:rPr>
        <w:t>gender equality in the workplace?  Are there measures implemented in your business/ sector to promote inclusion and equality?</w:t>
      </w:r>
    </w:p>
    <w:p w14:paraId="205449B3" w14:textId="77777777" w:rsidR="00404575" w:rsidRDefault="00404575" w:rsidP="00E75191">
      <w:pPr>
        <w:pStyle w:val="ListParagraph"/>
        <w:numPr>
          <w:ilvl w:val="0"/>
          <w:numId w:val="11"/>
        </w:numPr>
        <w:spacing w:after="65" w:line="240" w:lineRule="auto"/>
        <w:jc w:val="both"/>
        <w:rPr>
          <w:rFonts w:cstheme="minorHAnsi"/>
          <w:sz w:val="24"/>
          <w:szCs w:val="24"/>
        </w:rPr>
      </w:pPr>
      <w:r w:rsidRPr="00123592">
        <w:rPr>
          <w:rFonts w:cstheme="minorHAnsi"/>
          <w:sz w:val="24"/>
          <w:szCs w:val="24"/>
        </w:rPr>
        <w:t xml:space="preserve">Are there measures and mechanisms targeting urgent and emerging issues related to climate change and environmental protection and digitalisation/ digital economy? </w:t>
      </w:r>
    </w:p>
    <w:p w14:paraId="5C9C28B9" w14:textId="77777777" w:rsidR="00404575" w:rsidRPr="00123592" w:rsidRDefault="00404575" w:rsidP="00E75191">
      <w:pPr>
        <w:pStyle w:val="ListParagraph"/>
        <w:numPr>
          <w:ilvl w:val="0"/>
          <w:numId w:val="11"/>
        </w:numPr>
        <w:spacing w:after="259" w:line="240" w:lineRule="auto"/>
        <w:jc w:val="both"/>
        <w:rPr>
          <w:rFonts w:cstheme="minorHAnsi"/>
          <w:sz w:val="24"/>
          <w:szCs w:val="24"/>
        </w:rPr>
      </w:pPr>
      <w:r>
        <w:rPr>
          <w:rFonts w:cstheme="minorHAnsi"/>
          <w:sz w:val="24"/>
          <w:szCs w:val="24"/>
        </w:rPr>
        <w:t xml:space="preserve">What issues related to gender equality should be prioritised? </w:t>
      </w:r>
      <w:r w:rsidRPr="00123592">
        <w:rPr>
          <w:rFonts w:cstheme="minorHAnsi"/>
          <w:sz w:val="24"/>
          <w:szCs w:val="24"/>
        </w:rPr>
        <w:t>What areas related to gender do you think are left behind or not targeted in which the</w:t>
      </w:r>
      <w:r>
        <w:rPr>
          <w:rFonts w:cstheme="minorHAnsi"/>
          <w:sz w:val="24"/>
          <w:szCs w:val="24"/>
        </w:rPr>
        <w:t>re is need for intervention</w:t>
      </w:r>
      <w:r w:rsidRPr="00123592">
        <w:rPr>
          <w:rFonts w:cstheme="minorHAnsi"/>
          <w:sz w:val="24"/>
          <w:szCs w:val="24"/>
        </w:rPr>
        <w:t xml:space="preserve">? </w:t>
      </w:r>
    </w:p>
    <w:p w14:paraId="6DD33318" w14:textId="77777777" w:rsidR="00404575" w:rsidRPr="00123592" w:rsidRDefault="00404575" w:rsidP="00E75191">
      <w:pPr>
        <w:pStyle w:val="ListParagraph"/>
        <w:spacing w:after="29" w:line="240" w:lineRule="auto"/>
        <w:ind w:right="67"/>
        <w:jc w:val="both"/>
        <w:rPr>
          <w:rFonts w:cstheme="minorHAnsi"/>
          <w:sz w:val="24"/>
          <w:szCs w:val="24"/>
        </w:rPr>
      </w:pPr>
    </w:p>
    <w:p w14:paraId="5A5C2384" w14:textId="77777777" w:rsidR="00404575" w:rsidRPr="009A4FD6" w:rsidRDefault="00404575" w:rsidP="009A4FD6">
      <w:pPr>
        <w:spacing w:after="259" w:line="240" w:lineRule="auto"/>
        <w:jc w:val="both"/>
        <w:rPr>
          <w:rFonts w:cstheme="minorHAnsi"/>
          <w:sz w:val="24"/>
          <w:szCs w:val="24"/>
        </w:rPr>
      </w:pPr>
      <w:r w:rsidRPr="009A4FD6">
        <w:rPr>
          <w:rFonts w:cstheme="minorHAnsi"/>
          <w:sz w:val="24"/>
          <w:szCs w:val="24"/>
        </w:rPr>
        <w:t>I am done with my questions. Do you have anything to add or questions for me?</w:t>
      </w:r>
    </w:p>
    <w:p w14:paraId="1BCB6C47" w14:textId="77777777" w:rsidR="009A4FD6" w:rsidRDefault="009A4FD6" w:rsidP="00E75191">
      <w:pPr>
        <w:shd w:val="clear" w:color="auto" w:fill="FFFFFF" w:themeFill="background1"/>
        <w:spacing w:after="65" w:line="240" w:lineRule="auto"/>
        <w:jc w:val="both"/>
        <w:rPr>
          <w:rFonts w:cstheme="minorHAnsi"/>
          <w:sz w:val="24"/>
          <w:szCs w:val="24"/>
        </w:rPr>
      </w:pPr>
    </w:p>
    <w:p w14:paraId="660593CB" w14:textId="77777777" w:rsidR="00404575" w:rsidRPr="00D92E1A" w:rsidRDefault="00404575" w:rsidP="00E75191">
      <w:pPr>
        <w:shd w:val="clear" w:color="auto" w:fill="FFFFFF" w:themeFill="background1"/>
        <w:spacing w:after="65" w:line="240" w:lineRule="auto"/>
        <w:jc w:val="both"/>
        <w:rPr>
          <w:rFonts w:cstheme="minorHAnsi"/>
          <w:b/>
          <w:sz w:val="24"/>
          <w:szCs w:val="24"/>
        </w:rPr>
      </w:pPr>
      <w:r w:rsidRPr="00D92E1A">
        <w:rPr>
          <w:rFonts w:cstheme="minorHAnsi"/>
          <w:b/>
          <w:sz w:val="24"/>
          <w:szCs w:val="24"/>
        </w:rPr>
        <w:t>FGDs</w:t>
      </w:r>
    </w:p>
    <w:p w14:paraId="7F03AED4" w14:textId="77777777" w:rsidR="00404575" w:rsidRPr="00123592" w:rsidRDefault="00404575" w:rsidP="00E75191">
      <w:pPr>
        <w:spacing w:after="0" w:line="240" w:lineRule="auto"/>
        <w:ind w:left="720"/>
        <w:jc w:val="both"/>
        <w:rPr>
          <w:rFonts w:cstheme="minorHAnsi"/>
          <w:sz w:val="24"/>
          <w:szCs w:val="24"/>
        </w:rPr>
      </w:pPr>
    </w:p>
    <w:p w14:paraId="4B570449" w14:textId="77777777" w:rsidR="00404575" w:rsidRDefault="00404575" w:rsidP="00E75191">
      <w:pPr>
        <w:pStyle w:val="ListParagraph"/>
        <w:numPr>
          <w:ilvl w:val="0"/>
          <w:numId w:val="12"/>
        </w:numPr>
        <w:spacing w:after="228" w:line="240" w:lineRule="auto"/>
        <w:jc w:val="both"/>
      </w:pPr>
      <w:r>
        <w:t xml:space="preserve">Tell me about yourself. </w:t>
      </w:r>
    </w:p>
    <w:p w14:paraId="644C355E" w14:textId="77777777" w:rsidR="00404575" w:rsidRDefault="00404575" w:rsidP="00E75191">
      <w:pPr>
        <w:pStyle w:val="ListParagraph"/>
        <w:numPr>
          <w:ilvl w:val="0"/>
          <w:numId w:val="12"/>
        </w:numPr>
        <w:spacing w:after="228" w:line="240" w:lineRule="auto"/>
        <w:jc w:val="both"/>
      </w:pPr>
      <w:r>
        <w:t xml:space="preserve">Explain to me the past and present positions of females and males in the family, society and government – </w:t>
      </w:r>
      <w:r w:rsidRPr="006C4E6F">
        <w:rPr>
          <w:b/>
          <w:i/>
        </w:rPr>
        <w:t>probe position and roles of girls, boys, women, and men in the distribution of resources and power</w:t>
      </w:r>
    </w:p>
    <w:p w14:paraId="5AA8309D" w14:textId="77777777" w:rsidR="00404575" w:rsidRDefault="00404575" w:rsidP="00E75191">
      <w:pPr>
        <w:pStyle w:val="ListParagraph"/>
        <w:numPr>
          <w:ilvl w:val="0"/>
          <w:numId w:val="12"/>
        </w:numPr>
        <w:spacing w:after="228" w:line="240" w:lineRule="auto"/>
        <w:jc w:val="both"/>
        <w:rPr>
          <w:b/>
          <w:i/>
        </w:rPr>
      </w:pPr>
      <w:r>
        <w:t xml:space="preserve">Are there particular challenges females and males face or experience because of their being females or males? </w:t>
      </w:r>
      <w:r w:rsidRPr="00226307">
        <w:rPr>
          <w:b/>
          <w:i/>
        </w:rPr>
        <w:t>Probe social, cultural, economic, political, religious, technological</w:t>
      </w:r>
      <w:r>
        <w:rPr>
          <w:b/>
          <w:i/>
        </w:rPr>
        <w:t xml:space="preserve">, </w:t>
      </w:r>
      <w:r w:rsidRPr="00226307">
        <w:rPr>
          <w:b/>
          <w:i/>
        </w:rPr>
        <w:t>legal</w:t>
      </w:r>
      <w:r>
        <w:rPr>
          <w:b/>
          <w:i/>
        </w:rPr>
        <w:t>, and health related</w:t>
      </w:r>
    </w:p>
    <w:p w14:paraId="015DCC3C" w14:textId="77777777" w:rsidR="00404575" w:rsidRPr="00226307" w:rsidRDefault="00404575" w:rsidP="00E75191">
      <w:pPr>
        <w:pStyle w:val="ListParagraph"/>
        <w:numPr>
          <w:ilvl w:val="0"/>
          <w:numId w:val="12"/>
        </w:numPr>
        <w:spacing w:after="228" w:line="240" w:lineRule="auto"/>
        <w:jc w:val="both"/>
        <w:rPr>
          <w:b/>
          <w:i/>
        </w:rPr>
      </w:pPr>
      <w:r>
        <w:t xml:space="preserve">In your community/sector are there particular opportunities for women or men? </w:t>
      </w:r>
      <w:r>
        <w:rPr>
          <w:b/>
          <w:i/>
        </w:rPr>
        <w:t>Pr</w:t>
      </w:r>
      <w:r w:rsidRPr="00226307">
        <w:rPr>
          <w:b/>
          <w:i/>
        </w:rPr>
        <w:t>obe social, cultural, economic, political, religious, technological</w:t>
      </w:r>
      <w:r>
        <w:rPr>
          <w:b/>
          <w:i/>
        </w:rPr>
        <w:t xml:space="preserve">, </w:t>
      </w:r>
      <w:r w:rsidRPr="00226307">
        <w:rPr>
          <w:b/>
          <w:i/>
        </w:rPr>
        <w:t>legal</w:t>
      </w:r>
    </w:p>
    <w:p w14:paraId="0670BB12" w14:textId="77777777" w:rsidR="00404575" w:rsidRPr="00736EE4" w:rsidRDefault="00404575" w:rsidP="00E75191">
      <w:pPr>
        <w:pStyle w:val="ListParagraph"/>
        <w:numPr>
          <w:ilvl w:val="0"/>
          <w:numId w:val="12"/>
        </w:numPr>
        <w:spacing w:after="0" w:line="240" w:lineRule="auto"/>
        <w:jc w:val="both"/>
        <w:rPr>
          <w:b/>
          <w:i/>
        </w:rPr>
      </w:pPr>
      <w:r>
        <w:t xml:space="preserve">Could you tell me key assumptions, beliefs, widely held views about gender in the society? </w:t>
      </w:r>
      <w:r w:rsidRPr="001730D3">
        <w:rPr>
          <w:b/>
          <w:i/>
        </w:rPr>
        <w:t xml:space="preserve">Probe views about </w:t>
      </w:r>
      <w:r w:rsidRPr="00F56D36">
        <w:rPr>
          <w:noProof/>
        </w:rPr>
        <w:t>masculinity, femininity, gender relations, sexual orientation and gender identity</w:t>
      </w:r>
      <w:r>
        <w:rPr>
          <w:noProof/>
        </w:rPr>
        <w:t xml:space="preserve">. </w:t>
      </w:r>
    </w:p>
    <w:p w14:paraId="2DC54788" w14:textId="77777777" w:rsidR="00404575" w:rsidRPr="001730D3" w:rsidRDefault="00404575" w:rsidP="00E75191">
      <w:pPr>
        <w:pStyle w:val="ListParagraph"/>
        <w:numPr>
          <w:ilvl w:val="0"/>
          <w:numId w:val="12"/>
        </w:numPr>
        <w:spacing w:after="0" w:line="240" w:lineRule="auto"/>
        <w:jc w:val="both"/>
        <w:rPr>
          <w:b/>
          <w:i/>
        </w:rPr>
      </w:pPr>
      <w:r w:rsidRPr="0028033C">
        <w:t>Tell</w:t>
      </w:r>
      <w:r>
        <w:t xml:space="preserve"> me about general and/or context-specific social norms and cultural practices which result in gender discrimination and inequality, and how the government and your institution are responding to them. </w:t>
      </w:r>
      <w:r w:rsidRPr="001730D3">
        <w:rPr>
          <w:b/>
          <w:i/>
        </w:rPr>
        <w:t xml:space="preserve">Probe beliefs – </w:t>
      </w:r>
      <w:r w:rsidRPr="0028033C">
        <w:t xml:space="preserve">also </w:t>
      </w:r>
      <w:r>
        <w:t xml:space="preserve">– </w:t>
      </w:r>
      <w:r w:rsidRPr="001730D3">
        <w:rPr>
          <w:b/>
          <w:i/>
        </w:rPr>
        <w:t>ask for as many examples as possible</w:t>
      </w:r>
    </w:p>
    <w:p w14:paraId="0455EEE8" w14:textId="77777777" w:rsidR="00404575" w:rsidRPr="006C4E6F" w:rsidRDefault="00404575" w:rsidP="00E75191">
      <w:pPr>
        <w:pStyle w:val="ListParagraph"/>
        <w:numPr>
          <w:ilvl w:val="0"/>
          <w:numId w:val="12"/>
        </w:numPr>
        <w:spacing w:after="0" w:line="240" w:lineRule="auto"/>
        <w:jc w:val="both"/>
        <w:rPr>
          <w:b/>
          <w:i/>
        </w:rPr>
      </w:pPr>
      <w:r>
        <w:t xml:space="preserve">Explain to me various dimensions and manifestations of gender inequalities? Also tell me about their impact on individuals, families and society – </w:t>
      </w:r>
      <w:r w:rsidRPr="001730D3">
        <w:rPr>
          <w:b/>
          <w:i/>
        </w:rPr>
        <w:t>ask for specific examples.</w:t>
      </w:r>
      <w:r>
        <w:rPr>
          <w:b/>
          <w:i/>
        </w:rPr>
        <w:t xml:space="preserve">  </w:t>
      </w:r>
      <w:r w:rsidRPr="006C4E6F">
        <w:rPr>
          <w:b/>
          <w:i/>
        </w:rPr>
        <w:t xml:space="preserve">Probe impact of social </w:t>
      </w:r>
      <w:r w:rsidRPr="006C4E6F">
        <w:rPr>
          <w:noProof/>
        </w:rPr>
        <w:t xml:space="preserve">norms on </w:t>
      </w:r>
      <w:r w:rsidRPr="006C4E6F">
        <w:rPr>
          <w:b/>
          <w:noProof/>
        </w:rPr>
        <w:t>physical and mental health</w:t>
      </w:r>
      <w:r w:rsidRPr="006C4E6F">
        <w:rPr>
          <w:noProof/>
        </w:rPr>
        <w:t xml:space="preserve">, including sexual and reproductive health and rights, gender-based violence, harmful practices, education, employment and political and social participation </w:t>
      </w:r>
    </w:p>
    <w:p w14:paraId="6FBADAD6" w14:textId="77777777" w:rsidR="00404575" w:rsidRPr="000E05F4" w:rsidRDefault="00404575" w:rsidP="00E75191">
      <w:pPr>
        <w:pStyle w:val="ListParagraph"/>
        <w:numPr>
          <w:ilvl w:val="0"/>
          <w:numId w:val="12"/>
        </w:numPr>
        <w:spacing w:after="228" w:line="240" w:lineRule="auto"/>
        <w:jc w:val="both"/>
        <w:rPr>
          <w:b/>
          <w:i/>
        </w:rPr>
      </w:pPr>
      <w:r>
        <w:t>I would like to understand how females and males access water, sanitation, and essential ecosystem services and particular roles the government has played</w:t>
      </w:r>
    </w:p>
    <w:p w14:paraId="6E6A2DCD" w14:textId="77777777" w:rsidR="00404575" w:rsidRDefault="00404575" w:rsidP="00E75191">
      <w:pPr>
        <w:pStyle w:val="ListParagraph"/>
        <w:numPr>
          <w:ilvl w:val="0"/>
          <w:numId w:val="12"/>
        </w:numPr>
        <w:spacing w:after="228" w:line="240" w:lineRule="auto"/>
        <w:jc w:val="both"/>
      </w:pPr>
      <w:r>
        <w:lastRenderedPageBreak/>
        <w:t>How are different crises such as natural disaster and conflict situations affecting women and men, girls and boys differently? (</w:t>
      </w:r>
      <w:r w:rsidRPr="000E05F4">
        <w:rPr>
          <w:b/>
          <w:i/>
        </w:rPr>
        <w:t xml:space="preserve">Ask for specific examples) </w:t>
      </w:r>
      <w:r>
        <w:t>and how best do you think these can be responded to in ways that accommodate females and males differences?</w:t>
      </w:r>
    </w:p>
    <w:p w14:paraId="7A6C02D6" w14:textId="77777777" w:rsidR="00404575" w:rsidRPr="00422557" w:rsidRDefault="00404575" w:rsidP="00E75191">
      <w:pPr>
        <w:pStyle w:val="ListParagraph"/>
        <w:numPr>
          <w:ilvl w:val="0"/>
          <w:numId w:val="12"/>
        </w:numPr>
        <w:spacing w:after="228" w:line="240" w:lineRule="auto"/>
        <w:jc w:val="both"/>
      </w:pPr>
      <w:r>
        <w:t xml:space="preserve">What social changes and crises have affected positions, roles and opportunities of females and males in the society in the past ten years (including COVID-19 pandemic and conflicts). </w:t>
      </w:r>
      <w:r w:rsidRPr="000E05F4">
        <w:rPr>
          <w:b/>
          <w:i/>
        </w:rPr>
        <w:t>Allow the respondents to mention the social changes and crises and then probe details of each of them and their impacts.</w:t>
      </w:r>
    </w:p>
    <w:p w14:paraId="1CB5C534" w14:textId="77777777" w:rsidR="00404575" w:rsidRPr="00AE52FC" w:rsidRDefault="00404575" w:rsidP="00E75191">
      <w:pPr>
        <w:pStyle w:val="ListParagraph"/>
        <w:numPr>
          <w:ilvl w:val="0"/>
          <w:numId w:val="12"/>
        </w:numPr>
        <w:spacing w:after="228" w:line="240" w:lineRule="auto"/>
        <w:jc w:val="both"/>
      </w:pPr>
      <w:r>
        <w:t xml:space="preserve">I would like to ask about different efforts being made to promote equal opportunities for females and males in the society and their impact. </w:t>
      </w:r>
      <w:r w:rsidRPr="000E05F4">
        <w:rPr>
          <w:b/>
          <w:i/>
        </w:rPr>
        <w:t>Probe social, cultural, economic, political, religious, technological and legal</w:t>
      </w:r>
    </w:p>
    <w:p w14:paraId="045B204E" w14:textId="77777777" w:rsidR="00404575" w:rsidRPr="00633FBC" w:rsidRDefault="00404575" w:rsidP="00E75191">
      <w:pPr>
        <w:pStyle w:val="ListParagraph"/>
        <w:numPr>
          <w:ilvl w:val="0"/>
          <w:numId w:val="12"/>
        </w:numPr>
        <w:spacing w:after="228" w:line="240" w:lineRule="auto"/>
        <w:jc w:val="both"/>
        <w:rPr>
          <w:b/>
          <w:i/>
        </w:rPr>
      </w:pPr>
      <w:r>
        <w:t>At the community level, are there existing legal and normative framework protecting the rights of women and girls? Tell me about traditional legal systems and how they protect women?</w:t>
      </w:r>
    </w:p>
    <w:p w14:paraId="36F2FD98" w14:textId="77777777" w:rsidR="00404575" w:rsidRPr="006C4E6F" w:rsidRDefault="00404575" w:rsidP="00E75191">
      <w:pPr>
        <w:pStyle w:val="ListParagraph"/>
        <w:numPr>
          <w:ilvl w:val="0"/>
          <w:numId w:val="12"/>
        </w:numPr>
        <w:spacing w:after="228" w:line="240" w:lineRule="auto"/>
        <w:jc w:val="both"/>
        <w:rPr>
          <w:b/>
          <w:i/>
        </w:rPr>
      </w:pPr>
      <w:r>
        <w:t xml:space="preserve">I would like to know key actors operating on gender equality (local, national, regional and international) such as national gender equality mechanisms, women’s organisations, academia, private sector and international cooperation partners -  </w:t>
      </w:r>
      <w:r w:rsidRPr="00ED6962">
        <w:rPr>
          <w:b/>
          <w:i/>
        </w:rPr>
        <w:t xml:space="preserve">probe impact of their work on gender </w:t>
      </w:r>
      <w:r w:rsidRPr="00ED6962">
        <w:rPr>
          <w:b/>
        </w:rPr>
        <w:t>(ask for a list of actors and their areas of engagement and domain of influence)</w:t>
      </w:r>
    </w:p>
    <w:p w14:paraId="22F77EF8" w14:textId="77777777" w:rsidR="00404575" w:rsidRPr="006C4E6F" w:rsidRDefault="00404575" w:rsidP="00E75191">
      <w:pPr>
        <w:pStyle w:val="ListParagraph"/>
        <w:numPr>
          <w:ilvl w:val="0"/>
          <w:numId w:val="12"/>
        </w:numPr>
        <w:spacing w:after="228" w:line="240" w:lineRule="auto"/>
        <w:jc w:val="both"/>
        <w:rPr>
          <w:b/>
          <w:i/>
        </w:rPr>
      </w:pPr>
      <w:r>
        <w:t xml:space="preserve">Tell me about the state of women representation in </w:t>
      </w:r>
      <w:r w:rsidRPr="006C4E6F">
        <w:rPr>
          <w:b/>
        </w:rPr>
        <w:t>decision-making</w:t>
      </w:r>
      <w:r>
        <w:t xml:space="preserve"> institutions/government (House of Assembly, legislative  committees, cabinet/executive body, ministries, local authority, scrutiny bodies, universities, semi-state bodies, private sector businesses)?  I would like to know various policies women have contributed to influencing and how effective such policies are in protecting women </w:t>
      </w:r>
    </w:p>
    <w:p w14:paraId="0BCEC644" w14:textId="77777777" w:rsidR="00404575" w:rsidRPr="006C4E6F" w:rsidRDefault="00404575" w:rsidP="00E75191">
      <w:pPr>
        <w:pStyle w:val="ListParagraph"/>
        <w:numPr>
          <w:ilvl w:val="0"/>
          <w:numId w:val="12"/>
        </w:numPr>
        <w:spacing w:after="228" w:line="240" w:lineRule="auto"/>
        <w:jc w:val="both"/>
        <w:rPr>
          <w:b/>
          <w:i/>
        </w:rPr>
      </w:pPr>
      <w:r>
        <w:t xml:space="preserve">What consultation processes exist to solicit the views of women and men in all their diversity? </w:t>
      </w:r>
    </w:p>
    <w:p w14:paraId="1698CDD6" w14:textId="77777777" w:rsidR="00404575" w:rsidRPr="00094D21" w:rsidRDefault="00404575" w:rsidP="00E75191">
      <w:pPr>
        <w:pStyle w:val="ListParagraph"/>
        <w:numPr>
          <w:ilvl w:val="0"/>
          <w:numId w:val="12"/>
        </w:numPr>
        <w:spacing w:after="228" w:line="240" w:lineRule="auto"/>
        <w:jc w:val="both"/>
        <w:rPr>
          <w:b/>
          <w:i/>
        </w:rPr>
      </w:pPr>
      <w:r>
        <w:t xml:space="preserve">What is the impact of  </w:t>
      </w:r>
      <w:r w:rsidRPr="006C4E6F">
        <w:rPr>
          <w:b/>
        </w:rPr>
        <w:t>civil society organisations</w:t>
      </w:r>
      <w:r>
        <w:t>, particularly women’s rights and gender equality organisations, in awareness raising, advocacy and scrutiny roles, and engaging with policy- and decision-makers in your community?</w:t>
      </w:r>
    </w:p>
    <w:p w14:paraId="7F1D47E1" w14:textId="77777777" w:rsidR="00404575" w:rsidRDefault="00404575" w:rsidP="00E75191">
      <w:pPr>
        <w:pStyle w:val="ListParagraph"/>
        <w:numPr>
          <w:ilvl w:val="0"/>
          <w:numId w:val="12"/>
        </w:numPr>
        <w:spacing w:after="0" w:line="240" w:lineRule="auto"/>
        <w:jc w:val="both"/>
        <w:rPr>
          <w:rFonts w:cstheme="minorHAnsi"/>
          <w:sz w:val="24"/>
          <w:szCs w:val="24"/>
        </w:rPr>
      </w:pPr>
      <w:r w:rsidRPr="00292AEA">
        <w:rPr>
          <w:rFonts w:eastAsia="Calibri" w:cstheme="minorHAnsi"/>
          <w:color w:val="000000" w:themeColor="text1"/>
          <w:sz w:val="24"/>
          <w:szCs w:val="24"/>
        </w:rPr>
        <w:t xml:space="preserve">In what ways are you using ICT/digital tech </w:t>
      </w:r>
      <w:r w:rsidRPr="00292AEA">
        <w:rPr>
          <w:rFonts w:cstheme="minorHAnsi"/>
          <w:color w:val="000000" w:themeColor="text1"/>
          <w:sz w:val="24"/>
          <w:szCs w:val="24"/>
          <w:shd w:val="clear" w:color="auto" w:fill="FFFFFF"/>
        </w:rPr>
        <w:t xml:space="preserve">the use of digital technologies to </w:t>
      </w:r>
      <w:r>
        <w:rPr>
          <w:rFonts w:cstheme="minorHAnsi"/>
          <w:color w:val="000000" w:themeColor="text1"/>
          <w:sz w:val="24"/>
          <w:szCs w:val="24"/>
          <w:shd w:val="clear" w:color="auto" w:fill="FFFFFF"/>
        </w:rPr>
        <w:t>improve gender equality or support gender equality initiatives</w:t>
      </w:r>
      <w:r w:rsidRPr="00292AEA">
        <w:rPr>
          <w:rFonts w:cstheme="minorHAnsi"/>
          <w:color w:val="000000" w:themeColor="text1"/>
          <w:sz w:val="24"/>
          <w:szCs w:val="24"/>
          <w:shd w:val="clear" w:color="auto" w:fill="FFFFFF"/>
        </w:rPr>
        <w:t>?  I</w:t>
      </w:r>
      <w:r w:rsidRPr="00292AEA">
        <w:rPr>
          <w:rFonts w:eastAsia="Calibri" w:cstheme="minorHAnsi"/>
          <w:sz w:val="24"/>
          <w:szCs w:val="24"/>
        </w:rPr>
        <w:t>s ICT</w:t>
      </w:r>
      <w:r w:rsidRPr="00292AEA">
        <w:rPr>
          <w:rFonts w:eastAsia="Calibri" w:cstheme="minorHAnsi"/>
          <w:color w:val="000000" w:themeColor="text1"/>
          <w:sz w:val="24"/>
          <w:szCs w:val="24"/>
        </w:rPr>
        <w:t xml:space="preserve">/Digitalisation/Digital Technologies driving or hindering gender inequality in your organization, workstream, State? </w:t>
      </w:r>
      <w:r w:rsidRPr="00292AEA">
        <w:rPr>
          <w:rFonts w:cstheme="minorHAnsi"/>
          <w:sz w:val="24"/>
          <w:szCs w:val="24"/>
        </w:rPr>
        <w:t>Probe impact on gender outcomes in line with policies</w:t>
      </w:r>
    </w:p>
    <w:p w14:paraId="215B8B56" w14:textId="77777777" w:rsidR="00404575" w:rsidRPr="00292AEA" w:rsidRDefault="00404575" w:rsidP="00E75191">
      <w:pPr>
        <w:pStyle w:val="ListParagraph"/>
        <w:numPr>
          <w:ilvl w:val="0"/>
          <w:numId w:val="12"/>
        </w:numPr>
        <w:spacing w:after="0" w:line="240" w:lineRule="auto"/>
        <w:jc w:val="both"/>
        <w:rPr>
          <w:rFonts w:cstheme="minorHAnsi"/>
          <w:sz w:val="24"/>
          <w:szCs w:val="24"/>
        </w:rPr>
      </w:pPr>
      <w:r w:rsidRPr="00292AEA">
        <w:rPr>
          <w:rFonts w:cstheme="minorHAnsi"/>
          <w:sz w:val="24"/>
          <w:szCs w:val="24"/>
        </w:rPr>
        <w:t xml:space="preserve">I want to understand how women and men, in all their diversity, are </w:t>
      </w:r>
      <w:r w:rsidRPr="00292AEA">
        <w:rPr>
          <w:rFonts w:cstheme="minorHAnsi"/>
          <w:b/>
          <w:sz w:val="24"/>
          <w:szCs w:val="24"/>
        </w:rPr>
        <w:t>accessing services</w:t>
      </w:r>
      <w:r w:rsidRPr="00292AEA">
        <w:rPr>
          <w:rFonts w:cstheme="minorHAnsi"/>
          <w:sz w:val="24"/>
          <w:szCs w:val="24"/>
        </w:rPr>
        <w:t>, e.g., health, sexual and reproductive health, education and training, agricultural and business advisory,</w:t>
      </w:r>
      <w:r>
        <w:rPr>
          <w:rFonts w:cstheme="minorHAnsi"/>
          <w:sz w:val="24"/>
          <w:szCs w:val="24"/>
        </w:rPr>
        <w:t xml:space="preserve"> water, sanitation</w:t>
      </w:r>
      <w:r w:rsidRPr="00292AEA">
        <w:rPr>
          <w:rFonts w:cstheme="minorHAnsi"/>
          <w:sz w:val="24"/>
          <w:szCs w:val="24"/>
        </w:rPr>
        <w:t xml:space="preserve"> financial, legal services, transport, energy, new digital opportunities,</w:t>
      </w:r>
      <w:r>
        <w:rPr>
          <w:rFonts w:cstheme="minorHAnsi"/>
          <w:sz w:val="24"/>
          <w:szCs w:val="24"/>
        </w:rPr>
        <w:t xml:space="preserve"> other essential ecosystem services</w:t>
      </w:r>
      <w:r w:rsidRPr="00292AEA">
        <w:rPr>
          <w:rFonts w:cstheme="minorHAnsi"/>
          <w:sz w:val="24"/>
          <w:szCs w:val="24"/>
        </w:rPr>
        <w:t xml:space="preserve"> etc -  </w:t>
      </w:r>
      <w:r w:rsidRPr="00292AEA">
        <w:rPr>
          <w:rFonts w:cstheme="minorHAnsi"/>
          <w:b/>
          <w:sz w:val="24"/>
          <w:szCs w:val="24"/>
        </w:rPr>
        <w:t>Do they have equal access, how and why?</w:t>
      </w:r>
    </w:p>
    <w:p w14:paraId="4FFD1AD0" w14:textId="77777777" w:rsidR="00404575" w:rsidRDefault="00404575" w:rsidP="00E75191">
      <w:pPr>
        <w:pStyle w:val="ListParagraph"/>
        <w:numPr>
          <w:ilvl w:val="0"/>
          <w:numId w:val="12"/>
        </w:numPr>
        <w:spacing w:after="65" w:line="240" w:lineRule="auto"/>
        <w:jc w:val="both"/>
        <w:rPr>
          <w:rFonts w:cstheme="minorHAnsi"/>
          <w:sz w:val="24"/>
          <w:szCs w:val="24"/>
        </w:rPr>
      </w:pPr>
      <w:r w:rsidRPr="00123592">
        <w:rPr>
          <w:rFonts w:cstheme="minorHAnsi"/>
          <w:sz w:val="24"/>
          <w:szCs w:val="24"/>
        </w:rPr>
        <w:t>I would like to know how variables such a</w:t>
      </w:r>
      <w:r>
        <w:rPr>
          <w:rFonts w:cstheme="minorHAnsi"/>
          <w:sz w:val="24"/>
          <w:szCs w:val="24"/>
        </w:rPr>
        <w:t xml:space="preserve">s disability, social status, </w:t>
      </w:r>
      <w:r w:rsidRPr="00123592">
        <w:rPr>
          <w:rFonts w:cstheme="minorHAnsi"/>
          <w:sz w:val="24"/>
          <w:szCs w:val="24"/>
        </w:rPr>
        <w:t>age</w:t>
      </w:r>
      <w:r>
        <w:rPr>
          <w:rFonts w:cstheme="minorHAnsi"/>
          <w:sz w:val="24"/>
          <w:szCs w:val="24"/>
        </w:rPr>
        <w:t>, sexual orientation, gender identity</w:t>
      </w:r>
      <w:r w:rsidRPr="00123592">
        <w:rPr>
          <w:rFonts w:cstheme="minorHAnsi"/>
          <w:sz w:val="24"/>
          <w:szCs w:val="24"/>
        </w:rPr>
        <w:t xml:space="preserve"> contribute</w:t>
      </w:r>
      <w:r>
        <w:rPr>
          <w:rFonts w:cstheme="minorHAnsi"/>
          <w:sz w:val="24"/>
          <w:szCs w:val="24"/>
        </w:rPr>
        <w:t xml:space="preserve"> to enhance or undermine women and girls</w:t>
      </w:r>
      <w:r w:rsidRPr="00123592">
        <w:rPr>
          <w:rFonts w:cstheme="minorHAnsi"/>
          <w:sz w:val="24"/>
          <w:szCs w:val="24"/>
        </w:rPr>
        <w:t xml:space="preserve"> rights</w:t>
      </w:r>
      <w:r>
        <w:rPr>
          <w:rFonts w:cstheme="minorHAnsi"/>
          <w:sz w:val="24"/>
          <w:szCs w:val="24"/>
        </w:rPr>
        <w:t xml:space="preserve"> in your community</w:t>
      </w:r>
      <w:r w:rsidRPr="00123592">
        <w:rPr>
          <w:rFonts w:cstheme="minorHAnsi"/>
          <w:sz w:val="24"/>
          <w:szCs w:val="24"/>
        </w:rPr>
        <w:t>?</w:t>
      </w:r>
    </w:p>
    <w:p w14:paraId="3BFA7CB9" w14:textId="77777777" w:rsidR="00404575" w:rsidRDefault="00404575" w:rsidP="00E75191">
      <w:pPr>
        <w:pStyle w:val="ListParagraph"/>
        <w:numPr>
          <w:ilvl w:val="0"/>
          <w:numId w:val="12"/>
        </w:numPr>
        <w:spacing w:after="65" w:line="240" w:lineRule="auto"/>
        <w:jc w:val="both"/>
        <w:rPr>
          <w:rFonts w:cstheme="minorHAnsi"/>
          <w:sz w:val="24"/>
          <w:szCs w:val="24"/>
        </w:rPr>
      </w:pPr>
      <w:r w:rsidRPr="00123592">
        <w:rPr>
          <w:rFonts w:cstheme="minorHAnsi"/>
          <w:sz w:val="24"/>
          <w:szCs w:val="24"/>
        </w:rPr>
        <w:t xml:space="preserve">Are there measures and mechanisms targeting urgent and emerging issues related to climate change and environmental protection and digitalisation/ digital economy? </w:t>
      </w:r>
    </w:p>
    <w:p w14:paraId="138F92E9" w14:textId="77777777" w:rsidR="00404575" w:rsidRDefault="00404575" w:rsidP="00E75191">
      <w:pPr>
        <w:pStyle w:val="ListParagraph"/>
        <w:numPr>
          <w:ilvl w:val="0"/>
          <w:numId w:val="12"/>
        </w:numPr>
        <w:spacing w:after="259" w:line="240" w:lineRule="auto"/>
        <w:jc w:val="both"/>
        <w:rPr>
          <w:rFonts w:cstheme="minorHAnsi"/>
          <w:sz w:val="24"/>
          <w:szCs w:val="24"/>
        </w:rPr>
      </w:pPr>
      <w:r>
        <w:rPr>
          <w:rFonts w:cstheme="minorHAnsi"/>
          <w:sz w:val="24"/>
          <w:szCs w:val="24"/>
        </w:rPr>
        <w:t xml:space="preserve">What issues related to gender equality should be prioritised? </w:t>
      </w:r>
      <w:r w:rsidRPr="00123592">
        <w:rPr>
          <w:rFonts w:cstheme="minorHAnsi"/>
          <w:sz w:val="24"/>
          <w:szCs w:val="24"/>
        </w:rPr>
        <w:t>What areas related to gender do you think are left behind or not targeted in which the</w:t>
      </w:r>
      <w:r>
        <w:rPr>
          <w:rFonts w:cstheme="minorHAnsi"/>
          <w:sz w:val="24"/>
          <w:szCs w:val="24"/>
        </w:rPr>
        <w:t>re is need for intervention</w:t>
      </w:r>
      <w:r w:rsidRPr="00123592">
        <w:rPr>
          <w:rFonts w:cstheme="minorHAnsi"/>
          <w:sz w:val="24"/>
          <w:szCs w:val="24"/>
        </w:rPr>
        <w:t xml:space="preserve">? </w:t>
      </w:r>
    </w:p>
    <w:p w14:paraId="0603B5FC" w14:textId="77777777" w:rsidR="00404575" w:rsidRPr="00C6536D" w:rsidRDefault="00404575" w:rsidP="00C133D6">
      <w:pPr>
        <w:spacing w:line="240" w:lineRule="auto"/>
      </w:pPr>
    </w:p>
    <w:sectPr w:rsidR="00404575" w:rsidRPr="00C6536D" w:rsidSect="006E3C5B">
      <w:footerReference w:type="default" r:id="rId86"/>
      <w:headerReference w:type="first" r:id="rId87"/>
      <w:pgSz w:w="11906" w:h="16838"/>
      <w:pgMar w:top="1440" w:right="1440" w:bottom="1440" w:left="1440" w:header="720" w:footer="720" w:gutter="0"/>
      <w:pgNumType w:start="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3CF2513" w16cid:durableId="24D14A7C"/>
  <w16cid:commentId w16cid:paraId="5CCE0D56" w16cid:durableId="24D14A7D"/>
  <w16cid:commentId w16cid:paraId="67E2885D" w16cid:durableId="24D14A7E"/>
  <w16cid:commentId w16cid:paraId="789635BE" w16cid:durableId="24D14A7F"/>
  <w16cid:commentId w16cid:paraId="3598B1AF" w16cid:durableId="24D14A80"/>
  <w16cid:commentId w16cid:paraId="3DE56390" w16cid:durableId="24D14A81"/>
  <w16cid:commentId w16cid:paraId="24294EC0" w16cid:durableId="24D14A82"/>
  <w16cid:commentId w16cid:paraId="5FBEE182" w16cid:durableId="24D14A83"/>
  <w16cid:commentId w16cid:paraId="38DE1630" w16cid:durableId="24D14A84"/>
  <w16cid:commentId w16cid:paraId="70570935" w16cid:durableId="24D14A85"/>
  <w16cid:commentId w16cid:paraId="56091915" w16cid:durableId="24D14A86"/>
  <w16cid:commentId w16cid:paraId="36142AF3" w16cid:durableId="24D14A87"/>
  <w16cid:commentId w16cid:paraId="3EC06A78" w16cid:durableId="24D14A88"/>
  <w16cid:commentId w16cid:paraId="76C14E4A" w16cid:durableId="24D14A89"/>
  <w16cid:commentId w16cid:paraId="70E55EC5" w16cid:durableId="24D14A8A"/>
  <w16cid:commentId w16cid:paraId="2A71AF5E" w16cid:durableId="24D14A8B"/>
  <w16cid:commentId w16cid:paraId="6661701A" w16cid:durableId="24D14A8C"/>
  <w16cid:commentId w16cid:paraId="4316962C" w16cid:durableId="24D14A8D"/>
  <w16cid:commentId w16cid:paraId="17D27F72" w16cid:durableId="24D14A8E"/>
  <w16cid:commentId w16cid:paraId="01700944" w16cid:durableId="24D14A8F"/>
  <w16cid:commentId w16cid:paraId="422028CE" w16cid:durableId="24D14A90"/>
  <w16cid:commentId w16cid:paraId="66CA3C07" w16cid:durableId="24D14A91"/>
  <w16cid:commentId w16cid:paraId="776DD200" w16cid:durableId="24D14A92"/>
  <w16cid:commentId w16cid:paraId="4B1E34B3" w16cid:durableId="24D14A93"/>
  <w16cid:commentId w16cid:paraId="6D407D14" w16cid:durableId="24D14A94"/>
  <w16cid:commentId w16cid:paraId="5E0B646C" w16cid:durableId="24D14A95"/>
  <w16cid:commentId w16cid:paraId="76185C52" w16cid:durableId="24D14A96"/>
  <w16cid:commentId w16cid:paraId="1F9AB4DF" w16cid:durableId="24D14A97"/>
  <w16cid:commentId w16cid:paraId="0D1984E3" w16cid:durableId="24D14A98"/>
  <w16cid:commentId w16cid:paraId="270BC2F2" w16cid:durableId="24D14A99"/>
  <w16cid:commentId w16cid:paraId="09428686" w16cid:durableId="24D14A9A"/>
  <w16cid:commentId w16cid:paraId="582F7687" w16cid:durableId="24D14A9B"/>
  <w16cid:commentId w16cid:paraId="2FE30D8F" w16cid:durableId="24D14A9C"/>
  <w16cid:commentId w16cid:paraId="348BEBBC" w16cid:durableId="24D14A9D"/>
  <w16cid:commentId w16cid:paraId="76DF5B64" w16cid:durableId="24D14A9E"/>
  <w16cid:commentId w16cid:paraId="71C21232" w16cid:durableId="24D14A9F"/>
  <w16cid:commentId w16cid:paraId="3D410692" w16cid:durableId="24D14AA0"/>
  <w16cid:commentId w16cid:paraId="02A5D301" w16cid:durableId="24D14AA1"/>
  <w16cid:commentId w16cid:paraId="2E9C772D" w16cid:durableId="24D14AA2"/>
  <w16cid:commentId w16cid:paraId="4394BA76" w16cid:durableId="24D14AA3"/>
  <w16cid:commentId w16cid:paraId="3BC22BCA" w16cid:durableId="24D14AA4"/>
  <w16cid:commentId w16cid:paraId="2316C5F1" w16cid:durableId="24D14AA5"/>
  <w16cid:commentId w16cid:paraId="3BB4750F" w16cid:durableId="24D14AA6"/>
  <w16cid:commentId w16cid:paraId="14FB975E" w16cid:durableId="24D14AA7"/>
  <w16cid:commentId w16cid:paraId="12EABF9A" w16cid:durableId="24D14AA8"/>
  <w16cid:commentId w16cid:paraId="4E083AD9" w16cid:durableId="24D14AA9"/>
  <w16cid:commentId w16cid:paraId="2CC67445" w16cid:durableId="24D14AAA"/>
  <w16cid:commentId w16cid:paraId="546741F3" w16cid:durableId="24D14AAB"/>
  <w16cid:commentId w16cid:paraId="171FD6E5" w16cid:durableId="24D14AAC"/>
  <w16cid:commentId w16cid:paraId="3B83CF7B" w16cid:durableId="24D14AAD"/>
  <w16cid:commentId w16cid:paraId="4ABB75AE" w16cid:durableId="24D14AAE"/>
  <w16cid:commentId w16cid:paraId="1AC0339E" w16cid:durableId="24D14AB0"/>
  <w16cid:commentId w16cid:paraId="5A88E566" w16cid:durableId="24D14AB1"/>
  <w16cid:commentId w16cid:paraId="50D57250" w16cid:durableId="24D14AB2"/>
  <w16cid:commentId w16cid:paraId="278F555C" w16cid:durableId="24D14AB3"/>
  <w16cid:commentId w16cid:paraId="40CA6C49" w16cid:durableId="24D14AB4"/>
  <w16cid:commentId w16cid:paraId="30A8F966" w16cid:durableId="24D14AB5"/>
  <w16cid:commentId w16cid:paraId="5D747F77" w16cid:durableId="24D14AB6"/>
  <w16cid:commentId w16cid:paraId="594AE806" w16cid:durableId="24D14AB7"/>
  <w16cid:commentId w16cid:paraId="29B40852" w16cid:durableId="24D14AB8"/>
  <w16cid:commentId w16cid:paraId="7AAFF8F8" w16cid:durableId="24D14AB9"/>
  <w16cid:commentId w16cid:paraId="4BEF315D" w16cid:durableId="24D14ABA"/>
  <w16cid:commentId w16cid:paraId="32458C96" w16cid:durableId="24D14ABB"/>
  <w16cid:commentId w16cid:paraId="312F1B21" w16cid:durableId="24D14ABC"/>
  <w16cid:commentId w16cid:paraId="77308326" w16cid:durableId="24D14ABD"/>
  <w16cid:commentId w16cid:paraId="1B24318F" w16cid:durableId="24D14ABE"/>
  <w16cid:commentId w16cid:paraId="568DEC07" w16cid:durableId="24D14ABF"/>
  <w16cid:commentId w16cid:paraId="4FD0FCF4" w16cid:durableId="24D14AC0"/>
  <w16cid:commentId w16cid:paraId="1F85053E" w16cid:durableId="24D14AC1"/>
  <w16cid:commentId w16cid:paraId="4D26E4E1" w16cid:durableId="24D14AC2"/>
  <w16cid:commentId w16cid:paraId="68275EE8" w16cid:durableId="24D14AC3"/>
  <w16cid:commentId w16cid:paraId="4970DBF2" w16cid:durableId="24D14AC4"/>
  <w16cid:commentId w16cid:paraId="09B2C1D0" w16cid:durableId="24D14AC5"/>
  <w16cid:commentId w16cid:paraId="29C1F572" w16cid:durableId="24D14AC6"/>
  <w16cid:commentId w16cid:paraId="10F1E8B0" w16cid:durableId="24D14AC7"/>
  <w16cid:commentId w16cid:paraId="2B786C59" w16cid:durableId="24D14AC8"/>
  <w16cid:commentId w16cid:paraId="45E165F4" w16cid:durableId="24D14AC9"/>
  <w16cid:commentId w16cid:paraId="73111063" w16cid:durableId="24D14ACA"/>
  <w16cid:commentId w16cid:paraId="70AEA27E" w16cid:durableId="24D14ACB"/>
  <w16cid:commentId w16cid:paraId="769CB7C7" w16cid:durableId="24D14ACC"/>
  <w16cid:commentId w16cid:paraId="75433ECE" w16cid:durableId="24D14ACD"/>
  <w16cid:commentId w16cid:paraId="2FCD6C3C" w16cid:durableId="24D14ACE"/>
  <w16cid:commentId w16cid:paraId="76BDF5F6" w16cid:durableId="24D14ACF"/>
  <w16cid:commentId w16cid:paraId="7091D919" w16cid:durableId="24D14AD0"/>
  <w16cid:commentId w16cid:paraId="2642824E" w16cid:durableId="24D14AD1"/>
  <w16cid:commentId w16cid:paraId="608DA54E" w16cid:durableId="24D14AD2"/>
  <w16cid:commentId w16cid:paraId="7B0E60DF" w16cid:durableId="24D14AD3"/>
  <w16cid:commentId w16cid:paraId="71A745AB" w16cid:durableId="24D14AD4"/>
  <w16cid:commentId w16cid:paraId="3928984C" w16cid:durableId="24D14AD5"/>
  <w16cid:commentId w16cid:paraId="65677A18" w16cid:durableId="24D14AD6"/>
  <w16cid:commentId w16cid:paraId="4DC3C66E" w16cid:durableId="24D14AD7"/>
  <w16cid:commentId w16cid:paraId="6AA05063" w16cid:durableId="24D14AD8"/>
  <w16cid:commentId w16cid:paraId="2338CB6B" w16cid:durableId="24D14AD9"/>
  <w16cid:commentId w16cid:paraId="54E09F76" w16cid:durableId="24D14ADA"/>
  <w16cid:commentId w16cid:paraId="485258AB" w16cid:durableId="24D14ADB"/>
  <w16cid:commentId w16cid:paraId="1A207A0E" w16cid:durableId="24D14ADC"/>
  <w16cid:commentId w16cid:paraId="6AF72E12" w16cid:durableId="24D14ADD"/>
  <w16cid:commentId w16cid:paraId="27AF5137" w16cid:durableId="24D14ADE"/>
  <w16cid:commentId w16cid:paraId="0BCB7B62" w16cid:durableId="24D14ADF"/>
  <w16cid:commentId w16cid:paraId="18490E42" w16cid:durableId="24D14AE0"/>
  <w16cid:commentId w16cid:paraId="45B4C188" w16cid:durableId="24D14AE1"/>
  <w16cid:commentId w16cid:paraId="42716A27" w16cid:durableId="24D14AE2"/>
  <w16cid:commentId w16cid:paraId="14023BA7" w16cid:durableId="24D14AE3"/>
  <w16cid:commentId w16cid:paraId="34B73535" w16cid:durableId="24D14AE4"/>
  <w16cid:commentId w16cid:paraId="73810D4A" w16cid:durableId="24D14AE5"/>
  <w16cid:commentId w16cid:paraId="38E7C452" w16cid:durableId="24D14AE6"/>
  <w16cid:commentId w16cid:paraId="2E63621F" w16cid:durableId="24D14AE7"/>
  <w16cid:commentId w16cid:paraId="35B7FB0E" w16cid:durableId="24D14AE8"/>
  <w16cid:commentId w16cid:paraId="6E271FF9" w16cid:durableId="24D14AE9"/>
  <w16cid:commentId w16cid:paraId="6E029621" w16cid:durableId="24D14AEA"/>
  <w16cid:commentId w16cid:paraId="4C08E808" w16cid:durableId="24D14AEB"/>
  <w16cid:commentId w16cid:paraId="0CBA5C8B" w16cid:durableId="24D14AEC"/>
  <w16cid:commentId w16cid:paraId="647CE79B" w16cid:durableId="24D14AED"/>
  <w16cid:commentId w16cid:paraId="26CE1E78" w16cid:durableId="24D14AEE"/>
  <w16cid:commentId w16cid:paraId="4C73B06B" w16cid:durableId="24D14AEF"/>
  <w16cid:commentId w16cid:paraId="0D43D603" w16cid:durableId="24D14AF0"/>
  <w16cid:commentId w16cid:paraId="7E75DC18" w16cid:durableId="24D14AF1"/>
  <w16cid:commentId w16cid:paraId="0A898EF7" w16cid:durableId="24D14AF2"/>
  <w16cid:commentId w16cid:paraId="5A3E5226" w16cid:durableId="24D14AF3"/>
  <w16cid:commentId w16cid:paraId="23E27364" w16cid:durableId="24D14AF4"/>
  <w16cid:commentId w16cid:paraId="41719945" w16cid:durableId="24D14AF5"/>
  <w16cid:commentId w16cid:paraId="3E11D305" w16cid:durableId="24D14AF6"/>
  <w16cid:commentId w16cid:paraId="4CD93052" w16cid:durableId="24D14AF7"/>
  <w16cid:commentId w16cid:paraId="431F9AE5" w16cid:durableId="24D14AF8"/>
  <w16cid:commentId w16cid:paraId="2E862C9E" w16cid:durableId="24D14AF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564537" w14:textId="77777777" w:rsidR="006D6A0C" w:rsidRDefault="006D6A0C" w:rsidP="00387E88">
      <w:pPr>
        <w:spacing w:after="0" w:line="240" w:lineRule="auto"/>
      </w:pPr>
      <w:r>
        <w:separator/>
      </w:r>
    </w:p>
  </w:endnote>
  <w:endnote w:type="continuationSeparator" w:id="0">
    <w:p w14:paraId="35AA07DA" w14:textId="77777777" w:rsidR="006D6A0C" w:rsidRDefault="006D6A0C" w:rsidP="00387E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
    <w:altName w:val="Times New Roman"/>
    <w:panose1 w:val="00000000000000000000"/>
    <w:charset w:val="00"/>
    <w:family w:val="roman"/>
    <w:notTrueType/>
    <w:pitch w:val="default"/>
  </w:font>
  <w:font w:name="Franklin Gothic Medium">
    <w:panose1 w:val="020B0603020102020204"/>
    <w:charset w:val="00"/>
    <w:family w:val="swiss"/>
    <w:pitch w:val="variable"/>
    <w:sig w:usb0="00000287" w:usb1="00000000" w:usb2="00000000" w:usb3="00000000" w:csb0="0000009F" w:csb1="00000000"/>
  </w:font>
  <w:font w:name="MS Reference Sans Serif">
    <w:panose1 w:val="020B0604030504040204"/>
    <w:charset w:val="00"/>
    <w:family w:val="swiss"/>
    <w:pitch w:val="variable"/>
    <w:sig w:usb0="20000287" w:usb1="00000000" w:usb2="00000000" w:usb3="00000000" w:csb0="0000019F" w:csb1="00000000"/>
  </w:font>
  <w:font w:name="Georgia">
    <w:panose1 w:val="02040502050405020303"/>
    <w:charset w:val="00"/>
    <w:family w:val="roman"/>
    <w:pitch w:val="variable"/>
    <w:sig w:usb0="00000287" w:usb1="00000000" w:usb2="00000000" w:usb3="00000000" w:csb0="0000009F" w:csb1="00000000"/>
  </w:font>
  <w:font w:name="Lato">
    <w:altName w:val="Segoe UI"/>
    <w:charset w:val="00"/>
    <w:family w:val="swiss"/>
    <w:pitch w:val="variable"/>
    <w:sig w:usb0="E10002FF" w:usb1="5000ECFF" w:usb2="00000021"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7347810"/>
      <w:docPartObj>
        <w:docPartGallery w:val="Page Numbers (Bottom of Page)"/>
        <w:docPartUnique/>
      </w:docPartObj>
    </w:sdtPr>
    <w:sdtEndPr>
      <w:rPr>
        <w:noProof/>
      </w:rPr>
    </w:sdtEndPr>
    <w:sdtContent>
      <w:p w14:paraId="7CD5F5FC" w14:textId="2EB7505F" w:rsidR="006D6A0C" w:rsidRDefault="006D6A0C">
        <w:pPr>
          <w:pStyle w:val="Footer"/>
          <w:jc w:val="center"/>
        </w:pPr>
        <w:r>
          <w:fldChar w:fldCharType="begin"/>
        </w:r>
        <w:r>
          <w:instrText xml:space="preserve"> PAGE   \* MERGEFORMAT </w:instrText>
        </w:r>
        <w:r>
          <w:fldChar w:fldCharType="separate"/>
        </w:r>
        <w:r w:rsidR="00FB1E39">
          <w:rPr>
            <w:noProof/>
          </w:rPr>
          <w:t>20</w:t>
        </w:r>
        <w:r>
          <w:rPr>
            <w:noProof/>
          </w:rPr>
          <w:fldChar w:fldCharType="end"/>
        </w:r>
      </w:p>
    </w:sdtContent>
  </w:sdt>
  <w:p w14:paraId="374AB1B8" w14:textId="77777777" w:rsidR="006D6A0C" w:rsidRDefault="006D6A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27E9BD" w14:textId="77777777" w:rsidR="006D6A0C" w:rsidRDefault="006D6A0C" w:rsidP="00387E88">
      <w:pPr>
        <w:spacing w:after="0" w:line="240" w:lineRule="auto"/>
      </w:pPr>
      <w:r>
        <w:separator/>
      </w:r>
    </w:p>
  </w:footnote>
  <w:footnote w:type="continuationSeparator" w:id="0">
    <w:p w14:paraId="413ECFED" w14:textId="77777777" w:rsidR="006D6A0C" w:rsidRDefault="006D6A0C" w:rsidP="00387E88">
      <w:pPr>
        <w:spacing w:after="0" w:line="240" w:lineRule="auto"/>
      </w:pPr>
      <w:r>
        <w:continuationSeparator/>
      </w:r>
    </w:p>
  </w:footnote>
  <w:footnote w:id="1">
    <w:p w14:paraId="21BB8FE4" w14:textId="77777777" w:rsidR="006D6A0C" w:rsidRPr="00354519" w:rsidRDefault="006D6A0C">
      <w:pPr>
        <w:pStyle w:val="FootnoteText"/>
      </w:pPr>
      <w:r w:rsidRPr="00354519">
        <w:rPr>
          <w:rStyle w:val="FootnoteReference"/>
        </w:rPr>
        <w:footnoteRef/>
      </w:r>
      <w:r w:rsidRPr="00354519">
        <w:t xml:space="preserve"> Adding It Up: Investing in Contraception and Maternal and Newborn Health in Nigeria, 2018 https://www.guttmacher.org/fact-sheet/adding-it-up-contraception-mnh-nigeria#</w:t>
      </w:r>
    </w:p>
  </w:footnote>
  <w:footnote w:id="2">
    <w:p w14:paraId="338BDAAC" w14:textId="77777777" w:rsidR="006D6A0C" w:rsidRPr="00354519" w:rsidRDefault="006D6A0C">
      <w:pPr>
        <w:pStyle w:val="FootnoteText"/>
      </w:pPr>
      <w:r w:rsidRPr="00354519">
        <w:rPr>
          <w:rStyle w:val="FootnoteReference"/>
        </w:rPr>
        <w:footnoteRef/>
      </w:r>
      <w:r w:rsidRPr="00354519">
        <w:t xml:space="preserve"> Advance Family Planning 2019. Total Fertility Rate in Nigeria Decreases Slightly as the Contraceptive Prevalence Rate Increases https://www.advancefamilyplanning.org/total-fertility-rate-nigeria-decreases-slightly-contraceptive-prevalence-rate-increases</w:t>
      </w:r>
    </w:p>
  </w:footnote>
  <w:footnote w:id="3">
    <w:p w14:paraId="1750BED8" w14:textId="77777777" w:rsidR="006D6A0C" w:rsidRPr="00354519" w:rsidRDefault="006D6A0C" w:rsidP="005418BE">
      <w:pPr>
        <w:pStyle w:val="FootnoteText"/>
      </w:pPr>
      <w:r w:rsidRPr="00354519">
        <w:rPr>
          <w:rStyle w:val="FootnoteReference"/>
        </w:rPr>
        <w:footnoteRef/>
      </w:r>
      <w:r w:rsidRPr="00354519">
        <w:t xml:space="preserve"> World Bank (2020). Total Population of Nigeria. Accessed via </w:t>
      </w:r>
      <w:hyperlink r:id="rId1" w:history="1">
        <w:r w:rsidRPr="00354519">
          <w:rPr>
            <w:rStyle w:val="Hyperlink"/>
          </w:rPr>
          <w:t>https://data.worldbank.org/indicator/SP.POP.TOTL?locations=NG</w:t>
        </w:r>
      </w:hyperlink>
      <w:r w:rsidRPr="00354519">
        <w:t xml:space="preserve"> </w:t>
      </w:r>
    </w:p>
  </w:footnote>
  <w:footnote w:id="4">
    <w:p w14:paraId="0FB62D74" w14:textId="77777777" w:rsidR="006D6A0C" w:rsidRPr="00354519" w:rsidRDefault="006D6A0C" w:rsidP="005418BE">
      <w:pPr>
        <w:pStyle w:val="FootnoteText"/>
      </w:pPr>
      <w:r w:rsidRPr="00354519">
        <w:rPr>
          <w:rStyle w:val="FootnoteReference"/>
        </w:rPr>
        <w:footnoteRef/>
      </w:r>
      <w:r w:rsidRPr="00354519">
        <w:t xml:space="preserve"> Nigerian Bureau of Statistics (2021). Accessed via  </w:t>
      </w:r>
      <w:hyperlink r:id="rId2" w:history="1">
        <w:r w:rsidRPr="00354519">
          <w:rPr>
            <w:rStyle w:val="Hyperlink"/>
          </w:rPr>
          <w:t>https://nigerianstat.gov.ng/elibrary?queries[search]=POPULATION</w:t>
        </w:r>
      </w:hyperlink>
      <w:r w:rsidRPr="00354519">
        <w:t xml:space="preserve"> </w:t>
      </w:r>
    </w:p>
  </w:footnote>
  <w:footnote w:id="5">
    <w:p w14:paraId="5AFA6B78" w14:textId="77777777" w:rsidR="006D6A0C" w:rsidRPr="00354519" w:rsidRDefault="006D6A0C" w:rsidP="005418BE">
      <w:pPr>
        <w:pStyle w:val="FootnoteText"/>
      </w:pPr>
      <w:r w:rsidRPr="00354519">
        <w:rPr>
          <w:rStyle w:val="FootnoteReference"/>
        </w:rPr>
        <w:footnoteRef/>
      </w:r>
      <w:r w:rsidRPr="00354519">
        <w:t xml:space="preserve"> British Council Nigeria (2012). Gender in Nigeria Report 2012: Improving the lives of girls and women in Nigeria 2</w:t>
      </w:r>
      <w:r w:rsidRPr="00354519">
        <w:rPr>
          <w:vertAlign w:val="superscript"/>
        </w:rPr>
        <w:t>nd</w:t>
      </w:r>
      <w:r w:rsidRPr="00354519">
        <w:t xml:space="preserve"> edition. Accessed via </w:t>
      </w:r>
      <w:hyperlink r:id="rId3" w:history="1">
        <w:r w:rsidRPr="00354519">
          <w:rPr>
            <w:rStyle w:val="Hyperlink"/>
          </w:rPr>
          <w:t>https://www.britishcouncil.org/sites/default/files/british-council-gender-nigeria2012.pdf</w:t>
        </w:r>
      </w:hyperlink>
      <w:r w:rsidRPr="00354519">
        <w:t xml:space="preserve"> </w:t>
      </w:r>
    </w:p>
  </w:footnote>
  <w:footnote w:id="6">
    <w:p w14:paraId="53F9BA80" w14:textId="77777777" w:rsidR="006D6A0C" w:rsidRPr="00354519" w:rsidRDefault="006D6A0C" w:rsidP="00035C08">
      <w:pPr>
        <w:pStyle w:val="FootnoteText"/>
      </w:pPr>
      <w:r w:rsidRPr="00354519">
        <w:rPr>
          <w:rStyle w:val="FootnoteReference"/>
        </w:rPr>
        <w:footnoteRef/>
      </w:r>
      <w:r w:rsidRPr="00354519">
        <w:t xml:space="preserve"> World Economic Forum (2021). Global Gender Gap Index for 2021. Accessed via </w:t>
      </w:r>
      <w:hyperlink r:id="rId4" w:history="1">
        <w:r w:rsidRPr="00354519">
          <w:rPr>
            <w:rStyle w:val="Hyperlink"/>
          </w:rPr>
          <w:t>http://www3.weforum.org/docs/WEF_GGGR_2021.pdf</w:t>
        </w:r>
      </w:hyperlink>
      <w:r w:rsidRPr="00354519">
        <w:t xml:space="preserve"> </w:t>
      </w:r>
    </w:p>
  </w:footnote>
  <w:footnote w:id="7">
    <w:p w14:paraId="2E74AD86" w14:textId="77777777" w:rsidR="006D6A0C" w:rsidRPr="00354519" w:rsidRDefault="006D6A0C">
      <w:pPr>
        <w:pStyle w:val="FootnoteText"/>
      </w:pPr>
      <w:r w:rsidRPr="00354519">
        <w:rPr>
          <w:rStyle w:val="FootnoteReference"/>
        </w:rPr>
        <w:footnoteRef/>
      </w:r>
      <w:r w:rsidRPr="00354519">
        <w:t xml:space="preserve"> The fuller breakdown of the methodology is provided as an annex. See Annex 1.</w:t>
      </w:r>
    </w:p>
  </w:footnote>
  <w:footnote w:id="8">
    <w:p w14:paraId="4D31AC2B" w14:textId="77777777" w:rsidR="006D6A0C" w:rsidRPr="00354519" w:rsidRDefault="006D6A0C" w:rsidP="00D66BA4">
      <w:pPr>
        <w:pStyle w:val="FootnoteText"/>
        <w:jc w:val="both"/>
      </w:pPr>
      <w:r w:rsidRPr="00354519">
        <w:rPr>
          <w:rStyle w:val="FootnoteReference"/>
        </w:rPr>
        <w:footnoteRef/>
      </w:r>
      <w:r w:rsidRPr="00354519">
        <w:t xml:space="preserve"> Section 15 (2), CFRN 1999 (as amended)</w:t>
      </w:r>
    </w:p>
  </w:footnote>
  <w:footnote w:id="9">
    <w:p w14:paraId="05A6DA32" w14:textId="77777777" w:rsidR="006D6A0C" w:rsidRPr="00354519" w:rsidRDefault="006D6A0C" w:rsidP="00D66BA4">
      <w:pPr>
        <w:pStyle w:val="FootnoteText"/>
        <w:jc w:val="both"/>
      </w:pPr>
      <w:r w:rsidRPr="00354519">
        <w:rPr>
          <w:rStyle w:val="FootnoteReference"/>
        </w:rPr>
        <w:footnoteRef/>
      </w:r>
      <w:r w:rsidRPr="00354519">
        <w:t xml:space="preserve"> Section 42 (1) and (2), CFRN 1999 (as amended)</w:t>
      </w:r>
    </w:p>
  </w:footnote>
  <w:footnote w:id="10">
    <w:p w14:paraId="6D0D6B35" w14:textId="77777777" w:rsidR="006D6A0C" w:rsidRPr="00354519" w:rsidRDefault="006D6A0C" w:rsidP="00D66BA4">
      <w:pPr>
        <w:pStyle w:val="FootnoteText"/>
        <w:jc w:val="both"/>
        <w:rPr>
          <w:rFonts w:cstheme="minorHAnsi"/>
        </w:rPr>
      </w:pPr>
      <w:r w:rsidRPr="00354519">
        <w:rPr>
          <w:rStyle w:val="FootnoteReference"/>
        </w:rPr>
        <w:footnoteRef/>
      </w:r>
      <w:r w:rsidRPr="00354519">
        <w:t xml:space="preserve"> Section </w:t>
      </w:r>
      <w:r w:rsidRPr="00354519">
        <w:rPr>
          <w:rFonts w:cstheme="minorHAnsi"/>
        </w:rPr>
        <w:t>17 (3) and (3), CFRN 1999 (as amended)</w:t>
      </w:r>
    </w:p>
  </w:footnote>
  <w:footnote w:id="11">
    <w:p w14:paraId="36D6AF30" w14:textId="77777777" w:rsidR="006D6A0C" w:rsidRPr="00354519" w:rsidRDefault="006D6A0C" w:rsidP="00D66BA4">
      <w:pPr>
        <w:pStyle w:val="FootnoteText"/>
        <w:jc w:val="both"/>
        <w:rPr>
          <w:rFonts w:cstheme="minorHAnsi"/>
        </w:rPr>
      </w:pPr>
      <w:r w:rsidRPr="00354519">
        <w:rPr>
          <w:rStyle w:val="FootnoteReference"/>
          <w:rFonts w:cstheme="minorHAnsi"/>
        </w:rPr>
        <w:footnoteRef/>
      </w:r>
      <w:r w:rsidRPr="00354519">
        <w:rPr>
          <w:rFonts w:cstheme="minorHAnsi"/>
        </w:rPr>
        <w:t xml:space="preserve"> Section 43, CFRN 1999 (as amended)</w:t>
      </w:r>
    </w:p>
  </w:footnote>
  <w:footnote w:id="12">
    <w:p w14:paraId="650BA3AB" w14:textId="77777777" w:rsidR="006D6A0C" w:rsidRPr="00354519" w:rsidRDefault="006D6A0C" w:rsidP="003304DC">
      <w:pPr>
        <w:pStyle w:val="FootnoteText"/>
        <w:rPr>
          <w:lang w:val="en-GB"/>
        </w:rPr>
      </w:pPr>
      <w:r w:rsidRPr="00354519">
        <w:rPr>
          <w:rStyle w:val="FootnoteReference"/>
        </w:rPr>
        <w:footnoteRef/>
      </w:r>
      <w:r w:rsidRPr="00354519">
        <w:t xml:space="preserve"> </w:t>
      </w:r>
      <w:r w:rsidRPr="00354519">
        <w:rPr>
          <w:lang w:val="en-GB"/>
        </w:rPr>
        <w:t xml:space="preserve">Section 6 of the Violence Against Persons (Prohibition) Act, 2015. </w:t>
      </w:r>
    </w:p>
  </w:footnote>
  <w:footnote w:id="13">
    <w:p w14:paraId="0A92D228" w14:textId="77777777" w:rsidR="006D6A0C" w:rsidRPr="00354519" w:rsidRDefault="006D6A0C" w:rsidP="003304DC">
      <w:pPr>
        <w:pStyle w:val="FootnoteText"/>
        <w:rPr>
          <w:lang w:val="en-GB"/>
        </w:rPr>
      </w:pPr>
      <w:r w:rsidRPr="00354519">
        <w:rPr>
          <w:rStyle w:val="FootnoteReference"/>
        </w:rPr>
        <w:footnoteRef/>
      </w:r>
      <w:r w:rsidRPr="00354519">
        <w:t xml:space="preserve"> </w:t>
      </w:r>
      <w:r w:rsidRPr="00354519">
        <w:rPr>
          <w:lang w:val="en-GB"/>
        </w:rPr>
        <w:t xml:space="preserve">Section 18 of the Child Rights Act. </w:t>
      </w:r>
    </w:p>
  </w:footnote>
  <w:footnote w:id="14">
    <w:p w14:paraId="3D9505C0" w14:textId="77777777" w:rsidR="006D6A0C" w:rsidRPr="00354519" w:rsidRDefault="006D6A0C">
      <w:pPr>
        <w:pStyle w:val="FootnoteText"/>
        <w:rPr>
          <w:lang w:val="en-GB"/>
        </w:rPr>
      </w:pPr>
      <w:r w:rsidRPr="00354519">
        <w:rPr>
          <w:rStyle w:val="FootnoteReference"/>
        </w:rPr>
        <w:footnoteRef/>
      </w:r>
      <w:r w:rsidRPr="00354519">
        <w:t xml:space="preserve"> Section S167(3) Administration of Criminal Justice Act; Section 118, Administration of Criminal Justice Law, (Lagos) Section 155 (3) Administration of Criminal Justice Law of Ondo State.</w:t>
      </w:r>
    </w:p>
  </w:footnote>
  <w:footnote w:id="15">
    <w:p w14:paraId="190A5997" w14:textId="77777777" w:rsidR="006D6A0C" w:rsidRPr="00354519" w:rsidRDefault="006D6A0C">
      <w:pPr>
        <w:pStyle w:val="FootnoteText"/>
      </w:pPr>
      <w:r w:rsidRPr="00354519">
        <w:rPr>
          <w:rStyle w:val="FootnoteReference"/>
        </w:rPr>
        <w:footnoteRef/>
      </w:r>
      <w:r w:rsidRPr="00354519">
        <w:t xml:space="preserve"> Sections 120-128 of the Police Regulations. </w:t>
      </w:r>
    </w:p>
  </w:footnote>
  <w:footnote w:id="16">
    <w:p w14:paraId="3D1BAA3B" w14:textId="77777777" w:rsidR="006D6A0C" w:rsidRPr="00354519" w:rsidRDefault="006D6A0C">
      <w:pPr>
        <w:pStyle w:val="FootnoteText"/>
      </w:pPr>
      <w:r w:rsidRPr="00354519">
        <w:rPr>
          <w:rStyle w:val="FootnoteReference"/>
        </w:rPr>
        <w:footnoteRef/>
      </w:r>
      <w:r w:rsidRPr="00354519">
        <w:t xml:space="preserve"> Section 123 of the Police Regulations.</w:t>
      </w:r>
    </w:p>
  </w:footnote>
  <w:footnote w:id="17">
    <w:p w14:paraId="695E71FF" w14:textId="77777777" w:rsidR="006D6A0C" w:rsidRPr="00354519" w:rsidRDefault="006D6A0C">
      <w:pPr>
        <w:pStyle w:val="FootnoteText"/>
      </w:pPr>
      <w:r w:rsidRPr="00354519">
        <w:rPr>
          <w:rStyle w:val="FootnoteReference"/>
        </w:rPr>
        <w:footnoteRef/>
      </w:r>
      <w:r w:rsidRPr="00354519">
        <w:t xml:space="preserve"> Section 12 of the Act. </w:t>
      </w:r>
    </w:p>
  </w:footnote>
  <w:footnote w:id="18">
    <w:p w14:paraId="6748384C" w14:textId="77777777" w:rsidR="006D6A0C" w:rsidRPr="00354519" w:rsidRDefault="006D6A0C">
      <w:pPr>
        <w:pStyle w:val="FootnoteText"/>
      </w:pPr>
      <w:r w:rsidRPr="00354519">
        <w:rPr>
          <w:rStyle w:val="FootnoteReference"/>
        </w:rPr>
        <w:footnoteRef/>
      </w:r>
      <w:r w:rsidRPr="00354519">
        <w:t xml:space="preserve"> Section 135 of the Police Act, 2020. </w:t>
      </w:r>
    </w:p>
  </w:footnote>
  <w:footnote w:id="19">
    <w:p w14:paraId="58A4B4B1" w14:textId="77777777" w:rsidR="006D6A0C" w:rsidRPr="00354519" w:rsidRDefault="006D6A0C">
      <w:pPr>
        <w:pStyle w:val="FootnoteText"/>
      </w:pPr>
      <w:r w:rsidRPr="00354519">
        <w:rPr>
          <w:rStyle w:val="FootnoteReference"/>
        </w:rPr>
        <w:footnoteRef/>
      </w:r>
      <w:r w:rsidRPr="00354519">
        <w:t xml:space="preserve"> See for instance, Ukeje v Ukeje (2014) SC; Mojekwu v Mojekwu (SC);  Mojekwu v Ejikeme (CA); Anekwe &amp; ors v Nweke 2014</w:t>
      </w:r>
    </w:p>
  </w:footnote>
  <w:footnote w:id="20">
    <w:p w14:paraId="41B4D885" w14:textId="77777777" w:rsidR="006D6A0C" w:rsidRPr="00354519" w:rsidRDefault="006D6A0C">
      <w:pPr>
        <w:pStyle w:val="FootnoteText"/>
      </w:pPr>
      <w:r w:rsidRPr="00354519">
        <w:rPr>
          <w:rStyle w:val="FootnoteReference"/>
        </w:rPr>
        <w:footnoteRef/>
      </w:r>
      <w:r w:rsidRPr="00354519">
        <w:t xml:space="preserve"> Dr. (Mrs.) Priye Iyalla-Amadi v the Nigerian Immigration Service (NIS)</w:t>
      </w:r>
    </w:p>
  </w:footnote>
  <w:footnote w:id="21">
    <w:p w14:paraId="51E34793" w14:textId="77777777" w:rsidR="006D6A0C" w:rsidRPr="00354519" w:rsidRDefault="006D6A0C">
      <w:pPr>
        <w:pStyle w:val="FootnoteText"/>
      </w:pPr>
      <w:r w:rsidRPr="00354519">
        <w:rPr>
          <w:rStyle w:val="FootnoteReference"/>
        </w:rPr>
        <w:footnoteRef/>
      </w:r>
      <w:r w:rsidRPr="00354519">
        <w:t xml:space="preserve"> Yetunde Tolani v Kwara State Judicial Service Commission and ors</w:t>
      </w:r>
    </w:p>
  </w:footnote>
  <w:footnote w:id="22">
    <w:p w14:paraId="173DA367" w14:textId="77777777" w:rsidR="006D6A0C" w:rsidRPr="00354519" w:rsidRDefault="006D6A0C" w:rsidP="00917D85">
      <w:pPr>
        <w:pStyle w:val="FootnoteText"/>
      </w:pPr>
      <w:r w:rsidRPr="00354519">
        <w:rPr>
          <w:rStyle w:val="FootnoteReference"/>
        </w:rPr>
        <w:footnoteRef/>
      </w:r>
      <w:r w:rsidRPr="00354519">
        <w:t xml:space="preserve"> </w:t>
      </w:r>
      <w:r>
        <w:t xml:space="preserve">Section 55 of the Penal Code. </w:t>
      </w:r>
    </w:p>
  </w:footnote>
  <w:footnote w:id="23">
    <w:p w14:paraId="32B26775" w14:textId="77777777" w:rsidR="006D6A0C" w:rsidRPr="00354519" w:rsidRDefault="006D6A0C" w:rsidP="00947179">
      <w:pPr>
        <w:pStyle w:val="FootnoteText"/>
        <w:jc w:val="both"/>
        <w:rPr>
          <w:rFonts w:cstheme="minorHAnsi"/>
        </w:rPr>
      </w:pPr>
      <w:r w:rsidRPr="00354519">
        <w:rPr>
          <w:rStyle w:val="FootnoteReference"/>
          <w:rFonts w:cstheme="minorHAnsi"/>
        </w:rPr>
        <w:footnoteRef/>
      </w:r>
      <w:r w:rsidRPr="00354519">
        <w:rPr>
          <w:rFonts w:cstheme="minorHAnsi"/>
        </w:rPr>
        <w:t xml:space="preserve"> Section 55 (1) (d), Penal Code Act</w:t>
      </w:r>
    </w:p>
  </w:footnote>
  <w:footnote w:id="24">
    <w:p w14:paraId="0137C076" w14:textId="77777777" w:rsidR="006D6A0C" w:rsidRPr="00354519" w:rsidRDefault="006D6A0C">
      <w:pPr>
        <w:pStyle w:val="FootnoteText"/>
      </w:pPr>
      <w:r w:rsidRPr="00354519">
        <w:rPr>
          <w:rStyle w:val="FootnoteReference"/>
        </w:rPr>
        <w:footnoteRef/>
      </w:r>
      <w:r w:rsidRPr="00354519">
        <w:t xml:space="preserve"> (UNICEF, 2020).</w:t>
      </w:r>
    </w:p>
  </w:footnote>
  <w:footnote w:id="25">
    <w:p w14:paraId="52DF10E2" w14:textId="77777777" w:rsidR="006D6A0C" w:rsidRPr="00354519" w:rsidRDefault="006D6A0C">
      <w:pPr>
        <w:pStyle w:val="FootnoteText"/>
      </w:pPr>
      <w:r w:rsidRPr="00354519">
        <w:rPr>
          <w:rStyle w:val="FootnoteReference"/>
        </w:rPr>
        <w:footnoteRef/>
      </w:r>
      <w:r w:rsidRPr="00354519">
        <w:t xml:space="preserve"> The Constitution, Section 29(4)(b).</w:t>
      </w:r>
    </w:p>
  </w:footnote>
  <w:footnote w:id="26">
    <w:p w14:paraId="529799C6" w14:textId="77777777" w:rsidR="006D6A0C" w:rsidRPr="00354519" w:rsidRDefault="006D6A0C">
      <w:pPr>
        <w:pStyle w:val="FootnoteText"/>
      </w:pPr>
      <w:r w:rsidRPr="00354519">
        <w:rPr>
          <w:rStyle w:val="FootnoteReference"/>
        </w:rPr>
        <w:footnoteRef/>
      </w:r>
      <w:r w:rsidRPr="00354519">
        <w:t xml:space="preserve"> UNICEF, Technical Note on Gender Norms, 2020, online: &lt;</w:t>
      </w:r>
      <w:hyperlink r:id="rId5" w:history="1">
        <w:r w:rsidRPr="00354519">
          <w:rPr>
            <w:rStyle w:val="Hyperlink"/>
          </w:rPr>
          <w:t>GP-2020-Technical-Note-Gender-Norms.pdf (unicef.org)</w:t>
        </w:r>
      </w:hyperlink>
      <w:r w:rsidRPr="00354519">
        <w:t>&gt;</w:t>
      </w:r>
    </w:p>
  </w:footnote>
  <w:footnote w:id="27">
    <w:p w14:paraId="1CF326E9" w14:textId="77777777" w:rsidR="006D6A0C" w:rsidRPr="00354519" w:rsidRDefault="006D6A0C" w:rsidP="00A01CD3">
      <w:pPr>
        <w:pStyle w:val="FootnoteText"/>
      </w:pPr>
      <w:r w:rsidRPr="00354519">
        <w:rPr>
          <w:rStyle w:val="FootnoteReference"/>
        </w:rPr>
        <w:footnoteRef/>
      </w:r>
      <w:r w:rsidRPr="00354519">
        <w:t xml:space="preserve"> H Keleher, L. Franklin, “Changing Gendered Norms about Women and Girls at the Level of Household and Community: A Review of the Evidence” (2008) 3 (S1) Glob Public Health 42–57; Chinelo Okigbo, “Gender Norms and Modern Contraceptive Use in Urban Nigeria: A Multilevel Longitudinal Study” (2018) 18:178 BMC Women's Health, online: &lt;</w:t>
      </w:r>
      <w:hyperlink r:id="rId6" w:history="1">
        <w:r w:rsidRPr="00354519">
          <w:rPr>
            <w:rStyle w:val="Hyperlink"/>
          </w:rPr>
          <w:t>Gender norms and modern contraceptive use in urban Nigeria: a multilevel longitudinal study | BMC Women's Health | Full Text (biomedcentral.com)</w:t>
        </w:r>
      </w:hyperlink>
      <w:r w:rsidRPr="00354519">
        <w:t>&gt;</w:t>
      </w:r>
    </w:p>
  </w:footnote>
  <w:footnote w:id="28">
    <w:p w14:paraId="3728744A" w14:textId="77777777" w:rsidR="006D6A0C" w:rsidRPr="00354519" w:rsidRDefault="006D6A0C">
      <w:pPr>
        <w:pStyle w:val="FootnoteText"/>
      </w:pPr>
      <w:r w:rsidRPr="00354519">
        <w:rPr>
          <w:rStyle w:val="FootnoteReference"/>
        </w:rPr>
        <w:footnoteRef/>
      </w:r>
      <w:r w:rsidRPr="00354519">
        <w:t xml:space="preserve"> BBC, </w:t>
      </w:r>
      <w:hyperlink r:id="rId7" w:history="1">
        <w:r w:rsidRPr="00354519">
          <w:rPr>
            <w:rStyle w:val="Hyperlink"/>
          </w:rPr>
          <w:t>Nigeria anger as Gender and Equal Opportunity Bill fails - BBC News</w:t>
        </w:r>
      </w:hyperlink>
      <w:r w:rsidRPr="00354519">
        <w:t xml:space="preserve"> (16 March 2016)</w:t>
      </w:r>
    </w:p>
  </w:footnote>
  <w:footnote w:id="29">
    <w:p w14:paraId="260204D7" w14:textId="77777777" w:rsidR="006D6A0C" w:rsidRPr="00354519" w:rsidRDefault="006D6A0C" w:rsidP="00F658CA">
      <w:pPr>
        <w:pStyle w:val="FootnoteText"/>
      </w:pPr>
      <w:r w:rsidRPr="00354519">
        <w:rPr>
          <w:rStyle w:val="FootnoteReference"/>
        </w:rPr>
        <w:footnoteRef/>
      </w:r>
      <w:r w:rsidRPr="00354519">
        <w:t xml:space="preserve"> See Onyeka C Okongwu, “Are laws the Appropriate Solution: The Need to Adopt Non-Policy Measures in Aid of the Implementation of Sex Discrimination Laws in Nigeria” (2020) 2:1 International Journal of Discrimination and the Law 26. </w:t>
      </w:r>
    </w:p>
  </w:footnote>
  <w:footnote w:id="30">
    <w:p w14:paraId="36806A4C" w14:textId="77777777" w:rsidR="006D6A0C" w:rsidRPr="00354519" w:rsidRDefault="006D6A0C" w:rsidP="00681F77">
      <w:pPr>
        <w:pStyle w:val="FootnoteText"/>
      </w:pPr>
      <w:r w:rsidRPr="00354519">
        <w:rPr>
          <w:rStyle w:val="FootnoteReference"/>
        </w:rPr>
        <w:footnoteRef/>
      </w:r>
      <w:r w:rsidRPr="00354519">
        <w:t xml:space="preserve"> UNICEF (supra)</w:t>
      </w:r>
    </w:p>
  </w:footnote>
  <w:footnote w:id="31">
    <w:p w14:paraId="777AB64E" w14:textId="77777777" w:rsidR="006D6A0C" w:rsidRPr="00354519" w:rsidRDefault="006D6A0C" w:rsidP="00E75191">
      <w:pPr>
        <w:pStyle w:val="FootnoteText"/>
      </w:pPr>
      <w:r w:rsidRPr="00354519">
        <w:rPr>
          <w:rStyle w:val="FootnoteReference"/>
        </w:rPr>
        <w:footnoteRef/>
      </w:r>
      <w:r w:rsidRPr="00354519">
        <w:t xml:space="preserve"> Inter-Parliamentary Union and UN Women, Women in Politics, 2021, online: &lt;IPU_WomenInPolitics_MAY2021_EN_LR_0&gt;</w:t>
      </w:r>
    </w:p>
  </w:footnote>
  <w:footnote w:id="32">
    <w:p w14:paraId="39B0C03A" w14:textId="77777777" w:rsidR="006D6A0C" w:rsidRPr="00354519" w:rsidRDefault="006D6A0C" w:rsidP="00E75191">
      <w:pPr>
        <w:pStyle w:val="FootnoteText"/>
      </w:pPr>
      <w:r w:rsidRPr="00354519">
        <w:rPr>
          <w:rStyle w:val="FootnoteReference"/>
        </w:rPr>
        <w:footnoteRef/>
      </w:r>
      <w:r w:rsidRPr="00354519">
        <w:t xml:space="preserve"> Ibid. </w:t>
      </w:r>
    </w:p>
  </w:footnote>
  <w:footnote w:id="33">
    <w:p w14:paraId="4CCB4E81" w14:textId="77777777" w:rsidR="006D6A0C" w:rsidRPr="00354519" w:rsidRDefault="006D6A0C" w:rsidP="00E75191">
      <w:pPr>
        <w:pStyle w:val="FootnoteText"/>
      </w:pPr>
      <w:r w:rsidRPr="00354519">
        <w:rPr>
          <w:rStyle w:val="FootnoteReference"/>
        </w:rPr>
        <w:footnoteRef/>
      </w:r>
      <w:r w:rsidRPr="00354519">
        <w:t xml:space="preserve"> Cited in Federal Ministry of Women Affairs and Social Development: Federal Republic of Nigeria: National Beijing +25 Review, 2019, online: </w:t>
      </w:r>
      <w:hyperlink r:id="rId8" w:history="1">
        <w:r w:rsidRPr="00354519">
          <w:rPr>
            <w:rStyle w:val="Hyperlink"/>
          </w:rPr>
          <w:t>nigeria-beijing25_report.pdf (uneca.org)</w:t>
        </w:r>
      </w:hyperlink>
    </w:p>
  </w:footnote>
  <w:footnote w:id="34">
    <w:p w14:paraId="2E8F981C" w14:textId="77777777" w:rsidR="006D6A0C" w:rsidRPr="00354519" w:rsidRDefault="006D6A0C">
      <w:pPr>
        <w:pStyle w:val="FootnoteText"/>
      </w:pPr>
      <w:r w:rsidRPr="00354519">
        <w:rPr>
          <w:rStyle w:val="FootnoteReference"/>
        </w:rPr>
        <w:footnoteRef/>
      </w:r>
      <w:r w:rsidRPr="00354519">
        <w:t xml:space="preserve"> Guardian Nigeria 2019. High cost of nomination forms is the reason Nigerian women will remain #2 in Politics https://guardian.ng/features/high-cost-of-nomination-forms-is-the-reason-nigerian-women-will-remain-2-in-politics/</w:t>
      </w:r>
    </w:p>
  </w:footnote>
  <w:footnote w:id="35">
    <w:p w14:paraId="55CB3D91" w14:textId="77777777" w:rsidR="006D6A0C" w:rsidRPr="00354519" w:rsidRDefault="006D6A0C">
      <w:pPr>
        <w:pStyle w:val="FootnoteText"/>
      </w:pPr>
      <w:r w:rsidRPr="00354519">
        <w:rPr>
          <w:rStyle w:val="FootnoteReference"/>
        </w:rPr>
        <w:footnoteRef/>
      </w:r>
      <w:r w:rsidRPr="00354519">
        <w:t xml:space="preserve"> Adebowale Olorunmola COST OF POLITICS IN NIGERIA https://www.wfd.org/wp-content/uploads/2017/09/Cost-of-Politics-Nigeria.pdf</w:t>
      </w:r>
    </w:p>
  </w:footnote>
  <w:footnote w:id="36">
    <w:p w14:paraId="7105C3E2" w14:textId="77777777" w:rsidR="006D6A0C" w:rsidRPr="00354519" w:rsidRDefault="006D6A0C">
      <w:pPr>
        <w:pStyle w:val="FootnoteText"/>
      </w:pPr>
      <w:r w:rsidRPr="00354519">
        <w:rPr>
          <w:rStyle w:val="FootnoteReference"/>
        </w:rPr>
        <w:footnoteRef/>
      </w:r>
      <w:r w:rsidRPr="00354519">
        <w:t xml:space="preserve"> “Nigeria has Few Women in Politics: Here’s Why, and What to Do About It”</w:t>
      </w:r>
    </w:p>
  </w:footnote>
  <w:footnote w:id="37">
    <w:p w14:paraId="053897A3" w14:textId="77777777" w:rsidR="006D6A0C" w:rsidRPr="00354519" w:rsidRDefault="006D6A0C">
      <w:pPr>
        <w:pStyle w:val="FootnoteText"/>
      </w:pPr>
      <w:r w:rsidRPr="00354519">
        <w:rPr>
          <w:rStyle w:val="FootnoteReference"/>
        </w:rPr>
        <w:footnoteRef/>
      </w:r>
      <w:r w:rsidRPr="00354519">
        <w:t xml:space="preserve"> World Poverty Clock, </w:t>
      </w:r>
      <w:hyperlink r:id="rId9" w:history="1">
        <w:r w:rsidRPr="00354519">
          <w:rPr>
            <w:rStyle w:val="Hyperlink"/>
          </w:rPr>
          <w:t>Nigeria: Poverty Capital of The World — endPoverty</w:t>
        </w:r>
      </w:hyperlink>
      <w:r w:rsidRPr="00354519">
        <w:t xml:space="preserve">, 2018 (accessed July 15, 2021). </w:t>
      </w:r>
    </w:p>
  </w:footnote>
  <w:footnote w:id="38">
    <w:p w14:paraId="671DF64B" w14:textId="77777777" w:rsidR="006D6A0C" w:rsidRPr="00354519" w:rsidRDefault="006D6A0C">
      <w:pPr>
        <w:pStyle w:val="FootnoteText"/>
      </w:pPr>
      <w:r w:rsidRPr="00354519">
        <w:rPr>
          <w:rStyle w:val="FootnoteReference"/>
        </w:rPr>
        <w:footnoteRef/>
      </w:r>
      <w:r w:rsidRPr="00354519">
        <w:t xml:space="preserve"> World Bank, </w:t>
      </w:r>
      <w:hyperlink r:id="rId10" w:history="1">
        <w:r w:rsidRPr="00354519">
          <w:rPr>
            <w:rStyle w:val="Hyperlink"/>
          </w:rPr>
          <w:t>African countries show mixed progress towards poverty reduction and half of them have an extreme poverty rate above 35% (worldbank.org)</w:t>
        </w:r>
      </w:hyperlink>
      <w:r w:rsidRPr="00354519">
        <w:t xml:space="preserve"> (accessed</w:t>
      </w:r>
    </w:p>
  </w:footnote>
  <w:footnote w:id="39">
    <w:p w14:paraId="037E904A" w14:textId="77777777" w:rsidR="006D6A0C" w:rsidRPr="00354519" w:rsidRDefault="006D6A0C">
      <w:pPr>
        <w:pStyle w:val="FootnoteText"/>
      </w:pPr>
      <w:r w:rsidRPr="00354519">
        <w:rPr>
          <w:rStyle w:val="FootnoteReference"/>
        </w:rPr>
        <w:footnoteRef/>
      </w:r>
      <w:r w:rsidRPr="00354519">
        <w:t xml:space="preserve"> accessed </w:t>
      </w:r>
    </w:p>
  </w:footnote>
  <w:footnote w:id="40">
    <w:p w14:paraId="29720FB8" w14:textId="77777777" w:rsidR="006D6A0C" w:rsidRPr="00354519" w:rsidRDefault="006D6A0C">
      <w:pPr>
        <w:pStyle w:val="FootnoteText"/>
      </w:pPr>
      <w:r w:rsidRPr="00354519">
        <w:rPr>
          <w:rStyle w:val="FootnoteReference"/>
        </w:rPr>
        <w:footnoteRef/>
      </w:r>
      <w:r w:rsidRPr="00354519">
        <w:t xml:space="preserve"> Nigeria Bureau of Statistics, 2020.</w:t>
      </w:r>
    </w:p>
  </w:footnote>
  <w:footnote w:id="41">
    <w:p w14:paraId="17D1DF76" w14:textId="77777777" w:rsidR="006D6A0C" w:rsidRPr="00354519" w:rsidRDefault="006D6A0C" w:rsidP="00704727">
      <w:pPr>
        <w:pStyle w:val="FootnoteText"/>
      </w:pPr>
      <w:r w:rsidRPr="00354519">
        <w:rPr>
          <w:rStyle w:val="FootnoteReference"/>
        </w:rPr>
        <w:footnoteRef/>
      </w:r>
      <w:r w:rsidRPr="00354519">
        <w:t xml:space="preserve"> World Bank, Multidimensional Poverty Measure (2021).</w:t>
      </w:r>
    </w:p>
  </w:footnote>
  <w:footnote w:id="42">
    <w:p w14:paraId="69766EA2" w14:textId="77777777" w:rsidR="006D6A0C" w:rsidRPr="00354519" w:rsidRDefault="006D6A0C">
      <w:pPr>
        <w:pStyle w:val="FootnoteText"/>
      </w:pPr>
      <w:r w:rsidRPr="00354519">
        <w:rPr>
          <w:rStyle w:val="FootnoteReference"/>
        </w:rPr>
        <w:footnoteRef/>
      </w:r>
      <w:r w:rsidRPr="00354519">
        <w:t xml:space="preserve"> Andam, K., Edeh, H., Oboh, V., Pauw, K., &amp; Thurlow, J. (2020). Impacts of COVID-19 on food systems and poverty in Nigeria. Advances in Food Security and Sustainability, 5, 145–173. https://doi.org/10.1016/bs.af2s.2020.09.002</w:t>
      </w:r>
    </w:p>
  </w:footnote>
  <w:footnote w:id="43">
    <w:p w14:paraId="7F7F229A" w14:textId="77777777" w:rsidR="006D6A0C" w:rsidRPr="00354519" w:rsidRDefault="006D6A0C">
      <w:pPr>
        <w:pStyle w:val="FootnoteText"/>
      </w:pPr>
      <w:r w:rsidRPr="00354519">
        <w:rPr>
          <w:rStyle w:val="FootnoteReference"/>
        </w:rPr>
        <w:footnoteRef/>
      </w:r>
      <w:r w:rsidRPr="00354519">
        <w:t xml:space="preserve"> Jonathan Lain and Tara Vishwanath, “Tackling Poverty in Multiple Dimensions: A Proving Ground in Nigeria” (2021) &lt;https://blogs.worldbank.org/opendata/tackling-poverty-multiple-dimesions-provimg-ground-nigeria&gt; accessed 9 July 2021.</w:t>
      </w:r>
    </w:p>
  </w:footnote>
  <w:footnote w:id="44">
    <w:p w14:paraId="4B5F6169" w14:textId="77777777" w:rsidR="006D6A0C" w:rsidRPr="00354519" w:rsidRDefault="006D6A0C" w:rsidP="00C54A47">
      <w:pPr>
        <w:pStyle w:val="FootnoteText"/>
      </w:pPr>
      <w:r w:rsidRPr="00354519">
        <w:rPr>
          <w:rStyle w:val="FootnoteReference"/>
        </w:rPr>
        <w:footnoteRef/>
      </w:r>
      <w:r w:rsidRPr="00354519">
        <w:t xml:space="preserve"> Sue Enfield, K4D: Gender Roles and Inequalities in the Nigerian Labour Market (2019)</w:t>
      </w:r>
    </w:p>
  </w:footnote>
  <w:footnote w:id="45">
    <w:p w14:paraId="2528CF8A" w14:textId="77777777" w:rsidR="006D6A0C" w:rsidRPr="00354519" w:rsidRDefault="006D6A0C">
      <w:pPr>
        <w:pStyle w:val="FootnoteText"/>
      </w:pPr>
      <w:r w:rsidRPr="00354519">
        <w:rPr>
          <w:rStyle w:val="FootnoteReference"/>
        </w:rPr>
        <w:footnoteRef/>
      </w:r>
      <w:r w:rsidRPr="00354519">
        <w:t xml:space="preserve"> Benjamin Mazzotta and Amolo Ng'weno, “The Glass Ceiling, Even At Home: How a Report on Poverty in Nigeria Reveals an Enduring Gender Gap in Household Headship,” online: &lt;</w:t>
      </w:r>
      <w:hyperlink r:id="rId11" w:history="1">
        <w:r w:rsidRPr="00354519">
          <w:rPr>
            <w:rStyle w:val="Hyperlink"/>
          </w:rPr>
          <w:t>The enduring gender gap in Nigerian household headship (bfaglobal.com)</w:t>
        </w:r>
      </w:hyperlink>
      <w:r w:rsidRPr="00354519">
        <w:t>&gt;</w:t>
      </w:r>
    </w:p>
  </w:footnote>
  <w:footnote w:id="46">
    <w:p w14:paraId="29AEA52B" w14:textId="77777777" w:rsidR="006D6A0C" w:rsidRPr="00354519" w:rsidRDefault="006D6A0C">
      <w:pPr>
        <w:pStyle w:val="FootnoteText"/>
      </w:pPr>
      <w:r w:rsidRPr="00354519">
        <w:rPr>
          <w:rStyle w:val="FootnoteReference"/>
        </w:rPr>
        <w:footnoteRef/>
      </w:r>
      <w:r w:rsidRPr="00354519">
        <w:t xml:space="preserve"> EFINA, </w:t>
      </w:r>
      <w:r w:rsidRPr="00354519">
        <w:rPr>
          <w:i/>
        </w:rPr>
        <w:t>Assessment of Women’s Financial Inclusion in Nigeria</w:t>
      </w:r>
      <w:r w:rsidRPr="00354519">
        <w:t>, 2019.</w:t>
      </w:r>
    </w:p>
  </w:footnote>
  <w:footnote w:id="47">
    <w:p w14:paraId="2C0339C4" w14:textId="77777777" w:rsidR="006D6A0C" w:rsidRPr="00354519" w:rsidRDefault="006D6A0C">
      <w:pPr>
        <w:pStyle w:val="FootnoteText"/>
      </w:pPr>
      <w:r w:rsidRPr="00354519">
        <w:rPr>
          <w:rStyle w:val="FootnoteReference"/>
        </w:rPr>
        <w:footnoteRef/>
      </w:r>
      <w:r w:rsidRPr="00354519">
        <w:t xml:space="preserve"> </w:t>
      </w:r>
      <w:r w:rsidRPr="00354519">
        <w:rPr>
          <w:rFonts w:eastAsia="Times New Roman" w:cs="Times New Roman"/>
        </w:rPr>
        <w:t>Oluyemi Adeosun et al, Gender Inequality: Determinants and Outcomes in Nigeria, (2021) 1(1) Journal of Business and Socioeconomic Development 1.</w:t>
      </w:r>
    </w:p>
  </w:footnote>
  <w:footnote w:id="48">
    <w:p w14:paraId="12CBD133" w14:textId="77777777" w:rsidR="006D6A0C" w:rsidRPr="00354519" w:rsidRDefault="006D6A0C">
      <w:pPr>
        <w:pStyle w:val="FootnoteText"/>
      </w:pPr>
      <w:r w:rsidRPr="00354519">
        <w:rPr>
          <w:rStyle w:val="FootnoteReference"/>
        </w:rPr>
        <w:footnoteRef/>
      </w:r>
      <w:r w:rsidRPr="00354519">
        <w:t xml:space="preserve"> </w:t>
      </w:r>
      <w:r w:rsidRPr="00354519">
        <w:rPr>
          <w:rFonts w:eastAsia="Times New Roman" w:cs="Times New Roman"/>
        </w:rPr>
        <w:t>Adebimpe Adenugba et al, Wage Differentials and Discrimination against Women in Informal Construction Sites: A Study in Ibadan, Nigeria, (2019) 15(1) The Nigerian Journal of Sociology and Anthropology 1.</w:t>
      </w:r>
    </w:p>
  </w:footnote>
  <w:footnote w:id="49">
    <w:p w14:paraId="30253F76" w14:textId="77777777" w:rsidR="006D6A0C" w:rsidRPr="00354519" w:rsidRDefault="006D6A0C">
      <w:pPr>
        <w:pStyle w:val="FootnoteText"/>
      </w:pPr>
      <w:r w:rsidRPr="00354519">
        <w:rPr>
          <w:rStyle w:val="FootnoteReference"/>
        </w:rPr>
        <w:footnoteRef/>
      </w:r>
      <w:r w:rsidRPr="00354519">
        <w:t xml:space="preserve"> </w:t>
      </w:r>
      <w:r w:rsidRPr="00354519">
        <w:rPr>
          <w:rFonts w:eastAsia="Times New Roman" w:cs="Times New Roman"/>
        </w:rPr>
        <w:t>Solomon Olakojo, Gender Gap in Agricultural Productivity in Nigeria: A Commodity Level Analysis (2017) 64(2) Economics of Agriculture 422.</w:t>
      </w:r>
    </w:p>
  </w:footnote>
  <w:footnote w:id="50">
    <w:p w14:paraId="2000529C" w14:textId="77777777" w:rsidR="006D6A0C" w:rsidRPr="00354519" w:rsidRDefault="006D6A0C">
      <w:pPr>
        <w:pStyle w:val="FootnoteText"/>
      </w:pPr>
      <w:r w:rsidRPr="00354519">
        <w:rPr>
          <w:rStyle w:val="FootnoteReference"/>
        </w:rPr>
        <w:footnoteRef/>
      </w:r>
      <w:r w:rsidRPr="00354519">
        <w:t xml:space="preserve"> </w:t>
      </w:r>
      <w:r w:rsidRPr="00354519">
        <w:rPr>
          <w:rFonts w:eastAsia="Times New Roman" w:cs="Times New Roman"/>
        </w:rPr>
        <w:t>Vivian Ugwuja et al, Gender Analysis of Micro-Loan Sizes Accessed by Small Scale Agro-Entrepreneurs in the Niger Delta Region of Nigeria (2018) 10(1) Journal of Development and Agricultural Economics 20.</w:t>
      </w:r>
    </w:p>
  </w:footnote>
  <w:footnote w:id="51">
    <w:p w14:paraId="476DDBC0" w14:textId="77777777" w:rsidR="006D6A0C" w:rsidRPr="00354519" w:rsidRDefault="006D6A0C">
      <w:pPr>
        <w:pStyle w:val="FootnoteText"/>
      </w:pPr>
      <w:r w:rsidRPr="00354519">
        <w:rPr>
          <w:rStyle w:val="FootnoteReference"/>
        </w:rPr>
        <w:footnoteRef/>
      </w:r>
      <w:r w:rsidRPr="00354519">
        <w:t xml:space="preserve"> </w:t>
      </w:r>
      <w:r w:rsidRPr="00354519">
        <w:rPr>
          <w:rFonts w:eastAsia="Times New Roman" w:cs="Times New Roman"/>
        </w:rPr>
        <w:t>Sanni Yaya et al, Gender Inequity as a Barrier to Women’s Access to Skilled Pregnancy Care in Rural Nigeria: A Qualitative Study (2019) International Health 551.</w:t>
      </w:r>
    </w:p>
  </w:footnote>
  <w:footnote w:id="52">
    <w:p w14:paraId="5C942D9D" w14:textId="77777777" w:rsidR="006D6A0C" w:rsidRPr="00354519" w:rsidRDefault="006D6A0C">
      <w:pPr>
        <w:pStyle w:val="FootnoteText"/>
      </w:pPr>
      <w:r w:rsidRPr="00354519">
        <w:rPr>
          <w:rStyle w:val="FootnoteReference"/>
        </w:rPr>
        <w:footnoteRef/>
      </w:r>
      <w:r w:rsidRPr="00354519">
        <w:t xml:space="preserve"> </w:t>
      </w:r>
      <w:r w:rsidRPr="00354519">
        <w:rPr>
          <w:rFonts w:eastAsia="Times New Roman" w:cs="Times New Roman"/>
        </w:rPr>
        <w:t>Chijioke Nwosu et al, Socioeconomic Inequalities in Maternal Health Service Utilisation: A Case of Antenatal Care in Nigeria using a Decomposition Approach (2019) 19 BMC Public Health 1493.</w:t>
      </w:r>
    </w:p>
  </w:footnote>
  <w:footnote w:id="53">
    <w:p w14:paraId="3BA6CA36" w14:textId="77777777" w:rsidR="006D6A0C" w:rsidRPr="00354519" w:rsidRDefault="006D6A0C">
      <w:pPr>
        <w:pStyle w:val="FootnoteText"/>
      </w:pPr>
      <w:r w:rsidRPr="00354519">
        <w:rPr>
          <w:rStyle w:val="FootnoteReference"/>
        </w:rPr>
        <w:footnoteRef/>
      </w:r>
      <w:r w:rsidRPr="00354519">
        <w:t xml:space="preserve"> </w:t>
      </w:r>
      <w:r w:rsidRPr="00354519">
        <w:rPr>
          <w:rFonts w:eastAsia="Times New Roman" w:cs="Times New Roman"/>
        </w:rPr>
        <w:t>Boniface Ushie et al, Examining Inequalities in Access to Delivery by Caesarean Section in Nigeria (2019) PLoS ONE 14(8): e0221778. https://doi.org/10.1371/journal.pone.0221778; See also Anthony Ajayi, Inequalities in Access to Birth by Caesarean Section in the Context of User Fee Exemption for Maternal Health Services in Southwest and North Central Nigeria (2020) International Health 1.</w:t>
      </w:r>
    </w:p>
  </w:footnote>
  <w:footnote w:id="54">
    <w:p w14:paraId="08A83BDC" w14:textId="77777777" w:rsidR="006D6A0C" w:rsidRPr="00354519" w:rsidRDefault="006D6A0C">
      <w:pPr>
        <w:pStyle w:val="FootnoteText"/>
      </w:pPr>
      <w:r w:rsidRPr="00354519">
        <w:rPr>
          <w:rStyle w:val="FootnoteReference"/>
        </w:rPr>
        <w:footnoteRef/>
      </w:r>
      <w:r w:rsidRPr="00354519">
        <w:t xml:space="preserve"> </w:t>
      </w:r>
      <w:r w:rsidRPr="00354519">
        <w:rPr>
          <w:rFonts w:eastAsia="Times New Roman" w:cs="Times New Roman"/>
        </w:rPr>
        <w:t>Abraham Falola et al, Rural Women in Kwara State (Nigeria) and their Contributions to Rural Women in Kwara State (Nigeria) and their Contributions to the Welfare of their Households the Welfare of their Households, (2020) 21(6) Journal of International Women's Studies 167.</w:t>
      </w:r>
      <w:r w:rsidRPr="00354519">
        <w:rPr>
          <w:rFonts w:eastAsia="Times New Roman"/>
        </w:rPr>
        <w:t xml:space="preserve"> </w:t>
      </w:r>
    </w:p>
  </w:footnote>
  <w:footnote w:id="55">
    <w:p w14:paraId="390D09EA" w14:textId="77777777" w:rsidR="006D6A0C" w:rsidRPr="00354519" w:rsidRDefault="006D6A0C">
      <w:pPr>
        <w:pStyle w:val="FootnoteText"/>
      </w:pPr>
      <w:r w:rsidRPr="00354519">
        <w:rPr>
          <w:rStyle w:val="FootnoteReference"/>
        </w:rPr>
        <w:footnoteRef/>
      </w:r>
      <w:r w:rsidRPr="00354519">
        <w:t xml:space="preserve"> EFINA, </w:t>
      </w:r>
      <w:r w:rsidRPr="00354519">
        <w:rPr>
          <w:i/>
        </w:rPr>
        <w:t>Assessment of Women’s Financial Inclusion in Nigeria</w:t>
      </w:r>
      <w:r w:rsidRPr="00354519">
        <w:t xml:space="preserve">, 2019.  </w:t>
      </w:r>
    </w:p>
  </w:footnote>
  <w:footnote w:id="56">
    <w:p w14:paraId="4442292E" w14:textId="77777777" w:rsidR="006D6A0C" w:rsidRPr="00354519" w:rsidRDefault="006D6A0C">
      <w:pPr>
        <w:pStyle w:val="FootnoteText"/>
      </w:pPr>
      <w:r w:rsidRPr="00354519">
        <w:rPr>
          <w:rStyle w:val="FootnoteReference"/>
        </w:rPr>
        <w:footnoteRef/>
      </w:r>
      <w:r w:rsidRPr="00354519">
        <w:t xml:space="preserve"> Ibid. </w:t>
      </w:r>
    </w:p>
  </w:footnote>
  <w:footnote w:id="57">
    <w:p w14:paraId="39329504" w14:textId="77777777" w:rsidR="006D6A0C" w:rsidRPr="00354519" w:rsidRDefault="006D6A0C">
      <w:pPr>
        <w:pStyle w:val="FootnoteText"/>
        <w:rPr>
          <w:lang w:val="en-GB"/>
        </w:rPr>
      </w:pPr>
      <w:r w:rsidRPr="00354519">
        <w:rPr>
          <w:rStyle w:val="FootnoteReference"/>
        </w:rPr>
        <w:footnoteRef/>
      </w:r>
      <w:r w:rsidRPr="00354519">
        <w:t>World Bank, More, and More Productive, Jobs for Nigeria, 2015, online:&lt;</w:t>
      </w:r>
      <w:hyperlink r:id="rId12" w:history="1">
        <w:r w:rsidRPr="00354519">
          <w:rPr>
            <w:rStyle w:val="Hyperlink"/>
          </w:rPr>
          <w:t>World Bank Document</w:t>
        </w:r>
      </w:hyperlink>
      <w:r w:rsidRPr="00354519">
        <w:t>&gt;</w:t>
      </w:r>
    </w:p>
  </w:footnote>
  <w:footnote w:id="58">
    <w:p w14:paraId="648B82FB" w14:textId="77777777" w:rsidR="006D6A0C" w:rsidRPr="00354519" w:rsidRDefault="006D6A0C">
      <w:pPr>
        <w:pStyle w:val="FootnoteText"/>
      </w:pPr>
      <w:r w:rsidRPr="00354519">
        <w:rPr>
          <w:rStyle w:val="FootnoteReference"/>
        </w:rPr>
        <w:footnoteRef/>
      </w:r>
      <w:r w:rsidRPr="00354519">
        <w:t xml:space="preserve"> https://www.proshareng.com/news/Nigeria%20Economy/Nigeria-s-Unemployment-Rate-Grows-By-27./52786</w:t>
      </w:r>
    </w:p>
  </w:footnote>
  <w:footnote w:id="59">
    <w:p w14:paraId="572CD0CB" w14:textId="77777777" w:rsidR="006D6A0C" w:rsidRPr="00354519" w:rsidRDefault="006D6A0C">
      <w:pPr>
        <w:pStyle w:val="FootnoteText"/>
      </w:pPr>
      <w:r w:rsidRPr="00354519">
        <w:rPr>
          <w:rStyle w:val="FootnoteReference"/>
        </w:rPr>
        <w:footnoteRef/>
      </w:r>
      <w:r w:rsidRPr="00354519">
        <w:t xml:space="preserve"> Nigerian National Bureau of Statistics, Unemployment Report Quarter 4: </w:t>
      </w:r>
      <w:hyperlink r:id="rId13" w:history="1">
        <w:r w:rsidRPr="00354519">
          <w:rPr>
            <w:rStyle w:val="Hyperlink"/>
          </w:rPr>
          <w:t>https://www.nigerianstat.gov.ng/pdfuploads/Q4_2020_Unemployment_Report.pdf</w:t>
        </w:r>
      </w:hyperlink>
      <w:r w:rsidRPr="00354519">
        <w:t xml:space="preserve"> (March, 2021)</w:t>
      </w:r>
    </w:p>
  </w:footnote>
  <w:footnote w:id="60">
    <w:p w14:paraId="6D52CE04" w14:textId="77777777" w:rsidR="006D6A0C" w:rsidRPr="00354519" w:rsidRDefault="006D6A0C" w:rsidP="00256C96">
      <w:pPr>
        <w:pStyle w:val="FootnoteText"/>
      </w:pPr>
      <w:r w:rsidRPr="00354519">
        <w:rPr>
          <w:rStyle w:val="FootnoteReference"/>
        </w:rPr>
        <w:footnoteRef/>
      </w:r>
      <w:r w:rsidRPr="00354519">
        <w:t xml:space="preserve"> Ibid. </w:t>
      </w:r>
    </w:p>
  </w:footnote>
  <w:footnote w:id="61">
    <w:p w14:paraId="1CB65A3A" w14:textId="77777777" w:rsidR="006D6A0C" w:rsidRPr="00354519" w:rsidRDefault="006D6A0C">
      <w:pPr>
        <w:pStyle w:val="FootnoteText"/>
      </w:pPr>
      <w:r w:rsidRPr="00354519">
        <w:rPr>
          <w:rStyle w:val="FootnoteReference"/>
        </w:rPr>
        <w:footnoteRef/>
      </w:r>
      <w:r w:rsidRPr="00354519">
        <w:t xml:space="preserve"> Ibid. </w:t>
      </w:r>
    </w:p>
  </w:footnote>
  <w:footnote w:id="62">
    <w:p w14:paraId="1AB036C5" w14:textId="77777777" w:rsidR="006D6A0C" w:rsidRPr="00354519" w:rsidRDefault="006D6A0C" w:rsidP="00841ACE">
      <w:pPr>
        <w:pStyle w:val="FootnoteText"/>
      </w:pPr>
      <w:r w:rsidRPr="00354519">
        <w:rPr>
          <w:rStyle w:val="FootnoteReference"/>
        </w:rPr>
        <w:footnoteRef/>
      </w:r>
      <w:r w:rsidRPr="00354519">
        <w:t xml:space="preserve"> Ibid.</w:t>
      </w:r>
    </w:p>
  </w:footnote>
  <w:footnote w:id="63">
    <w:p w14:paraId="7531D2EB" w14:textId="77777777" w:rsidR="006D6A0C" w:rsidRPr="00354519" w:rsidRDefault="006D6A0C">
      <w:pPr>
        <w:pStyle w:val="FootnoteText"/>
      </w:pPr>
      <w:r w:rsidRPr="00354519">
        <w:rPr>
          <w:rStyle w:val="FootnoteReference"/>
        </w:rPr>
        <w:footnoteRef/>
      </w:r>
      <w:r w:rsidRPr="00354519">
        <w:t xml:space="preserve"> </w:t>
      </w:r>
      <w:r w:rsidRPr="00354519">
        <w:rPr>
          <w:rFonts w:cstheme="minorHAnsi"/>
        </w:rPr>
        <w:t xml:space="preserve">According to the NDHS 2018, 74% of currently married women aged 15-49 were employed in the 12 months before the survey conducted in 2018, as compared with 99% of currently married men. </w:t>
      </w:r>
    </w:p>
  </w:footnote>
  <w:footnote w:id="64">
    <w:p w14:paraId="137579C9" w14:textId="77777777" w:rsidR="006D6A0C" w:rsidRPr="00354519" w:rsidRDefault="006D6A0C" w:rsidP="00841ACE">
      <w:pPr>
        <w:pStyle w:val="FootnoteText"/>
        <w:rPr>
          <w:rFonts w:asciiTheme="majorHAnsi" w:hAnsiTheme="majorHAnsi" w:cstheme="majorHAnsi"/>
        </w:rPr>
      </w:pPr>
      <w:r w:rsidRPr="00354519">
        <w:rPr>
          <w:rStyle w:val="FootnoteReference"/>
          <w:rFonts w:asciiTheme="majorHAnsi" w:hAnsiTheme="majorHAnsi" w:cstheme="majorHAnsi"/>
        </w:rPr>
        <w:footnoteRef/>
      </w:r>
      <w:r w:rsidRPr="00354519">
        <w:rPr>
          <w:rFonts w:asciiTheme="majorHAnsi" w:hAnsiTheme="majorHAnsi" w:cstheme="majorHAnsi"/>
        </w:rPr>
        <w:t xml:space="preserve"> (NDHS, 2018).  </w:t>
      </w:r>
    </w:p>
  </w:footnote>
  <w:footnote w:id="65">
    <w:p w14:paraId="1CCDC39A" w14:textId="77777777" w:rsidR="006D6A0C" w:rsidRPr="00354519" w:rsidRDefault="006D6A0C" w:rsidP="00841ACE">
      <w:pPr>
        <w:pStyle w:val="FootnoteText"/>
      </w:pPr>
      <w:r w:rsidRPr="00354519">
        <w:rPr>
          <w:rStyle w:val="FootnoteReference"/>
        </w:rPr>
        <w:footnoteRef/>
      </w:r>
      <w:r w:rsidRPr="00354519">
        <w:t xml:space="preserve"> Ibid. </w:t>
      </w:r>
    </w:p>
  </w:footnote>
  <w:footnote w:id="66">
    <w:p w14:paraId="1CD5AB89" w14:textId="77777777" w:rsidR="006D6A0C" w:rsidRPr="00354519" w:rsidRDefault="006D6A0C">
      <w:pPr>
        <w:pStyle w:val="FootnoteText"/>
      </w:pPr>
      <w:r w:rsidRPr="00354519">
        <w:rPr>
          <w:rStyle w:val="FootnoteReference"/>
        </w:rPr>
        <w:footnoteRef/>
      </w:r>
      <w:r w:rsidRPr="00354519">
        <w:t xml:space="preserve"> World Bank, </w:t>
      </w:r>
      <w:r w:rsidRPr="00354519">
        <w:rPr>
          <w:i/>
        </w:rPr>
        <w:t>More, and More Productive, Jobs for Nigeria: A Profile of Work and Workers:</w:t>
      </w:r>
      <w:r w:rsidRPr="00354519">
        <w:t xml:space="preserve"> </w:t>
      </w:r>
      <w:r w:rsidRPr="00354519">
        <w:rPr>
          <w:i/>
        </w:rPr>
        <w:t>A Profile of Work and Workers</w:t>
      </w:r>
      <w:r w:rsidRPr="00354519">
        <w:t>, 2015.</w:t>
      </w:r>
    </w:p>
  </w:footnote>
  <w:footnote w:id="67">
    <w:p w14:paraId="4C227046" w14:textId="77777777" w:rsidR="006D6A0C" w:rsidRPr="00354519" w:rsidRDefault="006D6A0C">
      <w:pPr>
        <w:pStyle w:val="FootnoteText"/>
      </w:pPr>
      <w:r w:rsidRPr="00354519">
        <w:rPr>
          <w:rStyle w:val="FootnoteReference"/>
        </w:rPr>
        <w:footnoteRef/>
      </w:r>
      <w:r w:rsidRPr="00354519">
        <w:t xml:space="preserve"> United Nations Development Programme, </w:t>
      </w:r>
      <w:r w:rsidRPr="00354519">
        <w:rPr>
          <w:i/>
        </w:rPr>
        <w:t>National Human Development Report</w:t>
      </w:r>
      <w:r w:rsidRPr="00354519">
        <w:t>, 2016 &lt;http://hdr.undp.org/sites/default/files/2016_national_human_development_report_for_ nigeria.pdf&gt;</w:t>
      </w:r>
    </w:p>
  </w:footnote>
  <w:footnote w:id="68">
    <w:p w14:paraId="603A0E89" w14:textId="77777777" w:rsidR="006D6A0C" w:rsidRPr="00354519" w:rsidRDefault="006D6A0C" w:rsidP="00841ACE">
      <w:pPr>
        <w:pStyle w:val="FootnoteText"/>
      </w:pPr>
      <w:r w:rsidRPr="00354519">
        <w:rPr>
          <w:rStyle w:val="FootnoteReference"/>
        </w:rPr>
        <w:footnoteRef/>
      </w:r>
      <w:r w:rsidRPr="00354519">
        <w:t xml:space="preserve"> National Population Commission, ‘Nigeria Demographic and Health Survey 2018’ (2018) 382.</w:t>
      </w:r>
    </w:p>
  </w:footnote>
  <w:footnote w:id="69">
    <w:p w14:paraId="2E4C8732" w14:textId="77777777" w:rsidR="006D6A0C" w:rsidRPr="00354519" w:rsidRDefault="006D6A0C" w:rsidP="00841ACE">
      <w:pPr>
        <w:pStyle w:val="FootnoteText"/>
      </w:pPr>
      <w:r w:rsidRPr="00354519">
        <w:rPr>
          <w:rStyle w:val="FootnoteReference"/>
        </w:rPr>
        <w:footnoteRef/>
      </w:r>
      <w:r w:rsidRPr="00354519">
        <w:t xml:space="preserve"> </w:t>
      </w:r>
      <w:r w:rsidRPr="00354519">
        <w:rPr>
          <w:i/>
        </w:rPr>
        <w:t>Ibid</w:t>
      </w:r>
      <w:r w:rsidRPr="00354519">
        <w:t>.</w:t>
      </w:r>
    </w:p>
  </w:footnote>
  <w:footnote w:id="70">
    <w:p w14:paraId="48EB5272" w14:textId="77777777" w:rsidR="006D6A0C" w:rsidRPr="00354519" w:rsidRDefault="006D6A0C" w:rsidP="00841ACE">
      <w:pPr>
        <w:pStyle w:val="FootnoteText"/>
      </w:pPr>
      <w:r w:rsidRPr="00354519">
        <w:rPr>
          <w:rStyle w:val="FootnoteReference"/>
        </w:rPr>
        <w:footnoteRef/>
      </w:r>
      <w:r w:rsidRPr="00354519">
        <w:t xml:space="preserve"> Larossi, Mousley and Radwan; (2016) An Assessment of the Investment Climate in Nigeria; p.63</w:t>
      </w:r>
    </w:p>
  </w:footnote>
  <w:footnote w:id="71">
    <w:p w14:paraId="06C6AB9F" w14:textId="77777777" w:rsidR="006D6A0C" w:rsidRPr="00354519" w:rsidRDefault="006D6A0C">
      <w:pPr>
        <w:pStyle w:val="FootnoteText"/>
      </w:pPr>
      <w:r w:rsidRPr="00354519">
        <w:rPr>
          <w:rStyle w:val="FootnoteReference"/>
        </w:rPr>
        <w:footnoteRef/>
      </w:r>
      <w:r w:rsidRPr="00354519">
        <w:t xml:space="preserve"> Njideka Harry, Women Entrepreneurs and Financial Inclusion in Nigeria, 2015, online: &lt;</w:t>
      </w:r>
      <w:hyperlink r:id="rId14" w:history="1">
        <w:r w:rsidRPr="00354519">
          <w:rPr>
            <w:rStyle w:val="Hyperlink"/>
          </w:rPr>
          <w:t>Women Entrepreneurs and Financial Inclusion in Nigeria (mastercard.com)</w:t>
        </w:r>
      </w:hyperlink>
    </w:p>
  </w:footnote>
  <w:footnote w:id="72">
    <w:p w14:paraId="0EB29BD3" w14:textId="77777777" w:rsidR="006D6A0C" w:rsidRPr="00354519" w:rsidRDefault="006D6A0C" w:rsidP="00C6536D">
      <w:pPr>
        <w:pStyle w:val="FootnoteText"/>
      </w:pPr>
      <w:r w:rsidRPr="00354519">
        <w:rPr>
          <w:rStyle w:val="FootnoteReference"/>
        </w:rPr>
        <w:footnoteRef/>
      </w:r>
      <w:r w:rsidRPr="00354519">
        <w:t xml:space="preserve"> Section 15 (2), CFRN 1999 (as amended)</w:t>
      </w:r>
    </w:p>
  </w:footnote>
  <w:footnote w:id="73">
    <w:p w14:paraId="7510B5CE" w14:textId="77777777" w:rsidR="006D6A0C" w:rsidRPr="00354519" w:rsidRDefault="006D6A0C" w:rsidP="00BF30B7">
      <w:pPr>
        <w:pStyle w:val="FootnoteText"/>
      </w:pPr>
      <w:r w:rsidRPr="00354519">
        <w:rPr>
          <w:rStyle w:val="FootnoteReference"/>
        </w:rPr>
        <w:footnoteRef/>
      </w:r>
      <w:r w:rsidRPr="00354519">
        <w:t xml:space="preserve"> National Gender Policy, 2006; p.66</w:t>
      </w:r>
    </w:p>
  </w:footnote>
  <w:footnote w:id="74">
    <w:p w14:paraId="1D1B9CF8" w14:textId="77777777" w:rsidR="006D6A0C" w:rsidRPr="00354519" w:rsidRDefault="006D6A0C" w:rsidP="00BF30B7">
      <w:pPr>
        <w:pStyle w:val="FootnoteText"/>
      </w:pPr>
      <w:r w:rsidRPr="00354519">
        <w:rPr>
          <w:rStyle w:val="FootnoteReference"/>
        </w:rPr>
        <w:footnoteRef/>
      </w:r>
      <w:r w:rsidRPr="00354519">
        <w:t xml:space="preserve"> See generally Sections 42 (1) and (2) of the 1999 Constitution of the Federal Republic of Nigeria (as amended).</w:t>
      </w:r>
    </w:p>
  </w:footnote>
  <w:footnote w:id="75">
    <w:p w14:paraId="476196C2" w14:textId="77777777" w:rsidR="006D6A0C" w:rsidRPr="00354519" w:rsidRDefault="006D6A0C" w:rsidP="00BF30B7">
      <w:pPr>
        <w:pStyle w:val="FootnoteText"/>
      </w:pPr>
      <w:r w:rsidRPr="00354519">
        <w:rPr>
          <w:rStyle w:val="FootnoteReference"/>
        </w:rPr>
        <w:footnoteRef/>
      </w:r>
      <w:r w:rsidRPr="00354519">
        <w:t xml:space="preserve"> National Gender Policy, 2006; p.66</w:t>
      </w:r>
    </w:p>
  </w:footnote>
  <w:footnote w:id="76">
    <w:p w14:paraId="05E160F4" w14:textId="77777777" w:rsidR="006D6A0C" w:rsidRPr="00354519" w:rsidRDefault="006D6A0C" w:rsidP="00BF30B7">
      <w:pPr>
        <w:pStyle w:val="FootnoteText"/>
        <w:jc w:val="both"/>
      </w:pPr>
      <w:r w:rsidRPr="00354519">
        <w:rPr>
          <w:rStyle w:val="FootnoteReference"/>
        </w:rPr>
        <w:footnoteRef/>
      </w:r>
      <w:r w:rsidRPr="00354519">
        <w:t xml:space="preserve"> See Article 11 of the Convention on the Elimination on Discrimination against Women which mandates State Parties to tackle discrimination against women in the field of employment, including measures to ensure that women are not penalized or unduly disadvantaged for their marital status or during pregnancy. See also Paragraph 232(m) of the Beijing Platform for Action (1995) and Article 8 of the Protocol to the African Charter on Human and People’s Rights on the Rights of Women in Africa which requires State Parties to ensure that women are represented equally in law enforcement</w:t>
      </w:r>
    </w:p>
  </w:footnote>
  <w:footnote w:id="77">
    <w:p w14:paraId="32512744" w14:textId="77777777" w:rsidR="006D6A0C" w:rsidRPr="00354519" w:rsidRDefault="006D6A0C" w:rsidP="00FE327B">
      <w:pPr>
        <w:pStyle w:val="FootnoteText"/>
      </w:pPr>
      <w:r w:rsidRPr="00354519">
        <w:rPr>
          <w:rStyle w:val="FootnoteReference"/>
        </w:rPr>
        <w:footnoteRef/>
      </w:r>
      <w:r w:rsidRPr="00354519">
        <w:t xml:space="preserve"> See Section 54, Labour Act (Maternity Protection)</w:t>
      </w:r>
    </w:p>
  </w:footnote>
  <w:footnote w:id="78">
    <w:p w14:paraId="6E5C1F23" w14:textId="77777777" w:rsidR="006D6A0C" w:rsidRPr="00354519" w:rsidRDefault="006D6A0C" w:rsidP="00FE327B">
      <w:pPr>
        <w:pStyle w:val="FootnoteText"/>
      </w:pPr>
      <w:r w:rsidRPr="00354519">
        <w:rPr>
          <w:rStyle w:val="FootnoteReference"/>
        </w:rPr>
        <w:footnoteRef/>
      </w:r>
      <w:r w:rsidRPr="00354519">
        <w:t xml:space="preserve"> British Council, Nigeria; ‘Gender in Nigeria Report, 2012’; p.19</w:t>
      </w:r>
    </w:p>
  </w:footnote>
  <w:footnote w:id="79">
    <w:p w14:paraId="5F236DD6" w14:textId="77777777" w:rsidR="006D6A0C" w:rsidRPr="00354519" w:rsidRDefault="006D6A0C" w:rsidP="00FE327B">
      <w:pPr>
        <w:pStyle w:val="FootnoteText"/>
      </w:pPr>
      <w:r w:rsidRPr="00354519">
        <w:rPr>
          <w:rStyle w:val="FootnoteReference"/>
        </w:rPr>
        <w:footnoteRef/>
      </w:r>
      <w:r w:rsidRPr="00354519">
        <w:t xml:space="preserve"> Sections 55(1) and 56(1), Labour Act</w:t>
      </w:r>
    </w:p>
  </w:footnote>
  <w:footnote w:id="80">
    <w:p w14:paraId="6D3988C6" w14:textId="77777777" w:rsidR="006D6A0C" w:rsidRPr="00354519" w:rsidRDefault="006D6A0C" w:rsidP="00FE327B">
      <w:pPr>
        <w:pStyle w:val="FootnoteText"/>
      </w:pPr>
      <w:r w:rsidRPr="00354519">
        <w:rPr>
          <w:rStyle w:val="FootnoteReference"/>
        </w:rPr>
        <w:footnoteRef/>
      </w:r>
      <w:r w:rsidRPr="00354519">
        <w:t xml:space="preserve"> Article 5(1) NDLEA Order, 2002</w:t>
      </w:r>
    </w:p>
  </w:footnote>
  <w:footnote w:id="81">
    <w:p w14:paraId="5341128F" w14:textId="77777777" w:rsidR="006D6A0C" w:rsidRPr="00354519" w:rsidRDefault="006D6A0C" w:rsidP="00FE327B">
      <w:pPr>
        <w:pStyle w:val="FootnoteText"/>
      </w:pPr>
      <w:r w:rsidRPr="00354519">
        <w:rPr>
          <w:rStyle w:val="FootnoteReference"/>
        </w:rPr>
        <w:footnoteRef/>
      </w:r>
      <w:r w:rsidRPr="00354519">
        <w:t xml:space="preserve"> See for instance, Joseph Onyekwere, ‘Police Regulation, Gender Inclusiveness and the Constitution,’ Guardian, accessed July 2, 2021) online: &lt;https://guardian.ng/features/law/police-regulation-gender-inclusiveness-and-the-constitution/&gt;</w:t>
      </w:r>
    </w:p>
  </w:footnote>
  <w:footnote w:id="82">
    <w:p w14:paraId="0271D0E5" w14:textId="77777777" w:rsidR="006D6A0C" w:rsidRPr="00354519" w:rsidRDefault="006D6A0C">
      <w:pPr>
        <w:pStyle w:val="FootnoteText"/>
      </w:pPr>
      <w:r w:rsidRPr="00354519">
        <w:rPr>
          <w:rStyle w:val="FootnoteReference"/>
        </w:rPr>
        <w:footnoteRef/>
      </w:r>
      <w:r w:rsidRPr="00354519">
        <w:t xml:space="preserve"> Habiba Balogun Consulting, </w:t>
      </w:r>
      <w:r w:rsidRPr="00354519">
        <w:rPr>
          <w:i/>
        </w:rPr>
        <w:t>Harassment and discrimination in Nigerian workplaces 2020</w:t>
      </w:r>
      <w:r w:rsidRPr="00354519">
        <w:t xml:space="preserve"> (2020). </w:t>
      </w:r>
    </w:p>
  </w:footnote>
  <w:footnote w:id="83">
    <w:p w14:paraId="6367859B" w14:textId="77777777" w:rsidR="006D6A0C" w:rsidRPr="00354519" w:rsidRDefault="006D6A0C">
      <w:pPr>
        <w:pStyle w:val="FootnoteText"/>
      </w:pPr>
      <w:r w:rsidRPr="00354519">
        <w:rPr>
          <w:rStyle w:val="FootnoteReference"/>
        </w:rPr>
        <w:footnoteRef/>
      </w:r>
      <w:r w:rsidRPr="00354519">
        <w:t xml:space="preserve"> Habiba Balogun Consulting, </w:t>
      </w:r>
      <w:r w:rsidRPr="00354519">
        <w:rPr>
          <w:i/>
        </w:rPr>
        <w:t>Harassment and discrimination in Nigerian workplaces 2020</w:t>
      </w:r>
      <w:r w:rsidRPr="00354519">
        <w:t xml:space="preserve"> (2020)</w:t>
      </w:r>
    </w:p>
  </w:footnote>
  <w:footnote w:id="84">
    <w:p w14:paraId="157D6FCB" w14:textId="77777777" w:rsidR="006D6A0C" w:rsidRPr="00354519" w:rsidRDefault="006D6A0C">
      <w:pPr>
        <w:pStyle w:val="FootnoteText"/>
      </w:pPr>
      <w:r w:rsidRPr="00354519">
        <w:rPr>
          <w:rStyle w:val="FootnoteReference"/>
        </w:rPr>
        <w:footnoteRef/>
      </w:r>
      <w:r w:rsidRPr="00354519">
        <w:t xml:space="preserve"> Ibid. </w:t>
      </w:r>
    </w:p>
  </w:footnote>
  <w:footnote w:id="85">
    <w:p w14:paraId="0836791E" w14:textId="77777777" w:rsidR="006D6A0C" w:rsidRPr="00354519" w:rsidRDefault="006D6A0C" w:rsidP="001776C9">
      <w:pPr>
        <w:pStyle w:val="FootnoteText"/>
      </w:pPr>
      <w:r w:rsidRPr="00354519">
        <w:rPr>
          <w:rStyle w:val="FootnoteReference"/>
        </w:rPr>
        <w:footnoteRef/>
      </w:r>
      <w:r w:rsidRPr="00354519">
        <w:t xml:space="preserve"> IFC, Women on Boards in Nigeria, 2019, online: &lt; </w:t>
      </w:r>
      <w:hyperlink r:id="rId15" w:history="1">
        <w:r w:rsidRPr="00354519">
          <w:rPr>
            <w:rStyle w:val="Hyperlink"/>
          </w:rPr>
          <w:t>World Bank Document</w:t>
        </w:r>
      </w:hyperlink>
      <w:r w:rsidRPr="00354519">
        <w:t>&gt;</w:t>
      </w:r>
    </w:p>
  </w:footnote>
  <w:footnote w:id="86">
    <w:p w14:paraId="2CD13A7B" w14:textId="77777777" w:rsidR="006D6A0C" w:rsidRPr="00354519" w:rsidRDefault="006D6A0C">
      <w:pPr>
        <w:pStyle w:val="FootnoteText"/>
      </w:pPr>
      <w:r w:rsidRPr="00354519">
        <w:rPr>
          <w:rStyle w:val="FootnoteReference"/>
        </w:rPr>
        <w:footnoteRef/>
      </w:r>
      <w:r w:rsidRPr="00354519">
        <w:t xml:space="preserve"> See generally United Nations Nigeria (2021). Gender Based Violence in Nigeria: The Shadow Pandemic. </w:t>
      </w:r>
      <w:hyperlink r:id="rId16" w:history="1">
        <w:r w:rsidRPr="00354519">
          <w:rPr>
            <w:rStyle w:val="Hyperlink"/>
          </w:rPr>
          <w:t>https://nigeria.un.org/sites/default/files/2020-05/Gender%20Based%20Violence%20in%20Nigeria%20During%20COVID%2019%20Crisis_The%20Shadow%20Pandemic.pdf</w:t>
        </w:r>
      </w:hyperlink>
      <w:r w:rsidRPr="00354519">
        <w:rPr>
          <w:rStyle w:val="Hyperlink"/>
        </w:rPr>
        <w:t>.</w:t>
      </w:r>
      <w:r w:rsidRPr="00354519">
        <w:t xml:space="preserve"> </w:t>
      </w:r>
    </w:p>
  </w:footnote>
  <w:footnote w:id="87">
    <w:p w14:paraId="71BD5E91" w14:textId="77777777" w:rsidR="006D6A0C" w:rsidRPr="00354519" w:rsidRDefault="006D6A0C">
      <w:pPr>
        <w:pStyle w:val="FootnoteText"/>
      </w:pPr>
      <w:r w:rsidRPr="00354519">
        <w:rPr>
          <w:rStyle w:val="FootnoteReference"/>
        </w:rPr>
        <w:footnoteRef/>
      </w:r>
      <w:r w:rsidRPr="00354519">
        <w:t xml:space="preserve"> See Bukola Adebayo (2020). Nigerian State Governors Resolve to Declare State of Emergency on Rape Following Spate of Sexual Violence. </w:t>
      </w:r>
      <w:hyperlink r:id="rId17" w:history="1">
        <w:r w:rsidRPr="00354519">
          <w:rPr>
            <w:rStyle w:val="Hyperlink"/>
          </w:rPr>
          <w:t>https://www.google.com/amp/s/amp.cnn.com/2020/06/12/africa/nigeria-state-of-emergency-rape/index.html</w:t>
        </w:r>
      </w:hyperlink>
      <w:r w:rsidRPr="00354519">
        <w:t xml:space="preserve"> </w:t>
      </w:r>
    </w:p>
  </w:footnote>
  <w:footnote w:id="88">
    <w:p w14:paraId="08E1D15F" w14:textId="77777777" w:rsidR="006D6A0C" w:rsidRPr="00354519" w:rsidRDefault="006D6A0C" w:rsidP="00B816D3">
      <w:pPr>
        <w:pStyle w:val="FootnoteText"/>
      </w:pPr>
      <w:r w:rsidRPr="00354519">
        <w:rPr>
          <w:rStyle w:val="FootnoteReference"/>
        </w:rPr>
        <w:footnoteRef/>
      </w:r>
      <w:r w:rsidRPr="00354519">
        <w:t xml:space="preserve"> </w:t>
      </w:r>
      <w:r w:rsidRPr="00354519">
        <w:rPr>
          <w:i/>
        </w:rPr>
        <w:t>Ibid</w:t>
      </w:r>
      <w:r w:rsidRPr="00354519">
        <w:t xml:space="preserve">. </w:t>
      </w:r>
    </w:p>
  </w:footnote>
  <w:footnote w:id="89">
    <w:p w14:paraId="5A29E42E" w14:textId="77777777" w:rsidR="006D6A0C" w:rsidRPr="00354519" w:rsidRDefault="006D6A0C" w:rsidP="004F5999">
      <w:pPr>
        <w:pStyle w:val="FootnoteText"/>
      </w:pPr>
      <w:r w:rsidRPr="00354519">
        <w:rPr>
          <w:rStyle w:val="FootnoteReference"/>
        </w:rPr>
        <w:footnoteRef/>
      </w:r>
      <w:r w:rsidRPr="00354519">
        <w:t xml:space="preserve"> NDHS, … According to UNICEF’s 2016-2017 Multi Indicator Cluster Survey, 18 per cent</w:t>
      </w:r>
    </w:p>
  </w:footnote>
  <w:footnote w:id="90">
    <w:p w14:paraId="14239B2B" w14:textId="77777777" w:rsidR="006D6A0C" w:rsidRPr="00354519" w:rsidRDefault="006D6A0C">
      <w:pPr>
        <w:pStyle w:val="FootnoteText"/>
      </w:pPr>
      <w:r w:rsidRPr="00354519">
        <w:rPr>
          <w:rStyle w:val="FootnoteReference"/>
        </w:rPr>
        <w:footnoteRef/>
      </w:r>
      <w:r w:rsidRPr="00354519">
        <w:t xml:space="preserve"> Nigeria, NAPTIP, 2019 Data Analysis, 2019. See European Asylum Support Office, </w:t>
      </w:r>
      <w:r w:rsidRPr="00354519">
        <w:rPr>
          <w:i/>
        </w:rPr>
        <w:t>Nigeria Trafficking in Human Beings: Country of Origin Information Report</w:t>
      </w:r>
      <w:r w:rsidRPr="00354519">
        <w:t xml:space="preserve"> (2021).</w:t>
      </w:r>
    </w:p>
  </w:footnote>
  <w:footnote w:id="91">
    <w:p w14:paraId="35048E06" w14:textId="77777777" w:rsidR="006D6A0C" w:rsidRPr="00354519" w:rsidRDefault="006D6A0C" w:rsidP="00CA27D9">
      <w:pPr>
        <w:pStyle w:val="FootnoteText"/>
      </w:pPr>
      <w:r w:rsidRPr="00354519">
        <w:rPr>
          <w:rStyle w:val="FootnoteReference"/>
        </w:rPr>
        <w:footnoteRef/>
      </w:r>
      <w:r w:rsidRPr="00354519">
        <w:t xml:space="preserve"> See European Asylum Support Office, </w:t>
      </w:r>
      <w:r w:rsidRPr="00354519">
        <w:rPr>
          <w:i/>
        </w:rPr>
        <w:t>Nigeria Trafficking in Human Beings: Country of Origin Information Report</w:t>
      </w:r>
      <w:r w:rsidRPr="00354519">
        <w:t xml:space="preserve"> (2021).</w:t>
      </w:r>
    </w:p>
  </w:footnote>
  <w:footnote w:id="92">
    <w:p w14:paraId="0AC94803" w14:textId="77777777" w:rsidR="006D6A0C" w:rsidRPr="00354519" w:rsidRDefault="006D6A0C">
      <w:pPr>
        <w:pStyle w:val="FootnoteText"/>
      </w:pPr>
      <w:r w:rsidRPr="00354519">
        <w:rPr>
          <w:rStyle w:val="FootnoteReference"/>
        </w:rPr>
        <w:footnoteRef/>
      </w:r>
      <w:r w:rsidRPr="00354519">
        <w:t xml:space="preserve"> Ibid.</w:t>
      </w:r>
    </w:p>
  </w:footnote>
  <w:footnote w:id="93">
    <w:p w14:paraId="66DC47AC" w14:textId="77777777" w:rsidR="006D6A0C" w:rsidRPr="00354519" w:rsidRDefault="006D6A0C">
      <w:pPr>
        <w:pStyle w:val="FootnoteText"/>
      </w:pPr>
      <w:r w:rsidRPr="00354519">
        <w:rPr>
          <w:rStyle w:val="FootnoteReference"/>
        </w:rPr>
        <w:footnoteRef/>
      </w:r>
      <w:r w:rsidRPr="00354519">
        <w:t xml:space="preserve"> EASO, EASO Country of Origin Information Report - Nigeria – Sex Trafficking of women, October 2015.</w:t>
      </w:r>
    </w:p>
  </w:footnote>
  <w:footnote w:id="94">
    <w:p w14:paraId="2BB66E3F" w14:textId="77777777" w:rsidR="006D6A0C" w:rsidRPr="00354519" w:rsidRDefault="006D6A0C">
      <w:pPr>
        <w:pStyle w:val="FootnoteText"/>
      </w:pPr>
      <w:r w:rsidRPr="00354519">
        <w:rPr>
          <w:rStyle w:val="FootnoteReference"/>
        </w:rPr>
        <w:footnoteRef/>
      </w:r>
      <w:r w:rsidRPr="00354519">
        <w:t xml:space="preserve"> European Asylum Support Office, </w:t>
      </w:r>
      <w:r w:rsidRPr="00354519">
        <w:rPr>
          <w:i/>
        </w:rPr>
        <w:t>Nigeria Trafficking in Human Beings: Country of Origin Information Report</w:t>
      </w:r>
      <w:r w:rsidRPr="00354519">
        <w:t xml:space="preserve"> (2021), at 19.</w:t>
      </w:r>
    </w:p>
  </w:footnote>
  <w:footnote w:id="95">
    <w:p w14:paraId="10B03BC9" w14:textId="77777777" w:rsidR="006D6A0C" w:rsidRPr="00354519" w:rsidRDefault="006D6A0C">
      <w:pPr>
        <w:pStyle w:val="FootnoteText"/>
      </w:pPr>
      <w:r w:rsidRPr="00354519">
        <w:rPr>
          <w:rStyle w:val="FootnoteReference"/>
        </w:rPr>
        <w:footnoteRef/>
      </w:r>
      <w:r w:rsidRPr="00354519">
        <w:t xml:space="preserve"> See Article 1 of the Convention on the Elimination of all Forms of Discrimination against Women (1979) and General Recommendation 19 (1992) of the Committee on the Elimination of Discrimination against Women. See also Articles 3, 4(1) (2)(a) and 4(2)(b)  of the Protocol to the African Charter on Human and People’s Rights on the Rights of Women in Africa (2003).</w:t>
      </w:r>
    </w:p>
  </w:footnote>
  <w:footnote w:id="96">
    <w:p w14:paraId="53F239C7" w14:textId="77777777" w:rsidR="006D6A0C" w:rsidRPr="00354519" w:rsidRDefault="006D6A0C" w:rsidP="00620878">
      <w:pPr>
        <w:pStyle w:val="FootnoteText"/>
      </w:pPr>
      <w:r w:rsidRPr="00354519">
        <w:rPr>
          <w:rStyle w:val="FootnoteReference"/>
        </w:rPr>
        <w:footnoteRef/>
      </w:r>
      <w:r w:rsidRPr="00354519">
        <w:t xml:space="preserve"> Section 34 (1) (a), CFRN 1999 (as amended).</w:t>
      </w:r>
    </w:p>
  </w:footnote>
  <w:footnote w:id="97">
    <w:p w14:paraId="0E9F6422" w14:textId="77777777" w:rsidR="006D6A0C" w:rsidRPr="00354519" w:rsidRDefault="006D6A0C" w:rsidP="00106270">
      <w:pPr>
        <w:pStyle w:val="FootnoteText"/>
      </w:pPr>
      <w:r w:rsidRPr="00354519">
        <w:rPr>
          <w:rStyle w:val="FootnoteReference"/>
        </w:rPr>
        <w:footnoteRef/>
      </w:r>
      <w:r w:rsidRPr="00354519">
        <w:t xml:space="preserve"> Section 6, Criminal Code Act</w:t>
      </w:r>
    </w:p>
  </w:footnote>
  <w:footnote w:id="98">
    <w:p w14:paraId="13D121DA" w14:textId="77777777" w:rsidR="006D6A0C" w:rsidRPr="00354519" w:rsidRDefault="006D6A0C" w:rsidP="00106270">
      <w:pPr>
        <w:pStyle w:val="FootnoteText"/>
      </w:pPr>
      <w:r w:rsidRPr="00354519">
        <w:rPr>
          <w:rStyle w:val="FootnoteReference"/>
        </w:rPr>
        <w:footnoteRef/>
      </w:r>
      <w:r w:rsidRPr="00354519">
        <w:t xml:space="preserve"> Section 3, Criminal Code Act defines ‘felony’ as: </w:t>
      </w:r>
      <w:r w:rsidRPr="00354519">
        <w:rPr>
          <w:i/>
        </w:rPr>
        <w:t>“… any offence which is declared by law to be a felony, or is punishable, without proof of previous conviction, with death or with imprisonment for three years or more”</w:t>
      </w:r>
      <w:r w:rsidRPr="00354519">
        <w:t>.</w:t>
      </w:r>
    </w:p>
  </w:footnote>
  <w:footnote w:id="99">
    <w:p w14:paraId="590C7632" w14:textId="77777777" w:rsidR="006D6A0C" w:rsidRPr="00354519" w:rsidRDefault="006D6A0C" w:rsidP="00106270">
      <w:pPr>
        <w:pStyle w:val="FootnoteText"/>
      </w:pPr>
      <w:r w:rsidRPr="00354519">
        <w:rPr>
          <w:rStyle w:val="FootnoteReference"/>
        </w:rPr>
        <w:footnoteRef/>
      </w:r>
      <w:r w:rsidRPr="00354519">
        <w:t xml:space="preserve"> Section 353, Criminal Code Act.</w:t>
      </w:r>
    </w:p>
  </w:footnote>
  <w:footnote w:id="100">
    <w:p w14:paraId="4E1F3960" w14:textId="77777777" w:rsidR="006D6A0C" w:rsidRPr="00354519" w:rsidRDefault="006D6A0C" w:rsidP="00106270">
      <w:pPr>
        <w:pStyle w:val="FootnoteText"/>
      </w:pPr>
      <w:r w:rsidRPr="00354519">
        <w:rPr>
          <w:rStyle w:val="FootnoteReference"/>
        </w:rPr>
        <w:footnoteRef/>
      </w:r>
      <w:r w:rsidRPr="00354519">
        <w:t xml:space="preserve"> Section 3, Criminal Code Act defines ‘misdemeanor’ as: “</w:t>
      </w:r>
      <w:r w:rsidRPr="00354519">
        <w:rPr>
          <w:i/>
        </w:rPr>
        <w:t>any offence which is declared by law to be a misdemeanor, or is punishable by imprisonment for not less than six months, but less than three years.”</w:t>
      </w:r>
    </w:p>
  </w:footnote>
  <w:footnote w:id="101">
    <w:p w14:paraId="1EE8F038" w14:textId="77777777" w:rsidR="006D6A0C" w:rsidRPr="00354519" w:rsidRDefault="006D6A0C" w:rsidP="00106270">
      <w:pPr>
        <w:pStyle w:val="FootnoteText"/>
      </w:pPr>
      <w:r w:rsidRPr="00354519">
        <w:rPr>
          <w:rStyle w:val="FootnoteReference"/>
        </w:rPr>
        <w:footnoteRef/>
      </w:r>
      <w:r w:rsidRPr="00354519">
        <w:t xml:space="preserve"> Section 360, Criminal Code Act.</w:t>
      </w:r>
    </w:p>
  </w:footnote>
  <w:footnote w:id="102">
    <w:p w14:paraId="69544DBD" w14:textId="77777777" w:rsidR="006D6A0C" w:rsidRPr="00354519" w:rsidRDefault="006D6A0C" w:rsidP="00106270">
      <w:pPr>
        <w:pStyle w:val="FootnoteText"/>
      </w:pPr>
      <w:r w:rsidRPr="00354519">
        <w:rPr>
          <w:rStyle w:val="FootnoteReference"/>
        </w:rPr>
        <w:footnoteRef/>
      </w:r>
      <w:r w:rsidRPr="00354519">
        <w:t xml:space="preserve"> Section 55 (1) (d), Penal Code Act.</w:t>
      </w:r>
    </w:p>
  </w:footnote>
  <w:footnote w:id="103">
    <w:p w14:paraId="62372ABE" w14:textId="77777777" w:rsidR="006D6A0C" w:rsidRPr="00354519" w:rsidRDefault="006D6A0C" w:rsidP="00106270">
      <w:pPr>
        <w:pStyle w:val="FootnoteText"/>
      </w:pPr>
      <w:r w:rsidRPr="00354519">
        <w:rPr>
          <w:rStyle w:val="FootnoteReference"/>
        </w:rPr>
        <w:footnoteRef/>
      </w:r>
      <w:r w:rsidRPr="00354519">
        <w:t xml:space="preserve"> See generally Section 1 (1) (a) Violence Against Persons (Prohibition) Act, 2015.</w:t>
      </w:r>
    </w:p>
  </w:footnote>
  <w:footnote w:id="104">
    <w:p w14:paraId="796FA81E" w14:textId="77777777" w:rsidR="006D6A0C" w:rsidRPr="00354519" w:rsidRDefault="006D6A0C" w:rsidP="00106270">
      <w:pPr>
        <w:pStyle w:val="FootnoteText"/>
      </w:pPr>
      <w:r w:rsidRPr="00354519">
        <w:rPr>
          <w:rStyle w:val="FootnoteReference"/>
        </w:rPr>
        <w:footnoteRef/>
      </w:r>
      <w:r w:rsidRPr="00354519">
        <w:t xml:space="preserve"> Section 6 of the Violence Against Persons (Prohibition) Act, 2015.</w:t>
      </w:r>
    </w:p>
  </w:footnote>
  <w:footnote w:id="105">
    <w:p w14:paraId="4B9172B8" w14:textId="77777777" w:rsidR="006D6A0C" w:rsidRPr="00354519" w:rsidRDefault="006D6A0C" w:rsidP="00106270">
      <w:pPr>
        <w:pStyle w:val="FootnoteText"/>
      </w:pPr>
      <w:r w:rsidRPr="00354519">
        <w:rPr>
          <w:rStyle w:val="FootnoteReference"/>
        </w:rPr>
        <w:footnoteRef/>
      </w:r>
      <w:r w:rsidRPr="00354519">
        <w:t xml:space="preserve"> Partners West Africa Nigeria, </w:t>
      </w:r>
      <w:r w:rsidRPr="00354519">
        <w:rPr>
          <w:i/>
        </w:rPr>
        <w:t xml:space="preserve">VAPP Tracker </w:t>
      </w:r>
      <w:r w:rsidRPr="00354519">
        <w:t>&lt;https://www.partnersnigeria.org/vapp-tracker/&gt; accessed 25 June 2021.</w:t>
      </w:r>
    </w:p>
  </w:footnote>
  <w:footnote w:id="106">
    <w:p w14:paraId="25EAE55F" w14:textId="77777777" w:rsidR="006D6A0C" w:rsidRPr="00354519" w:rsidRDefault="006D6A0C">
      <w:pPr>
        <w:pStyle w:val="FootnoteText"/>
      </w:pPr>
      <w:r w:rsidRPr="00354519">
        <w:rPr>
          <w:rStyle w:val="FootnoteReference"/>
        </w:rPr>
        <w:footnoteRef/>
      </w:r>
      <w:r w:rsidRPr="00354519">
        <w:t xml:space="preserve"> </w:t>
      </w:r>
    </w:p>
  </w:footnote>
  <w:footnote w:id="107">
    <w:p w14:paraId="3F6E2FE6" w14:textId="77777777" w:rsidR="006D6A0C" w:rsidRPr="00354519" w:rsidRDefault="006D6A0C">
      <w:pPr>
        <w:pStyle w:val="FootnoteText"/>
      </w:pPr>
      <w:r w:rsidRPr="00354519">
        <w:rPr>
          <w:rStyle w:val="FootnoteReference"/>
        </w:rPr>
        <w:footnoteRef/>
      </w:r>
      <w:r w:rsidRPr="00354519">
        <w:t xml:space="preserve"> Edo State Trafficking in Persons Law 2018. </w:t>
      </w:r>
    </w:p>
  </w:footnote>
  <w:footnote w:id="108">
    <w:p w14:paraId="013061DA" w14:textId="77777777" w:rsidR="006D6A0C" w:rsidRPr="00354519" w:rsidRDefault="006D6A0C">
      <w:pPr>
        <w:pStyle w:val="FootnoteText"/>
      </w:pPr>
      <w:r w:rsidRPr="00354519">
        <w:rPr>
          <w:rStyle w:val="FootnoteReference"/>
        </w:rPr>
        <w:footnoteRef/>
      </w:r>
      <w:r w:rsidRPr="00354519">
        <w:t xml:space="preserve"> </w:t>
      </w:r>
      <w:hyperlink r:id="rId18" w:anchor="/" w:history="1">
        <w:r w:rsidRPr="00354519">
          <w:rPr>
            <w:rStyle w:val="Hyperlink"/>
          </w:rPr>
          <w:t>FMWA GBV (reportgbv.ng)</w:t>
        </w:r>
      </w:hyperlink>
    </w:p>
  </w:footnote>
  <w:footnote w:id="109">
    <w:p w14:paraId="38268CC3" w14:textId="77777777" w:rsidR="006D6A0C" w:rsidRPr="00354519" w:rsidRDefault="006D6A0C" w:rsidP="003D701B">
      <w:pPr>
        <w:pStyle w:val="FootnoteText"/>
      </w:pPr>
      <w:r w:rsidRPr="00354519">
        <w:rPr>
          <w:rStyle w:val="FootnoteReference"/>
        </w:rPr>
        <w:footnoteRef/>
      </w:r>
      <w:r w:rsidRPr="00354519">
        <w:t xml:space="preserve"> </w:t>
      </w:r>
      <w:r w:rsidRPr="00354519">
        <w:rPr>
          <w:i/>
        </w:rPr>
        <w:t>Ibid</w:t>
      </w:r>
      <w:r w:rsidRPr="00354519">
        <w:t>, p.5</w:t>
      </w:r>
    </w:p>
  </w:footnote>
  <w:footnote w:id="110">
    <w:p w14:paraId="39F2E0E5" w14:textId="77777777" w:rsidR="006D6A0C" w:rsidRPr="00354519" w:rsidRDefault="006D6A0C" w:rsidP="00C6536D">
      <w:pPr>
        <w:pStyle w:val="FootnoteText"/>
      </w:pPr>
      <w:r w:rsidRPr="00354519">
        <w:rPr>
          <w:rStyle w:val="FootnoteReference"/>
        </w:rPr>
        <w:footnoteRef/>
      </w:r>
      <w:r w:rsidRPr="00354519">
        <w:t xml:space="preserve"> Walker, (2012), </w:t>
      </w:r>
      <w:r w:rsidRPr="00354519">
        <w:rPr>
          <w:i/>
        </w:rPr>
        <w:t>What is Boko Haram</w:t>
      </w:r>
      <w:r w:rsidRPr="00354519">
        <w:t>, p. 8.</w:t>
      </w:r>
    </w:p>
  </w:footnote>
  <w:footnote w:id="111">
    <w:p w14:paraId="35AA7E25" w14:textId="77777777" w:rsidR="006D6A0C" w:rsidRPr="00354519" w:rsidRDefault="006D6A0C" w:rsidP="00C6536D">
      <w:pPr>
        <w:pStyle w:val="FootnoteText"/>
      </w:pPr>
      <w:r w:rsidRPr="00354519">
        <w:rPr>
          <w:rStyle w:val="FootnoteReference"/>
        </w:rPr>
        <w:footnoteRef/>
      </w:r>
      <w:r w:rsidRPr="00354519">
        <w:t xml:space="preserve"> Azad, Crawford, Kaila, (2018) </w:t>
      </w:r>
      <w:r w:rsidRPr="00354519">
        <w:rPr>
          <w:i/>
        </w:rPr>
        <w:t>Conflict and Violence in Nigeria</w:t>
      </w:r>
      <w:r w:rsidRPr="00354519">
        <w:t xml:space="preserve">; </w:t>
      </w:r>
      <w:r w:rsidRPr="00354519">
        <w:rPr>
          <w:i/>
        </w:rPr>
        <w:t xml:space="preserve">Results from the North East, North Central, and South South zones </w:t>
      </w:r>
      <w:r w:rsidRPr="00354519">
        <w:t>p.6.</w:t>
      </w:r>
    </w:p>
  </w:footnote>
  <w:footnote w:id="112">
    <w:p w14:paraId="68B619D2" w14:textId="77777777" w:rsidR="006D6A0C" w:rsidRPr="00354519" w:rsidRDefault="006D6A0C" w:rsidP="00C6536D">
      <w:pPr>
        <w:pStyle w:val="FootnoteText"/>
      </w:pPr>
      <w:r w:rsidRPr="00354519">
        <w:rPr>
          <w:rStyle w:val="FootnoteReference"/>
        </w:rPr>
        <w:footnoteRef/>
      </w:r>
      <w:r w:rsidRPr="00354519">
        <w:t xml:space="preserve"> Ewang, </w:t>
      </w:r>
      <w:r w:rsidRPr="00354519">
        <w:rPr>
          <w:i/>
        </w:rPr>
        <w:t>More School children Abducted in Nigeria</w:t>
      </w:r>
      <w:r w:rsidRPr="00354519">
        <w:t>, Human Rights Watch, 2021.</w:t>
      </w:r>
    </w:p>
  </w:footnote>
  <w:footnote w:id="113">
    <w:p w14:paraId="2D0978F6" w14:textId="77777777" w:rsidR="006D6A0C" w:rsidRPr="00354519" w:rsidRDefault="006D6A0C" w:rsidP="00C6536D">
      <w:pPr>
        <w:pStyle w:val="FootnoteText"/>
      </w:pPr>
      <w:r w:rsidRPr="00354519">
        <w:rPr>
          <w:rStyle w:val="FootnoteReference"/>
        </w:rPr>
        <w:footnoteRef/>
      </w:r>
      <w:r w:rsidRPr="00354519">
        <w:t xml:space="preserve"> Human Rights Council, (2015) </w:t>
      </w:r>
      <w:r w:rsidRPr="00354519">
        <w:rPr>
          <w:i/>
        </w:rPr>
        <w:t xml:space="preserve">Violations and abuses committed by Boko Haram and the impact on human rights in the countries affected, </w:t>
      </w:r>
      <w:r w:rsidRPr="00354519">
        <w:t xml:space="preserve">Annual report of the United Nations High Commissioner for Human Rights and reports of the Office of the High Commissioner and the Secretary-General at the United Nations General Assembly </w:t>
      </w:r>
    </w:p>
  </w:footnote>
  <w:footnote w:id="114">
    <w:p w14:paraId="5F724FE1" w14:textId="77777777" w:rsidR="006D6A0C" w:rsidRPr="00354519" w:rsidRDefault="006D6A0C" w:rsidP="00C6536D">
      <w:pPr>
        <w:pStyle w:val="FootnoteText"/>
      </w:pPr>
      <w:r w:rsidRPr="00354519">
        <w:rPr>
          <w:rStyle w:val="FootnoteReference"/>
        </w:rPr>
        <w:footnoteRef/>
      </w:r>
      <w:r w:rsidRPr="00354519">
        <w:t xml:space="preserve"> UNICEF, ‘Education’ &lt;https://www.unicef.org/nigeria/education&gt; accessed 24 June, 2021.</w:t>
      </w:r>
    </w:p>
  </w:footnote>
  <w:footnote w:id="115">
    <w:p w14:paraId="3F6F54C3" w14:textId="77777777" w:rsidR="006D6A0C" w:rsidRPr="00354519" w:rsidRDefault="006D6A0C" w:rsidP="00C6536D">
      <w:pPr>
        <w:pStyle w:val="FootnoteText"/>
      </w:pPr>
      <w:r w:rsidRPr="00354519">
        <w:rPr>
          <w:rStyle w:val="FootnoteReference"/>
        </w:rPr>
        <w:footnoteRef/>
      </w:r>
      <w:r w:rsidRPr="00354519">
        <w:t xml:space="preserve"> </w:t>
      </w:r>
      <w:r w:rsidRPr="00354519">
        <w:rPr>
          <w:i/>
        </w:rPr>
        <w:t>Ibid</w:t>
      </w:r>
      <w:r w:rsidRPr="00354519">
        <w:t>, p. 22</w:t>
      </w:r>
    </w:p>
  </w:footnote>
  <w:footnote w:id="116">
    <w:p w14:paraId="2D139781" w14:textId="77777777" w:rsidR="006D6A0C" w:rsidRPr="00354519" w:rsidRDefault="006D6A0C" w:rsidP="00C6536D">
      <w:pPr>
        <w:pStyle w:val="FootnoteText"/>
      </w:pPr>
      <w:r w:rsidRPr="00354519">
        <w:rPr>
          <w:rStyle w:val="FootnoteReference"/>
        </w:rPr>
        <w:footnoteRef/>
      </w:r>
      <w:r w:rsidRPr="00354519">
        <w:t xml:space="preserve"> </w:t>
      </w:r>
      <w:r w:rsidRPr="00354519">
        <w:rPr>
          <w:i/>
        </w:rPr>
        <w:t>Ibid</w:t>
      </w:r>
      <w:r w:rsidRPr="00354519">
        <w:t>, p.46</w:t>
      </w:r>
    </w:p>
  </w:footnote>
  <w:footnote w:id="117">
    <w:p w14:paraId="63A80175" w14:textId="77777777" w:rsidR="006D6A0C" w:rsidRPr="00354519" w:rsidRDefault="006D6A0C">
      <w:pPr>
        <w:pStyle w:val="FootnoteText"/>
      </w:pPr>
      <w:r w:rsidRPr="00354519">
        <w:rPr>
          <w:rStyle w:val="FootnoteReference"/>
        </w:rPr>
        <w:footnoteRef/>
      </w:r>
      <w:r w:rsidRPr="00354519">
        <w:t xml:space="preserve"> </w:t>
      </w:r>
      <w:r w:rsidRPr="00354519">
        <w:rPr>
          <w:rFonts w:ascii="Calibri" w:hAnsi="Calibri" w:cs="Calibri"/>
          <w:noProof/>
        </w:rPr>
        <w:t xml:space="preserve">Chart of the week: Nigeria 2021 half-year kidnap report – Nigeria’s leading geopolitical intelligence platform [Internet]. [cited 2021 Aug 6]. Available from: </w:t>
      </w:r>
      <w:hyperlink r:id="rId19" w:history="1">
        <w:r w:rsidRPr="00354519">
          <w:rPr>
            <w:rStyle w:val="Hyperlink"/>
            <w:rFonts w:ascii="Calibri" w:hAnsi="Calibri" w:cs="Calibri"/>
            <w:noProof/>
          </w:rPr>
          <w:t>https://www.sbmintel.com/2021/07/chart-of-the-week-nigeria-2021-half-year-kidnap-report/</w:t>
        </w:r>
      </w:hyperlink>
    </w:p>
  </w:footnote>
  <w:footnote w:id="118">
    <w:p w14:paraId="3F4CDE4A" w14:textId="77777777" w:rsidR="006D6A0C" w:rsidRPr="00354519" w:rsidRDefault="006D6A0C">
      <w:pPr>
        <w:pStyle w:val="FootnoteText"/>
      </w:pPr>
      <w:r w:rsidRPr="00354519">
        <w:rPr>
          <w:rStyle w:val="FootnoteReference"/>
        </w:rPr>
        <w:footnoteRef/>
      </w:r>
      <w:r w:rsidRPr="00354519">
        <w:t xml:space="preserve"> Nigeria, online: </w:t>
      </w:r>
      <w:hyperlink r:id="rId20" w:history="1">
        <w:r w:rsidRPr="00354519">
          <w:rPr>
            <w:rStyle w:val="Hyperlink"/>
          </w:rPr>
          <w:t>Nigeria – 1325 National Action Plans (peacewomen.org)</w:t>
        </w:r>
      </w:hyperlink>
    </w:p>
  </w:footnote>
  <w:footnote w:id="119">
    <w:p w14:paraId="02F88F3C" w14:textId="77777777" w:rsidR="006D6A0C" w:rsidRPr="00354519" w:rsidRDefault="006D6A0C">
      <w:pPr>
        <w:pStyle w:val="FootnoteText"/>
      </w:pPr>
      <w:r w:rsidRPr="00354519">
        <w:rPr>
          <w:rStyle w:val="FootnoteReference"/>
        </w:rPr>
        <w:footnoteRef/>
      </w:r>
      <w:r w:rsidRPr="00354519">
        <w:t xml:space="preserve"> FWASD, National Action Plan for the Implementation of the UNSCR 1325 and Related Resolution, 2017-2020, </w:t>
      </w:r>
      <w:hyperlink r:id="rId21" w:history="1">
        <w:r w:rsidRPr="00354519">
          <w:rPr>
            <w:rStyle w:val="Hyperlink"/>
          </w:rPr>
          <w:t>SKMBT_C364e17061219400.pdf (peacewomen.org)</w:t>
        </w:r>
      </w:hyperlink>
      <w:r w:rsidRPr="00354519">
        <w:t xml:space="preserve"> at p. 5. </w:t>
      </w:r>
    </w:p>
  </w:footnote>
  <w:footnote w:id="120">
    <w:p w14:paraId="149B95D0" w14:textId="77777777" w:rsidR="006D6A0C" w:rsidRPr="00354519" w:rsidRDefault="006D6A0C">
      <w:pPr>
        <w:pStyle w:val="FootnoteText"/>
      </w:pPr>
      <w:r w:rsidRPr="00354519">
        <w:rPr>
          <w:rStyle w:val="FootnoteReference"/>
        </w:rPr>
        <w:footnoteRef/>
      </w:r>
      <w:r w:rsidRPr="00354519">
        <w:t xml:space="preserve"> UN Women, Mid-Term Evaluation of the Nigeria, Women Peace and Security Programme, 2020, online: </w:t>
      </w:r>
      <w:hyperlink r:id="rId22" w:history="1">
        <w:r w:rsidRPr="00354519">
          <w:rPr>
            <w:rStyle w:val="Hyperlink"/>
          </w:rPr>
          <w:t>WPS-Midterm-Eval-Report-Final.pdf (wpsnigeria.net)</w:t>
        </w:r>
      </w:hyperlink>
      <w:r w:rsidRPr="00354519">
        <w:t xml:space="preserve"> See also,  Nigerian Stability and Reconciliation Programme, National Action for Peace and Security: Learning from the Nigerian Experience, 2016, online: </w:t>
      </w:r>
    </w:p>
  </w:footnote>
  <w:footnote w:id="121">
    <w:p w14:paraId="2FCF1C11" w14:textId="77777777" w:rsidR="006D6A0C" w:rsidRPr="00354519" w:rsidRDefault="006D6A0C" w:rsidP="00C6536D">
      <w:pPr>
        <w:pStyle w:val="FootnoteText"/>
      </w:pPr>
      <w:r w:rsidRPr="00354519">
        <w:rPr>
          <w:rStyle w:val="FootnoteReference"/>
        </w:rPr>
        <w:footnoteRef/>
      </w:r>
      <w:r w:rsidRPr="00354519">
        <w:t xml:space="preserve"> See Sections 21,13, 11, 4 and 15, respectively; Child Rights Act 2003 </w:t>
      </w:r>
    </w:p>
  </w:footnote>
  <w:footnote w:id="122">
    <w:p w14:paraId="377477F1" w14:textId="77777777" w:rsidR="006D6A0C" w:rsidRPr="00354519" w:rsidRDefault="006D6A0C" w:rsidP="00C6536D">
      <w:pPr>
        <w:pStyle w:val="FootnoteText"/>
      </w:pPr>
      <w:r w:rsidRPr="00354519">
        <w:rPr>
          <w:rStyle w:val="FootnoteReference"/>
        </w:rPr>
        <w:footnoteRef/>
      </w:r>
      <w:r w:rsidRPr="00354519">
        <w:t xml:space="preserve"> Section 277, Child Rights Act 2003</w:t>
      </w:r>
    </w:p>
  </w:footnote>
  <w:footnote w:id="123">
    <w:p w14:paraId="0A2A2222" w14:textId="77777777" w:rsidR="006D6A0C" w:rsidRPr="00354519" w:rsidRDefault="006D6A0C" w:rsidP="00C6536D">
      <w:pPr>
        <w:pStyle w:val="FootnoteText"/>
      </w:pPr>
      <w:r w:rsidRPr="00354519">
        <w:rPr>
          <w:rStyle w:val="FootnoteReference"/>
        </w:rPr>
        <w:footnoteRef/>
      </w:r>
      <w:r w:rsidRPr="00354519">
        <w:t xml:space="preserve"> Section 21, Child Rights Act 2003.</w:t>
      </w:r>
    </w:p>
  </w:footnote>
  <w:footnote w:id="124">
    <w:p w14:paraId="0D6C3411" w14:textId="77777777" w:rsidR="006D6A0C" w:rsidRPr="00354519" w:rsidRDefault="006D6A0C" w:rsidP="00C6536D">
      <w:pPr>
        <w:pStyle w:val="FootnoteText"/>
      </w:pPr>
      <w:r w:rsidRPr="00354519">
        <w:rPr>
          <w:rStyle w:val="FootnoteReference"/>
        </w:rPr>
        <w:footnoteRef/>
      </w:r>
      <w:r w:rsidRPr="00354519">
        <w:t xml:space="preserve"> UNICEF, ‘Situation of Women and Children in Nigeria: Challenges faced by Women and Children in Nigeria’ &lt;https://www.unicef.org/nigeria/situation-women-and-children-nigeria&gt; accessed 24 January 2020. See also UNFPA </w:t>
      </w:r>
      <w:r w:rsidRPr="00354519">
        <w:rPr>
          <w:i/>
        </w:rPr>
        <w:t>et al</w:t>
      </w:r>
      <w:r w:rsidRPr="00354519">
        <w:t>, ‘Child Marriage in West and Central Africa: At a Glance’ (September 2018).</w:t>
      </w:r>
    </w:p>
  </w:footnote>
  <w:footnote w:id="125">
    <w:p w14:paraId="0B162F1E" w14:textId="77777777" w:rsidR="006D6A0C" w:rsidRPr="00354519" w:rsidRDefault="006D6A0C" w:rsidP="00B35FB9">
      <w:pPr>
        <w:pStyle w:val="FootnoteText"/>
        <w:rPr>
          <w:rFonts w:ascii="Times New Roman" w:hAnsi="Times New Roman" w:cs="Times New Roman"/>
        </w:rPr>
      </w:pPr>
      <w:r w:rsidRPr="00354519">
        <w:rPr>
          <w:rStyle w:val="FootnoteReference"/>
          <w:rFonts w:ascii="Times New Roman" w:hAnsi="Times New Roman" w:cs="Times New Roman"/>
        </w:rPr>
        <w:footnoteRef/>
      </w:r>
      <w:r w:rsidRPr="00354519">
        <w:rPr>
          <w:rFonts w:ascii="Times New Roman" w:hAnsi="Times New Roman" w:cs="Times New Roman"/>
        </w:rPr>
        <w:t xml:space="preserve"> Federal Ministry of Health and National Agency for AIDS Control (NACA), Nigeria HIV/AIDS Indicator and Impact Survey, 2019, online:&lt;https://www.naiis.ng/resource/factsheet/NAIIS%20PA%20NATIONAL%20FACTSHEET%20FINAL.pdf&gt;</w:t>
      </w:r>
    </w:p>
  </w:footnote>
  <w:footnote w:id="126">
    <w:p w14:paraId="6D1A5B8D" w14:textId="77777777" w:rsidR="006D6A0C" w:rsidRPr="00354519" w:rsidRDefault="006D6A0C" w:rsidP="00B35FB9">
      <w:pPr>
        <w:pStyle w:val="FootnoteText"/>
        <w:rPr>
          <w:rFonts w:ascii="Times New Roman" w:hAnsi="Times New Roman" w:cs="Times New Roman"/>
        </w:rPr>
      </w:pPr>
      <w:r w:rsidRPr="00354519">
        <w:rPr>
          <w:rStyle w:val="FootnoteReference"/>
          <w:rFonts w:ascii="Times New Roman" w:hAnsi="Times New Roman" w:cs="Times New Roman"/>
        </w:rPr>
        <w:footnoteRef/>
      </w:r>
      <w:r w:rsidRPr="00354519">
        <w:rPr>
          <w:rFonts w:ascii="Times New Roman" w:hAnsi="Times New Roman" w:cs="Times New Roman"/>
        </w:rPr>
        <w:t xml:space="preserve"> National Population Commission, Nigeria and ICF, </w:t>
      </w:r>
      <w:r w:rsidRPr="00354519">
        <w:rPr>
          <w:rFonts w:ascii="Times New Roman" w:hAnsi="Times New Roman" w:cs="Times New Roman"/>
          <w:i/>
        </w:rPr>
        <w:t>Nigeria Demographic and Health Survey, 2018</w:t>
      </w:r>
      <w:r w:rsidRPr="00354519">
        <w:rPr>
          <w:rFonts w:ascii="Times New Roman" w:hAnsi="Times New Roman" w:cs="Times New Roman"/>
        </w:rPr>
        <w:t>, online: &lt;https://dhsprogram.com/pubs/pdf/FR359/FR359.pdf&gt;</w:t>
      </w:r>
    </w:p>
  </w:footnote>
  <w:footnote w:id="127">
    <w:p w14:paraId="27371F45" w14:textId="77777777" w:rsidR="006D6A0C" w:rsidRPr="00354519" w:rsidRDefault="006D6A0C">
      <w:pPr>
        <w:pStyle w:val="FootnoteText"/>
      </w:pPr>
      <w:r w:rsidRPr="00354519">
        <w:rPr>
          <w:rStyle w:val="FootnoteReference"/>
        </w:rPr>
        <w:footnoteRef/>
      </w:r>
      <w:r w:rsidRPr="00354519">
        <w:t xml:space="preserve"> UNICEF, ‘Situation of Women and Children in Nigeria: Challenges faced by Women and Children in Nigeria’ &lt;https://www.unicef.org/nigeria/situation-women-and-children-nigeria&gt; </w:t>
      </w:r>
      <w:hyperlink r:id="rId23" w:history="1">
        <w:r w:rsidRPr="00354519">
          <w:rPr>
            <w:rStyle w:val="Hyperlink"/>
          </w:rPr>
          <w:t>Situation of women and children in Nigeria | UNICEF Nigeria</w:t>
        </w:r>
      </w:hyperlink>
    </w:p>
  </w:footnote>
  <w:footnote w:id="128">
    <w:p w14:paraId="08B7550A" w14:textId="77777777" w:rsidR="006D6A0C" w:rsidRPr="00354519" w:rsidRDefault="006D6A0C" w:rsidP="00472C26">
      <w:pPr>
        <w:pStyle w:val="FootnoteText"/>
      </w:pPr>
      <w:r w:rsidRPr="00354519">
        <w:rPr>
          <w:rStyle w:val="FootnoteReference"/>
        </w:rPr>
        <w:footnoteRef/>
      </w:r>
      <w:r w:rsidRPr="00354519">
        <w:t xml:space="preserve"> </w:t>
      </w:r>
      <w:r w:rsidRPr="00354519">
        <w:rPr>
          <w:i/>
        </w:rPr>
        <w:t>Ibid</w:t>
      </w:r>
      <w:r w:rsidRPr="00354519">
        <w:t>.</w:t>
      </w:r>
    </w:p>
  </w:footnote>
  <w:footnote w:id="129">
    <w:p w14:paraId="7C46123B" w14:textId="77777777" w:rsidR="006D6A0C" w:rsidRPr="00354519" w:rsidRDefault="006D6A0C" w:rsidP="00472C26">
      <w:pPr>
        <w:pStyle w:val="FootnoteText"/>
        <w:rPr>
          <w:rFonts w:ascii="Times New Roman" w:hAnsi="Times New Roman" w:cs="Times New Roman"/>
        </w:rPr>
      </w:pPr>
      <w:r w:rsidRPr="00354519">
        <w:rPr>
          <w:rStyle w:val="FootnoteReference"/>
        </w:rPr>
        <w:footnoteRef/>
      </w:r>
      <w:r w:rsidRPr="00354519">
        <w:t xml:space="preserve"> </w:t>
      </w:r>
      <w:r w:rsidRPr="00354519">
        <w:rPr>
          <w:rFonts w:ascii="Times New Roman" w:hAnsi="Times New Roman" w:cs="Times New Roman"/>
        </w:rPr>
        <w:t>Adetifa IMO, Adamu AL, Karani A, Waithaka M, Odeyemi KA, Okoromah CAN, Bello MM, Abubakar IS, Inem V, Scott JAG. Nasopharyngeal Pneumococcal Carriage in Nigeria: a two-site, population-based survey. Sci Rep. 2018 Feb 22;8(1):3509. doi: 10.1038/s41598-018-21837-5. PMID: 29472635; PMCID: PMC5823928.</w:t>
      </w:r>
    </w:p>
  </w:footnote>
  <w:footnote w:id="130">
    <w:p w14:paraId="27366B14" w14:textId="77777777" w:rsidR="006D6A0C" w:rsidRPr="00354519" w:rsidRDefault="006D6A0C">
      <w:pPr>
        <w:pStyle w:val="FootnoteText"/>
      </w:pPr>
      <w:r w:rsidRPr="00354519">
        <w:rPr>
          <w:rStyle w:val="FootnoteReference"/>
        </w:rPr>
        <w:footnoteRef/>
      </w:r>
      <w:r w:rsidRPr="00354519">
        <w:t xml:space="preserve"> </w:t>
      </w:r>
      <w:r w:rsidRPr="00354519">
        <w:rPr>
          <w:rFonts w:ascii="Times New Roman" w:hAnsi="Times New Roman" w:cs="Times New Roman"/>
        </w:rPr>
        <w:t>Agnese Juliano et al, The Burden and Risks of Pediatric Pneumonia in Nigeria: A Desk‐Based Review of Existing Literature and Data (2020) Pediatric Pulmonology &lt;https://doi.org/10.1002/ppul.24626&gt;</w:t>
      </w:r>
    </w:p>
  </w:footnote>
  <w:footnote w:id="131">
    <w:p w14:paraId="6DB6ABAA" w14:textId="77777777" w:rsidR="006D6A0C" w:rsidRPr="00354519" w:rsidRDefault="006D6A0C">
      <w:pPr>
        <w:pStyle w:val="FootnoteText"/>
      </w:pPr>
      <w:r w:rsidRPr="00354519">
        <w:rPr>
          <w:rStyle w:val="FootnoteReference"/>
        </w:rPr>
        <w:footnoteRef/>
      </w:r>
      <w:r w:rsidRPr="00354519">
        <w:t xml:space="preserve"> See for example, ‘Prevalence of non-communicable diseases and its risk factors among Ijegun-Isheri Osun residents in Lagos State, Nigeria: A community based cross-sectional study’ (2020) BMC Public Health, online: </w:t>
      </w:r>
      <w:hyperlink r:id="rId24" w:history="1">
        <w:r w:rsidRPr="00354519">
          <w:rPr>
            <w:rStyle w:val="Hyperlink"/>
          </w:rPr>
          <w:t>Prevalence of non-communicable diseases and its risk factors among Ijegun-Isheri Osun residents in Lagos State, Nigeria: a community based cross-sectional study | BMC Public Health | Full Text (biomedcentral.com)</w:t>
        </w:r>
      </w:hyperlink>
    </w:p>
  </w:footnote>
  <w:footnote w:id="132">
    <w:p w14:paraId="13E48AF4" w14:textId="77777777" w:rsidR="006D6A0C" w:rsidRPr="00354519" w:rsidRDefault="006D6A0C" w:rsidP="00963661">
      <w:pPr>
        <w:pStyle w:val="FootnoteText"/>
      </w:pPr>
      <w:r w:rsidRPr="00354519">
        <w:rPr>
          <w:rStyle w:val="FootnoteReference"/>
        </w:rPr>
        <w:footnoteRef/>
      </w:r>
      <w:r w:rsidRPr="00354519">
        <w:t>World Health Organization 2010. The Abuja Declaration: Ten Years On https://www.who.int/healthsystems/publications/Abuja10.pdf</w:t>
      </w:r>
    </w:p>
  </w:footnote>
  <w:footnote w:id="133">
    <w:p w14:paraId="41B35F39" w14:textId="77777777" w:rsidR="006D6A0C" w:rsidRPr="00354519" w:rsidRDefault="006D6A0C" w:rsidP="00963661">
      <w:pPr>
        <w:pStyle w:val="FootnoteText"/>
      </w:pPr>
      <w:r w:rsidRPr="00354519">
        <w:rPr>
          <w:rStyle w:val="FootnoteReference"/>
        </w:rPr>
        <w:footnoteRef/>
      </w:r>
      <w:r w:rsidRPr="00354519">
        <w:t xml:space="preserve"> Adebisi Y., Umah J., Olaoye O., Alaran A., Sina-Odunsi, A., III Don. (2020). Assessment of Health Budgetary Allocation and Expenditure Toward Achieving Universal Health Coverage in Nigeria. International Journal of Health Sciences. 10.5812/ijhls.102552.</w:t>
      </w:r>
    </w:p>
  </w:footnote>
  <w:footnote w:id="134">
    <w:p w14:paraId="1958EA79" w14:textId="77777777" w:rsidR="006D6A0C" w:rsidRPr="00354519" w:rsidRDefault="006D6A0C" w:rsidP="00963661">
      <w:pPr>
        <w:pStyle w:val="FootnoteText"/>
      </w:pPr>
      <w:r w:rsidRPr="00354519">
        <w:rPr>
          <w:rStyle w:val="FootnoteReference"/>
        </w:rPr>
        <w:footnoteRef/>
      </w:r>
      <w:r w:rsidRPr="00354519">
        <w:t xml:space="preserve"> Wagstaff A, Cotlear D, Eozenou PH, Buisman LR (2016). Measuring progress towards universal health coverage: with an application to 24 developing countries. Oxf Rev Econ Policy. 2016;32(1):147–89.</w:t>
      </w:r>
    </w:p>
  </w:footnote>
  <w:footnote w:id="135">
    <w:p w14:paraId="0327D27E" w14:textId="77777777" w:rsidR="006D6A0C" w:rsidRPr="00354519" w:rsidRDefault="006D6A0C" w:rsidP="00963661">
      <w:pPr>
        <w:pStyle w:val="FootnoteText"/>
      </w:pPr>
      <w:r w:rsidRPr="00354519">
        <w:rPr>
          <w:rStyle w:val="FootnoteReference"/>
        </w:rPr>
        <w:footnoteRef/>
      </w:r>
      <w:r w:rsidRPr="00354519">
        <w:t xml:space="preserve"> WHO (2019), ‘Maternal health in Nigeria: generating information for action’; Retrieved from: </w:t>
      </w:r>
      <w:hyperlink r:id="rId25" w:history="1">
        <w:r w:rsidRPr="00354519">
          <w:rPr>
            <w:rStyle w:val="Hyperlink"/>
          </w:rPr>
          <w:t>https://www.who.int/reproductivehealth/maternal-health-nigeria/en/</w:t>
        </w:r>
      </w:hyperlink>
      <w:r w:rsidRPr="00354519">
        <w:t>. Accessed 24</w:t>
      </w:r>
      <w:r w:rsidRPr="00354519">
        <w:rPr>
          <w:vertAlign w:val="superscript"/>
        </w:rPr>
        <w:t>th</w:t>
      </w:r>
      <w:r w:rsidRPr="00354519">
        <w:t xml:space="preserve"> June 2021.</w:t>
      </w:r>
    </w:p>
  </w:footnote>
  <w:footnote w:id="136">
    <w:p w14:paraId="29C2D789" w14:textId="77777777" w:rsidR="006D6A0C" w:rsidRPr="00354519" w:rsidRDefault="006D6A0C" w:rsidP="00963661">
      <w:pPr>
        <w:pStyle w:val="FootnoteText"/>
      </w:pPr>
      <w:r w:rsidRPr="00354519">
        <w:rPr>
          <w:rStyle w:val="FootnoteReference"/>
        </w:rPr>
        <w:footnoteRef/>
      </w:r>
      <w:r w:rsidRPr="00354519">
        <w:t xml:space="preserve"> National Population Commission, Nigeria; Nigeria Demographic and Health Survey, 2018. p.374.</w:t>
      </w:r>
    </w:p>
  </w:footnote>
  <w:footnote w:id="137">
    <w:p w14:paraId="32D3593F" w14:textId="77777777" w:rsidR="006D6A0C" w:rsidRPr="00354519" w:rsidRDefault="006D6A0C">
      <w:pPr>
        <w:pStyle w:val="FootnoteText"/>
      </w:pPr>
      <w:r w:rsidRPr="00354519">
        <w:rPr>
          <w:rStyle w:val="FootnoteReference"/>
        </w:rPr>
        <w:footnoteRef/>
      </w:r>
      <w:r w:rsidRPr="00354519">
        <w:t xml:space="preserve"> MICS Survey 2016. </w:t>
      </w:r>
    </w:p>
  </w:footnote>
  <w:footnote w:id="138">
    <w:p w14:paraId="71139263" w14:textId="77777777" w:rsidR="006D6A0C" w:rsidRPr="00354519" w:rsidRDefault="006D6A0C">
      <w:pPr>
        <w:pStyle w:val="FootnoteText"/>
      </w:pPr>
      <w:r w:rsidRPr="00354519">
        <w:rPr>
          <w:rStyle w:val="FootnoteReference"/>
        </w:rPr>
        <w:footnoteRef/>
      </w:r>
      <w:r w:rsidRPr="00354519">
        <w:t xml:space="preserve"> National Strategic Health Development Plan II at 14.</w:t>
      </w:r>
    </w:p>
  </w:footnote>
  <w:footnote w:id="139">
    <w:p w14:paraId="16E3CB44" w14:textId="77777777" w:rsidR="006D6A0C" w:rsidRPr="00354519" w:rsidRDefault="006D6A0C" w:rsidP="00963661">
      <w:pPr>
        <w:pStyle w:val="FootnoteText"/>
      </w:pPr>
      <w:r w:rsidRPr="00354519">
        <w:rPr>
          <w:rStyle w:val="FootnoteReference"/>
        </w:rPr>
        <w:footnoteRef/>
      </w:r>
      <w:r w:rsidRPr="00354519">
        <w:t xml:space="preserve"> UNAIDS (2019); New survey results indicate that Nigeria has an HIV prevalence of 1.4%. Retrieve from: </w:t>
      </w:r>
      <w:hyperlink r:id="rId26" w:history="1">
        <w:r w:rsidRPr="00354519">
          <w:rPr>
            <w:rStyle w:val="Hyperlink"/>
          </w:rPr>
          <w:t>https://www.unaids.org/en/resources/presscentre/pressreleaseandstatementarchive/2019/march/20190314_nigeria</w:t>
        </w:r>
      </w:hyperlink>
      <w:r w:rsidRPr="00354519">
        <w:t>. Accessed 24</w:t>
      </w:r>
      <w:r w:rsidRPr="00354519">
        <w:rPr>
          <w:vertAlign w:val="superscript"/>
        </w:rPr>
        <w:t>th</w:t>
      </w:r>
      <w:r w:rsidRPr="00354519">
        <w:t xml:space="preserve"> June 2021.</w:t>
      </w:r>
    </w:p>
  </w:footnote>
  <w:footnote w:id="140">
    <w:p w14:paraId="3BF9A760" w14:textId="77777777" w:rsidR="006D6A0C" w:rsidRPr="00354519" w:rsidRDefault="006D6A0C" w:rsidP="005A7076">
      <w:pPr>
        <w:pStyle w:val="FootnoteText"/>
      </w:pPr>
      <w:r w:rsidRPr="00354519">
        <w:rPr>
          <w:rStyle w:val="FootnoteReference"/>
        </w:rPr>
        <w:footnoteRef/>
      </w:r>
      <w:r w:rsidRPr="00354519">
        <w:t xml:space="preserve">National Strategic Health Development Plan II at 14. Al-Jazeera (2021). Nigeria’s medical brain drain: Healthcare woes as doctors flee </w:t>
      </w:r>
      <w:hyperlink r:id="rId27" w:history="1">
        <w:r w:rsidRPr="00354519">
          <w:rPr>
            <w:rStyle w:val="Hyperlink"/>
          </w:rPr>
          <w:t>https://www.aljazeera.com/features/2019/4/8/nigerias-medical-brain-drain-healthcare-woes-as-doctors-flee</w:t>
        </w:r>
      </w:hyperlink>
      <w:r w:rsidRPr="00354519">
        <w:t xml:space="preserve"> Accessed on 25 July 2021</w:t>
      </w:r>
    </w:p>
  </w:footnote>
  <w:footnote w:id="141">
    <w:p w14:paraId="7396E623" w14:textId="77777777" w:rsidR="006D6A0C" w:rsidRPr="00354519" w:rsidRDefault="006D6A0C" w:rsidP="005A7076">
      <w:pPr>
        <w:pStyle w:val="FootnoteText"/>
      </w:pPr>
      <w:r w:rsidRPr="00354519">
        <w:rPr>
          <w:rStyle w:val="FootnoteReference"/>
        </w:rPr>
        <w:footnoteRef/>
      </w:r>
      <w:r w:rsidRPr="00354519">
        <w:t xml:space="preserve"> Okechukwu, C.E. (2020). Shortage of psychiatrists: A barrier to effective mental health-care delivery in Nigeria. 5. 22-23. 10.4103/jncd.jncd_1_20.</w:t>
      </w:r>
    </w:p>
  </w:footnote>
  <w:footnote w:id="142">
    <w:p w14:paraId="7F07CBDD" w14:textId="77777777" w:rsidR="006D6A0C" w:rsidRPr="00354519" w:rsidRDefault="006D6A0C" w:rsidP="00963661">
      <w:pPr>
        <w:pStyle w:val="FootnoteText"/>
      </w:pPr>
      <w:r w:rsidRPr="00354519">
        <w:rPr>
          <w:rStyle w:val="FootnoteReference"/>
        </w:rPr>
        <w:footnoteRef/>
      </w:r>
      <w:r w:rsidRPr="00354519">
        <w:t xml:space="preserve"> United Nations Children’s Fund, Nigeria, 2016. Evaluation of the Maternal, Newborn and Child Health Week in Nigeria. Available via </w:t>
      </w:r>
      <w:hyperlink r:id="rId28" w:history="1">
        <w:r w:rsidRPr="00354519">
          <w:rPr>
            <w:rStyle w:val="Hyperlink"/>
          </w:rPr>
          <w:t>https://www.unicef.org/nigeria/media/1436/file/Nigeria-evaluation-of-maternal-newborn-and-child-health-week_0.pdf.pdf</w:t>
        </w:r>
      </w:hyperlink>
      <w:r w:rsidRPr="00354519">
        <w:t xml:space="preserve"> Accessed on 25 July 25, 2021</w:t>
      </w:r>
    </w:p>
  </w:footnote>
  <w:footnote w:id="143">
    <w:p w14:paraId="6924E6ED" w14:textId="77777777" w:rsidR="006D6A0C" w:rsidRPr="00354519" w:rsidRDefault="006D6A0C" w:rsidP="00963661">
      <w:pPr>
        <w:pStyle w:val="FootnoteText"/>
      </w:pPr>
      <w:r w:rsidRPr="00354519">
        <w:rPr>
          <w:rStyle w:val="FootnoteReference"/>
        </w:rPr>
        <w:footnoteRef/>
      </w:r>
      <w:r w:rsidRPr="00354519">
        <w:t xml:space="preserve"> Key Informant</w:t>
      </w:r>
    </w:p>
  </w:footnote>
  <w:footnote w:id="144">
    <w:p w14:paraId="47BC05DD" w14:textId="77777777" w:rsidR="006D6A0C" w:rsidRPr="00354519" w:rsidRDefault="006D6A0C" w:rsidP="00963661">
      <w:pPr>
        <w:pStyle w:val="FootnoteText"/>
      </w:pPr>
      <w:r w:rsidRPr="00354519">
        <w:rPr>
          <w:rStyle w:val="FootnoteReference"/>
        </w:rPr>
        <w:footnoteRef/>
      </w:r>
      <w:r w:rsidRPr="00354519">
        <w:t xml:space="preserve"> World Bank (2021). Life expectancy at birth, total (years) – Nigeria. Available via </w:t>
      </w:r>
      <w:hyperlink r:id="rId29" w:history="1">
        <w:r w:rsidRPr="00354519">
          <w:rPr>
            <w:rStyle w:val="Hyperlink"/>
          </w:rPr>
          <w:t>https://data.worldbank.org/indicator/SP.DYN.LE00.IN?locations=NG</w:t>
        </w:r>
      </w:hyperlink>
      <w:r w:rsidRPr="00354519">
        <w:t xml:space="preserve"> Accessed on 25 July 25, 2021</w:t>
      </w:r>
    </w:p>
  </w:footnote>
  <w:footnote w:id="145">
    <w:p w14:paraId="1339BB1E" w14:textId="77777777" w:rsidR="006D6A0C" w:rsidRPr="00354519" w:rsidRDefault="006D6A0C">
      <w:pPr>
        <w:pStyle w:val="FootnoteText"/>
      </w:pPr>
      <w:r w:rsidRPr="00354519">
        <w:rPr>
          <w:rStyle w:val="FootnoteReference"/>
        </w:rPr>
        <w:footnoteRef/>
      </w:r>
      <w:r w:rsidRPr="00354519">
        <w:t xml:space="preserve"> Minimum Standards for Primary Health Facilities, 2015 </w:t>
      </w:r>
    </w:p>
  </w:footnote>
  <w:footnote w:id="146">
    <w:p w14:paraId="28CC1A7C" w14:textId="77777777" w:rsidR="006D6A0C" w:rsidRPr="00354519" w:rsidRDefault="006D6A0C" w:rsidP="005A0831">
      <w:pPr>
        <w:pStyle w:val="FootnoteText"/>
      </w:pPr>
      <w:r w:rsidRPr="00354519">
        <w:rPr>
          <w:rStyle w:val="FootnoteReference"/>
        </w:rPr>
        <w:footnoteRef/>
      </w:r>
      <w:r w:rsidRPr="00354519">
        <w:t xml:space="preserve"> WHO (2019), ‘Maternal health in Nigeria: generating information for action’; Retrieved from: https://www.who.int/reproductivehealth/maternal-health-nigeria/en/. Accessed 24th June 2021</w:t>
      </w:r>
    </w:p>
  </w:footnote>
  <w:footnote w:id="147">
    <w:p w14:paraId="3920BD72" w14:textId="77777777" w:rsidR="006D6A0C" w:rsidRPr="00354519" w:rsidRDefault="006D6A0C" w:rsidP="005A0831">
      <w:pPr>
        <w:pStyle w:val="FootnoteText"/>
      </w:pPr>
      <w:r w:rsidRPr="00354519">
        <w:rPr>
          <w:rStyle w:val="FootnoteReference"/>
        </w:rPr>
        <w:footnoteRef/>
      </w:r>
      <w:r w:rsidRPr="00354519">
        <w:t xml:space="preserve"> Alawode, G.O., Adewole, D.A. (2021), Assessment of the design and implementation challenges of the National Health Insurance Scheme in Nigeria: a qualitative study among sub-national level actors, healthcare and insurance providers. </w:t>
      </w:r>
      <w:hyperlink r:id="rId30" w:history="1">
        <w:r w:rsidRPr="00354519">
          <w:rPr>
            <w:rStyle w:val="Hyperlink"/>
          </w:rPr>
          <w:t>https://doi.org/10.1186/s12889-020-10133-5</w:t>
        </w:r>
      </w:hyperlink>
      <w:r w:rsidRPr="00354519">
        <w:t xml:space="preserve"> </w:t>
      </w:r>
    </w:p>
  </w:footnote>
  <w:footnote w:id="148">
    <w:p w14:paraId="3810934F" w14:textId="77777777" w:rsidR="006D6A0C" w:rsidRPr="00354519" w:rsidRDefault="006D6A0C" w:rsidP="00963661">
      <w:pPr>
        <w:pStyle w:val="FootnoteText"/>
      </w:pPr>
      <w:r w:rsidRPr="00354519">
        <w:rPr>
          <w:rStyle w:val="FootnoteReference"/>
        </w:rPr>
        <w:footnoteRef/>
      </w:r>
      <w:r w:rsidRPr="00354519">
        <w:t xml:space="preserve"> The National Agency for the Control of AIDS (2016); Women, Girls Gender Equality and HIV in Nigeria: Fact Sheet 2016. Retrieved from: </w:t>
      </w:r>
      <w:hyperlink r:id="rId31" w:history="1">
        <w:r w:rsidRPr="00354519">
          <w:rPr>
            <w:rStyle w:val="Hyperlink"/>
          </w:rPr>
          <w:t>https://naca.gov.ng/wp-content/uploads/2019/10/Fact-Sheet-Women-Girls-Gender-Equality-and-HIV-in-Nigeria.pdf</w:t>
        </w:r>
      </w:hyperlink>
      <w:r w:rsidRPr="00354519">
        <w:t>. Accessed 24</w:t>
      </w:r>
      <w:r w:rsidRPr="00354519">
        <w:rPr>
          <w:vertAlign w:val="superscript"/>
        </w:rPr>
        <w:t>th</w:t>
      </w:r>
      <w:r w:rsidRPr="00354519">
        <w:t xml:space="preserve"> June, 2021.</w:t>
      </w:r>
    </w:p>
  </w:footnote>
  <w:footnote w:id="149">
    <w:p w14:paraId="6EF00FD1" w14:textId="77777777" w:rsidR="006D6A0C" w:rsidRPr="00354519" w:rsidRDefault="006D6A0C" w:rsidP="00354519">
      <w:pPr>
        <w:shd w:val="clear" w:color="auto" w:fill="FFFFFF"/>
        <w:spacing w:after="0"/>
        <w:rPr>
          <w:rFonts w:ascii="Arial" w:eastAsia="Times New Roman" w:hAnsi="Arial" w:cs="Arial"/>
          <w:color w:val="111111"/>
          <w:sz w:val="20"/>
          <w:szCs w:val="20"/>
          <w:lang w:val="en-US"/>
        </w:rPr>
      </w:pPr>
      <w:r w:rsidRPr="00354519">
        <w:rPr>
          <w:rStyle w:val="FootnoteReference"/>
          <w:sz w:val="20"/>
          <w:szCs w:val="20"/>
        </w:rPr>
        <w:footnoteRef/>
      </w:r>
      <w:r w:rsidRPr="00354519">
        <w:rPr>
          <w:sz w:val="20"/>
          <w:szCs w:val="20"/>
        </w:rPr>
        <w:t xml:space="preserve"> Florence Folami, </w:t>
      </w:r>
      <w:r w:rsidRPr="00354519">
        <w:rPr>
          <w:rFonts w:eastAsia="Times New Roman" w:cstheme="minorHAnsi"/>
          <w:color w:val="111111"/>
          <w:sz w:val="20"/>
          <w:szCs w:val="20"/>
          <w:lang w:val="en-US"/>
        </w:rPr>
        <w:t>Gender Inequality and Role-strained among Male Nursing Students in Selected Nursing Institution, Lagos, Nigeria, 2017</w:t>
      </w:r>
    </w:p>
  </w:footnote>
  <w:footnote w:id="150">
    <w:p w14:paraId="0A9BC821" w14:textId="77777777" w:rsidR="006D6A0C" w:rsidRPr="00354519" w:rsidRDefault="006D6A0C" w:rsidP="00354519">
      <w:pPr>
        <w:pStyle w:val="FootnoteText"/>
      </w:pPr>
      <w:r w:rsidRPr="00354519">
        <w:rPr>
          <w:rStyle w:val="FootnoteReference"/>
        </w:rPr>
        <w:footnoteRef/>
      </w:r>
      <w:r w:rsidRPr="00354519">
        <w:t xml:space="preserve"> Federal Ministry of Health, National Gender and Health Policy, 2021-2025</w:t>
      </w:r>
    </w:p>
  </w:footnote>
  <w:footnote w:id="151">
    <w:p w14:paraId="15594F91" w14:textId="77777777" w:rsidR="006D6A0C" w:rsidRPr="00354519" w:rsidRDefault="006D6A0C" w:rsidP="00354519">
      <w:pPr>
        <w:pStyle w:val="FootnoteText"/>
      </w:pPr>
      <w:r w:rsidRPr="00354519">
        <w:rPr>
          <w:rStyle w:val="FootnoteReference"/>
        </w:rPr>
        <w:footnoteRef/>
      </w:r>
      <w:r>
        <w:t xml:space="preserve"> </w:t>
      </w:r>
      <w:r w:rsidRPr="00354519">
        <w:t>National Reproductive Health Policy and Strategy, 2006</w:t>
      </w:r>
    </w:p>
  </w:footnote>
  <w:footnote w:id="152">
    <w:p w14:paraId="1E4E1C49" w14:textId="77777777" w:rsidR="006D6A0C" w:rsidRPr="00354519" w:rsidRDefault="006D6A0C" w:rsidP="00354519">
      <w:pPr>
        <w:pStyle w:val="FootnoteText"/>
      </w:pPr>
      <w:r w:rsidRPr="00354519">
        <w:rPr>
          <w:rStyle w:val="FootnoteReference"/>
        </w:rPr>
        <w:footnoteRef/>
      </w:r>
      <w:r>
        <w:t xml:space="preserve"> </w:t>
      </w:r>
      <w:r w:rsidRPr="00354519">
        <w:t>National Reproductive Health Policy and Strategy, 2006</w:t>
      </w:r>
    </w:p>
  </w:footnote>
  <w:footnote w:id="153">
    <w:p w14:paraId="359FCF3F" w14:textId="77777777" w:rsidR="006D6A0C" w:rsidRPr="00354519" w:rsidRDefault="006D6A0C" w:rsidP="00E75191">
      <w:pPr>
        <w:pStyle w:val="FootnoteText"/>
      </w:pPr>
      <w:r w:rsidRPr="00354519">
        <w:rPr>
          <w:rStyle w:val="FootnoteReference"/>
        </w:rPr>
        <w:footnoteRef/>
      </w:r>
      <w:r w:rsidRPr="00354519">
        <w:t xml:space="preserve"> Paragraph 1 of the AU Solemn Declaration on Gender Equality in Africa.</w:t>
      </w:r>
    </w:p>
  </w:footnote>
  <w:footnote w:id="154">
    <w:p w14:paraId="4EDE7C9A" w14:textId="77777777" w:rsidR="006D6A0C" w:rsidRPr="00354519" w:rsidRDefault="006D6A0C" w:rsidP="00E75191">
      <w:pPr>
        <w:pStyle w:val="FootnoteText"/>
      </w:pPr>
      <w:r w:rsidRPr="00354519">
        <w:rPr>
          <w:rStyle w:val="FootnoteReference"/>
        </w:rPr>
        <w:footnoteRef/>
      </w:r>
      <w:r w:rsidRPr="00354519">
        <w:t xml:space="preserve"> </w:t>
      </w:r>
      <w:r w:rsidRPr="00354519">
        <w:rPr>
          <w:i/>
        </w:rPr>
        <w:t>Ibid</w:t>
      </w:r>
      <w:r w:rsidRPr="00354519">
        <w:t>.</w:t>
      </w:r>
    </w:p>
  </w:footnote>
  <w:footnote w:id="155">
    <w:p w14:paraId="485EFC2F" w14:textId="77777777" w:rsidR="006D6A0C" w:rsidRPr="00354519" w:rsidRDefault="006D6A0C" w:rsidP="00E75191">
      <w:pPr>
        <w:pStyle w:val="FootnoteText"/>
      </w:pPr>
      <w:r w:rsidRPr="00354519">
        <w:rPr>
          <w:rStyle w:val="FootnoteReference"/>
        </w:rPr>
        <w:footnoteRef/>
      </w:r>
      <w:r w:rsidRPr="00354519">
        <w:t xml:space="preserve"> Article 12(1) of the International Covenant on Social, Economic and Cultural Rights.</w:t>
      </w:r>
    </w:p>
  </w:footnote>
  <w:footnote w:id="156">
    <w:p w14:paraId="7EFD618D" w14:textId="77777777" w:rsidR="006D6A0C" w:rsidRPr="00354519" w:rsidRDefault="006D6A0C" w:rsidP="00963661">
      <w:pPr>
        <w:pStyle w:val="FootnoteText"/>
      </w:pPr>
      <w:r w:rsidRPr="00354519">
        <w:rPr>
          <w:rStyle w:val="FootnoteReference"/>
        </w:rPr>
        <w:footnoteRef/>
      </w:r>
      <w:r w:rsidRPr="00354519">
        <w:t xml:space="preserve"> Federal Ministry of Health; National Health Analytical Tool showing Health Service Uptake during the COVID-19 pandemic. Retrieved from: </w:t>
      </w:r>
      <w:hyperlink r:id="rId32" w:history="1">
        <w:r w:rsidRPr="00354519">
          <w:rPr>
            <w:rStyle w:val="Hyperlink"/>
          </w:rPr>
          <w:t>https://msdat.fmohconnect.gov.ng/covid/index.html</w:t>
        </w:r>
      </w:hyperlink>
      <w:r w:rsidRPr="00354519">
        <w:t>. Accessed 24</w:t>
      </w:r>
      <w:r w:rsidRPr="00354519">
        <w:rPr>
          <w:vertAlign w:val="superscript"/>
        </w:rPr>
        <w:t>th</w:t>
      </w:r>
      <w:r w:rsidRPr="00354519">
        <w:t xml:space="preserve"> June 2021</w:t>
      </w:r>
    </w:p>
  </w:footnote>
  <w:footnote w:id="157">
    <w:p w14:paraId="59944D31" w14:textId="77777777" w:rsidR="006D6A0C" w:rsidRPr="00354519" w:rsidRDefault="006D6A0C">
      <w:pPr>
        <w:pStyle w:val="FootnoteText"/>
      </w:pPr>
      <w:r w:rsidRPr="00354519">
        <w:rPr>
          <w:rStyle w:val="FootnoteReference"/>
        </w:rPr>
        <w:footnoteRef/>
      </w:r>
      <w:r w:rsidRPr="00354519">
        <w:t xml:space="preserve"> NDHS, 2018. </w:t>
      </w:r>
    </w:p>
  </w:footnote>
  <w:footnote w:id="158">
    <w:p w14:paraId="29622B17" w14:textId="77777777" w:rsidR="006D6A0C" w:rsidRPr="00354519" w:rsidRDefault="006D6A0C">
      <w:pPr>
        <w:pStyle w:val="FootnoteText"/>
        <w:rPr>
          <w:lang w:val="en-GB"/>
        </w:rPr>
      </w:pPr>
      <w:r w:rsidRPr="00354519">
        <w:rPr>
          <w:rStyle w:val="FootnoteReference"/>
        </w:rPr>
        <w:footnoteRef/>
      </w:r>
      <w:r w:rsidRPr="00354519">
        <w:t xml:space="preserve"> UN SDG Goals, online: &lt;</w:t>
      </w:r>
      <w:hyperlink r:id="rId33" w:history="1">
        <w:r w:rsidRPr="00354519">
          <w:rPr>
            <w:rStyle w:val="Hyperlink"/>
          </w:rPr>
          <w:t>THE 17 GOALS | Sustainable Development (un.org)</w:t>
        </w:r>
      </w:hyperlink>
      <w:r w:rsidRPr="00354519">
        <w:t>&gt;</w:t>
      </w:r>
    </w:p>
  </w:footnote>
  <w:footnote w:id="159">
    <w:p w14:paraId="361BE67A" w14:textId="77777777" w:rsidR="006D6A0C" w:rsidRPr="00354519" w:rsidRDefault="006D6A0C">
      <w:pPr>
        <w:pStyle w:val="FootnoteText"/>
        <w:rPr>
          <w:lang w:val="en-GB"/>
        </w:rPr>
      </w:pPr>
      <w:r w:rsidRPr="00354519">
        <w:rPr>
          <w:rStyle w:val="FootnoteReference"/>
        </w:rPr>
        <w:footnoteRef/>
      </w:r>
      <w:r w:rsidRPr="00354519">
        <w:t xml:space="preserve"> UNICEF (2021). Education. Accessed via </w:t>
      </w:r>
      <w:hyperlink r:id="rId34" w:history="1">
        <w:r w:rsidRPr="00354519">
          <w:rPr>
            <w:rStyle w:val="Hyperlink"/>
          </w:rPr>
          <w:t>https://www.unicef.org/nigeria/education</w:t>
        </w:r>
      </w:hyperlink>
    </w:p>
  </w:footnote>
  <w:footnote w:id="160">
    <w:p w14:paraId="676596FB" w14:textId="77777777" w:rsidR="006D6A0C" w:rsidRPr="00354519" w:rsidRDefault="006D6A0C">
      <w:pPr>
        <w:pStyle w:val="FootnoteText"/>
        <w:rPr>
          <w:lang w:val="en-GB"/>
        </w:rPr>
      </w:pPr>
      <w:r w:rsidRPr="00354519">
        <w:rPr>
          <w:rStyle w:val="FootnoteReference"/>
        </w:rPr>
        <w:footnoteRef/>
      </w:r>
      <w:r w:rsidRPr="00354519">
        <w:t xml:space="preserve"> Ibid. </w:t>
      </w:r>
    </w:p>
  </w:footnote>
  <w:footnote w:id="161">
    <w:p w14:paraId="3F5E1205" w14:textId="77777777" w:rsidR="006D6A0C" w:rsidRPr="00354519" w:rsidRDefault="006D6A0C">
      <w:pPr>
        <w:pStyle w:val="FootnoteText"/>
      </w:pPr>
      <w:r w:rsidRPr="00354519">
        <w:rPr>
          <w:rStyle w:val="FootnoteReference"/>
        </w:rPr>
        <w:footnoteRef/>
      </w:r>
      <w:r w:rsidRPr="00354519">
        <w:t xml:space="preserve"> Ibid. </w:t>
      </w:r>
    </w:p>
  </w:footnote>
  <w:footnote w:id="162">
    <w:p w14:paraId="16E626CE" w14:textId="77777777" w:rsidR="006D6A0C" w:rsidRPr="00354519" w:rsidRDefault="006D6A0C">
      <w:pPr>
        <w:pStyle w:val="FootnoteText"/>
      </w:pPr>
      <w:r w:rsidRPr="00354519">
        <w:rPr>
          <w:rStyle w:val="FootnoteReference"/>
        </w:rPr>
        <w:footnoteRef/>
      </w:r>
      <w:r w:rsidRPr="00354519">
        <w:t xml:space="preserve"> NDHS 2018. </w:t>
      </w:r>
    </w:p>
  </w:footnote>
  <w:footnote w:id="163">
    <w:p w14:paraId="166B7046" w14:textId="77777777" w:rsidR="006D6A0C" w:rsidRPr="00354519" w:rsidRDefault="006D6A0C" w:rsidP="00C1228A">
      <w:pPr>
        <w:pStyle w:val="FootnoteText"/>
      </w:pPr>
      <w:r w:rsidRPr="00354519">
        <w:rPr>
          <w:rStyle w:val="FootnoteReference"/>
        </w:rPr>
        <w:footnoteRef/>
      </w:r>
      <w:r w:rsidRPr="00354519">
        <w:t xml:space="preserve"> National Gender Policy, 2006; p.62</w:t>
      </w:r>
    </w:p>
  </w:footnote>
  <w:footnote w:id="164">
    <w:p w14:paraId="32BEF330" w14:textId="77777777" w:rsidR="006D6A0C" w:rsidRPr="00354519" w:rsidRDefault="006D6A0C" w:rsidP="00C1228A">
      <w:pPr>
        <w:pStyle w:val="FootnoteText"/>
      </w:pPr>
      <w:r w:rsidRPr="00354519">
        <w:rPr>
          <w:rStyle w:val="FootnoteReference"/>
        </w:rPr>
        <w:footnoteRef/>
      </w:r>
      <w:r w:rsidRPr="00354519">
        <w:t xml:space="preserve"> National Population Commission, ‘Nigeria Demographic and Health Survey 2018’ (2018) 19.</w:t>
      </w:r>
    </w:p>
  </w:footnote>
  <w:footnote w:id="165">
    <w:p w14:paraId="62845665" w14:textId="77777777" w:rsidR="006D6A0C" w:rsidRPr="00354519" w:rsidRDefault="006D6A0C" w:rsidP="00C1228A">
      <w:pPr>
        <w:pStyle w:val="FootnoteText"/>
      </w:pPr>
      <w:r w:rsidRPr="00354519">
        <w:rPr>
          <w:rStyle w:val="FootnoteReference"/>
        </w:rPr>
        <w:footnoteRef/>
      </w:r>
      <w:r w:rsidRPr="00354519">
        <w:t xml:space="preserve"> </w:t>
      </w:r>
      <w:r w:rsidRPr="00354519">
        <w:rPr>
          <w:i/>
        </w:rPr>
        <w:t>Ibid</w:t>
      </w:r>
      <w:r w:rsidRPr="00354519">
        <w:t>.</w:t>
      </w:r>
    </w:p>
  </w:footnote>
  <w:footnote w:id="166">
    <w:p w14:paraId="09F3585B" w14:textId="77777777" w:rsidR="006D6A0C" w:rsidRPr="00354519" w:rsidRDefault="006D6A0C" w:rsidP="00955BA4">
      <w:pPr>
        <w:pStyle w:val="FootnoteText"/>
      </w:pPr>
      <w:r w:rsidRPr="00354519">
        <w:rPr>
          <w:rStyle w:val="FootnoteReference"/>
        </w:rPr>
        <w:footnoteRef/>
      </w:r>
      <w:r w:rsidRPr="00354519">
        <w:t xml:space="preserve"> Ibid. </w:t>
      </w:r>
    </w:p>
  </w:footnote>
  <w:footnote w:id="167">
    <w:p w14:paraId="5791519B" w14:textId="77777777" w:rsidR="006D6A0C" w:rsidRPr="00354519" w:rsidRDefault="006D6A0C">
      <w:pPr>
        <w:pStyle w:val="FootnoteText"/>
      </w:pPr>
      <w:r w:rsidRPr="00354519">
        <w:rPr>
          <w:rStyle w:val="FootnoteReference"/>
        </w:rPr>
        <w:footnoteRef/>
      </w:r>
      <w:r w:rsidRPr="00354519">
        <w:t xml:space="preserve"> NDHS, 2018 at 18. </w:t>
      </w:r>
    </w:p>
  </w:footnote>
  <w:footnote w:id="168">
    <w:p w14:paraId="7CF48A23" w14:textId="77777777" w:rsidR="006D6A0C" w:rsidRPr="00354519" w:rsidRDefault="006D6A0C" w:rsidP="00C1228A">
      <w:pPr>
        <w:pStyle w:val="FootnoteText"/>
      </w:pPr>
      <w:r w:rsidRPr="00354519">
        <w:rPr>
          <w:rStyle w:val="FootnoteReference"/>
        </w:rPr>
        <w:footnoteRef/>
      </w:r>
      <w:r w:rsidRPr="00354519">
        <w:t xml:space="preserve"> National Population Commission, ‘Nigeria Demographic and Health Survey 2018’ (2018) 20.</w:t>
      </w:r>
    </w:p>
  </w:footnote>
  <w:footnote w:id="169">
    <w:p w14:paraId="4C6450F5" w14:textId="77777777" w:rsidR="006D6A0C" w:rsidRPr="00354519" w:rsidRDefault="006D6A0C" w:rsidP="000A075B">
      <w:pPr>
        <w:pStyle w:val="FootnoteText"/>
      </w:pPr>
      <w:r w:rsidRPr="00354519">
        <w:rPr>
          <w:rStyle w:val="FootnoteReference"/>
        </w:rPr>
        <w:footnoteRef/>
      </w:r>
      <w:r w:rsidRPr="00354519">
        <w:t xml:space="preserve"> Nigeria - Multiple Indicator Cluster Survey (MICS5) 2016-17, 2018. </w:t>
      </w:r>
    </w:p>
  </w:footnote>
  <w:footnote w:id="170">
    <w:p w14:paraId="3F82A4BD" w14:textId="77777777" w:rsidR="006D6A0C" w:rsidRPr="00354519" w:rsidRDefault="006D6A0C">
      <w:pPr>
        <w:pStyle w:val="FootnoteText"/>
      </w:pPr>
      <w:r w:rsidRPr="00354519">
        <w:rPr>
          <w:rStyle w:val="FootnoteReference"/>
        </w:rPr>
        <w:footnoteRef/>
      </w:r>
      <w:r w:rsidRPr="00354519">
        <w:t xml:space="preserve"> Statista, </w:t>
      </w:r>
      <w:hyperlink r:id="rId35" w:history="1">
        <w:r w:rsidRPr="00354519">
          <w:rPr>
            <w:rStyle w:val="Hyperlink"/>
          </w:rPr>
          <w:t xml:space="preserve"> Nigeria: completion rate for upper secondary school | Statista</w:t>
        </w:r>
      </w:hyperlink>
    </w:p>
  </w:footnote>
  <w:footnote w:id="171">
    <w:p w14:paraId="11F6C96B" w14:textId="77777777" w:rsidR="006D6A0C" w:rsidRPr="00354519" w:rsidRDefault="006D6A0C" w:rsidP="007A0E9F">
      <w:pPr>
        <w:pStyle w:val="FootnoteText"/>
      </w:pPr>
      <w:r w:rsidRPr="00354519">
        <w:rPr>
          <w:rStyle w:val="FootnoteReference"/>
        </w:rPr>
        <w:footnoteRef/>
      </w:r>
      <w:r w:rsidRPr="00354519">
        <w:t xml:space="preserve"> UNICEF, Child Marriage in West and Central Africa At a Glance, 2018</w:t>
      </w:r>
    </w:p>
  </w:footnote>
  <w:footnote w:id="172">
    <w:p w14:paraId="4399D0C8" w14:textId="77777777" w:rsidR="006D6A0C" w:rsidRPr="00354519" w:rsidRDefault="006D6A0C" w:rsidP="00AB43EF">
      <w:pPr>
        <w:pStyle w:val="FootnoteText"/>
      </w:pPr>
      <w:r w:rsidRPr="00354519">
        <w:rPr>
          <w:rStyle w:val="FootnoteReference"/>
        </w:rPr>
        <w:footnoteRef/>
      </w:r>
      <w:r w:rsidRPr="00354519">
        <w:t xml:space="preserve"> Nigerian Bureau of Statistics (2018). Demographic Statistics Bulletin 2017</w:t>
      </w:r>
    </w:p>
  </w:footnote>
  <w:footnote w:id="173">
    <w:p w14:paraId="7EEB6A5C" w14:textId="77777777" w:rsidR="006D6A0C" w:rsidRPr="00354519" w:rsidRDefault="006D6A0C" w:rsidP="007A0E9F">
      <w:pPr>
        <w:pStyle w:val="FootnoteText"/>
      </w:pPr>
      <w:r w:rsidRPr="00354519">
        <w:rPr>
          <w:rStyle w:val="FootnoteReference"/>
        </w:rPr>
        <w:footnoteRef/>
      </w:r>
      <w:r w:rsidRPr="00354519">
        <w:t xml:space="preserve"> Ibid. </w:t>
      </w:r>
    </w:p>
  </w:footnote>
  <w:footnote w:id="174">
    <w:p w14:paraId="285C463B" w14:textId="77777777" w:rsidR="006D6A0C" w:rsidRPr="00354519" w:rsidRDefault="006D6A0C">
      <w:pPr>
        <w:pStyle w:val="FootnoteText"/>
      </w:pPr>
      <w:r w:rsidRPr="00354519">
        <w:rPr>
          <w:rStyle w:val="FootnoteReference"/>
        </w:rPr>
        <w:footnoteRef/>
      </w:r>
      <w:r w:rsidRPr="00354519">
        <w:t xml:space="preserve"> Adejoke Adeboyejo (2021). Pandemic Impacts on Education Inequality in Lagos State. Published on Milken Institute COVID-19 watch https://covid19africawatch.org/pandemic-impacts-on-educational-inequality-in-lagos-state-nigeria/</w:t>
      </w:r>
    </w:p>
  </w:footnote>
  <w:footnote w:id="175">
    <w:p w14:paraId="76FF142E" w14:textId="77777777" w:rsidR="006D6A0C" w:rsidRPr="00615377" w:rsidRDefault="006D6A0C" w:rsidP="00BA4F3E">
      <w:pPr>
        <w:pStyle w:val="FootnoteText"/>
      </w:pPr>
      <w:r w:rsidRPr="00615377">
        <w:rPr>
          <w:rStyle w:val="FootnoteReference"/>
        </w:rPr>
        <w:footnoteRef/>
      </w:r>
      <w:r w:rsidRPr="00615377">
        <w:t xml:space="preserve"> Shuaibu Saidu Musa, Goodness Ogeyi Odey, Muhammad Kabir Musa, Samar Mohammed Alhaj, Blessing Abai Sunday, Suleiman Maimuna Muhammad, Don Eliseo Lucero- Prisno,</w:t>
      </w:r>
    </w:p>
    <w:p w14:paraId="32B6253E" w14:textId="77777777" w:rsidR="006D6A0C" w:rsidRPr="00615377" w:rsidRDefault="006D6A0C" w:rsidP="00BA4F3E">
      <w:pPr>
        <w:pStyle w:val="FootnoteText"/>
      </w:pPr>
      <w:r w:rsidRPr="00615377">
        <w:t>Early marriage and teenage pregnancy: The unspoken consequences of COVID-19 pandemic in Nigeria,</w:t>
      </w:r>
    </w:p>
    <w:p w14:paraId="10BF912B" w14:textId="77777777" w:rsidR="006D6A0C" w:rsidRPr="00615377" w:rsidRDefault="006D6A0C" w:rsidP="00BA4F3E">
      <w:pPr>
        <w:pStyle w:val="FootnoteText"/>
      </w:pPr>
      <w:r w:rsidRPr="00615377">
        <w:t>Public Health in Practice, Volume 2, 2021, https://doi.org/10.1016/j.puhip.2021.100152.</w:t>
      </w:r>
    </w:p>
    <w:p w14:paraId="2030E9B4" w14:textId="77777777" w:rsidR="006D6A0C" w:rsidRPr="006E3C5B" w:rsidRDefault="006D6A0C" w:rsidP="00BA4F3E">
      <w:pPr>
        <w:pStyle w:val="FootnoteText"/>
        <w:rPr>
          <w:color w:val="FF0000"/>
        </w:rPr>
      </w:pPr>
      <w:r w:rsidRPr="00615377">
        <w:t>(https://www.sciencedirect.com/science/article/pii/S266653522100077X)</w:t>
      </w:r>
    </w:p>
  </w:footnote>
  <w:footnote w:id="176">
    <w:p w14:paraId="0F825205" w14:textId="77777777" w:rsidR="006D6A0C" w:rsidRPr="00354519" w:rsidRDefault="006D6A0C" w:rsidP="007A0E9F">
      <w:pPr>
        <w:pStyle w:val="FootnoteText"/>
      </w:pPr>
      <w:r w:rsidRPr="00354519">
        <w:rPr>
          <w:rStyle w:val="FootnoteReference"/>
        </w:rPr>
        <w:footnoteRef/>
      </w:r>
      <w:r w:rsidRPr="00354519">
        <w:t xml:space="preserve"> Arise News (2021). Nigeria Cannot Afford Funds to Revive Education, Buhari Says. </w:t>
      </w:r>
      <w:hyperlink r:id="rId36" w:history="1">
        <w:r w:rsidRPr="00354519">
          <w:rPr>
            <w:rStyle w:val="Hyperlink"/>
          </w:rPr>
          <w:t>https://www.arise.tv/nigeria-cannot-afford-funds-to-revive-education-buhari-says/</w:t>
        </w:r>
      </w:hyperlink>
      <w:r w:rsidRPr="00354519">
        <w:t xml:space="preserve"> </w:t>
      </w:r>
    </w:p>
  </w:footnote>
  <w:footnote w:id="177">
    <w:p w14:paraId="15914311" w14:textId="77777777" w:rsidR="006D6A0C" w:rsidRPr="00354519" w:rsidRDefault="006D6A0C" w:rsidP="00E75191">
      <w:pPr>
        <w:pStyle w:val="FootnoteText"/>
        <w:rPr>
          <w:rFonts w:ascii="Calibri" w:hAnsi="Calibri"/>
          <w:lang w:val="en-GB"/>
        </w:rPr>
      </w:pPr>
      <w:r w:rsidRPr="00354519">
        <w:rPr>
          <w:rStyle w:val="FootnoteReference"/>
        </w:rPr>
        <w:footnoteRef/>
      </w:r>
      <w:r w:rsidRPr="00354519">
        <w:t xml:space="preserve"> </w:t>
      </w:r>
      <w:hyperlink r:id="rId37" w:history="1">
        <w:r w:rsidRPr="00354519">
          <w:rPr>
            <w:rStyle w:val="Hyperlink"/>
          </w:rPr>
          <w:t>https://reliefweb.int/sites/reliefweb.int/files/resources/nigeria_education_sector_covid-19_response_strategy_north_east_.pdf</w:t>
        </w:r>
      </w:hyperlink>
      <w:r w:rsidRPr="00354519">
        <w:t xml:space="preserve"> </w:t>
      </w:r>
    </w:p>
  </w:footnote>
  <w:footnote w:id="178">
    <w:p w14:paraId="00C68DF7" w14:textId="77777777" w:rsidR="006D6A0C" w:rsidRPr="00354519" w:rsidRDefault="006D6A0C" w:rsidP="00E75191">
      <w:pPr>
        <w:pStyle w:val="FootnoteText"/>
        <w:rPr>
          <w:lang w:val="en-GB"/>
        </w:rPr>
      </w:pPr>
      <w:r w:rsidRPr="00354519">
        <w:rPr>
          <w:rStyle w:val="FootnoteReference"/>
        </w:rPr>
        <w:footnoteRef/>
      </w:r>
      <w:r w:rsidRPr="00354519">
        <w:t xml:space="preserve"> </w:t>
      </w:r>
      <w:hyperlink r:id="rId38" w:history="1">
        <w:r w:rsidRPr="00354519">
          <w:rPr>
            <w:rStyle w:val="Hyperlink"/>
          </w:rPr>
          <w:t>COVID-19: FG launches free e-learning portals for students (premiumtimesng.com)</w:t>
        </w:r>
      </w:hyperlink>
    </w:p>
  </w:footnote>
  <w:footnote w:id="179">
    <w:p w14:paraId="5C40E557" w14:textId="77777777" w:rsidR="006D6A0C" w:rsidRPr="00354519" w:rsidRDefault="006D6A0C" w:rsidP="00E75191">
      <w:pPr>
        <w:pStyle w:val="FootnoteText"/>
        <w:rPr>
          <w:lang w:val="en-GB"/>
        </w:rPr>
      </w:pPr>
      <w:r w:rsidRPr="00354519">
        <w:rPr>
          <w:rStyle w:val="FootnoteReference"/>
        </w:rPr>
        <w:footnoteRef/>
      </w:r>
      <w:r w:rsidRPr="00354519">
        <w:t xml:space="preserve"> Ibid. </w:t>
      </w:r>
    </w:p>
  </w:footnote>
  <w:footnote w:id="180">
    <w:p w14:paraId="40AB25AE" w14:textId="77777777" w:rsidR="006D6A0C" w:rsidRPr="00354519" w:rsidRDefault="006D6A0C" w:rsidP="00E75191">
      <w:pPr>
        <w:pStyle w:val="FootnoteText"/>
        <w:rPr>
          <w:lang w:val="en-GB"/>
        </w:rPr>
      </w:pPr>
      <w:r w:rsidRPr="00354519">
        <w:rPr>
          <w:rStyle w:val="FootnoteReference"/>
        </w:rPr>
        <w:footnoteRef/>
      </w:r>
      <w:r w:rsidRPr="00354519">
        <w:t xml:space="preserve"> </w:t>
      </w:r>
    </w:p>
  </w:footnote>
  <w:footnote w:id="181">
    <w:p w14:paraId="00D158CF" w14:textId="77777777" w:rsidR="006D6A0C" w:rsidRPr="00354519" w:rsidRDefault="006D6A0C" w:rsidP="00E75191">
      <w:pPr>
        <w:pStyle w:val="FootnoteText"/>
      </w:pPr>
      <w:r w:rsidRPr="00354519">
        <w:rPr>
          <w:rStyle w:val="FootnoteReference"/>
        </w:rPr>
        <w:footnoteRef/>
      </w:r>
      <w:r w:rsidRPr="00354519">
        <w:t xml:space="preserve"> Paragraph 8 of the AU Solemn Declaration on Gender Equality in Africa.</w:t>
      </w:r>
    </w:p>
  </w:footnote>
  <w:footnote w:id="182">
    <w:p w14:paraId="7A48B372" w14:textId="77777777" w:rsidR="006D6A0C" w:rsidRPr="00354519" w:rsidRDefault="006D6A0C" w:rsidP="00E75191">
      <w:pPr>
        <w:pStyle w:val="FootnoteText"/>
      </w:pPr>
      <w:r w:rsidRPr="00354519">
        <w:rPr>
          <w:rStyle w:val="FootnoteReference"/>
        </w:rPr>
        <w:footnoteRef/>
      </w:r>
      <w:r w:rsidRPr="00354519">
        <w:t xml:space="preserve"> Section 18, CFRN 1999.</w:t>
      </w:r>
    </w:p>
  </w:footnote>
  <w:footnote w:id="183">
    <w:p w14:paraId="521909BC" w14:textId="77777777" w:rsidR="006D6A0C" w:rsidRPr="00354519" w:rsidRDefault="006D6A0C" w:rsidP="00E75191">
      <w:pPr>
        <w:pStyle w:val="FootnoteText"/>
      </w:pPr>
      <w:r w:rsidRPr="00354519">
        <w:rPr>
          <w:rStyle w:val="FootnoteReference"/>
        </w:rPr>
        <w:footnoteRef/>
      </w:r>
      <w:r w:rsidRPr="00354519">
        <w:t xml:space="preserve"> Section 2, Universal Basic Education Act, 2004</w:t>
      </w:r>
    </w:p>
  </w:footnote>
  <w:footnote w:id="184">
    <w:p w14:paraId="25975747" w14:textId="77777777" w:rsidR="006D6A0C" w:rsidRPr="00354519" w:rsidRDefault="006D6A0C" w:rsidP="00E75191">
      <w:pPr>
        <w:pStyle w:val="FootnoteText"/>
      </w:pPr>
      <w:r w:rsidRPr="00354519">
        <w:rPr>
          <w:rStyle w:val="FootnoteReference"/>
        </w:rPr>
        <w:footnoteRef/>
      </w:r>
      <w:r w:rsidRPr="00354519">
        <w:t xml:space="preserve"> Section 15, Child Rights Act 2003</w:t>
      </w:r>
    </w:p>
  </w:footnote>
  <w:footnote w:id="185">
    <w:p w14:paraId="39FBFA70" w14:textId="77777777" w:rsidR="006D6A0C" w:rsidRPr="00354519" w:rsidRDefault="006D6A0C" w:rsidP="00E75191">
      <w:pPr>
        <w:pStyle w:val="FootnoteText"/>
      </w:pPr>
      <w:r w:rsidRPr="00354519">
        <w:rPr>
          <w:rStyle w:val="FootnoteReference"/>
        </w:rPr>
        <w:footnoteRef/>
      </w:r>
      <w:r w:rsidRPr="00354519">
        <w:t xml:space="preserve"> UN Women, SDG 5: Achieve gender equality and empower all women and girls </w:t>
      </w:r>
    </w:p>
  </w:footnote>
  <w:footnote w:id="186">
    <w:p w14:paraId="12C364A5" w14:textId="77777777" w:rsidR="006D6A0C" w:rsidRPr="00354519" w:rsidRDefault="006D6A0C" w:rsidP="00E75191">
      <w:pPr>
        <w:pStyle w:val="FootnoteText"/>
      </w:pPr>
      <w:r w:rsidRPr="00354519">
        <w:rPr>
          <w:rStyle w:val="FootnoteReference"/>
        </w:rPr>
        <w:footnoteRef/>
      </w:r>
      <w:r w:rsidRPr="00354519">
        <w:t xml:space="preserve"> </w:t>
      </w:r>
      <w:hyperlink r:id="rId39" w:history="1">
        <w:r w:rsidRPr="00354519">
          <w:rPr>
            <w:rStyle w:val="Hyperlink"/>
          </w:rPr>
          <w:t>Africa Internet Users, 2021 Population and Facebook Statistics (internetworldstats.com)</w:t>
        </w:r>
      </w:hyperlink>
    </w:p>
  </w:footnote>
  <w:footnote w:id="187">
    <w:p w14:paraId="6CF8CC21" w14:textId="77777777" w:rsidR="006D6A0C" w:rsidRPr="00354519" w:rsidRDefault="006D6A0C" w:rsidP="00E75191">
      <w:pPr>
        <w:pStyle w:val="FootnoteText"/>
      </w:pPr>
      <w:r w:rsidRPr="00354519">
        <w:rPr>
          <w:rStyle w:val="FootnoteReference"/>
        </w:rPr>
        <w:footnoteRef/>
      </w:r>
      <w:r w:rsidRPr="00354519">
        <w:t xml:space="preserve"> National Bureau of Statistics, GDP Report, Q4 </w:t>
      </w:r>
      <w:hyperlink r:id="rId40" w:history="1">
        <w:r w:rsidRPr="00354519">
          <w:rPr>
            <w:rStyle w:val="Hyperlink"/>
          </w:rPr>
          <w:t>GDP_Report_Q4 &amp; FULL YEAR 2020.pdf</w:t>
        </w:r>
      </w:hyperlink>
    </w:p>
  </w:footnote>
  <w:footnote w:id="188">
    <w:p w14:paraId="1FBC050D" w14:textId="77777777" w:rsidR="006D6A0C" w:rsidRPr="00354519" w:rsidRDefault="006D6A0C" w:rsidP="00E75191">
      <w:pPr>
        <w:pStyle w:val="FootnoteText"/>
      </w:pPr>
      <w:r w:rsidRPr="00354519">
        <w:rPr>
          <w:rStyle w:val="FootnoteReference"/>
        </w:rPr>
        <w:footnoteRef/>
      </w:r>
      <w:r w:rsidRPr="00354519">
        <w:t xml:space="preserve"> OECD, “Bridging the Digital Gender Divide Include, Upskill and Innovate” in &lt;https://www.oecd.org/digital/bridging-the-digital-gender-divide.pdf&gt;</w:t>
      </w:r>
    </w:p>
  </w:footnote>
  <w:footnote w:id="189">
    <w:p w14:paraId="0B1A8F54" w14:textId="77777777" w:rsidR="006D6A0C" w:rsidRPr="00354519" w:rsidRDefault="006D6A0C" w:rsidP="00E75191">
      <w:pPr>
        <w:pStyle w:val="FootnoteText"/>
      </w:pPr>
      <w:r w:rsidRPr="00354519">
        <w:rPr>
          <w:rStyle w:val="FootnoteReference"/>
        </w:rPr>
        <w:footnoteRef/>
      </w:r>
      <w:r w:rsidRPr="00354519">
        <w:t xml:space="preserve"> Digital Global – Digital: Nigeria, 2021, </w:t>
      </w:r>
      <w:hyperlink r:id="rId41" w:history="1">
        <w:r w:rsidRPr="00354519">
          <w:rPr>
            <w:rStyle w:val="Hyperlink"/>
          </w:rPr>
          <w:t>Digital in Nigeria: All the Statistics You Need in 2021 — DataReportal – Global Digital Insights</w:t>
        </w:r>
      </w:hyperlink>
    </w:p>
  </w:footnote>
  <w:footnote w:id="190">
    <w:p w14:paraId="14F9478F" w14:textId="77777777" w:rsidR="006D6A0C" w:rsidRPr="00354519" w:rsidRDefault="006D6A0C" w:rsidP="00E75191">
      <w:pPr>
        <w:pStyle w:val="FootnoteText"/>
      </w:pPr>
      <w:r w:rsidRPr="00354519">
        <w:rPr>
          <w:rStyle w:val="FootnoteReference"/>
        </w:rPr>
        <w:footnoteRef/>
      </w:r>
      <w:r w:rsidRPr="00354519">
        <w:t xml:space="preserve"> </w:t>
      </w:r>
      <w:r w:rsidRPr="00354519">
        <w:rPr>
          <w:rFonts w:ascii="Times New Roman" w:hAnsi="Times New Roman" w:cs="Times New Roman"/>
        </w:rPr>
        <w:t xml:space="preserve">The Gender Mobile Gap Report, “The Mobile Gender Gap Report 2020” in &lt; </w:t>
      </w:r>
      <w:hyperlink r:id="rId42" w:history="1">
        <w:r w:rsidRPr="00354519">
          <w:rPr>
            <w:rStyle w:val="Hyperlink"/>
            <w:rFonts w:ascii="Times New Roman" w:hAnsi="Times New Roman" w:cs="Times New Roman"/>
          </w:rPr>
          <w:t>https://www.gsma.com/mobilefordevelopment/wp-content/uploads/2020/05/GSMA-The-Mobile-Gender-Gap-Report-2020.pdf</w:t>
        </w:r>
      </w:hyperlink>
      <w:r w:rsidRPr="00354519">
        <w:rPr>
          <w:rFonts w:ascii="Times New Roman" w:hAnsi="Times New Roman" w:cs="Times New Roman"/>
        </w:rPr>
        <w:t>&gt;</w:t>
      </w:r>
    </w:p>
  </w:footnote>
  <w:footnote w:id="191">
    <w:p w14:paraId="3A3AFBB6" w14:textId="77777777" w:rsidR="006D6A0C" w:rsidRPr="00354519" w:rsidRDefault="006D6A0C" w:rsidP="00E75191">
      <w:pPr>
        <w:pStyle w:val="FootnoteText"/>
      </w:pPr>
      <w:r w:rsidRPr="00354519">
        <w:rPr>
          <w:rStyle w:val="FootnoteReference"/>
        </w:rPr>
        <w:footnoteRef/>
      </w:r>
      <w:r w:rsidRPr="00354519">
        <w:t xml:space="preserve"> NDHS 2018. </w:t>
      </w:r>
    </w:p>
  </w:footnote>
  <w:footnote w:id="192">
    <w:p w14:paraId="03D748E4" w14:textId="77777777" w:rsidR="006D6A0C" w:rsidRPr="00354519" w:rsidRDefault="006D6A0C" w:rsidP="00E75191">
      <w:pPr>
        <w:pStyle w:val="FootnoteText"/>
      </w:pPr>
      <w:r w:rsidRPr="00354519">
        <w:rPr>
          <w:rStyle w:val="FootnoteReference"/>
        </w:rPr>
        <w:footnoteRef/>
      </w:r>
      <w:r w:rsidRPr="00354519">
        <w:t xml:space="preserve"> Y.Z. Ya'u and M.A. Aliyu, Internet for Men? The Digital Marginalisation of Women in Northern Nigeria, 2017, Centre for Information Technology and Development, online: </w:t>
      </w:r>
    </w:p>
  </w:footnote>
  <w:footnote w:id="193">
    <w:p w14:paraId="75140926" w14:textId="77777777" w:rsidR="006D6A0C" w:rsidRPr="00354519" w:rsidRDefault="006D6A0C" w:rsidP="00E75191">
      <w:pPr>
        <w:pStyle w:val="FootnoteText"/>
        <w:rPr>
          <w:rFonts w:ascii="Times New Roman" w:hAnsi="Times New Roman" w:cs="Times New Roman"/>
        </w:rPr>
      </w:pPr>
      <w:r w:rsidRPr="00354519">
        <w:rPr>
          <w:rStyle w:val="FootnoteReference"/>
          <w:rFonts w:ascii="Times New Roman" w:hAnsi="Times New Roman" w:cs="Times New Roman"/>
        </w:rPr>
        <w:footnoteRef/>
      </w:r>
      <w:r w:rsidRPr="00354519">
        <w:rPr>
          <w:rFonts w:ascii="Times New Roman" w:hAnsi="Times New Roman" w:cs="Times New Roman"/>
        </w:rPr>
        <w:t xml:space="preserve"> W.Tec, “The Gender Gap” in &lt; </w:t>
      </w:r>
      <w:hyperlink r:id="rId43" w:history="1">
        <w:r w:rsidRPr="00354519">
          <w:rPr>
            <w:rStyle w:val="Hyperlink"/>
            <w:rFonts w:ascii="Times New Roman" w:hAnsi="Times New Roman" w:cs="Times New Roman"/>
          </w:rPr>
          <w:t>https://wtec.org.ng/the-gender-gap/</w:t>
        </w:r>
      </w:hyperlink>
      <w:r w:rsidRPr="00354519">
        <w:rPr>
          <w:rFonts w:ascii="Times New Roman" w:hAnsi="Times New Roman" w:cs="Times New Roman"/>
        </w:rPr>
        <w:t>&gt; Accessed 5</w:t>
      </w:r>
      <w:r w:rsidRPr="00354519">
        <w:rPr>
          <w:rFonts w:ascii="Times New Roman" w:hAnsi="Times New Roman" w:cs="Times New Roman"/>
          <w:vertAlign w:val="superscript"/>
        </w:rPr>
        <w:t>th</w:t>
      </w:r>
      <w:r w:rsidRPr="00354519">
        <w:rPr>
          <w:rFonts w:ascii="Times New Roman" w:hAnsi="Times New Roman" w:cs="Times New Roman"/>
        </w:rPr>
        <w:t xml:space="preserve"> August, 2021</w:t>
      </w:r>
    </w:p>
  </w:footnote>
  <w:footnote w:id="194">
    <w:p w14:paraId="1CAFEB19" w14:textId="77777777" w:rsidR="006D6A0C" w:rsidRPr="00354519" w:rsidRDefault="006D6A0C" w:rsidP="00E75191">
      <w:pPr>
        <w:pStyle w:val="FootnoteText"/>
        <w:rPr>
          <w:rFonts w:ascii="Times New Roman" w:hAnsi="Times New Roman" w:cs="Times New Roman"/>
        </w:rPr>
      </w:pPr>
      <w:r w:rsidRPr="00354519">
        <w:rPr>
          <w:rStyle w:val="FootnoteReference"/>
          <w:rFonts w:ascii="Times New Roman" w:hAnsi="Times New Roman" w:cs="Times New Roman"/>
        </w:rPr>
        <w:footnoteRef/>
      </w:r>
      <w:r w:rsidRPr="00354519">
        <w:rPr>
          <w:rFonts w:ascii="Times New Roman" w:hAnsi="Times New Roman" w:cs="Times New Roman"/>
        </w:rPr>
        <w:t xml:space="preserve"> Ibid.</w:t>
      </w:r>
    </w:p>
  </w:footnote>
  <w:footnote w:id="195">
    <w:p w14:paraId="23DACDF7" w14:textId="77777777" w:rsidR="006D6A0C" w:rsidRPr="00354519" w:rsidRDefault="006D6A0C" w:rsidP="00E75191">
      <w:pPr>
        <w:pStyle w:val="FootnoteText"/>
        <w:rPr>
          <w:lang w:val="en-GB"/>
        </w:rPr>
      </w:pPr>
      <w:r w:rsidRPr="00354519">
        <w:rPr>
          <w:rStyle w:val="FootnoteReference"/>
        </w:rPr>
        <w:footnoteRef/>
      </w:r>
      <w:r w:rsidRPr="00354519">
        <w:t xml:space="preserve"> Vijaya Ramachandra et al, The New Economy of Africa: Opportunities for Nigeria’s Emerging Technology Sector, 2019, online:  </w:t>
      </w:r>
      <w:hyperlink r:id="rId44" w:history="1">
        <w:r w:rsidRPr="00354519">
          <w:rPr>
            <w:rStyle w:val="Hyperlink"/>
          </w:rPr>
          <w:t>The New Economy of Africa: Opportunities for Nigeria’s Emerging Technology Sector (cgdev.org)</w:t>
        </w:r>
      </w:hyperlink>
    </w:p>
  </w:footnote>
  <w:footnote w:id="196">
    <w:p w14:paraId="1C1C32D5" w14:textId="77777777" w:rsidR="006D6A0C" w:rsidRPr="00354519" w:rsidRDefault="006D6A0C" w:rsidP="00E75191">
      <w:pPr>
        <w:pStyle w:val="FootnoteText"/>
      </w:pPr>
      <w:r w:rsidRPr="00354519">
        <w:rPr>
          <w:rStyle w:val="FootnoteReference"/>
        </w:rPr>
        <w:footnoteRef/>
      </w:r>
      <w:r w:rsidRPr="00354519">
        <w:t xml:space="preserve"> Ibid. </w:t>
      </w:r>
    </w:p>
  </w:footnote>
  <w:footnote w:id="197">
    <w:p w14:paraId="00D6CE67" w14:textId="77777777" w:rsidR="006D6A0C" w:rsidRPr="00354519" w:rsidRDefault="006D6A0C" w:rsidP="00E75191">
      <w:pPr>
        <w:pStyle w:val="FootnoteText"/>
      </w:pPr>
      <w:r w:rsidRPr="00354519">
        <w:rPr>
          <w:rStyle w:val="FootnoteReference"/>
        </w:rPr>
        <w:footnoteRef/>
      </w:r>
      <w:r w:rsidRPr="00354519">
        <w:t xml:space="preserve"> Makinde 2021</w:t>
      </w:r>
    </w:p>
  </w:footnote>
  <w:footnote w:id="198">
    <w:p w14:paraId="4BB901A9" w14:textId="77777777" w:rsidR="006D6A0C" w:rsidRPr="00354519" w:rsidRDefault="006D6A0C" w:rsidP="00E75191">
      <w:pPr>
        <w:pStyle w:val="FootnoteText"/>
      </w:pPr>
      <w:r w:rsidRPr="00354519">
        <w:rPr>
          <w:rStyle w:val="FootnoteReference"/>
        </w:rPr>
        <w:footnoteRef/>
      </w:r>
      <w:r w:rsidRPr="00354519">
        <w:t xml:space="preserve"> For example in Lagos State. </w:t>
      </w:r>
    </w:p>
  </w:footnote>
  <w:footnote w:id="199">
    <w:p w14:paraId="13818BBC" w14:textId="77777777" w:rsidR="006D6A0C" w:rsidRPr="00354519" w:rsidRDefault="006D6A0C" w:rsidP="00681F77">
      <w:pPr>
        <w:pStyle w:val="FootnoteText"/>
      </w:pPr>
      <w:r w:rsidRPr="00354519">
        <w:rPr>
          <w:rStyle w:val="FootnoteReference"/>
        </w:rPr>
        <w:footnoteRef/>
      </w:r>
      <w:r w:rsidRPr="006E3C5B">
        <w:rPr>
          <w:lang w:val="fr-BE"/>
        </w:rPr>
        <w:t xml:space="preserve"> Pham-Duc, B., Sylvestre, F., Papa, F. et al. </w:t>
      </w:r>
      <w:r w:rsidRPr="00354519">
        <w:t>The Lake Chad hydrology under current climate change. Sci Rep 10, 5498 (2020). https://doi.org/10.1038/s41598-020-62417-w</w:t>
      </w:r>
    </w:p>
  </w:footnote>
  <w:footnote w:id="200">
    <w:p w14:paraId="6BDA7A58" w14:textId="77777777" w:rsidR="006D6A0C" w:rsidRPr="00354519" w:rsidRDefault="006D6A0C" w:rsidP="00681F77">
      <w:pPr>
        <w:pStyle w:val="FootnoteText"/>
        <w:rPr>
          <w:lang w:val="en-GB"/>
        </w:rPr>
      </w:pPr>
      <w:r w:rsidRPr="00354519">
        <w:rPr>
          <w:rStyle w:val="FootnoteReference"/>
        </w:rPr>
        <w:footnoteRef/>
      </w:r>
      <w:r w:rsidRPr="00354519">
        <w:t xml:space="preserve"> National Bureau of Statistics (2021). General Household Survey, Panel 2018-2019, Wave 4 Nigeria, 2018 – 2019 https://microdata.worldbank.org/index.php/catalog/3557</w:t>
      </w:r>
    </w:p>
  </w:footnote>
  <w:footnote w:id="201">
    <w:p w14:paraId="37947403" w14:textId="77777777" w:rsidR="006D6A0C" w:rsidRPr="00354519" w:rsidRDefault="006D6A0C" w:rsidP="00681F77">
      <w:pPr>
        <w:pStyle w:val="FootnoteText"/>
      </w:pPr>
      <w:r w:rsidRPr="00354519">
        <w:rPr>
          <w:rStyle w:val="FootnoteReference"/>
        </w:rPr>
        <w:footnoteRef/>
      </w:r>
      <w:r w:rsidRPr="00354519">
        <w:t xml:space="preserve"> African Development Bank (2019) ‘African Development Bank Flagship Reports’ available from https://www.afdb.org/en/documents/african-development-bank-publications-catalogueseptember-2019</w:t>
      </w:r>
    </w:p>
  </w:footnote>
  <w:footnote w:id="202">
    <w:p w14:paraId="55335C3F" w14:textId="77777777" w:rsidR="006D6A0C" w:rsidRPr="00354519" w:rsidRDefault="006D6A0C">
      <w:pPr>
        <w:pStyle w:val="FootnoteText"/>
      </w:pPr>
      <w:r w:rsidRPr="00354519">
        <w:rPr>
          <w:rStyle w:val="FootnoteReference"/>
        </w:rPr>
        <w:footnoteRef/>
      </w:r>
      <w:r w:rsidRPr="006D6A0C">
        <w:rPr>
          <w:lang w:val="de-DE"/>
        </w:rPr>
        <w:t xml:space="preserve"> Mbah, Evangeline &amp; Elizabeth  Amechi, Onwubuya &amp; Mgbenka, Regina. </w:t>
      </w:r>
      <w:r w:rsidRPr="00354519">
        <w:t>(2013). Approaches to Economic Empowerment of Rural Women for Climate Change Mitigation and Adaptation: Implications for Policy. Journal of Agricultural Extension. 17. 23. 10.4314/jae.v17i1.3.</w:t>
      </w:r>
    </w:p>
  </w:footnote>
  <w:footnote w:id="203">
    <w:p w14:paraId="2E66CFD4" w14:textId="77777777" w:rsidR="006D6A0C" w:rsidRPr="00354519" w:rsidRDefault="006D6A0C">
      <w:pPr>
        <w:pStyle w:val="FootnoteText"/>
      </w:pPr>
      <w:r w:rsidRPr="00354519">
        <w:t xml:space="preserve"> </w:t>
      </w:r>
    </w:p>
  </w:footnote>
  <w:footnote w:id="204">
    <w:p w14:paraId="393FC3EB" w14:textId="77777777" w:rsidR="006D6A0C" w:rsidRPr="00354519" w:rsidRDefault="006D6A0C" w:rsidP="00681F77">
      <w:pPr>
        <w:pStyle w:val="FootnoteText"/>
      </w:pPr>
      <w:r w:rsidRPr="00354519">
        <w:rPr>
          <w:rStyle w:val="FootnoteReference"/>
        </w:rPr>
        <w:footnoteRef/>
      </w:r>
      <w:r w:rsidRPr="00354519">
        <w:t xml:space="preserve"> Department of Climate Change Federal Ministry of Environment. www.climatechange.gov.org</w:t>
      </w:r>
    </w:p>
  </w:footnote>
  <w:footnote w:id="205">
    <w:p w14:paraId="5E4BE849" w14:textId="77777777" w:rsidR="006D6A0C" w:rsidRPr="00354519" w:rsidRDefault="006D6A0C" w:rsidP="00E82ED0">
      <w:pPr>
        <w:pStyle w:val="FootnoteText"/>
      </w:pPr>
      <w:r w:rsidRPr="00354519">
        <w:rPr>
          <w:rStyle w:val="FootnoteReference"/>
        </w:rPr>
        <w:footnoteRef/>
      </w:r>
      <w:r w:rsidRPr="00354519">
        <w:t xml:space="preserve"> “World Bank (2020). Disability Inclusion in Nigeria: A Rapid Assessment. World Bank, Washington, DC. © World Bank. https://openknowledge.worldbank.org/handle/10986/34073 License: CC BY 3.0 IGO</w:t>
      </w:r>
    </w:p>
  </w:footnote>
  <w:footnote w:id="206">
    <w:p w14:paraId="211B1129" w14:textId="77777777" w:rsidR="006D6A0C" w:rsidRPr="00354519" w:rsidRDefault="006D6A0C">
      <w:pPr>
        <w:pStyle w:val="FootnoteText"/>
      </w:pPr>
      <w:r w:rsidRPr="00354519">
        <w:rPr>
          <w:rStyle w:val="FootnoteReference"/>
        </w:rPr>
        <w:footnoteRef/>
      </w:r>
      <w:r w:rsidRPr="00354519">
        <w:t xml:space="preserve"> Lagos Special People’s Law, 2011</w:t>
      </w:r>
    </w:p>
  </w:footnote>
  <w:footnote w:id="207">
    <w:p w14:paraId="266E272A" w14:textId="77777777" w:rsidR="006D6A0C" w:rsidRPr="00354519" w:rsidRDefault="006D6A0C" w:rsidP="00E82ED0">
      <w:pPr>
        <w:pStyle w:val="FootnoteText"/>
        <w:rPr>
          <w:lang w:val="en-GB"/>
        </w:rPr>
      </w:pPr>
      <w:r w:rsidRPr="00354519">
        <w:rPr>
          <w:rStyle w:val="FootnoteReference"/>
        </w:rPr>
        <w:footnoteRef/>
      </w:r>
      <w:r w:rsidRPr="00354519">
        <w:t xml:space="preserve"> UK Aid (2020). Nigeria Situational Analysis Version II - June 2020 https://opendocs.ids.ac.uk/opendocs/bitstream/handle/20.500.12413/15561/DID%20SITAN%20Nigeria%20V2%20July%202020.pdf?sequence=1&amp;isAllowed=y</w:t>
      </w:r>
    </w:p>
  </w:footnote>
  <w:footnote w:id="208">
    <w:p w14:paraId="6AE144DB" w14:textId="77777777" w:rsidR="006D6A0C" w:rsidRPr="00354519" w:rsidRDefault="006D6A0C" w:rsidP="00E82ED0">
      <w:pPr>
        <w:pStyle w:val="FootnoteText"/>
      </w:pPr>
      <w:r w:rsidRPr="00354519">
        <w:rPr>
          <w:rStyle w:val="FootnoteReference"/>
        </w:rPr>
        <w:footnoteRef/>
      </w:r>
      <w:r w:rsidRPr="00354519">
        <w:t xml:space="preserve"> Premium Times Nigeria (2020). PWDs Are Not Benefitting Enough Form Social Protection Programmes In Four Nigerian States. https://www.premiumtimesng.com/news/more-news/461527-pwds-not-benefitting-enough-from-social-protection-programmes-in-four-nigerian-states-survey.html</w:t>
      </w:r>
    </w:p>
  </w:footnote>
  <w:footnote w:id="209">
    <w:p w14:paraId="5F1B7427" w14:textId="77777777" w:rsidR="006D6A0C" w:rsidRPr="00354519" w:rsidRDefault="006D6A0C" w:rsidP="00E82ED0">
      <w:pPr>
        <w:pStyle w:val="FootnoteText"/>
      </w:pPr>
      <w:r w:rsidRPr="00354519">
        <w:rPr>
          <w:rStyle w:val="FootnoteReference"/>
        </w:rPr>
        <w:footnoteRef/>
      </w:r>
      <w:r w:rsidRPr="00354519">
        <w:t xml:space="preserve"> Key Informant</w:t>
      </w:r>
    </w:p>
  </w:footnote>
  <w:footnote w:id="210">
    <w:p w14:paraId="3B43D9E7" w14:textId="77777777" w:rsidR="006D6A0C" w:rsidRPr="00354519" w:rsidRDefault="006D6A0C" w:rsidP="00372C4D">
      <w:pPr>
        <w:pStyle w:val="FootnoteText"/>
      </w:pPr>
      <w:r w:rsidRPr="00354519">
        <w:rPr>
          <w:rStyle w:val="FootnoteReference"/>
        </w:rPr>
        <w:footnoteRef/>
      </w:r>
      <w:r w:rsidRPr="00354519">
        <w:t xml:space="preserve"> UNHCR (2020). Nigeria emergency https://www.unhcr.org/nigeria-emergency.html</w:t>
      </w:r>
    </w:p>
  </w:footnote>
  <w:footnote w:id="211">
    <w:p w14:paraId="350B55AD" w14:textId="77777777" w:rsidR="006D6A0C" w:rsidRDefault="006D6A0C" w:rsidP="00372C4D">
      <w:pPr>
        <w:pStyle w:val="FootnoteText"/>
      </w:pPr>
      <w:r>
        <w:rPr>
          <w:rStyle w:val="FootnoteReference"/>
        </w:rPr>
        <w:footnoteRef/>
      </w:r>
      <w:r>
        <w:t xml:space="preserve"> </w:t>
      </w:r>
      <w:r w:rsidRPr="00FF2DFF">
        <w:t>UNHCR in Nigeria Factsheet June 2021</w:t>
      </w:r>
      <w:r>
        <w:t xml:space="preserve"> </w:t>
      </w:r>
      <w:r w:rsidRPr="00FF2DFF">
        <w:t>https://data2.unhcr.org/en/documents/details/88182</w:t>
      </w:r>
    </w:p>
  </w:footnote>
  <w:footnote w:id="212">
    <w:p w14:paraId="0EE290C3" w14:textId="77777777" w:rsidR="006D6A0C" w:rsidRPr="00354519" w:rsidRDefault="006D6A0C" w:rsidP="00372C4D">
      <w:pPr>
        <w:pStyle w:val="FootnoteText"/>
      </w:pPr>
      <w:r w:rsidRPr="00354519">
        <w:rPr>
          <w:rStyle w:val="FootnoteReference"/>
        </w:rPr>
        <w:footnoteRef/>
      </w:r>
      <w:r w:rsidRPr="00354519">
        <w:t xml:space="preserve"> Internal Displacement Monitoring Centre (2020). North-east Nigeria: A massive internal displacement crisis https://www.internal-displacement.org/features/nigeria-internal-displacement-crisis-conflict-floods</w:t>
      </w:r>
    </w:p>
  </w:footnote>
  <w:footnote w:id="213">
    <w:p w14:paraId="24D8442F" w14:textId="77777777" w:rsidR="006D6A0C" w:rsidRDefault="006D6A0C" w:rsidP="00372C4D">
      <w:pPr>
        <w:pStyle w:val="FootnoteText"/>
      </w:pPr>
      <w:r>
        <w:rPr>
          <w:rStyle w:val="FootnoteReference"/>
        </w:rPr>
        <w:footnoteRef/>
      </w:r>
      <w:r>
        <w:t xml:space="preserve"> Premium Times Nigeria (2020) </w:t>
      </w:r>
      <w:r w:rsidRPr="000E70CA">
        <w:t>SPECIAL REPORT: How Boko Haram-displaced women, girls are sexually abused at IDP camps (1)</w:t>
      </w:r>
      <w:r>
        <w:t xml:space="preserve"> </w:t>
      </w:r>
      <w:r w:rsidRPr="000E70CA">
        <w:t>https://www.premiumtimesng.com/news/headlines/407902-special-report-how-boko-haram-displaced-women-girls-are-sexually-abused-at-idp-camps-1.html</w:t>
      </w:r>
    </w:p>
  </w:footnote>
  <w:footnote w:id="214">
    <w:p w14:paraId="17BC9385" w14:textId="77777777" w:rsidR="006D6A0C" w:rsidRDefault="006D6A0C" w:rsidP="00372C4D">
      <w:pPr>
        <w:pStyle w:val="FootnoteText"/>
      </w:pPr>
      <w:r>
        <w:rPr>
          <w:rStyle w:val="FootnoteReference"/>
        </w:rPr>
        <w:footnoteRef/>
      </w:r>
      <w:r>
        <w:t xml:space="preserve"> </w:t>
      </w:r>
      <w:r w:rsidRPr="000E70CA">
        <w:t>Ojengbede, O., Babawarun, T., Olayiwola, O., Ogun, M., Kongnyuy, E., Adorin, O. (2019). Sexual and gender-based violence in camps for internally displaced people and host communities in northeast Nigeria: A mixed methods study. The Lancet Global Health, 7, S6.</w:t>
      </w:r>
      <w:r w:rsidRPr="00BA7DCE">
        <w:t>https://doi.org/10.1016/S2214-109X(19)30091-9</w:t>
      </w:r>
    </w:p>
  </w:footnote>
  <w:footnote w:id="215">
    <w:p w14:paraId="387423FE" w14:textId="77777777" w:rsidR="006D6A0C" w:rsidRDefault="006D6A0C" w:rsidP="00372C4D">
      <w:pPr>
        <w:pStyle w:val="FootnoteText"/>
      </w:pPr>
      <w:r>
        <w:rPr>
          <w:rStyle w:val="FootnoteReference"/>
        </w:rPr>
        <w:footnoteRef/>
      </w:r>
      <w:r>
        <w:t xml:space="preserve"> </w:t>
      </w:r>
      <w:r w:rsidRPr="00BA7DCE">
        <w:t>https://doi.org/10.1177%2F08862605211001464</w:t>
      </w:r>
    </w:p>
  </w:footnote>
  <w:footnote w:id="216">
    <w:p w14:paraId="5A959679" w14:textId="77777777" w:rsidR="006D6A0C" w:rsidRDefault="006D6A0C" w:rsidP="00372C4D">
      <w:pPr>
        <w:pStyle w:val="FootnoteText"/>
      </w:pPr>
      <w:r>
        <w:rPr>
          <w:rStyle w:val="FootnoteReference"/>
        </w:rPr>
        <w:footnoteRef/>
      </w:r>
      <w:r>
        <w:t xml:space="preserve"> </w:t>
      </w:r>
      <w:r w:rsidRPr="00735AAF">
        <w:t>Ekezie W, Timmons S, Myles P, Siebert P, Bains M, Pritchard C. An audit of healthcare provision in internally displaced population camps in Nigeria. J Public Health (Oxf). 2019;41(3):583-592. doi:10.1093/pubmed/fdy141</w:t>
      </w:r>
    </w:p>
  </w:footnote>
  <w:footnote w:id="217">
    <w:p w14:paraId="37BA7992" w14:textId="77777777" w:rsidR="006D6A0C" w:rsidRDefault="006D6A0C" w:rsidP="00372C4D">
      <w:pPr>
        <w:pStyle w:val="FootnoteText"/>
      </w:pPr>
      <w:r>
        <w:rPr>
          <w:rStyle w:val="FootnoteReference"/>
        </w:rPr>
        <w:footnoteRef/>
      </w:r>
      <w:r>
        <w:t xml:space="preserve"> </w:t>
      </w:r>
      <w:r w:rsidRPr="00735AAF">
        <w:t>Amodu OC, Salami BO, Richter S, Okeke-Ihejirika P. Reproductive healthcare for women in IDP camps in Nigeria: An analysis of structural gaps. Glob Public Health. 2021;16(4):563-577. doi:10.1080/17441692.2020.1810296</w:t>
      </w:r>
    </w:p>
  </w:footnote>
  <w:footnote w:id="218">
    <w:p w14:paraId="07D6B92C" w14:textId="77777777" w:rsidR="006D6A0C" w:rsidRDefault="006D6A0C" w:rsidP="00372C4D">
      <w:pPr>
        <w:pStyle w:val="FootnoteText"/>
      </w:pPr>
      <w:r>
        <w:rPr>
          <w:rStyle w:val="FootnoteReference"/>
        </w:rPr>
        <w:footnoteRef/>
      </w:r>
      <w:r>
        <w:t xml:space="preserve"> Water Supply and Sanitation Collaborative Council (2020). </w:t>
      </w:r>
      <w:r w:rsidRPr="00735AAF">
        <w:t>Providing menstrual hygiene support to women and girls living in IDP camps</w:t>
      </w:r>
      <w:r>
        <w:t xml:space="preserve"> </w:t>
      </w:r>
      <w:r w:rsidRPr="00735AAF">
        <w:t>https://reliefweb.int/report/nigeria/providing-menstrual-hygiene-support-women-and-girls-living-idp-camps</w:t>
      </w:r>
    </w:p>
  </w:footnote>
  <w:footnote w:id="219">
    <w:p w14:paraId="538A8C5F" w14:textId="77777777" w:rsidR="006D6A0C" w:rsidRDefault="006D6A0C" w:rsidP="00372C4D">
      <w:pPr>
        <w:pStyle w:val="FootnoteText"/>
      </w:pPr>
      <w:r>
        <w:rPr>
          <w:rStyle w:val="FootnoteReference"/>
        </w:rPr>
        <w:footnoteRef/>
      </w:r>
      <w:r>
        <w:t xml:space="preserve"> Women’s Media Centre (2021). </w:t>
      </w:r>
      <w:r w:rsidRPr="000E70CA">
        <w:t>Sexual Abuse Thrives in Nigeria’s IDP Camps with No Recourse for Victims</w:t>
      </w:r>
      <w:r>
        <w:t xml:space="preserve"> </w:t>
      </w:r>
      <w:r w:rsidRPr="000E70CA">
        <w:t>https://reliefweb.int/report/nigeria/sexual-abuse-thrives-nigeria-s-idp-camps-no-recourse-victims</w:t>
      </w:r>
    </w:p>
  </w:footnote>
  <w:footnote w:id="220">
    <w:p w14:paraId="05380BFB" w14:textId="77777777" w:rsidR="006D6A0C" w:rsidRDefault="006D6A0C" w:rsidP="00372C4D">
      <w:pPr>
        <w:pStyle w:val="FootnoteText"/>
      </w:pPr>
      <w:r>
        <w:rPr>
          <w:rStyle w:val="FootnoteReference"/>
        </w:rPr>
        <w:footnoteRef/>
      </w:r>
      <w:r>
        <w:t xml:space="preserve"> Human Rights Watch (2016) Nige</w:t>
      </w:r>
      <w:r w:rsidRPr="00735AAF">
        <w:t>ria: Officials Abusing Displaced Women, Girls</w:t>
      </w:r>
      <w:r>
        <w:t xml:space="preserve"> </w:t>
      </w:r>
      <w:r w:rsidRPr="00735AAF">
        <w:t>https://www.hrw.org/news/2016/10/31/nigeria-officials-abusing-displaced-women-girls</w:t>
      </w:r>
    </w:p>
  </w:footnote>
  <w:footnote w:id="221">
    <w:p w14:paraId="52304C23" w14:textId="77777777" w:rsidR="006D6A0C" w:rsidRDefault="006D6A0C" w:rsidP="00372C4D">
      <w:pPr>
        <w:pStyle w:val="FootnoteText"/>
      </w:pPr>
      <w:r>
        <w:rPr>
          <w:rStyle w:val="FootnoteReference"/>
        </w:rPr>
        <w:footnoteRef/>
      </w:r>
      <w:r>
        <w:t xml:space="preserve"> Women’s Media Centre (2021). </w:t>
      </w:r>
      <w:r w:rsidRPr="000E70CA">
        <w:t>Sexual Abuse Thrives in Nigeria’s IDP Camps with No Recourse for Victims</w:t>
      </w:r>
      <w:r>
        <w:t xml:space="preserve"> </w:t>
      </w:r>
      <w:r w:rsidRPr="000E70CA">
        <w:t>https://reliefweb.int/report/nigeria/sexual-abuse-thrives-nigeria-s-idp-camps-no-recourse-victims</w:t>
      </w:r>
    </w:p>
  </w:footnote>
  <w:footnote w:id="222">
    <w:p w14:paraId="21E5BE26" w14:textId="77777777" w:rsidR="006D6A0C" w:rsidRDefault="006D6A0C" w:rsidP="00372C4D">
      <w:pPr>
        <w:pStyle w:val="FootnoteText"/>
      </w:pPr>
      <w:r>
        <w:rPr>
          <w:rStyle w:val="FootnoteReference"/>
        </w:rPr>
        <w:footnoteRef/>
      </w:r>
      <w:r>
        <w:t xml:space="preserve"> </w:t>
      </w:r>
      <w:r w:rsidRPr="0094703F">
        <w:t>Oladeji, Olusola &amp; Oladeji, Bibilola &amp; Chamla, Dick &amp; Safiyanu, Garba &amp; Mele, Sule &amp; Mshelia, Helni &amp; Agbor, John. (2018). Sexual Violence–Related Pregnancy Among Internally Displaced Women in an Internally Displaced Persons Camp in Northeast Nigeria. Journal of Interpersonal Violence. 36. 088626051879225. 10.1177/0886260518792252.</w:t>
      </w:r>
    </w:p>
  </w:footnote>
  <w:footnote w:id="223">
    <w:p w14:paraId="05BC6CB5" w14:textId="77777777" w:rsidR="006D6A0C" w:rsidRPr="00354519" w:rsidRDefault="006D6A0C" w:rsidP="00372C4D">
      <w:pPr>
        <w:pStyle w:val="FootnoteText"/>
      </w:pPr>
      <w:r w:rsidRPr="00354519">
        <w:rPr>
          <w:rStyle w:val="FootnoteReference"/>
        </w:rPr>
        <w:footnoteRef/>
      </w:r>
      <w:r w:rsidRPr="00354519">
        <w:t xml:space="preserve"> Katherine Gambir (2020) Displaced Women and Girls in Borno State, Nigeria, Need Life-Saving Contraceptive Services, Now. https://reliefweb.int/report/nigeria/displaced-women-and-girls-borno-state-nigeria-need-life-saving-contraceptive-services</w:t>
      </w:r>
    </w:p>
  </w:footnote>
  <w:footnote w:id="224">
    <w:p w14:paraId="28A3185F" w14:textId="77777777" w:rsidR="006D6A0C" w:rsidRDefault="006D6A0C" w:rsidP="00372C4D">
      <w:pPr>
        <w:pStyle w:val="FootnoteText"/>
      </w:pPr>
      <w:r>
        <w:rPr>
          <w:rStyle w:val="FootnoteReference"/>
        </w:rPr>
        <w:footnoteRef/>
      </w:r>
      <w:r>
        <w:t xml:space="preserve"> </w:t>
      </w:r>
      <w:r w:rsidRPr="002B508F">
        <w:t xml:space="preserve">Okanlawon, K., Reeves, M., &amp; Agbaje, O. (2010). Contraceptive Use: Knowledge, Perceptions and Attitudes of Refugee Youths in Oru Refugee Camp, Nigeria. </w:t>
      </w:r>
      <w:r w:rsidRPr="006D6A0C">
        <w:rPr>
          <w:lang w:val="fr-BE"/>
        </w:rPr>
        <w:t xml:space="preserve">African Journal of Reproductive Health / La Revue Africaine De La Santé Reproductive, 14(4), 16-25. </w:t>
      </w:r>
      <w:r w:rsidRPr="002B508F">
        <w:t>Retrieved August 27, 2021, from http://www.jstor.org/stable/41329750</w:t>
      </w:r>
    </w:p>
  </w:footnote>
  <w:footnote w:id="225">
    <w:p w14:paraId="13EACC55" w14:textId="77777777" w:rsidR="006D6A0C" w:rsidRPr="00354519" w:rsidRDefault="006D6A0C" w:rsidP="002126FA">
      <w:pPr>
        <w:pStyle w:val="FootnoteText"/>
      </w:pPr>
      <w:r w:rsidRPr="00354519">
        <w:rPr>
          <w:rStyle w:val="FootnoteReference"/>
        </w:rPr>
        <w:footnoteRef/>
      </w:r>
      <w:r w:rsidRPr="00354519">
        <w:t xml:space="preserve"> IOM 2019. International Organization for Migration (IOM)  North-East Nigeria Update January – June 2019 https://www.iom.int/sites/default/files/situation_reports/file/iom_northeast_nigeria_update_jan_to_jun_2019.pdf</w:t>
      </w:r>
    </w:p>
  </w:footnote>
  <w:footnote w:id="226">
    <w:p w14:paraId="31AD87DC" w14:textId="77777777" w:rsidR="006D6A0C" w:rsidRDefault="006D6A0C" w:rsidP="002126FA">
      <w:pPr>
        <w:pStyle w:val="FootnoteText"/>
      </w:pPr>
      <w:r>
        <w:rPr>
          <w:rStyle w:val="FootnoteReference"/>
        </w:rPr>
        <w:footnoteRef/>
      </w:r>
      <w:r>
        <w:t xml:space="preserve"> </w:t>
      </w:r>
    </w:p>
  </w:footnote>
  <w:footnote w:id="227">
    <w:p w14:paraId="6941D87D" w14:textId="77777777" w:rsidR="006D6A0C" w:rsidRDefault="006D6A0C">
      <w:pPr>
        <w:pStyle w:val="FootnoteText"/>
      </w:pPr>
      <w:r>
        <w:rPr>
          <w:rStyle w:val="FootnoteReference"/>
        </w:rPr>
        <w:footnoteRef/>
      </w:r>
      <w:r>
        <w:t xml:space="preserve"> </w:t>
      </w:r>
      <w:r w:rsidRPr="002126FA">
        <w:t>National Policy on Internally Displaced Persons (IDPs) in Nigeria</w:t>
      </w:r>
      <w:r>
        <w:t xml:space="preserve"> </w:t>
      </w:r>
      <w:r w:rsidRPr="002126FA">
        <w:t>https://www.refworld.org/pdfid/5a7ae2324.pdf</w:t>
      </w:r>
    </w:p>
  </w:footnote>
  <w:footnote w:id="228">
    <w:p w14:paraId="1E1B1DE3" w14:textId="77777777" w:rsidR="006D6A0C" w:rsidRPr="00354519" w:rsidRDefault="006D6A0C" w:rsidP="00D45B82">
      <w:pPr>
        <w:pStyle w:val="FootnoteText"/>
      </w:pPr>
      <w:r w:rsidRPr="00354519">
        <w:rPr>
          <w:rStyle w:val="FootnoteReference"/>
        </w:rPr>
        <w:footnoteRef/>
      </w:r>
      <w:r w:rsidRPr="00354519">
        <w:t xml:space="preserve"> Reuters (2020). A police raid, viral videos and the broken lives of Nigerian gay law suspects. </w:t>
      </w:r>
      <w:hyperlink r:id="rId45" w:history="1">
        <w:r w:rsidRPr="00354519">
          <w:rPr>
            <w:rStyle w:val="Hyperlink"/>
          </w:rPr>
          <w:t>https://www.reuters.com/article/us-nigeria-lgbt-widerimage-idUSKCN20I105</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309745" w14:textId="77777777" w:rsidR="006D6A0C" w:rsidRDefault="006D6A0C" w:rsidP="00D12498">
    <w:pPr>
      <w:pStyle w:val="Header"/>
      <w:jc w:val="center"/>
    </w:pPr>
    <w:r>
      <w:rPr>
        <w:noProof/>
        <w:lang w:val="en-IE" w:eastAsia="en-IE"/>
      </w:rPr>
      <mc:AlternateContent>
        <mc:Choice Requires="wps">
          <w:drawing>
            <wp:anchor distT="0" distB="0" distL="114300" distR="114300" simplePos="0" relativeHeight="251657216" behindDoc="0" locked="0" layoutInCell="1" allowOverlap="1" wp14:anchorId="0990FEBA" wp14:editId="1A88DD8B">
              <wp:simplePos x="0" y="0"/>
              <wp:positionH relativeFrom="column">
                <wp:posOffset>2324100</wp:posOffset>
              </wp:positionH>
              <wp:positionV relativeFrom="paragraph">
                <wp:posOffset>133350</wp:posOffset>
              </wp:positionV>
              <wp:extent cx="1339850" cy="736600"/>
              <wp:effectExtent l="0" t="0" r="0" b="0"/>
              <wp:wrapNone/>
              <wp:docPr id="19" name="Rectangle 19"/>
              <wp:cNvGraphicFramePr/>
              <a:graphic xmlns:a="http://schemas.openxmlformats.org/drawingml/2006/main">
                <a:graphicData uri="http://schemas.microsoft.com/office/word/2010/wordprocessingShape">
                  <wps:wsp>
                    <wps:cNvSpPr/>
                    <wps:spPr>
                      <a:xfrm>
                        <a:off x="0" y="0"/>
                        <a:ext cx="1339850" cy="7366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E837B8" id="Rectangle 19" o:spid="_x0000_s1026" style="position:absolute;margin-left:183pt;margin-top:10.5pt;width:105.5pt;height:58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" filled="f"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245B0"/>
    <w:multiLevelType w:val="multilevel"/>
    <w:tmpl w:val="5E6CE54C"/>
    <w:lvl w:ilvl="0">
      <w:start w:val="1"/>
      <w:numFmt w:val="decimal"/>
      <w:lvlText w:val="%1"/>
      <w:lvlJc w:val="left"/>
      <w:pPr>
        <w:ind w:left="405" w:hanging="40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08111A6E"/>
    <w:multiLevelType w:val="hybridMultilevel"/>
    <w:tmpl w:val="2320017E"/>
    <w:lvl w:ilvl="0" w:tplc="B01CA3D4">
      <w:start w:val="1"/>
      <w:numFmt w:val="bullet"/>
      <w:lvlText w:val="•"/>
      <w:lvlJc w:val="left"/>
      <w:pPr>
        <w:tabs>
          <w:tab w:val="num" w:pos="720"/>
        </w:tabs>
        <w:ind w:left="720" w:hanging="360"/>
      </w:pPr>
      <w:rPr>
        <w:rFonts w:ascii="Arial" w:hAnsi="Arial" w:hint="default"/>
      </w:rPr>
    </w:lvl>
    <w:lvl w:ilvl="1" w:tplc="8B9EA8F6" w:tentative="1">
      <w:start w:val="1"/>
      <w:numFmt w:val="bullet"/>
      <w:lvlText w:val="•"/>
      <w:lvlJc w:val="left"/>
      <w:pPr>
        <w:tabs>
          <w:tab w:val="num" w:pos="1440"/>
        </w:tabs>
        <w:ind w:left="1440" w:hanging="360"/>
      </w:pPr>
      <w:rPr>
        <w:rFonts w:ascii="Arial" w:hAnsi="Arial" w:hint="default"/>
      </w:rPr>
    </w:lvl>
    <w:lvl w:ilvl="2" w:tplc="86E6A41A" w:tentative="1">
      <w:start w:val="1"/>
      <w:numFmt w:val="bullet"/>
      <w:lvlText w:val="•"/>
      <w:lvlJc w:val="left"/>
      <w:pPr>
        <w:tabs>
          <w:tab w:val="num" w:pos="2160"/>
        </w:tabs>
        <w:ind w:left="2160" w:hanging="360"/>
      </w:pPr>
      <w:rPr>
        <w:rFonts w:ascii="Arial" w:hAnsi="Arial" w:hint="default"/>
      </w:rPr>
    </w:lvl>
    <w:lvl w:ilvl="3" w:tplc="F8289F16" w:tentative="1">
      <w:start w:val="1"/>
      <w:numFmt w:val="bullet"/>
      <w:lvlText w:val="•"/>
      <w:lvlJc w:val="left"/>
      <w:pPr>
        <w:tabs>
          <w:tab w:val="num" w:pos="2880"/>
        </w:tabs>
        <w:ind w:left="2880" w:hanging="360"/>
      </w:pPr>
      <w:rPr>
        <w:rFonts w:ascii="Arial" w:hAnsi="Arial" w:hint="default"/>
      </w:rPr>
    </w:lvl>
    <w:lvl w:ilvl="4" w:tplc="A3A466D6" w:tentative="1">
      <w:start w:val="1"/>
      <w:numFmt w:val="bullet"/>
      <w:lvlText w:val="•"/>
      <w:lvlJc w:val="left"/>
      <w:pPr>
        <w:tabs>
          <w:tab w:val="num" w:pos="3600"/>
        </w:tabs>
        <w:ind w:left="3600" w:hanging="360"/>
      </w:pPr>
      <w:rPr>
        <w:rFonts w:ascii="Arial" w:hAnsi="Arial" w:hint="default"/>
      </w:rPr>
    </w:lvl>
    <w:lvl w:ilvl="5" w:tplc="94B4503E" w:tentative="1">
      <w:start w:val="1"/>
      <w:numFmt w:val="bullet"/>
      <w:lvlText w:val="•"/>
      <w:lvlJc w:val="left"/>
      <w:pPr>
        <w:tabs>
          <w:tab w:val="num" w:pos="4320"/>
        </w:tabs>
        <w:ind w:left="4320" w:hanging="360"/>
      </w:pPr>
      <w:rPr>
        <w:rFonts w:ascii="Arial" w:hAnsi="Arial" w:hint="default"/>
      </w:rPr>
    </w:lvl>
    <w:lvl w:ilvl="6" w:tplc="B0B20C4E" w:tentative="1">
      <w:start w:val="1"/>
      <w:numFmt w:val="bullet"/>
      <w:lvlText w:val="•"/>
      <w:lvlJc w:val="left"/>
      <w:pPr>
        <w:tabs>
          <w:tab w:val="num" w:pos="5040"/>
        </w:tabs>
        <w:ind w:left="5040" w:hanging="360"/>
      </w:pPr>
      <w:rPr>
        <w:rFonts w:ascii="Arial" w:hAnsi="Arial" w:hint="default"/>
      </w:rPr>
    </w:lvl>
    <w:lvl w:ilvl="7" w:tplc="4AB218E2" w:tentative="1">
      <w:start w:val="1"/>
      <w:numFmt w:val="bullet"/>
      <w:lvlText w:val="•"/>
      <w:lvlJc w:val="left"/>
      <w:pPr>
        <w:tabs>
          <w:tab w:val="num" w:pos="5760"/>
        </w:tabs>
        <w:ind w:left="5760" w:hanging="360"/>
      </w:pPr>
      <w:rPr>
        <w:rFonts w:ascii="Arial" w:hAnsi="Arial" w:hint="default"/>
      </w:rPr>
    </w:lvl>
    <w:lvl w:ilvl="8" w:tplc="2018868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DF648E9"/>
    <w:multiLevelType w:val="hybridMultilevel"/>
    <w:tmpl w:val="03C85C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1055F5"/>
    <w:multiLevelType w:val="hybridMultilevel"/>
    <w:tmpl w:val="7D686B60"/>
    <w:lvl w:ilvl="0" w:tplc="570E3854">
      <w:start w:val="61"/>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525AC4"/>
    <w:multiLevelType w:val="hybridMultilevel"/>
    <w:tmpl w:val="8586CEAE"/>
    <w:lvl w:ilvl="0" w:tplc="A412C386">
      <w:start w:val="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B65333"/>
    <w:multiLevelType w:val="hybridMultilevel"/>
    <w:tmpl w:val="2140E8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F71808"/>
    <w:multiLevelType w:val="hybridMultilevel"/>
    <w:tmpl w:val="3A846C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CE18DD"/>
    <w:multiLevelType w:val="hybridMultilevel"/>
    <w:tmpl w:val="062AF99E"/>
    <w:lvl w:ilvl="0" w:tplc="9E827410">
      <w:start w:val="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066464"/>
    <w:multiLevelType w:val="hybridMultilevel"/>
    <w:tmpl w:val="95B02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8B1738"/>
    <w:multiLevelType w:val="hybridMultilevel"/>
    <w:tmpl w:val="CE485BAA"/>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DEB7334"/>
    <w:multiLevelType w:val="hybridMultilevel"/>
    <w:tmpl w:val="DF9ACF62"/>
    <w:lvl w:ilvl="0" w:tplc="3B9C48B6">
      <w:start w:val="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326D74"/>
    <w:multiLevelType w:val="hybridMultilevel"/>
    <w:tmpl w:val="5B46E976"/>
    <w:lvl w:ilvl="0" w:tplc="04090001">
      <w:start w:val="1"/>
      <w:numFmt w:val="bullet"/>
      <w:lvlText w:val=""/>
      <w:lvlJc w:val="left"/>
      <w:pPr>
        <w:ind w:left="450" w:hanging="360"/>
      </w:pPr>
      <w:rPr>
        <w:rFonts w:ascii="Symbol" w:hAnsi="Symbol" w:hint="default"/>
      </w:rPr>
    </w:lvl>
    <w:lvl w:ilvl="1" w:tplc="08090003" w:tentative="1">
      <w:start w:val="1"/>
      <w:numFmt w:val="bullet"/>
      <w:lvlText w:val="o"/>
      <w:lvlJc w:val="left"/>
      <w:pPr>
        <w:ind w:left="1170" w:hanging="360"/>
      </w:pPr>
      <w:rPr>
        <w:rFonts w:ascii="Courier New" w:hAnsi="Courier New" w:cs="Courier New" w:hint="default"/>
      </w:rPr>
    </w:lvl>
    <w:lvl w:ilvl="2" w:tplc="08090005" w:tentative="1">
      <w:start w:val="1"/>
      <w:numFmt w:val="bullet"/>
      <w:lvlText w:val=""/>
      <w:lvlJc w:val="left"/>
      <w:pPr>
        <w:ind w:left="1890" w:hanging="360"/>
      </w:pPr>
      <w:rPr>
        <w:rFonts w:ascii="Wingdings" w:hAnsi="Wingdings" w:hint="default"/>
      </w:rPr>
    </w:lvl>
    <w:lvl w:ilvl="3" w:tplc="08090001" w:tentative="1">
      <w:start w:val="1"/>
      <w:numFmt w:val="bullet"/>
      <w:lvlText w:val=""/>
      <w:lvlJc w:val="left"/>
      <w:pPr>
        <w:ind w:left="2610" w:hanging="360"/>
      </w:pPr>
      <w:rPr>
        <w:rFonts w:ascii="Symbol" w:hAnsi="Symbol" w:hint="default"/>
      </w:rPr>
    </w:lvl>
    <w:lvl w:ilvl="4" w:tplc="08090003" w:tentative="1">
      <w:start w:val="1"/>
      <w:numFmt w:val="bullet"/>
      <w:lvlText w:val="o"/>
      <w:lvlJc w:val="left"/>
      <w:pPr>
        <w:ind w:left="3330" w:hanging="360"/>
      </w:pPr>
      <w:rPr>
        <w:rFonts w:ascii="Courier New" w:hAnsi="Courier New" w:cs="Courier New" w:hint="default"/>
      </w:rPr>
    </w:lvl>
    <w:lvl w:ilvl="5" w:tplc="08090005" w:tentative="1">
      <w:start w:val="1"/>
      <w:numFmt w:val="bullet"/>
      <w:lvlText w:val=""/>
      <w:lvlJc w:val="left"/>
      <w:pPr>
        <w:ind w:left="4050" w:hanging="360"/>
      </w:pPr>
      <w:rPr>
        <w:rFonts w:ascii="Wingdings" w:hAnsi="Wingdings" w:hint="default"/>
      </w:rPr>
    </w:lvl>
    <w:lvl w:ilvl="6" w:tplc="08090001" w:tentative="1">
      <w:start w:val="1"/>
      <w:numFmt w:val="bullet"/>
      <w:lvlText w:val=""/>
      <w:lvlJc w:val="left"/>
      <w:pPr>
        <w:ind w:left="4770" w:hanging="360"/>
      </w:pPr>
      <w:rPr>
        <w:rFonts w:ascii="Symbol" w:hAnsi="Symbol" w:hint="default"/>
      </w:rPr>
    </w:lvl>
    <w:lvl w:ilvl="7" w:tplc="08090003" w:tentative="1">
      <w:start w:val="1"/>
      <w:numFmt w:val="bullet"/>
      <w:lvlText w:val="o"/>
      <w:lvlJc w:val="left"/>
      <w:pPr>
        <w:ind w:left="5490" w:hanging="360"/>
      </w:pPr>
      <w:rPr>
        <w:rFonts w:ascii="Courier New" w:hAnsi="Courier New" w:cs="Courier New" w:hint="default"/>
      </w:rPr>
    </w:lvl>
    <w:lvl w:ilvl="8" w:tplc="08090005" w:tentative="1">
      <w:start w:val="1"/>
      <w:numFmt w:val="bullet"/>
      <w:lvlText w:val=""/>
      <w:lvlJc w:val="left"/>
      <w:pPr>
        <w:ind w:left="6210" w:hanging="360"/>
      </w:pPr>
      <w:rPr>
        <w:rFonts w:ascii="Wingdings" w:hAnsi="Wingdings" w:hint="default"/>
      </w:rPr>
    </w:lvl>
  </w:abstractNum>
  <w:abstractNum w:abstractNumId="12" w15:restartNumberingAfterBreak="0">
    <w:nsid w:val="1F40093D"/>
    <w:multiLevelType w:val="hybridMultilevel"/>
    <w:tmpl w:val="6D0249AC"/>
    <w:lvl w:ilvl="0" w:tplc="AE8CE1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7F556F"/>
    <w:multiLevelType w:val="hybridMultilevel"/>
    <w:tmpl w:val="3F6A5AAE"/>
    <w:lvl w:ilvl="0" w:tplc="A76671C0">
      <w:numFmt w:val="bullet"/>
      <w:lvlText w:val=""/>
      <w:lvlJc w:val="left"/>
      <w:pPr>
        <w:ind w:left="720" w:hanging="360"/>
      </w:pPr>
      <w:rPr>
        <w:rFonts w:ascii="Symbol" w:eastAsia="Calibr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C1E2C19"/>
    <w:multiLevelType w:val="hybridMultilevel"/>
    <w:tmpl w:val="F8FC710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15" w15:restartNumberingAfterBreak="0">
    <w:nsid w:val="2F021ABE"/>
    <w:multiLevelType w:val="hybridMultilevel"/>
    <w:tmpl w:val="7A4EA3DA"/>
    <w:lvl w:ilvl="0" w:tplc="187A558E">
      <w:start w:val="1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847B59"/>
    <w:multiLevelType w:val="hybridMultilevel"/>
    <w:tmpl w:val="87F8C204"/>
    <w:lvl w:ilvl="0" w:tplc="B774792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E73210"/>
    <w:multiLevelType w:val="hybridMultilevel"/>
    <w:tmpl w:val="DC623C2E"/>
    <w:lvl w:ilvl="0" w:tplc="A1B4F992">
      <w:start w:val="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FB7A33"/>
    <w:multiLevelType w:val="multilevel"/>
    <w:tmpl w:val="9EEE9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554152"/>
    <w:multiLevelType w:val="hybridMultilevel"/>
    <w:tmpl w:val="E772B6EC"/>
    <w:lvl w:ilvl="0" w:tplc="733E768A">
      <w:start w:val="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C096B2C"/>
    <w:multiLevelType w:val="hybridMultilevel"/>
    <w:tmpl w:val="67989E38"/>
    <w:lvl w:ilvl="0" w:tplc="51546204">
      <w:start w:val="1"/>
      <w:numFmt w:val="decimal"/>
      <w:lvlText w:val="%1."/>
      <w:lvlJc w:val="left"/>
      <w:pPr>
        <w:ind w:left="720" w:hanging="360"/>
      </w:pPr>
      <w:rPr>
        <w:rFonts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1D2495"/>
    <w:multiLevelType w:val="hybridMultilevel"/>
    <w:tmpl w:val="3498F4D6"/>
    <w:lvl w:ilvl="0" w:tplc="757C9EE4">
      <w:start w:val="1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4180A11"/>
    <w:multiLevelType w:val="hybridMultilevel"/>
    <w:tmpl w:val="F05458DE"/>
    <w:lvl w:ilvl="0" w:tplc="0409000F">
      <w:start w:val="1"/>
      <w:numFmt w:val="decimal"/>
      <w:lvlText w:val="%1."/>
      <w:lvlJc w:val="left"/>
      <w:pPr>
        <w:ind w:left="720" w:hanging="360"/>
      </w:pPr>
    </w:lvl>
    <w:lvl w:ilvl="1" w:tplc="CA3AB02A">
      <w:start w:val="1"/>
      <w:numFmt w:val="lowerLetter"/>
      <w:lvlText w:val="%2."/>
      <w:lvlJc w:val="left"/>
      <w:pPr>
        <w:ind w:left="1440" w:hanging="360"/>
      </w:pPr>
      <w:rPr>
        <w:b/>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79B61BB5"/>
    <w:multiLevelType w:val="multilevel"/>
    <w:tmpl w:val="450416DA"/>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1"/>
  </w:num>
  <w:num w:numId="2">
    <w:abstractNumId w:val="11"/>
  </w:num>
  <w:num w:numId="3">
    <w:abstractNumId w:val="14"/>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23"/>
  </w:num>
  <w:num w:numId="8">
    <w:abstractNumId w:val="12"/>
  </w:num>
  <w:num w:numId="9">
    <w:abstractNumId w:val="5"/>
  </w:num>
  <w:num w:numId="10">
    <w:abstractNumId w:val="20"/>
  </w:num>
  <w:num w:numId="11">
    <w:abstractNumId w:val="9"/>
  </w:num>
  <w:num w:numId="12">
    <w:abstractNumId w:val="2"/>
  </w:num>
  <w:num w:numId="13">
    <w:abstractNumId w:val="3"/>
  </w:num>
  <w:num w:numId="14">
    <w:abstractNumId w:val="1"/>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6"/>
  </w:num>
  <w:num w:numId="19">
    <w:abstractNumId w:val="10"/>
  </w:num>
  <w:num w:numId="20">
    <w:abstractNumId w:val="19"/>
  </w:num>
  <w:num w:numId="21">
    <w:abstractNumId w:val="4"/>
  </w:num>
  <w:num w:numId="22">
    <w:abstractNumId w:val="17"/>
  </w:num>
  <w:num w:numId="23">
    <w:abstractNumId w:val="7"/>
  </w:num>
  <w:num w:numId="24">
    <w:abstractNumId w:val="15"/>
  </w:num>
  <w:num w:numId="25">
    <w:abstractNumId w:val="21"/>
  </w:num>
  <w:num w:numId="26">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4862A8"/>
    <w:rsid w:val="00000E22"/>
    <w:rsid w:val="0000109E"/>
    <w:rsid w:val="000107AA"/>
    <w:rsid w:val="00010CA0"/>
    <w:rsid w:val="00035C08"/>
    <w:rsid w:val="00036232"/>
    <w:rsid w:val="00045DBA"/>
    <w:rsid w:val="00046904"/>
    <w:rsid w:val="00051716"/>
    <w:rsid w:val="00053000"/>
    <w:rsid w:val="00055D57"/>
    <w:rsid w:val="00057BDC"/>
    <w:rsid w:val="00061A64"/>
    <w:rsid w:val="00065711"/>
    <w:rsid w:val="00075BF3"/>
    <w:rsid w:val="000762D7"/>
    <w:rsid w:val="000773D2"/>
    <w:rsid w:val="00081623"/>
    <w:rsid w:val="00081EC4"/>
    <w:rsid w:val="00084ECD"/>
    <w:rsid w:val="00087539"/>
    <w:rsid w:val="00087970"/>
    <w:rsid w:val="00090F1A"/>
    <w:rsid w:val="00093798"/>
    <w:rsid w:val="00097541"/>
    <w:rsid w:val="000A075B"/>
    <w:rsid w:val="000A4BB0"/>
    <w:rsid w:val="000A6EF7"/>
    <w:rsid w:val="000B3EEC"/>
    <w:rsid w:val="000B7B5A"/>
    <w:rsid w:val="000C0F79"/>
    <w:rsid w:val="000C2B4A"/>
    <w:rsid w:val="000C4B4D"/>
    <w:rsid w:val="000D10EF"/>
    <w:rsid w:val="000D3559"/>
    <w:rsid w:val="000D63D5"/>
    <w:rsid w:val="000E47BB"/>
    <w:rsid w:val="001038BC"/>
    <w:rsid w:val="001059D7"/>
    <w:rsid w:val="00106270"/>
    <w:rsid w:val="001138EF"/>
    <w:rsid w:val="0011391E"/>
    <w:rsid w:val="00125047"/>
    <w:rsid w:val="00127808"/>
    <w:rsid w:val="001374AF"/>
    <w:rsid w:val="00142F14"/>
    <w:rsid w:val="00146992"/>
    <w:rsid w:val="0014763E"/>
    <w:rsid w:val="00157099"/>
    <w:rsid w:val="00160360"/>
    <w:rsid w:val="00161AD7"/>
    <w:rsid w:val="00165210"/>
    <w:rsid w:val="001776C9"/>
    <w:rsid w:val="00177AD6"/>
    <w:rsid w:val="00181C27"/>
    <w:rsid w:val="00184982"/>
    <w:rsid w:val="00186470"/>
    <w:rsid w:val="0018780B"/>
    <w:rsid w:val="00194737"/>
    <w:rsid w:val="00195660"/>
    <w:rsid w:val="001A46B2"/>
    <w:rsid w:val="001B1E2D"/>
    <w:rsid w:val="001B71E8"/>
    <w:rsid w:val="001B74B8"/>
    <w:rsid w:val="001C0D63"/>
    <w:rsid w:val="001C2E5F"/>
    <w:rsid w:val="001C71F8"/>
    <w:rsid w:val="001D494E"/>
    <w:rsid w:val="001E53CB"/>
    <w:rsid w:val="001F1FC0"/>
    <w:rsid w:val="002006B6"/>
    <w:rsid w:val="00212163"/>
    <w:rsid w:val="002126FA"/>
    <w:rsid w:val="00217450"/>
    <w:rsid w:val="00220150"/>
    <w:rsid w:val="0022168A"/>
    <w:rsid w:val="00231D45"/>
    <w:rsid w:val="0023306B"/>
    <w:rsid w:val="0023374E"/>
    <w:rsid w:val="002345B3"/>
    <w:rsid w:val="00234BF5"/>
    <w:rsid w:val="0023781B"/>
    <w:rsid w:val="0024609C"/>
    <w:rsid w:val="00247DFB"/>
    <w:rsid w:val="002509F6"/>
    <w:rsid w:val="0025284C"/>
    <w:rsid w:val="002529F7"/>
    <w:rsid w:val="0025341C"/>
    <w:rsid w:val="00256B3A"/>
    <w:rsid w:val="00256C96"/>
    <w:rsid w:val="00260848"/>
    <w:rsid w:val="00260BC9"/>
    <w:rsid w:val="00264FB0"/>
    <w:rsid w:val="00273438"/>
    <w:rsid w:val="0027525C"/>
    <w:rsid w:val="002752FF"/>
    <w:rsid w:val="00275B8F"/>
    <w:rsid w:val="00275DB9"/>
    <w:rsid w:val="00284651"/>
    <w:rsid w:val="00291A3C"/>
    <w:rsid w:val="0029706D"/>
    <w:rsid w:val="002A0892"/>
    <w:rsid w:val="002A0C27"/>
    <w:rsid w:val="002A380E"/>
    <w:rsid w:val="002A761F"/>
    <w:rsid w:val="002A78EC"/>
    <w:rsid w:val="002B3774"/>
    <w:rsid w:val="002B46FB"/>
    <w:rsid w:val="002C15AC"/>
    <w:rsid w:val="002C238E"/>
    <w:rsid w:val="002C46BA"/>
    <w:rsid w:val="002C7FC4"/>
    <w:rsid w:val="002D4BE0"/>
    <w:rsid w:val="002D618A"/>
    <w:rsid w:val="002E2236"/>
    <w:rsid w:val="002E3467"/>
    <w:rsid w:val="002E6598"/>
    <w:rsid w:val="002E7E5A"/>
    <w:rsid w:val="002E7ED0"/>
    <w:rsid w:val="002F6F2E"/>
    <w:rsid w:val="002F78F0"/>
    <w:rsid w:val="003014CB"/>
    <w:rsid w:val="00302B11"/>
    <w:rsid w:val="00302CDA"/>
    <w:rsid w:val="00303173"/>
    <w:rsid w:val="003062DA"/>
    <w:rsid w:val="0031037B"/>
    <w:rsid w:val="0031346E"/>
    <w:rsid w:val="0031524B"/>
    <w:rsid w:val="003304DC"/>
    <w:rsid w:val="003309A5"/>
    <w:rsid w:val="00331D3B"/>
    <w:rsid w:val="003328C2"/>
    <w:rsid w:val="00332DEF"/>
    <w:rsid w:val="00333A1F"/>
    <w:rsid w:val="00336C04"/>
    <w:rsid w:val="00337A12"/>
    <w:rsid w:val="00347D9F"/>
    <w:rsid w:val="00351A65"/>
    <w:rsid w:val="00352E17"/>
    <w:rsid w:val="00353700"/>
    <w:rsid w:val="00354519"/>
    <w:rsid w:val="00365F1D"/>
    <w:rsid w:val="00372C4D"/>
    <w:rsid w:val="00373F5C"/>
    <w:rsid w:val="0037595F"/>
    <w:rsid w:val="00375FBD"/>
    <w:rsid w:val="003822F8"/>
    <w:rsid w:val="0038405C"/>
    <w:rsid w:val="00387E88"/>
    <w:rsid w:val="00391C94"/>
    <w:rsid w:val="00393FB7"/>
    <w:rsid w:val="00395AA4"/>
    <w:rsid w:val="00396096"/>
    <w:rsid w:val="003B412C"/>
    <w:rsid w:val="003B433A"/>
    <w:rsid w:val="003B4FD7"/>
    <w:rsid w:val="003B6FCD"/>
    <w:rsid w:val="003C399D"/>
    <w:rsid w:val="003C455A"/>
    <w:rsid w:val="003D498F"/>
    <w:rsid w:val="003D58F3"/>
    <w:rsid w:val="003D701B"/>
    <w:rsid w:val="003E14FD"/>
    <w:rsid w:val="003E6AA2"/>
    <w:rsid w:val="003F1791"/>
    <w:rsid w:val="003F6D42"/>
    <w:rsid w:val="00403627"/>
    <w:rsid w:val="00404575"/>
    <w:rsid w:val="00404B03"/>
    <w:rsid w:val="004108D7"/>
    <w:rsid w:val="00410D26"/>
    <w:rsid w:val="00416CB2"/>
    <w:rsid w:val="004234DE"/>
    <w:rsid w:val="00424EF8"/>
    <w:rsid w:val="00433991"/>
    <w:rsid w:val="00434387"/>
    <w:rsid w:val="00440349"/>
    <w:rsid w:val="00440441"/>
    <w:rsid w:val="00444CF0"/>
    <w:rsid w:val="00445925"/>
    <w:rsid w:val="00450B07"/>
    <w:rsid w:val="00450C98"/>
    <w:rsid w:val="00453CA5"/>
    <w:rsid w:val="00457757"/>
    <w:rsid w:val="00463745"/>
    <w:rsid w:val="0046541D"/>
    <w:rsid w:val="00471C4A"/>
    <w:rsid w:val="00472C26"/>
    <w:rsid w:val="0047326A"/>
    <w:rsid w:val="00474713"/>
    <w:rsid w:val="004852BA"/>
    <w:rsid w:val="004860AD"/>
    <w:rsid w:val="004862A8"/>
    <w:rsid w:val="00490C90"/>
    <w:rsid w:val="00496AAF"/>
    <w:rsid w:val="004979E5"/>
    <w:rsid w:val="004A164E"/>
    <w:rsid w:val="004A293F"/>
    <w:rsid w:val="004B1016"/>
    <w:rsid w:val="004B145B"/>
    <w:rsid w:val="004D0772"/>
    <w:rsid w:val="004D24AF"/>
    <w:rsid w:val="004D24CC"/>
    <w:rsid w:val="004D4BED"/>
    <w:rsid w:val="004D5993"/>
    <w:rsid w:val="004E55BC"/>
    <w:rsid w:val="004E5C28"/>
    <w:rsid w:val="004E7AA1"/>
    <w:rsid w:val="004F0190"/>
    <w:rsid w:val="004F5999"/>
    <w:rsid w:val="004F6B4F"/>
    <w:rsid w:val="0050020E"/>
    <w:rsid w:val="005020E0"/>
    <w:rsid w:val="00514D10"/>
    <w:rsid w:val="00515934"/>
    <w:rsid w:val="005166EE"/>
    <w:rsid w:val="00521E0E"/>
    <w:rsid w:val="00522FDC"/>
    <w:rsid w:val="00523787"/>
    <w:rsid w:val="00524500"/>
    <w:rsid w:val="0052516D"/>
    <w:rsid w:val="00525FDE"/>
    <w:rsid w:val="00530253"/>
    <w:rsid w:val="00531E6A"/>
    <w:rsid w:val="005370AF"/>
    <w:rsid w:val="00537374"/>
    <w:rsid w:val="00537BE4"/>
    <w:rsid w:val="005418BE"/>
    <w:rsid w:val="005463EE"/>
    <w:rsid w:val="005476DA"/>
    <w:rsid w:val="00547CC9"/>
    <w:rsid w:val="00547F82"/>
    <w:rsid w:val="00550AEB"/>
    <w:rsid w:val="00550B9F"/>
    <w:rsid w:val="00560153"/>
    <w:rsid w:val="00563729"/>
    <w:rsid w:val="00563FF4"/>
    <w:rsid w:val="005667FD"/>
    <w:rsid w:val="00572685"/>
    <w:rsid w:val="00573163"/>
    <w:rsid w:val="005744C3"/>
    <w:rsid w:val="00583E7C"/>
    <w:rsid w:val="005A0831"/>
    <w:rsid w:val="005A273D"/>
    <w:rsid w:val="005A3FE3"/>
    <w:rsid w:val="005A4216"/>
    <w:rsid w:val="005A4AB5"/>
    <w:rsid w:val="005A7076"/>
    <w:rsid w:val="005C6FAA"/>
    <w:rsid w:val="005C77AA"/>
    <w:rsid w:val="005C7AF1"/>
    <w:rsid w:val="005D1886"/>
    <w:rsid w:val="005D50D3"/>
    <w:rsid w:val="005E0E06"/>
    <w:rsid w:val="005E3820"/>
    <w:rsid w:val="005E5C69"/>
    <w:rsid w:val="005E7E64"/>
    <w:rsid w:val="005F00F2"/>
    <w:rsid w:val="005F352D"/>
    <w:rsid w:val="00602222"/>
    <w:rsid w:val="0061075E"/>
    <w:rsid w:val="00615377"/>
    <w:rsid w:val="00620878"/>
    <w:rsid w:val="0062272C"/>
    <w:rsid w:val="006234F0"/>
    <w:rsid w:val="00626B4D"/>
    <w:rsid w:val="006320D8"/>
    <w:rsid w:val="00641D99"/>
    <w:rsid w:val="0064268E"/>
    <w:rsid w:val="00646646"/>
    <w:rsid w:val="00654466"/>
    <w:rsid w:val="006633A5"/>
    <w:rsid w:val="006677D4"/>
    <w:rsid w:val="00667EA9"/>
    <w:rsid w:val="006714A0"/>
    <w:rsid w:val="00681F77"/>
    <w:rsid w:val="006828EB"/>
    <w:rsid w:val="00683CC1"/>
    <w:rsid w:val="00685CC9"/>
    <w:rsid w:val="00687EAF"/>
    <w:rsid w:val="00697716"/>
    <w:rsid w:val="006A14A2"/>
    <w:rsid w:val="006A333D"/>
    <w:rsid w:val="006A48C9"/>
    <w:rsid w:val="006B2116"/>
    <w:rsid w:val="006B3C57"/>
    <w:rsid w:val="006B55BE"/>
    <w:rsid w:val="006C4F2E"/>
    <w:rsid w:val="006D01B9"/>
    <w:rsid w:val="006D05F3"/>
    <w:rsid w:val="006D3B69"/>
    <w:rsid w:val="006D6A0C"/>
    <w:rsid w:val="006E0454"/>
    <w:rsid w:val="006E12CC"/>
    <w:rsid w:val="006E3C5B"/>
    <w:rsid w:val="006E48A3"/>
    <w:rsid w:val="006E4A8D"/>
    <w:rsid w:val="006F0790"/>
    <w:rsid w:val="006F12D8"/>
    <w:rsid w:val="006F3F40"/>
    <w:rsid w:val="00704727"/>
    <w:rsid w:val="00705BD9"/>
    <w:rsid w:val="00710C37"/>
    <w:rsid w:val="007117AD"/>
    <w:rsid w:val="00712852"/>
    <w:rsid w:val="00736B0F"/>
    <w:rsid w:val="00743EFE"/>
    <w:rsid w:val="00744F56"/>
    <w:rsid w:val="0075699E"/>
    <w:rsid w:val="00761571"/>
    <w:rsid w:val="00770323"/>
    <w:rsid w:val="007854B4"/>
    <w:rsid w:val="00793681"/>
    <w:rsid w:val="00794454"/>
    <w:rsid w:val="007A0A31"/>
    <w:rsid w:val="007A0E9F"/>
    <w:rsid w:val="007A7410"/>
    <w:rsid w:val="007B1981"/>
    <w:rsid w:val="007C0BBF"/>
    <w:rsid w:val="007C6AF7"/>
    <w:rsid w:val="007D0884"/>
    <w:rsid w:val="007F0F52"/>
    <w:rsid w:val="007F4527"/>
    <w:rsid w:val="00800087"/>
    <w:rsid w:val="00800FF9"/>
    <w:rsid w:val="00810E42"/>
    <w:rsid w:val="008118A6"/>
    <w:rsid w:val="00812461"/>
    <w:rsid w:val="008152BE"/>
    <w:rsid w:val="0081720F"/>
    <w:rsid w:val="0081725E"/>
    <w:rsid w:val="0081741F"/>
    <w:rsid w:val="00824791"/>
    <w:rsid w:val="008273DA"/>
    <w:rsid w:val="00835339"/>
    <w:rsid w:val="00841ACE"/>
    <w:rsid w:val="008421E4"/>
    <w:rsid w:val="00847FAA"/>
    <w:rsid w:val="00852432"/>
    <w:rsid w:val="00863506"/>
    <w:rsid w:val="008637AF"/>
    <w:rsid w:val="008639A0"/>
    <w:rsid w:val="00873D3C"/>
    <w:rsid w:val="0088633B"/>
    <w:rsid w:val="0088676B"/>
    <w:rsid w:val="00891E45"/>
    <w:rsid w:val="00892DE8"/>
    <w:rsid w:val="008A15A6"/>
    <w:rsid w:val="008A1EF8"/>
    <w:rsid w:val="008A4D55"/>
    <w:rsid w:val="008A5539"/>
    <w:rsid w:val="008B162D"/>
    <w:rsid w:val="008B708F"/>
    <w:rsid w:val="008C0F4D"/>
    <w:rsid w:val="008C2F0B"/>
    <w:rsid w:val="008D2F5D"/>
    <w:rsid w:val="008D3030"/>
    <w:rsid w:val="008E03B7"/>
    <w:rsid w:val="008E3915"/>
    <w:rsid w:val="008F0773"/>
    <w:rsid w:val="008F2552"/>
    <w:rsid w:val="008F487E"/>
    <w:rsid w:val="009024DA"/>
    <w:rsid w:val="00903463"/>
    <w:rsid w:val="0090379F"/>
    <w:rsid w:val="00910053"/>
    <w:rsid w:val="00911FB4"/>
    <w:rsid w:val="009123DC"/>
    <w:rsid w:val="0091550A"/>
    <w:rsid w:val="00917D85"/>
    <w:rsid w:val="009218D6"/>
    <w:rsid w:val="00932435"/>
    <w:rsid w:val="00942158"/>
    <w:rsid w:val="009470D0"/>
    <w:rsid w:val="00947179"/>
    <w:rsid w:val="009521D7"/>
    <w:rsid w:val="00953F1A"/>
    <w:rsid w:val="00955BA4"/>
    <w:rsid w:val="00955FE6"/>
    <w:rsid w:val="00957D1B"/>
    <w:rsid w:val="00961FA5"/>
    <w:rsid w:val="00963016"/>
    <w:rsid w:val="00963661"/>
    <w:rsid w:val="00963B7D"/>
    <w:rsid w:val="00973844"/>
    <w:rsid w:val="009746EE"/>
    <w:rsid w:val="0097537D"/>
    <w:rsid w:val="00976117"/>
    <w:rsid w:val="009830C9"/>
    <w:rsid w:val="00991282"/>
    <w:rsid w:val="00991A1C"/>
    <w:rsid w:val="0099671B"/>
    <w:rsid w:val="009A4545"/>
    <w:rsid w:val="009A498C"/>
    <w:rsid w:val="009A4FD6"/>
    <w:rsid w:val="009A5622"/>
    <w:rsid w:val="009A5CF1"/>
    <w:rsid w:val="009B41B5"/>
    <w:rsid w:val="009B59AD"/>
    <w:rsid w:val="009C1A70"/>
    <w:rsid w:val="009C4301"/>
    <w:rsid w:val="009C43D4"/>
    <w:rsid w:val="009D432D"/>
    <w:rsid w:val="009D646C"/>
    <w:rsid w:val="009E07E0"/>
    <w:rsid w:val="009E08AF"/>
    <w:rsid w:val="009E7B1E"/>
    <w:rsid w:val="00A01184"/>
    <w:rsid w:val="00A01CD3"/>
    <w:rsid w:val="00A052DD"/>
    <w:rsid w:val="00A10904"/>
    <w:rsid w:val="00A116F3"/>
    <w:rsid w:val="00A13F7C"/>
    <w:rsid w:val="00A158E9"/>
    <w:rsid w:val="00A15AE4"/>
    <w:rsid w:val="00A169A4"/>
    <w:rsid w:val="00A24BA0"/>
    <w:rsid w:val="00A271B8"/>
    <w:rsid w:val="00A34784"/>
    <w:rsid w:val="00A34998"/>
    <w:rsid w:val="00A359D8"/>
    <w:rsid w:val="00A40AEB"/>
    <w:rsid w:val="00A4251C"/>
    <w:rsid w:val="00A441FB"/>
    <w:rsid w:val="00A50B72"/>
    <w:rsid w:val="00A541B4"/>
    <w:rsid w:val="00A607E5"/>
    <w:rsid w:val="00A72CBD"/>
    <w:rsid w:val="00A73982"/>
    <w:rsid w:val="00A73F06"/>
    <w:rsid w:val="00A77CEE"/>
    <w:rsid w:val="00A82265"/>
    <w:rsid w:val="00A85716"/>
    <w:rsid w:val="00A85D03"/>
    <w:rsid w:val="00A8692C"/>
    <w:rsid w:val="00A90C90"/>
    <w:rsid w:val="00AA0F92"/>
    <w:rsid w:val="00AA2289"/>
    <w:rsid w:val="00AA7254"/>
    <w:rsid w:val="00AB0060"/>
    <w:rsid w:val="00AB43EF"/>
    <w:rsid w:val="00AB60F2"/>
    <w:rsid w:val="00AB78C1"/>
    <w:rsid w:val="00AC0BF4"/>
    <w:rsid w:val="00AC16DB"/>
    <w:rsid w:val="00AC3F29"/>
    <w:rsid w:val="00AD0AB4"/>
    <w:rsid w:val="00AD679A"/>
    <w:rsid w:val="00AD746B"/>
    <w:rsid w:val="00AE4055"/>
    <w:rsid w:val="00AE69C8"/>
    <w:rsid w:val="00AE6BCD"/>
    <w:rsid w:val="00AF1411"/>
    <w:rsid w:val="00AF2F57"/>
    <w:rsid w:val="00AF3717"/>
    <w:rsid w:val="00B02467"/>
    <w:rsid w:val="00B0721A"/>
    <w:rsid w:val="00B13FD7"/>
    <w:rsid w:val="00B14A61"/>
    <w:rsid w:val="00B15BCB"/>
    <w:rsid w:val="00B17B8B"/>
    <w:rsid w:val="00B23B4C"/>
    <w:rsid w:val="00B26EDA"/>
    <w:rsid w:val="00B276F1"/>
    <w:rsid w:val="00B343C1"/>
    <w:rsid w:val="00B35FB9"/>
    <w:rsid w:val="00B37C28"/>
    <w:rsid w:val="00B41C1A"/>
    <w:rsid w:val="00B45F06"/>
    <w:rsid w:val="00B512ED"/>
    <w:rsid w:val="00B603CE"/>
    <w:rsid w:val="00B60568"/>
    <w:rsid w:val="00B703E3"/>
    <w:rsid w:val="00B7629E"/>
    <w:rsid w:val="00B80D63"/>
    <w:rsid w:val="00B816D3"/>
    <w:rsid w:val="00B90498"/>
    <w:rsid w:val="00B91C8D"/>
    <w:rsid w:val="00B9523D"/>
    <w:rsid w:val="00B9662D"/>
    <w:rsid w:val="00BA09DA"/>
    <w:rsid w:val="00BA3B12"/>
    <w:rsid w:val="00BA4F3E"/>
    <w:rsid w:val="00BA62E5"/>
    <w:rsid w:val="00BA66BC"/>
    <w:rsid w:val="00BA7443"/>
    <w:rsid w:val="00BC3619"/>
    <w:rsid w:val="00BC444E"/>
    <w:rsid w:val="00BC4961"/>
    <w:rsid w:val="00BC51C5"/>
    <w:rsid w:val="00BD45F2"/>
    <w:rsid w:val="00BD5DE0"/>
    <w:rsid w:val="00BE1E0F"/>
    <w:rsid w:val="00BF2AD4"/>
    <w:rsid w:val="00BF30B7"/>
    <w:rsid w:val="00C029EF"/>
    <w:rsid w:val="00C04286"/>
    <w:rsid w:val="00C04287"/>
    <w:rsid w:val="00C1228A"/>
    <w:rsid w:val="00C133D6"/>
    <w:rsid w:val="00C149D7"/>
    <w:rsid w:val="00C14C66"/>
    <w:rsid w:val="00C15490"/>
    <w:rsid w:val="00C1613C"/>
    <w:rsid w:val="00C205C4"/>
    <w:rsid w:val="00C20CF7"/>
    <w:rsid w:val="00C212C1"/>
    <w:rsid w:val="00C26D0F"/>
    <w:rsid w:val="00C320B5"/>
    <w:rsid w:val="00C32842"/>
    <w:rsid w:val="00C35531"/>
    <w:rsid w:val="00C35CFB"/>
    <w:rsid w:val="00C402EE"/>
    <w:rsid w:val="00C40B7B"/>
    <w:rsid w:val="00C41A71"/>
    <w:rsid w:val="00C4203A"/>
    <w:rsid w:val="00C4224E"/>
    <w:rsid w:val="00C44F52"/>
    <w:rsid w:val="00C54A47"/>
    <w:rsid w:val="00C606DE"/>
    <w:rsid w:val="00C6536D"/>
    <w:rsid w:val="00C6663F"/>
    <w:rsid w:val="00C7540E"/>
    <w:rsid w:val="00C756D6"/>
    <w:rsid w:val="00C7638D"/>
    <w:rsid w:val="00C763A9"/>
    <w:rsid w:val="00C765A2"/>
    <w:rsid w:val="00C76DCF"/>
    <w:rsid w:val="00C76F2D"/>
    <w:rsid w:val="00C81099"/>
    <w:rsid w:val="00C84543"/>
    <w:rsid w:val="00C8579E"/>
    <w:rsid w:val="00C87CB6"/>
    <w:rsid w:val="00C91D14"/>
    <w:rsid w:val="00C938AA"/>
    <w:rsid w:val="00C94238"/>
    <w:rsid w:val="00C956E4"/>
    <w:rsid w:val="00C96052"/>
    <w:rsid w:val="00CA27D9"/>
    <w:rsid w:val="00CA2DE4"/>
    <w:rsid w:val="00CA5D47"/>
    <w:rsid w:val="00CA5E19"/>
    <w:rsid w:val="00CA778E"/>
    <w:rsid w:val="00CB7955"/>
    <w:rsid w:val="00CC0477"/>
    <w:rsid w:val="00CC39E7"/>
    <w:rsid w:val="00CC7769"/>
    <w:rsid w:val="00CE4FB6"/>
    <w:rsid w:val="00CE4FD2"/>
    <w:rsid w:val="00CE784B"/>
    <w:rsid w:val="00CF3462"/>
    <w:rsid w:val="00D018C2"/>
    <w:rsid w:val="00D02C9B"/>
    <w:rsid w:val="00D05C3F"/>
    <w:rsid w:val="00D109B3"/>
    <w:rsid w:val="00D11EE1"/>
    <w:rsid w:val="00D12498"/>
    <w:rsid w:val="00D17A22"/>
    <w:rsid w:val="00D20ABA"/>
    <w:rsid w:val="00D31C9A"/>
    <w:rsid w:val="00D36B80"/>
    <w:rsid w:val="00D414C9"/>
    <w:rsid w:val="00D45B82"/>
    <w:rsid w:val="00D51402"/>
    <w:rsid w:val="00D51B1F"/>
    <w:rsid w:val="00D51FB1"/>
    <w:rsid w:val="00D53A08"/>
    <w:rsid w:val="00D548CE"/>
    <w:rsid w:val="00D6022A"/>
    <w:rsid w:val="00D61DF9"/>
    <w:rsid w:val="00D66449"/>
    <w:rsid w:val="00D66BA4"/>
    <w:rsid w:val="00D70983"/>
    <w:rsid w:val="00D70B4E"/>
    <w:rsid w:val="00D75399"/>
    <w:rsid w:val="00D77699"/>
    <w:rsid w:val="00D8025B"/>
    <w:rsid w:val="00D85481"/>
    <w:rsid w:val="00D85B7E"/>
    <w:rsid w:val="00D92574"/>
    <w:rsid w:val="00D9349A"/>
    <w:rsid w:val="00DA2867"/>
    <w:rsid w:val="00DA3D07"/>
    <w:rsid w:val="00DA670E"/>
    <w:rsid w:val="00DB4B03"/>
    <w:rsid w:val="00DB56E0"/>
    <w:rsid w:val="00DB58ED"/>
    <w:rsid w:val="00DC0653"/>
    <w:rsid w:val="00DD0410"/>
    <w:rsid w:val="00DD1222"/>
    <w:rsid w:val="00DD1AE8"/>
    <w:rsid w:val="00DD50CD"/>
    <w:rsid w:val="00DE01A2"/>
    <w:rsid w:val="00DE0EBB"/>
    <w:rsid w:val="00DE16AA"/>
    <w:rsid w:val="00DE2534"/>
    <w:rsid w:val="00DE7E14"/>
    <w:rsid w:val="00DF0733"/>
    <w:rsid w:val="00E00987"/>
    <w:rsid w:val="00E05B89"/>
    <w:rsid w:val="00E070F6"/>
    <w:rsid w:val="00E1168E"/>
    <w:rsid w:val="00E1389D"/>
    <w:rsid w:val="00E20005"/>
    <w:rsid w:val="00E202B0"/>
    <w:rsid w:val="00E2321B"/>
    <w:rsid w:val="00E23B43"/>
    <w:rsid w:val="00E3596E"/>
    <w:rsid w:val="00E36E46"/>
    <w:rsid w:val="00E37127"/>
    <w:rsid w:val="00E42909"/>
    <w:rsid w:val="00E545F5"/>
    <w:rsid w:val="00E55C69"/>
    <w:rsid w:val="00E75191"/>
    <w:rsid w:val="00E820A2"/>
    <w:rsid w:val="00E82ED0"/>
    <w:rsid w:val="00E850CC"/>
    <w:rsid w:val="00E91116"/>
    <w:rsid w:val="00E927BE"/>
    <w:rsid w:val="00EA1EBD"/>
    <w:rsid w:val="00EA2668"/>
    <w:rsid w:val="00EA28C7"/>
    <w:rsid w:val="00EA3348"/>
    <w:rsid w:val="00EB0AEC"/>
    <w:rsid w:val="00EB6159"/>
    <w:rsid w:val="00EB7B0F"/>
    <w:rsid w:val="00EC518F"/>
    <w:rsid w:val="00EC6BA0"/>
    <w:rsid w:val="00ED787A"/>
    <w:rsid w:val="00EE702A"/>
    <w:rsid w:val="00EF2824"/>
    <w:rsid w:val="00EF58D6"/>
    <w:rsid w:val="00EF6A52"/>
    <w:rsid w:val="00EF7553"/>
    <w:rsid w:val="00F0467B"/>
    <w:rsid w:val="00F13CA4"/>
    <w:rsid w:val="00F15050"/>
    <w:rsid w:val="00F158C5"/>
    <w:rsid w:val="00F15D8B"/>
    <w:rsid w:val="00F162D6"/>
    <w:rsid w:val="00F220E4"/>
    <w:rsid w:val="00F24C97"/>
    <w:rsid w:val="00F26F97"/>
    <w:rsid w:val="00F27B37"/>
    <w:rsid w:val="00F3418C"/>
    <w:rsid w:val="00F36671"/>
    <w:rsid w:val="00F36B75"/>
    <w:rsid w:val="00F370E6"/>
    <w:rsid w:val="00F37421"/>
    <w:rsid w:val="00F40141"/>
    <w:rsid w:val="00F418F4"/>
    <w:rsid w:val="00F434DE"/>
    <w:rsid w:val="00F43515"/>
    <w:rsid w:val="00F453BE"/>
    <w:rsid w:val="00F47F02"/>
    <w:rsid w:val="00F547EA"/>
    <w:rsid w:val="00F658CA"/>
    <w:rsid w:val="00F66E3D"/>
    <w:rsid w:val="00F71083"/>
    <w:rsid w:val="00F72996"/>
    <w:rsid w:val="00F73DE7"/>
    <w:rsid w:val="00F80831"/>
    <w:rsid w:val="00F817A0"/>
    <w:rsid w:val="00F87EC8"/>
    <w:rsid w:val="00F974D2"/>
    <w:rsid w:val="00FA0E58"/>
    <w:rsid w:val="00FA2243"/>
    <w:rsid w:val="00FB0467"/>
    <w:rsid w:val="00FB1E39"/>
    <w:rsid w:val="00FB1EB9"/>
    <w:rsid w:val="00FB3B23"/>
    <w:rsid w:val="00FB3FAF"/>
    <w:rsid w:val="00FB40FB"/>
    <w:rsid w:val="00FB5B9A"/>
    <w:rsid w:val="00FC133D"/>
    <w:rsid w:val="00FC1A80"/>
    <w:rsid w:val="00FC65D7"/>
    <w:rsid w:val="00FD0C28"/>
    <w:rsid w:val="00FE19D9"/>
    <w:rsid w:val="00FE327B"/>
    <w:rsid w:val="00FF004C"/>
    <w:rsid w:val="00FF1B4B"/>
    <w:rsid w:val="00FF21BC"/>
    <w:rsid w:val="00FF3DFF"/>
    <w:rsid w:val="00FF41BC"/>
    <w:rsid w:val="00FF435D"/>
    <w:rsid w:val="00FF73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8D3F033"/>
  <w15:docId w15:val="{B55CA06D-7237-410E-9D87-A61BE074F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4BA0"/>
  </w:style>
  <w:style w:type="paragraph" w:styleId="Heading1">
    <w:name w:val="heading 1"/>
    <w:basedOn w:val="Normal"/>
    <w:next w:val="Normal"/>
    <w:link w:val="Heading1Char"/>
    <w:uiPriority w:val="9"/>
    <w:qFormat/>
    <w:rsid w:val="006320D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9"/>
    <w:unhideWhenUsed/>
    <w:qFormat/>
    <w:rsid w:val="00E36E4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9"/>
    <w:qFormat/>
    <w:rsid w:val="00DD1222"/>
    <w:pPr>
      <w:autoSpaceDE w:val="0"/>
      <w:autoSpaceDN w:val="0"/>
      <w:adjustRightInd w:val="0"/>
      <w:spacing w:after="0" w:line="240" w:lineRule="auto"/>
      <w:outlineLvl w:val="2"/>
    </w:pPr>
    <w:rPr>
      <w:rFonts w:ascii="Courier New" w:hAnsi="Courier New" w:cs="Courier New"/>
      <w:b/>
      <w:bCs/>
      <w:color w:val="000000"/>
      <w:sz w:val="26"/>
      <w:szCs w:val="26"/>
    </w:rPr>
  </w:style>
  <w:style w:type="paragraph" w:styleId="Heading4">
    <w:name w:val="heading 4"/>
    <w:basedOn w:val="Normal"/>
    <w:next w:val="Normal"/>
    <w:link w:val="Heading4Char"/>
    <w:uiPriority w:val="9"/>
    <w:unhideWhenUsed/>
    <w:qFormat/>
    <w:rsid w:val="00DD1222"/>
    <w:pPr>
      <w:keepNext/>
      <w:keepLines/>
      <w:spacing w:before="40" w:after="0"/>
      <w:outlineLvl w:val="3"/>
    </w:pPr>
    <w:rPr>
      <w:rFonts w:asciiTheme="majorHAnsi" w:eastAsiaTheme="majorEastAsia" w:hAnsiTheme="majorHAnsi" w:cstheme="majorBidi"/>
      <w:i/>
      <w:iCs/>
      <w:color w:val="2E74B5" w:themeColor="accent1" w:themeShade="B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20D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9"/>
    <w:rsid w:val="00E36E46"/>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9B41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E36E46"/>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E36E46"/>
    <w:rPr>
      <w:sz w:val="20"/>
      <w:szCs w:val="20"/>
      <w:lang w:val="en-US"/>
    </w:rPr>
  </w:style>
  <w:style w:type="character" w:styleId="FootnoteReference">
    <w:name w:val="footnote reference"/>
    <w:basedOn w:val="DefaultParagraphFont"/>
    <w:uiPriority w:val="99"/>
    <w:unhideWhenUsed/>
    <w:rsid w:val="00E36E46"/>
    <w:rPr>
      <w:vertAlign w:val="superscript"/>
    </w:rPr>
  </w:style>
  <w:style w:type="character" w:styleId="Hyperlink">
    <w:name w:val="Hyperlink"/>
    <w:basedOn w:val="DefaultParagraphFont"/>
    <w:uiPriority w:val="99"/>
    <w:unhideWhenUsed/>
    <w:rsid w:val="00F43515"/>
    <w:rPr>
      <w:color w:val="0563C1" w:themeColor="hyperlink"/>
      <w:u w:val="single"/>
    </w:rPr>
  </w:style>
  <w:style w:type="paragraph" w:styleId="ListParagraph">
    <w:name w:val="List Paragraph"/>
    <w:aliases w:val="Lapis Bulleted List,List Paragraph (numbered (a)),List Paragraph12,CV text,Bullets,3,titulo 3,Párrafo de lista1,normal,References,WB List Paragraph,Normal11,Bullet List,Dot pt,No Spacing1,List Paragraph Char Char Char,Indicator Text,L,L_4"/>
    <w:basedOn w:val="Normal"/>
    <w:link w:val="ListParagraphChar"/>
    <w:uiPriority w:val="34"/>
    <w:qFormat/>
    <w:rsid w:val="006320D8"/>
    <w:pPr>
      <w:ind w:left="720"/>
      <w:contextualSpacing/>
    </w:pPr>
    <w:rPr>
      <w:lang w:val="uz-Cyrl-UZ"/>
    </w:rPr>
  </w:style>
  <w:style w:type="character" w:customStyle="1" w:styleId="ListParagraphChar">
    <w:name w:val="List Paragraph Char"/>
    <w:aliases w:val="Lapis Bulleted List Char,List Paragraph (numbered (a)) Char,List Paragraph12 Char,CV text Char,Bullets Char,3 Char,titulo 3 Char,Párrafo de lista1 Char,normal Char,References Char,WB List Paragraph Char,Normal11 Char,Bullet List Char"/>
    <w:link w:val="ListParagraph"/>
    <w:uiPriority w:val="34"/>
    <w:qFormat/>
    <w:locked/>
    <w:rsid w:val="005A273D"/>
    <w:rPr>
      <w:lang w:val="uz-Cyrl-UZ"/>
    </w:rPr>
  </w:style>
  <w:style w:type="table" w:customStyle="1" w:styleId="PlainTable11">
    <w:name w:val="Plain Table 11"/>
    <w:basedOn w:val="TableNormal"/>
    <w:uiPriority w:val="41"/>
    <w:rsid w:val="006320D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6320D8"/>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320D8"/>
    <w:rPr>
      <w:sz w:val="16"/>
      <w:szCs w:val="16"/>
    </w:rPr>
  </w:style>
  <w:style w:type="paragraph" w:styleId="CommentText">
    <w:name w:val="annotation text"/>
    <w:basedOn w:val="Normal"/>
    <w:link w:val="CommentTextChar"/>
    <w:uiPriority w:val="99"/>
    <w:semiHidden/>
    <w:unhideWhenUsed/>
    <w:rsid w:val="006320D8"/>
    <w:pPr>
      <w:spacing w:line="240" w:lineRule="auto"/>
    </w:pPr>
    <w:rPr>
      <w:sz w:val="20"/>
      <w:szCs w:val="20"/>
    </w:rPr>
  </w:style>
  <w:style w:type="character" w:customStyle="1" w:styleId="CommentTextChar">
    <w:name w:val="Comment Text Char"/>
    <w:basedOn w:val="DefaultParagraphFont"/>
    <w:link w:val="CommentText"/>
    <w:uiPriority w:val="99"/>
    <w:semiHidden/>
    <w:rsid w:val="006320D8"/>
    <w:rPr>
      <w:sz w:val="20"/>
      <w:szCs w:val="20"/>
    </w:rPr>
  </w:style>
  <w:style w:type="paragraph" w:styleId="BalloonText">
    <w:name w:val="Balloon Text"/>
    <w:basedOn w:val="Normal"/>
    <w:link w:val="BalloonTextChar"/>
    <w:uiPriority w:val="99"/>
    <w:semiHidden/>
    <w:unhideWhenUsed/>
    <w:rsid w:val="006320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20D8"/>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EE702A"/>
    <w:rPr>
      <w:b/>
      <w:bCs/>
    </w:rPr>
  </w:style>
  <w:style w:type="character" w:customStyle="1" w:styleId="CommentSubjectChar">
    <w:name w:val="Comment Subject Char"/>
    <w:basedOn w:val="CommentTextChar"/>
    <w:link w:val="CommentSubject"/>
    <w:uiPriority w:val="99"/>
    <w:semiHidden/>
    <w:rsid w:val="00EE702A"/>
    <w:rPr>
      <w:b/>
      <w:bCs/>
      <w:sz w:val="20"/>
      <w:szCs w:val="20"/>
    </w:rPr>
  </w:style>
  <w:style w:type="paragraph" w:styleId="NoSpacing">
    <w:name w:val="No Spacing"/>
    <w:link w:val="NoSpacingChar"/>
    <w:uiPriority w:val="1"/>
    <w:qFormat/>
    <w:rsid w:val="005476DA"/>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5476DA"/>
    <w:rPr>
      <w:rFonts w:eastAsiaTheme="minorEastAsia"/>
      <w:lang w:val="en-US"/>
    </w:rPr>
  </w:style>
  <w:style w:type="paragraph" w:styleId="Header">
    <w:name w:val="header"/>
    <w:basedOn w:val="Normal"/>
    <w:link w:val="HeaderChar"/>
    <w:uiPriority w:val="99"/>
    <w:unhideWhenUsed/>
    <w:rsid w:val="005476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76DA"/>
  </w:style>
  <w:style w:type="paragraph" w:styleId="Footer">
    <w:name w:val="footer"/>
    <w:basedOn w:val="Normal"/>
    <w:link w:val="FooterChar"/>
    <w:uiPriority w:val="99"/>
    <w:unhideWhenUsed/>
    <w:rsid w:val="005476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76DA"/>
  </w:style>
  <w:style w:type="character" w:customStyle="1" w:styleId="fontstyle01">
    <w:name w:val="fontstyle01"/>
    <w:basedOn w:val="DefaultParagraphFont"/>
    <w:rsid w:val="00E820A2"/>
    <w:rPr>
      <w:rFonts w:ascii="Calibri" w:hAnsi="Calibri" w:cs="Calibri" w:hint="default"/>
      <w:b w:val="0"/>
      <w:bCs w:val="0"/>
      <w:i w:val="0"/>
      <w:iCs w:val="0"/>
      <w:color w:val="000000"/>
      <w:sz w:val="24"/>
      <w:szCs w:val="24"/>
    </w:rPr>
  </w:style>
  <w:style w:type="paragraph" w:styleId="TOC1">
    <w:name w:val="toc 1"/>
    <w:basedOn w:val="Normal"/>
    <w:next w:val="Normal"/>
    <w:autoRedefine/>
    <w:uiPriority w:val="39"/>
    <w:unhideWhenUsed/>
    <w:rsid w:val="00035C08"/>
    <w:pPr>
      <w:spacing w:after="100" w:line="256" w:lineRule="auto"/>
    </w:pPr>
  </w:style>
  <w:style w:type="paragraph" w:styleId="TOC2">
    <w:name w:val="toc 2"/>
    <w:basedOn w:val="Normal"/>
    <w:next w:val="Normal"/>
    <w:autoRedefine/>
    <w:uiPriority w:val="39"/>
    <w:unhideWhenUsed/>
    <w:rsid w:val="00035C08"/>
    <w:pPr>
      <w:spacing w:after="100" w:line="256" w:lineRule="auto"/>
      <w:ind w:left="220"/>
    </w:pPr>
  </w:style>
  <w:style w:type="paragraph" w:styleId="TOCHeading">
    <w:name w:val="TOC Heading"/>
    <w:basedOn w:val="Heading1"/>
    <w:next w:val="Normal"/>
    <w:uiPriority w:val="39"/>
    <w:semiHidden/>
    <w:unhideWhenUsed/>
    <w:qFormat/>
    <w:rsid w:val="00035C08"/>
    <w:pPr>
      <w:spacing w:line="256" w:lineRule="auto"/>
      <w:outlineLvl w:val="9"/>
    </w:pPr>
    <w:rPr>
      <w:lang w:val="en-US"/>
    </w:rPr>
  </w:style>
  <w:style w:type="character" w:customStyle="1" w:styleId="fontstyle21">
    <w:name w:val="fontstyle21"/>
    <w:basedOn w:val="DefaultParagraphFont"/>
    <w:rsid w:val="00035C08"/>
    <w:rPr>
      <w:rFonts w:ascii="HelveticaNeue" w:hAnsi="HelveticaNeue" w:hint="default"/>
      <w:b w:val="0"/>
      <w:bCs w:val="0"/>
      <w:i w:val="0"/>
      <w:iCs w:val="0"/>
      <w:color w:val="000000"/>
      <w:sz w:val="18"/>
      <w:szCs w:val="18"/>
    </w:rPr>
  </w:style>
  <w:style w:type="table" w:customStyle="1" w:styleId="MediumShading1-Accent11">
    <w:name w:val="Medium Shading 1 - Accent 11"/>
    <w:basedOn w:val="TableNormal"/>
    <w:next w:val="MediumShading1-Accent1"/>
    <w:uiPriority w:val="63"/>
    <w:rsid w:val="008639A0"/>
    <w:pPr>
      <w:spacing w:after="0" w:line="240" w:lineRule="auto"/>
      <w:jc w:val="both"/>
    </w:pPr>
    <w:rPr>
      <w:rFonts w:ascii="Times New Roman" w:hAnsi="Times New Roman" w:cs="Times New Roman"/>
      <w:sz w:val="24"/>
      <w:szCs w:val="24"/>
      <w:lang w:val="en-US"/>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639A0"/>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styleId="Quote">
    <w:name w:val="Quote"/>
    <w:basedOn w:val="Normal"/>
    <w:next w:val="Normal"/>
    <w:link w:val="QuoteChar"/>
    <w:uiPriority w:val="29"/>
    <w:qFormat/>
    <w:rsid w:val="004A293F"/>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4A293F"/>
    <w:rPr>
      <w:i/>
      <w:iCs/>
      <w:color w:val="404040" w:themeColor="text1" w:themeTint="BF"/>
    </w:rPr>
  </w:style>
  <w:style w:type="paragraph" w:styleId="Title">
    <w:name w:val="Title"/>
    <w:basedOn w:val="Normal"/>
    <w:next w:val="Normal"/>
    <w:link w:val="TitleChar"/>
    <w:uiPriority w:val="10"/>
    <w:qFormat/>
    <w:rsid w:val="00404575"/>
    <w:pPr>
      <w:spacing w:after="0" w:line="240" w:lineRule="auto"/>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404575"/>
    <w:rPr>
      <w:rFonts w:asciiTheme="majorHAnsi" w:eastAsiaTheme="majorEastAsia" w:hAnsiTheme="majorHAnsi" w:cstheme="majorBidi"/>
      <w:spacing w:val="-10"/>
      <w:kern w:val="28"/>
      <w:sz w:val="56"/>
      <w:szCs w:val="56"/>
      <w:lang w:val="en-US"/>
    </w:rPr>
  </w:style>
  <w:style w:type="character" w:customStyle="1" w:styleId="Heading3Char">
    <w:name w:val="Heading 3 Char"/>
    <w:basedOn w:val="DefaultParagraphFont"/>
    <w:link w:val="Heading3"/>
    <w:uiPriority w:val="99"/>
    <w:rsid w:val="00DD1222"/>
    <w:rPr>
      <w:rFonts w:ascii="Courier New" w:hAnsi="Courier New" w:cs="Courier New"/>
      <w:b/>
      <w:bCs/>
      <w:color w:val="000000"/>
      <w:sz w:val="26"/>
      <w:szCs w:val="26"/>
    </w:rPr>
  </w:style>
  <w:style w:type="character" w:customStyle="1" w:styleId="Heading4Char">
    <w:name w:val="Heading 4 Char"/>
    <w:basedOn w:val="DefaultParagraphFont"/>
    <w:link w:val="Heading4"/>
    <w:uiPriority w:val="9"/>
    <w:rsid w:val="00DD1222"/>
    <w:rPr>
      <w:rFonts w:asciiTheme="majorHAnsi" w:eastAsiaTheme="majorEastAsia" w:hAnsiTheme="majorHAnsi" w:cstheme="majorBidi"/>
      <w:i/>
      <w:iCs/>
      <w:color w:val="2E74B5" w:themeColor="accent1" w:themeShade="BF"/>
      <w:lang w:val="en-US"/>
    </w:rPr>
  </w:style>
  <w:style w:type="paragraph" w:styleId="Caption">
    <w:name w:val="caption"/>
    <w:basedOn w:val="Normal"/>
    <w:next w:val="Normal"/>
    <w:uiPriority w:val="35"/>
    <w:unhideWhenUsed/>
    <w:qFormat/>
    <w:rsid w:val="00681F77"/>
    <w:pPr>
      <w:spacing w:after="200" w:line="240" w:lineRule="auto"/>
    </w:pPr>
    <w:rPr>
      <w:i/>
      <w:iCs/>
      <w:color w:val="44546A" w:themeColor="text2"/>
      <w:sz w:val="18"/>
      <w:szCs w:val="18"/>
    </w:rPr>
  </w:style>
  <w:style w:type="paragraph" w:customStyle="1" w:styleId="ydp9ed447f0msonormal">
    <w:name w:val="ydp9ed447f0msonormal"/>
    <w:basedOn w:val="Normal"/>
    <w:rsid w:val="00E75191"/>
    <w:pPr>
      <w:spacing w:before="100" w:beforeAutospacing="1" w:after="100" w:afterAutospacing="1" w:line="240" w:lineRule="auto"/>
    </w:pPr>
    <w:rPr>
      <w:rFonts w:ascii="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7117AD"/>
    <w:rPr>
      <w:color w:val="954F72" w:themeColor="followedHyperlink"/>
      <w:u w:val="single"/>
    </w:rPr>
  </w:style>
  <w:style w:type="paragraph" w:styleId="Revision">
    <w:name w:val="Revision"/>
    <w:hidden/>
    <w:uiPriority w:val="99"/>
    <w:semiHidden/>
    <w:rsid w:val="008421E4"/>
    <w:pPr>
      <w:spacing w:after="0" w:line="240" w:lineRule="auto"/>
    </w:pPr>
  </w:style>
  <w:style w:type="table" w:styleId="PlainTable4">
    <w:name w:val="Plain Table 4"/>
    <w:basedOn w:val="TableNormal"/>
    <w:uiPriority w:val="44"/>
    <w:rsid w:val="006C4F2E"/>
    <w:pPr>
      <w:spacing w:after="0" w:line="240" w:lineRule="auto"/>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ubtitle">
    <w:name w:val="Subtitle"/>
    <w:basedOn w:val="Normal"/>
    <w:next w:val="Normal"/>
    <w:link w:val="SubtitleChar"/>
    <w:uiPriority w:val="11"/>
    <w:qFormat/>
    <w:rsid w:val="006D6A0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6D6A0C"/>
    <w:rPr>
      <w:rFonts w:eastAsiaTheme="minorEastAsia"/>
      <w:color w:val="5A5A5A" w:themeColor="text1" w:themeTint="A5"/>
      <w:spacing w:val="15"/>
    </w:rPr>
  </w:style>
  <w:style w:type="character" w:styleId="IntenseEmphasis">
    <w:name w:val="Intense Emphasis"/>
    <w:basedOn w:val="DefaultParagraphFont"/>
    <w:uiPriority w:val="21"/>
    <w:qFormat/>
    <w:rsid w:val="00EB6159"/>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321416">
      <w:bodyDiv w:val="1"/>
      <w:marLeft w:val="0"/>
      <w:marRight w:val="0"/>
      <w:marTop w:val="0"/>
      <w:marBottom w:val="0"/>
      <w:divBdr>
        <w:top w:val="none" w:sz="0" w:space="0" w:color="auto"/>
        <w:left w:val="none" w:sz="0" w:space="0" w:color="auto"/>
        <w:bottom w:val="none" w:sz="0" w:space="0" w:color="auto"/>
        <w:right w:val="none" w:sz="0" w:space="0" w:color="auto"/>
      </w:divBdr>
    </w:div>
    <w:div w:id="140999970">
      <w:bodyDiv w:val="1"/>
      <w:marLeft w:val="0"/>
      <w:marRight w:val="0"/>
      <w:marTop w:val="0"/>
      <w:marBottom w:val="0"/>
      <w:divBdr>
        <w:top w:val="none" w:sz="0" w:space="0" w:color="auto"/>
        <w:left w:val="none" w:sz="0" w:space="0" w:color="auto"/>
        <w:bottom w:val="none" w:sz="0" w:space="0" w:color="auto"/>
        <w:right w:val="none" w:sz="0" w:space="0" w:color="auto"/>
      </w:divBdr>
      <w:divsChild>
        <w:div w:id="134300501">
          <w:marLeft w:val="360"/>
          <w:marRight w:val="0"/>
          <w:marTop w:val="200"/>
          <w:marBottom w:val="0"/>
          <w:divBdr>
            <w:top w:val="none" w:sz="0" w:space="0" w:color="auto"/>
            <w:left w:val="none" w:sz="0" w:space="0" w:color="auto"/>
            <w:bottom w:val="none" w:sz="0" w:space="0" w:color="auto"/>
            <w:right w:val="none" w:sz="0" w:space="0" w:color="auto"/>
          </w:divBdr>
        </w:div>
        <w:div w:id="1779912263">
          <w:marLeft w:val="360"/>
          <w:marRight w:val="0"/>
          <w:marTop w:val="200"/>
          <w:marBottom w:val="0"/>
          <w:divBdr>
            <w:top w:val="none" w:sz="0" w:space="0" w:color="auto"/>
            <w:left w:val="none" w:sz="0" w:space="0" w:color="auto"/>
            <w:bottom w:val="none" w:sz="0" w:space="0" w:color="auto"/>
            <w:right w:val="none" w:sz="0" w:space="0" w:color="auto"/>
          </w:divBdr>
        </w:div>
      </w:divsChild>
    </w:div>
    <w:div w:id="154107196">
      <w:bodyDiv w:val="1"/>
      <w:marLeft w:val="0"/>
      <w:marRight w:val="0"/>
      <w:marTop w:val="0"/>
      <w:marBottom w:val="0"/>
      <w:divBdr>
        <w:top w:val="none" w:sz="0" w:space="0" w:color="auto"/>
        <w:left w:val="none" w:sz="0" w:space="0" w:color="auto"/>
        <w:bottom w:val="none" w:sz="0" w:space="0" w:color="auto"/>
        <w:right w:val="none" w:sz="0" w:space="0" w:color="auto"/>
      </w:divBdr>
      <w:divsChild>
        <w:div w:id="238373310">
          <w:marLeft w:val="1080"/>
          <w:marRight w:val="0"/>
          <w:marTop w:val="100"/>
          <w:marBottom w:val="0"/>
          <w:divBdr>
            <w:top w:val="none" w:sz="0" w:space="0" w:color="auto"/>
            <w:left w:val="none" w:sz="0" w:space="0" w:color="auto"/>
            <w:bottom w:val="none" w:sz="0" w:space="0" w:color="auto"/>
            <w:right w:val="none" w:sz="0" w:space="0" w:color="auto"/>
          </w:divBdr>
        </w:div>
        <w:div w:id="1063328463">
          <w:marLeft w:val="1080"/>
          <w:marRight w:val="0"/>
          <w:marTop w:val="100"/>
          <w:marBottom w:val="0"/>
          <w:divBdr>
            <w:top w:val="none" w:sz="0" w:space="0" w:color="auto"/>
            <w:left w:val="none" w:sz="0" w:space="0" w:color="auto"/>
            <w:bottom w:val="none" w:sz="0" w:space="0" w:color="auto"/>
            <w:right w:val="none" w:sz="0" w:space="0" w:color="auto"/>
          </w:divBdr>
        </w:div>
        <w:div w:id="1096485333">
          <w:marLeft w:val="1080"/>
          <w:marRight w:val="0"/>
          <w:marTop w:val="100"/>
          <w:marBottom w:val="0"/>
          <w:divBdr>
            <w:top w:val="none" w:sz="0" w:space="0" w:color="auto"/>
            <w:left w:val="none" w:sz="0" w:space="0" w:color="auto"/>
            <w:bottom w:val="none" w:sz="0" w:space="0" w:color="auto"/>
            <w:right w:val="none" w:sz="0" w:space="0" w:color="auto"/>
          </w:divBdr>
        </w:div>
        <w:div w:id="1187911930">
          <w:marLeft w:val="1080"/>
          <w:marRight w:val="0"/>
          <w:marTop w:val="100"/>
          <w:marBottom w:val="0"/>
          <w:divBdr>
            <w:top w:val="none" w:sz="0" w:space="0" w:color="auto"/>
            <w:left w:val="none" w:sz="0" w:space="0" w:color="auto"/>
            <w:bottom w:val="none" w:sz="0" w:space="0" w:color="auto"/>
            <w:right w:val="none" w:sz="0" w:space="0" w:color="auto"/>
          </w:divBdr>
        </w:div>
        <w:div w:id="1192374796">
          <w:marLeft w:val="360"/>
          <w:marRight w:val="0"/>
          <w:marTop w:val="200"/>
          <w:marBottom w:val="0"/>
          <w:divBdr>
            <w:top w:val="none" w:sz="0" w:space="0" w:color="auto"/>
            <w:left w:val="none" w:sz="0" w:space="0" w:color="auto"/>
            <w:bottom w:val="none" w:sz="0" w:space="0" w:color="auto"/>
            <w:right w:val="none" w:sz="0" w:space="0" w:color="auto"/>
          </w:divBdr>
        </w:div>
        <w:div w:id="1271468733">
          <w:marLeft w:val="1080"/>
          <w:marRight w:val="0"/>
          <w:marTop w:val="100"/>
          <w:marBottom w:val="0"/>
          <w:divBdr>
            <w:top w:val="none" w:sz="0" w:space="0" w:color="auto"/>
            <w:left w:val="none" w:sz="0" w:space="0" w:color="auto"/>
            <w:bottom w:val="none" w:sz="0" w:space="0" w:color="auto"/>
            <w:right w:val="none" w:sz="0" w:space="0" w:color="auto"/>
          </w:divBdr>
        </w:div>
        <w:div w:id="2078747193">
          <w:marLeft w:val="1080"/>
          <w:marRight w:val="0"/>
          <w:marTop w:val="100"/>
          <w:marBottom w:val="0"/>
          <w:divBdr>
            <w:top w:val="none" w:sz="0" w:space="0" w:color="auto"/>
            <w:left w:val="none" w:sz="0" w:space="0" w:color="auto"/>
            <w:bottom w:val="none" w:sz="0" w:space="0" w:color="auto"/>
            <w:right w:val="none" w:sz="0" w:space="0" w:color="auto"/>
          </w:divBdr>
        </w:div>
      </w:divsChild>
    </w:div>
    <w:div w:id="240259012">
      <w:bodyDiv w:val="1"/>
      <w:marLeft w:val="0"/>
      <w:marRight w:val="0"/>
      <w:marTop w:val="0"/>
      <w:marBottom w:val="0"/>
      <w:divBdr>
        <w:top w:val="none" w:sz="0" w:space="0" w:color="auto"/>
        <w:left w:val="none" w:sz="0" w:space="0" w:color="auto"/>
        <w:bottom w:val="none" w:sz="0" w:space="0" w:color="auto"/>
        <w:right w:val="none" w:sz="0" w:space="0" w:color="auto"/>
      </w:divBdr>
      <w:divsChild>
        <w:div w:id="905460639">
          <w:marLeft w:val="0"/>
          <w:marRight w:val="0"/>
          <w:marTop w:val="0"/>
          <w:marBottom w:val="150"/>
          <w:divBdr>
            <w:top w:val="none" w:sz="0" w:space="0" w:color="auto"/>
            <w:left w:val="none" w:sz="0" w:space="0" w:color="auto"/>
            <w:bottom w:val="none" w:sz="0" w:space="0" w:color="auto"/>
            <w:right w:val="none" w:sz="0" w:space="0" w:color="auto"/>
          </w:divBdr>
        </w:div>
        <w:div w:id="800808747">
          <w:marLeft w:val="0"/>
          <w:marRight w:val="0"/>
          <w:marTop w:val="0"/>
          <w:marBottom w:val="225"/>
          <w:divBdr>
            <w:top w:val="none" w:sz="0" w:space="0" w:color="auto"/>
            <w:left w:val="none" w:sz="0" w:space="0" w:color="auto"/>
            <w:bottom w:val="none" w:sz="0" w:space="0" w:color="auto"/>
            <w:right w:val="none" w:sz="0" w:space="0" w:color="auto"/>
          </w:divBdr>
          <w:divsChild>
            <w:div w:id="755320671">
              <w:marLeft w:val="0"/>
              <w:marRight w:val="0"/>
              <w:marTop w:val="0"/>
              <w:marBottom w:val="0"/>
              <w:divBdr>
                <w:top w:val="none" w:sz="0" w:space="0" w:color="auto"/>
                <w:left w:val="none" w:sz="0" w:space="0" w:color="auto"/>
                <w:bottom w:val="none" w:sz="0" w:space="0" w:color="auto"/>
                <w:right w:val="none" w:sz="0" w:space="0" w:color="auto"/>
              </w:divBdr>
              <w:divsChild>
                <w:div w:id="172336726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248202663">
      <w:bodyDiv w:val="1"/>
      <w:marLeft w:val="0"/>
      <w:marRight w:val="0"/>
      <w:marTop w:val="0"/>
      <w:marBottom w:val="0"/>
      <w:divBdr>
        <w:top w:val="none" w:sz="0" w:space="0" w:color="auto"/>
        <w:left w:val="none" w:sz="0" w:space="0" w:color="auto"/>
        <w:bottom w:val="none" w:sz="0" w:space="0" w:color="auto"/>
        <w:right w:val="none" w:sz="0" w:space="0" w:color="auto"/>
      </w:divBdr>
    </w:div>
    <w:div w:id="250700185">
      <w:bodyDiv w:val="1"/>
      <w:marLeft w:val="0"/>
      <w:marRight w:val="0"/>
      <w:marTop w:val="0"/>
      <w:marBottom w:val="0"/>
      <w:divBdr>
        <w:top w:val="none" w:sz="0" w:space="0" w:color="auto"/>
        <w:left w:val="none" w:sz="0" w:space="0" w:color="auto"/>
        <w:bottom w:val="none" w:sz="0" w:space="0" w:color="auto"/>
        <w:right w:val="none" w:sz="0" w:space="0" w:color="auto"/>
      </w:divBdr>
      <w:divsChild>
        <w:div w:id="1787502265">
          <w:marLeft w:val="0"/>
          <w:marRight w:val="0"/>
          <w:marTop w:val="0"/>
          <w:marBottom w:val="0"/>
          <w:divBdr>
            <w:top w:val="none" w:sz="0" w:space="0" w:color="auto"/>
            <w:left w:val="none" w:sz="0" w:space="0" w:color="auto"/>
            <w:bottom w:val="none" w:sz="0" w:space="0" w:color="auto"/>
            <w:right w:val="none" w:sz="0" w:space="0" w:color="auto"/>
          </w:divBdr>
          <w:divsChild>
            <w:div w:id="756630188">
              <w:marLeft w:val="0"/>
              <w:marRight w:val="0"/>
              <w:marTop w:val="0"/>
              <w:marBottom w:val="0"/>
              <w:divBdr>
                <w:top w:val="none" w:sz="0" w:space="0" w:color="auto"/>
                <w:left w:val="none" w:sz="0" w:space="0" w:color="auto"/>
                <w:bottom w:val="none" w:sz="0" w:space="0" w:color="auto"/>
                <w:right w:val="none" w:sz="0" w:space="0" w:color="auto"/>
              </w:divBdr>
              <w:divsChild>
                <w:div w:id="1623535183">
                  <w:marLeft w:val="0"/>
                  <w:marRight w:val="0"/>
                  <w:marTop w:val="0"/>
                  <w:marBottom w:val="0"/>
                  <w:divBdr>
                    <w:top w:val="none" w:sz="0" w:space="0" w:color="auto"/>
                    <w:left w:val="none" w:sz="0" w:space="0" w:color="auto"/>
                    <w:bottom w:val="none" w:sz="0" w:space="0" w:color="auto"/>
                    <w:right w:val="none" w:sz="0" w:space="0" w:color="auto"/>
                  </w:divBdr>
                  <w:divsChild>
                    <w:div w:id="75713414">
                      <w:marLeft w:val="0"/>
                      <w:marRight w:val="0"/>
                      <w:marTop w:val="0"/>
                      <w:marBottom w:val="0"/>
                      <w:divBdr>
                        <w:top w:val="none" w:sz="0" w:space="0" w:color="auto"/>
                        <w:left w:val="none" w:sz="0" w:space="0" w:color="auto"/>
                        <w:bottom w:val="none" w:sz="0" w:space="0" w:color="auto"/>
                        <w:right w:val="none" w:sz="0" w:space="0" w:color="auto"/>
                      </w:divBdr>
                      <w:divsChild>
                        <w:div w:id="453602485">
                          <w:marLeft w:val="0"/>
                          <w:marRight w:val="0"/>
                          <w:marTop w:val="375"/>
                          <w:marBottom w:val="375"/>
                          <w:divBdr>
                            <w:top w:val="none" w:sz="0" w:space="0" w:color="auto"/>
                            <w:left w:val="none" w:sz="0" w:space="0" w:color="auto"/>
                            <w:bottom w:val="none" w:sz="0" w:space="0" w:color="auto"/>
                            <w:right w:val="none" w:sz="0" w:space="0" w:color="auto"/>
                          </w:divBdr>
                          <w:divsChild>
                            <w:div w:id="1221793921">
                              <w:marLeft w:val="0"/>
                              <w:marRight w:val="0"/>
                              <w:marTop w:val="0"/>
                              <w:marBottom w:val="0"/>
                              <w:divBdr>
                                <w:top w:val="none" w:sz="0" w:space="0" w:color="auto"/>
                                <w:left w:val="none" w:sz="0" w:space="0" w:color="auto"/>
                                <w:bottom w:val="none" w:sz="0" w:space="0" w:color="auto"/>
                                <w:right w:val="none" w:sz="0" w:space="0" w:color="auto"/>
                              </w:divBdr>
                              <w:divsChild>
                                <w:div w:id="128229638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314114924">
                      <w:marLeft w:val="0"/>
                      <w:marRight w:val="0"/>
                      <w:marTop w:val="300"/>
                      <w:marBottom w:val="450"/>
                      <w:divBdr>
                        <w:top w:val="single" w:sz="6" w:space="0" w:color="CCCCCC"/>
                        <w:left w:val="single" w:sz="6" w:space="0" w:color="CCCCCC"/>
                        <w:bottom w:val="single" w:sz="6" w:space="0" w:color="CCCCCC"/>
                        <w:right w:val="single" w:sz="6" w:space="0" w:color="CCCCCC"/>
                      </w:divBdr>
                      <w:divsChild>
                        <w:div w:id="173879530">
                          <w:marLeft w:val="0"/>
                          <w:marRight w:val="0"/>
                          <w:marTop w:val="0"/>
                          <w:marBottom w:val="0"/>
                          <w:divBdr>
                            <w:top w:val="none" w:sz="0" w:space="0" w:color="auto"/>
                            <w:left w:val="none" w:sz="0" w:space="0" w:color="auto"/>
                            <w:bottom w:val="none" w:sz="0" w:space="0" w:color="auto"/>
                            <w:right w:val="none" w:sz="0" w:space="0" w:color="auto"/>
                          </w:divBdr>
                          <w:divsChild>
                            <w:div w:id="1767923809">
                              <w:marLeft w:val="0"/>
                              <w:marRight w:val="0"/>
                              <w:marTop w:val="0"/>
                              <w:marBottom w:val="0"/>
                              <w:divBdr>
                                <w:top w:val="none" w:sz="0" w:space="0" w:color="auto"/>
                                <w:left w:val="none" w:sz="0" w:space="0" w:color="auto"/>
                                <w:bottom w:val="none" w:sz="0" w:space="0" w:color="auto"/>
                                <w:right w:val="none" w:sz="0" w:space="0" w:color="auto"/>
                              </w:divBdr>
                              <w:divsChild>
                                <w:div w:id="441655254">
                                  <w:marLeft w:val="0"/>
                                  <w:marRight w:val="150"/>
                                  <w:marTop w:val="0"/>
                                  <w:marBottom w:val="150"/>
                                  <w:divBdr>
                                    <w:top w:val="single" w:sz="6" w:space="0" w:color="D3D0E1"/>
                                    <w:left w:val="single" w:sz="6" w:space="0" w:color="D3D0E1"/>
                                    <w:bottom w:val="single" w:sz="6" w:space="15" w:color="D3D0E1"/>
                                    <w:right w:val="single" w:sz="6" w:space="0" w:color="D3D0E1"/>
                                  </w:divBdr>
                                  <w:divsChild>
                                    <w:div w:id="1650209809">
                                      <w:marLeft w:val="0"/>
                                      <w:marRight w:val="0"/>
                                      <w:marTop w:val="0"/>
                                      <w:marBottom w:val="0"/>
                                      <w:divBdr>
                                        <w:top w:val="none" w:sz="0" w:space="0" w:color="auto"/>
                                        <w:left w:val="none" w:sz="0" w:space="0" w:color="auto"/>
                                        <w:bottom w:val="none" w:sz="0" w:space="0" w:color="auto"/>
                                        <w:right w:val="none" w:sz="0" w:space="0" w:color="auto"/>
                                      </w:divBdr>
                                      <w:divsChild>
                                        <w:div w:id="594478100">
                                          <w:marLeft w:val="0"/>
                                          <w:marRight w:val="0"/>
                                          <w:marTop w:val="0"/>
                                          <w:marBottom w:val="0"/>
                                          <w:divBdr>
                                            <w:top w:val="none" w:sz="0" w:space="0" w:color="auto"/>
                                            <w:left w:val="none" w:sz="0" w:space="0" w:color="auto"/>
                                            <w:bottom w:val="none" w:sz="0" w:space="0" w:color="auto"/>
                                            <w:right w:val="none" w:sz="0" w:space="0" w:color="auto"/>
                                          </w:divBdr>
                                        </w:div>
                                        <w:div w:id="769200805">
                                          <w:marLeft w:val="0"/>
                                          <w:marRight w:val="0"/>
                                          <w:marTop w:val="0"/>
                                          <w:marBottom w:val="0"/>
                                          <w:divBdr>
                                            <w:top w:val="none" w:sz="0" w:space="0" w:color="auto"/>
                                            <w:left w:val="none" w:sz="0" w:space="0" w:color="auto"/>
                                            <w:bottom w:val="none" w:sz="0" w:space="0" w:color="auto"/>
                                            <w:right w:val="none" w:sz="0" w:space="0" w:color="auto"/>
                                          </w:divBdr>
                                        </w:div>
                                        <w:div w:id="1606577527">
                                          <w:marLeft w:val="0"/>
                                          <w:marRight w:val="0"/>
                                          <w:marTop w:val="0"/>
                                          <w:marBottom w:val="0"/>
                                          <w:divBdr>
                                            <w:top w:val="none" w:sz="0" w:space="0" w:color="auto"/>
                                            <w:left w:val="none" w:sz="0" w:space="0" w:color="auto"/>
                                            <w:bottom w:val="none" w:sz="0" w:space="0" w:color="auto"/>
                                            <w:right w:val="none" w:sz="0" w:space="0" w:color="auto"/>
                                          </w:divBdr>
                                        </w:div>
                                        <w:div w:id="206158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4550426">
                      <w:marLeft w:val="0"/>
                      <w:marRight w:val="0"/>
                      <w:marTop w:val="450"/>
                      <w:marBottom w:val="450"/>
                      <w:divBdr>
                        <w:top w:val="none" w:sz="0" w:space="0" w:color="auto"/>
                        <w:left w:val="none" w:sz="0" w:space="0" w:color="auto"/>
                        <w:bottom w:val="none" w:sz="0" w:space="0" w:color="auto"/>
                        <w:right w:val="none" w:sz="0" w:space="0" w:color="auto"/>
                      </w:divBdr>
                      <w:divsChild>
                        <w:div w:id="1033457000">
                          <w:marLeft w:val="0"/>
                          <w:marRight w:val="0"/>
                          <w:marTop w:val="0"/>
                          <w:marBottom w:val="0"/>
                          <w:divBdr>
                            <w:top w:val="none" w:sz="0" w:space="4" w:color="auto"/>
                            <w:left w:val="none" w:sz="0" w:space="11" w:color="auto"/>
                            <w:bottom w:val="single" w:sz="24" w:space="4" w:color="D2D2D2"/>
                            <w:right w:val="none" w:sz="0" w:space="11" w:color="auto"/>
                          </w:divBdr>
                        </w:div>
                        <w:div w:id="1709527315">
                          <w:marLeft w:val="0"/>
                          <w:marRight w:val="0"/>
                          <w:marTop w:val="0"/>
                          <w:marBottom w:val="0"/>
                          <w:divBdr>
                            <w:top w:val="single" w:sz="6" w:space="15" w:color="C2C2C2"/>
                            <w:left w:val="single" w:sz="6" w:space="8" w:color="C2C2C2"/>
                            <w:bottom w:val="single" w:sz="6" w:space="8" w:color="C2C2C2"/>
                            <w:right w:val="single" w:sz="6" w:space="8" w:color="C2C2C2"/>
                          </w:divBdr>
                        </w:div>
                      </w:divsChild>
                    </w:div>
                  </w:divsChild>
                </w:div>
              </w:divsChild>
            </w:div>
            <w:div w:id="1786079579">
              <w:marLeft w:val="0"/>
              <w:marRight w:val="0"/>
              <w:marTop w:val="0"/>
              <w:marBottom w:val="0"/>
              <w:divBdr>
                <w:top w:val="none" w:sz="0" w:space="0" w:color="auto"/>
                <w:left w:val="none" w:sz="0" w:space="0" w:color="auto"/>
                <w:bottom w:val="none" w:sz="0" w:space="0" w:color="auto"/>
                <w:right w:val="none" w:sz="0" w:space="0" w:color="auto"/>
              </w:divBdr>
              <w:divsChild>
                <w:div w:id="1255092774">
                  <w:marLeft w:val="-225"/>
                  <w:marRight w:val="-225"/>
                  <w:marTop w:val="0"/>
                  <w:marBottom w:val="0"/>
                  <w:divBdr>
                    <w:top w:val="none" w:sz="0" w:space="14" w:color="auto"/>
                    <w:left w:val="none" w:sz="0" w:space="0" w:color="auto"/>
                    <w:bottom w:val="single" w:sz="6" w:space="14" w:color="545454"/>
                    <w:right w:val="none" w:sz="0" w:space="0" w:color="auto"/>
                  </w:divBdr>
                  <w:divsChild>
                    <w:div w:id="386030082">
                      <w:marLeft w:val="0"/>
                      <w:marRight w:val="0"/>
                      <w:marTop w:val="0"/>
                      <w:marBottom w:val="0"/>
                      <w:divBdr>
                        <w:top w:val="none" w:sz="0" w:space="0" w:color="auto"/>
                        <w:left w:val="none" w:sz="0" w:space="0" w:color="auto"/>
                        <w:bottom w:val="none" w:sz="0" w:space="0" w:color="auto"/>
                        <w:right w:val="none" w:sz="0" w:space="0" w:color="auto"/>
                      </w:divBdr>
                      <w:divsChild>
                        <w:div w:id="1514682429">
                          <w:marLeft w:val="0"/>
                          <w:marRight w:val="0"/>
                          <w:marTop w:val="0"/>
                          <w:marBottom w:val="0"/>
                          <w:divBdr>
                            <w:top w:val="none" w:sz="0" w:space="0" w:color="auto"/>
                            <w:left w:val="none" w:sz="0" w:space="0" w:color="auto"/>
                            <w:bottom w:val="none" w:sz="0" w:space="0" w:color="auto"/>
                            <w:right w:val="none" w:sz="0" w:space="0" w:color="auto"/>
                          </w:divBdr>
                          <w:divsChild>
                            <w:div w:id="84852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711167">
                      <w:marLeft w:val="0"/>
                      <w:marRight w:val="0"/>
                      <w:marTop w:val="0"/>
                      <w:marBottom w:val="0"/>
                      <w:divBdr>
                        <w:top w:val="none" w:sz="0" w:space="0" w:color="auto"/>
                        <w:left w:val="none" w:sz="0" w:space="0" w:color="auto"/>
                        <w:bottom w:val="none" w:sz="0" w:space="0" w:color="auto"/>
                        <w:right w:val="none" w:sz="0" w:space="0" w:color="auto"/>
                      </w:divBdr>
                    </w:div>
                    <w:div w:id="1311206879">
                      <w:marLeft w:val="0"/>
                      <w:marRight w:val="0"/>
                      <w:marTop w:val="0"/>
                      <w:marBottom w:val="0"/>
                      <w:divBdr>
                        <w:top w:val="none" w:sz="0" w:space="0" w:color="auto"/>
                        <w:left w:val="none" w:sz="0" w:space="0" w:color="auto"/>
                        <w:bottom w:val="none" w:sz="0" w:space="0" w:color="auto"/>
                        <w:right w:val="none" w:sz="0" w:space="0" w:color="auto"/>
                      </w:divBdr>
                    </w:div>
                  </w:divsChild>
                </w:div>
                <w:div w:id="1289975068">
                  <w:marLeft w:val="-225"/>
                  <w:marRight w:val="-225"/>
                  <w:marTop w:val="0"/>
                  <w:marBottom w:val="0"/>
                  <w:divBdr>
                    <w:top w:val="none" w:sz="0" w:space="0" w:color="auto"/>
                    <w:left w:val="none" w:sz="0" w:space="0" w:color="auto"/>
                    <w:bottom w:val="none" w:sz="0" w:space="0" w:color="auto"/>
                    <w:right w:val="none" w:sz="0" w:space="0" w:color="auto"/>
                  </w:divBdr>
                  <w:divsChild>
                    <w:div w:id="676617244">
                      <w:marLeft w:val="0"/>
                      <w:marRight w:val="0"/>
                      <w:marTop w:val="0"/>
                      <w:marBottom w:val="0"/>
                      <w:divBdr>
                        <w:top w:val="none" w:sz="0" w:space="0" w:color="auto"/>
                        <w:left w:val="none" w:sz="0" w:space="0" w:color="auto"/>
                        <w:bottom w:val="none" w:sz="0" w:space="0" w:color="auto"/>
                        <w:right w:val="none" w:sz="0" w:space="0" w:color="auto"/>
                      </w:divBdr>
                      <w:divsChild>
                        <w:div w:id="1299259729">
                          <w:marLeft w:val="0"/>
                          <w:marRight w:val="0"/>
                          <w:marTop w:val="0"/>
                          <w:marBottom w:val="0"/>
                          <w:divBdr>
                            <w:top w:val="none" w:sz="0" w:space="0" w:color="auto"/>
                            <w:left w:val="none" w:sz="0" w:space="0" w:color="auto"/>
                            <w:bottom w:val="none" w:sz="0" w:space="0" w:color="auto"/>
                            <w:right w:val="none" w:sz="0" w:space="0" w:color="auto"/>
                          </w:divBdr>
                          <w:divsChild>
                            <w:div w:id="2111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520892">
                      <w:marLeft w:val="0"/>
                      <w:marRight w:val="0"/>
                      <w:marTop w:val="0"/>
                      <w:marBottom w:val="0"/>
                      <w:divBdr>
                        <w:top w:val="none" w:sz="0" w:space="0" w:color="auto"/>
                        <w:left w:val="none" w:sz="0" w:space="0" w:color="auto"/>
                        <w:bottom w:val="none" w:sz="0" w:space="0" w:color="auto"/>
                        <w:right w:val="none" w:sz="0" w:space="0" w:color="auto"/>
                      </w:divBdr>
                      <w:divsChild>
                        <w:div w:id="1415281721">
                          <w:marLeft w:val="0"/>
                          <w:marRight w:val="0"/>
                          <w:marTop w:val="0"/>
                          <w:marBottom w:val="0"/>
                          <w:divBdr>
                            <w:top w:val="none" w:sz="0" w:space="0" w:color="auto"/>
                            <w:left w:val="none" w:sz="0" w:space="0" w:color="auto"/>
                            <w:bottom w:val="none" w:sz="0" w:space="0" w:color="auto"/>
                            <w:right w:val="none" w:sz="0" w:space="0" w:color="auto"/>
                          </w:divBdr>
                        </w:div>
                      </w:divsChild>
                    </w:div>
                    <w:div w:id="165926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3871312">
      <w:bodyDiv w:val="1"/>
      <w:marLeft w:val="0"/>
      <w:marRight w:val="0"/>
      <w:marTop w:val="0"/>
      <w:marBottom w:val="0"/>
      <w:divBdr>
        <w:top w:val="none" w:sz="0" w:space="0" w:color="auto"/>
        <w:left w:val="none" w:sz="0" w:space="0" w:color="auto"/>
        <w:bottom w:val="none" w:sz="0" w:space="0" w:color="auto"/>
        <w:right w:val="none" w:sz="0" w:space="0" w:color="auto"/>
      </w:divBdr>
      <w:divsChild>
        <w:div w:id="543755092">
          <w:marLeft w:val="547"/>
          <w:marRight w:val="0"/>
          <w:marTop w:val="200"/>
          <w:marBottom w:val="0"/>
          <w:divBdr>
            <w:top w:val="none" w:sz="0" w:space="0" w:color="auto"/>
            <w:left w:val="none" w:sz="0" w:space="0" w:color="auto"/>
            <w:bottom w:val="none" w:sz="0" w:space="0" w:color="auto"/>
            <w:right w:val="none" w:sz="0" w:space="0" w:color="auto"/>
          </w:divBdr>
        </w:div>
        <w:div w:id="952711322">
          <w:marLeft w:val="547"/>
          <w:marRight w:val="0"/>
          <w:marTop w:val="200"/>
          <w:marBottom w:val="0"/>
          <w:divBdr>
            <w:top w:val="none" w:sz="0" w:space="0" w:color="auto"/>
            <w:left w:val="none" w:sz="0" w:space="0" w:color="auto"/>
            <w:bottom w:val="none" w:sz="0" w:space="0" w:color="auto"/>
            <w:right w:val="none" w:sz="0" w:space="0" w:color="auto"/>
          </w:divBdr>
        </w:div>
        <w:div w:id="1514033185">
          <w:marLeft w:val="547"/>
          <w:marRight w:val="0"/>
          <w:marTop w:val="200"/>
          <w:marBottom w:val="0"/>
          <w:divBdr>
            <w:top w:val="none" w:sz="0" w:space="0" w:color="auto"/>
            <w:left w:val="none" w:sz="0" w:space="0" w:color="auto"/>
            <w:bottom w:val="none" w:sz="0" w:space="0" w:color="auto"/>
            <w:right w:val="none" w:sz="0" w:space="0" w:color="auto"/>
          </w:divBdr>
        </w:div>
      </w:divsChild>
    </w:div>
    <w:div w:id="391739804">
      <w:bodyDiv w:val="1"/>
      <w:marLeft w:val="0"/>
      <w:marRight w:val="0"/>
      <w:marTop w:val="0"/>
      <w:marBottom w:val="0"/>
      <w:divBdr>
        <w:top w:val="none" w:sz="0" w:space="0" w:color="auto"/>
        <w:left w:val="none" w:sz="0" w:space="0" w:color="auto"/>
        <w:bottom w:val="none" w:sz="0" w:space="0" w:color="auto"/>
        <w:right w:val="none" w:sz="0" w:space="0" w:color="auto"/>
      </w:divBdr>
      <w:divsChild>
        <w:div w:id="1930312936">
          <w:marLeft w:val="547"/>
          <w:marRight w:val="0"/>
          <w:marTop w:val="0"/>
          <w:marBottom w:val="0"/>
          <w:divBdr>
            <w:top w:val="none" w:sz="0" w:space="0" w:color="auto"/>
            <w:left w:val="none" w:sz="0" w:space="0" w:color="auto"/>
            <w:bottom w:val="none" w:sz="0" w:space="0" w:color="auto"/>
            <w:right w:val="none" w:sz="0" w:space="0" w:color="auto"/>
          </w:divBdr>
        </w:div>
      </w:divsChild>
    </w:div>
    <w:div w:id="414012747">
      <w:bodyDiv w:val="1"/>
      <w:marLeft w:val="0"/>
      <w:marRight w:val="0"/>
      <w:marTop w:val="0"/>
      <w:marBottom w:val="0"/>
      <w:divBdr>
        <w:top w:val="none" w:sz="0" w:space="0" w:color="auto"/>
        <w:left w:val="none" w:sz="0" w:space="0" w:color="auto"/>
        <w:bottom w:val="none" w:sz="0" w:space="0" w:color="auto"/>
        <w:right w:val="none" w:sz="0" w:space="0" w:color="auto"/>
      </w:divBdr>
    </w:div>
    <w:div w:id="524052288">
      <w:bodyDiv w:val="1"/>
      <w:marLeft w:val="0"/>
      <w:marRight w:val="0"/>
      <w:marTop w:val="0"/>
      <w:marBottom w:val="0"/>
      <w:divBdr>
        <w:top w:val="none" w:sz="0" w:space="0" w:color="auto"/>
        <w:left w:val="none" w:sz="0" w:space="0" w:color="auto"/>
        <w:bottom w:val="none" w:sz="0" w:space="0" w:color="auto"/>
        <w:right w:val="none" w:sz="0" w:space="0" w:color="auto"/>
      </w:divBdr>
    </w:div>
    <w:div w:id="554394000">
      <w:bodyDiv w:val="1"/>
      <w:marLeft w:val="0"/>
      <w:marRight w:val="0"/>
      <w:marTop w:val="0"/>
      <w:marBottom w:val="0"/>
      <w:divBdr>
        <w:top w:val="none" w:sz="0" w:space="0" w:color="auto"/>
        <w:left w:val="none" w:sz="0" w:space="0" w:color="auto"/>
        <w:bottom w:val="none" w:sz="0" w:space="0" w:color="auto"/>
        <w:right w:val="none" w:sz="0" w:space="0" w:color="auto"/>
      </w:divBdr>
    </w:div>
    <w:div w:id="561253311">
      <w:bodyDiv w:val="1"/>
      <w:marLeft w:val="0"/>
      <w:marRight w:val="0"/>
      <w:marTop w:val="0"/>
      <w:marBottom w:val="0"/>
      <w:divBdr>
        <w:top w:val="none" w:sz="0" w:space="0" w:color="auto"/>
        <w:left w:val="none" w:sz="0" w:space="0" w:color="auto"/>
        <w:bottom w:val="none" w:sz="0" w:space="0" w:color="auto"/>
        <w:right w:val="none" w:sz="0" w:space="0" w:color="auto"/>
      </w:divBdr>
    </w:div>
    <w:div w:id="565913711">
      <w:bodyDiv w:val="1"/>
      <w:marLeft w:val="0"/>
      <w:marRight w:val="0"/>
      <w:marTop w:val="0"/>
      <w:marBottom w:val="0"/>
      <w:divBdr>
        <w:top w:val="none" w:sz="0" w:space="0" w:color="auto"/>
        <w:left w:val="none" w:sz="0" w:space="0" w:color="auto"/>
        <w:bottom w:val="none" w:sz="0" w:space="0" w:color="auto"/>
        <w:right w:val="none" w:sz="0" w:space="0" w:color="auto"/>
      </w:divBdr>
    </w:div>
    <w:div w:id="697123386">
      <w:bodyDiv w:val="1"/>
      <w:marLeft w:val="0"/>
      <w:marRight w:val="0"/>
      <w:marTop w:val="0"/>
      <w:marBottom w:val="0"/>
      <w:divBdr>
        <w:top w:val="none" w:sz="0" w:space="0" w:color="auto"/>
        <w:left w:val="none" w:sz="0" w:space="0" w:color="auto"/>
        <w:bottom w:val="none" w:sz="0" w:space="0" w:color="auto"/>
        <w:right w:val="none" w:sz="0" w:space="0" w:color="auto"/>
      </w:divBdr>
      <w:divsChild>
        <w:div w:id="424348008">
          <w:marLeft w:val="0"/>
          <w:marRight w:val="0"/>
          <w:marTop w:val="0"/>
          <w:marBottom w:val="0"/>
          <w:divBdr>
            <w:top w:val="single" w:sz="6" w:space="0" w:color="5B616B"/>
            <w:left w:val="single" w:sz="6" w:space="0" w:color="5B616B"/>
            <w:bottom w:val="single" w:sz="6" w:space="0" w:color="5B616B"/>
            <w:right w:val="single" w:sz="6" w:space="0" w:color="5B616B"/>
          </w:divBdr>
        </w:div>
        <w:div w:id="1454523418">
          <w:marLeft w:val="0"/>
          <w:marRight w:val="0"/>
          <w:marTop w:val="0"/>
          <w:marBottom w:val="0"/>
          <w:divBdr>
            <w:top w:val="none" w:sz="0" w:space="0" w:color="auto"/>
            <w:left w:val="none" w:sz="0" w:space="0" w:color="auto"/>
            <w:bottom w:val="none" w:sz="0" w:space="0" w:color="auto"/>
            <w:right w:val="none" w:sz="0" w:space="0" w:color="auto"/>
          </w:divBdr>
        </w:div>
      </w:divsChild>
    </w:div>
    <w:div w:id="704646202">
      <w:bodyDiv w:val="1"/>
      <w:marLeft w:val="0"/>
      <w:marRight w:val="0"/>
      <w:marTop w:val="0"/>
      <w:marBottom w:val="0"/>
      <w:divBdr>
        <w:top w:val="none" w:sz="0" w:space="0" w:color="auto"/>
        <w:left w:val="none" w:sz="0" w:space="0" w:color="auto"/>
        <w:bottom w:val="none" w:sz="0" w:space="0" w:color="auto"/>
        <w:right w:val="none" w:sz="0" w:space="0" w:color="auto"/>
      </w:divBdr>
    </w:div>
    <w:div w:id="730925143">
      <w:bodyDiv w:val="1"/>
      <w:marLeft w:val="0"/>
      <w:marRight w:val="0"/>
      <w:marTop w:val="0"/>
      <w:marBottom w:val="0"/>
      <w:divBdr>
        <w:top w:val="none" w:sz="0" w:space="0" w:color="auto"/>
        <w:left w:val="none" w:sz="0" w:space="0" w:color="auto"/>
        <w:bottom w:val="none" w:sz="0" w:space="0" w:color="auto"/>
        <w:right w:val="none" w:sz="0" w:space="0" w:color="auto"/>
      </w:divBdr>
      <w:divsChild>
        <w:div w:id="1134717927">
          <w:marLeft w:val="360"/>
          <w:marRight w:val="0"/>
          <w:marTop w:val="200"/>
          <w:marBottom w:val="0"/>
          <w:divBdr>
            <w:top w:val="none" w:sz="0" w:space="0" w:color="auto"/>
            <w:left w:val="none" w:sz="0" w:space="0" w:color="auto"/>
            <w:bottom w:val="none" w:sz="0" w:space="0" w:color="auto"/>
            <w:right w:val="none" w:sz="0" w:space="0" w:color="auto"/>
          </w:divBdr>
        </w:div>
        <w:div w:id="1898709100">
          <w:marLeft w:val="360"/>
          <w:marRight w:val="0"/>
          <w:marTop w:val="200"/>
          <w:marBottom w:val="0"/>
          <w:divBdr>
            <w:top w:val="none" w:sz="0" w:space="0" w:color="auto"/>
            <w:left w:val="none" w:sz="0" w:space="0" w:color="auto"/>
            <w:bottom w:val="none" w:sz="0" w:space="0" w:color="auto"/>
            <w:right w:val="none" w:sz="0" w:space="0" w:color="auto"/>
          </w:divBdr>
        </w:div>
      </w:divsChild>
    </w:div>
    <w:div w:id="813911638">
      <w:bodyDiv w:val="1"/>
      <w:marLeft w:val="0"/>
      <w:marRight w:val="0"/>
      <w:marTop w:val="0"/>
      <w:marBottom w:val="0"/>
      <w:divBdr>
        <w:top w:val="none" w:sz="0" w:space="0" w:color="auto"/>
        <w:left w:val="none" w:sz="0" w:space="0" w:color="auto"/>
        <w:bottom w:val="none" w:sz="0" w:space="0" w:color="auto"/>
        <w:right w:val="none" w:sz="0" w:space="0" w:color="auto"/>
      </w:divBdr>
      <w:divsChild>
        <w:div w:id="1021857383">
          <w:marLeft w:val="0"/>
          <w:marRight w:val="0"/>
          <w:marTop w:val="0"/>
          <w:marBottom w:val="150"/>
          <w:divBdr>
            <w:top w:val="none" w:sz="0" w:space="0" w:color="auto"/>
            <w:left w:val="none" w:sz="0" w:space="0" w:color="auto"/>
            <w:bottom w:val="none" w:sz="0" w:space="0" w:color="auto"/>
            <w:right w:val="none" w:sz="0" w:space="0" w:color="auto"/>
          </w:divBdr>
        </w:div>
        <w:div w:id="1676566212">
          <w:marLeft w:val="0"/>
          <w:marRight w:val="0"/>
          <w:marTop w:val="0"/>
          <w:marBottom w:val="225"/>
          <w:divBdr>
            <w:top w:val="none" w:sz="0" w:space="0" w:color="auto"/>
            <w:left w:val="none" w:sz="0" w:space="0" w:color="auto"/>
            <w:bottom w:val="none" w:sz="0" w:space="0" w:color="auto"/>
            <w:right w:val="none" w:sz="0" w:space="0" w:color="auto"/>
          </w:divBdr>
          <w:divsChild>
            <w:div w:id="1274165868">
              <w:marLeft w:val="0"/>
              <w:marRight w:val="0"/>
              <w:marTop w:val="0"/>
              <w:marBottom w:val="0"/>
              <w:divBdr>
                <w:top w:val="none" w:sz="0" w:space="0" w:color="auto"/>
                <w:left w:val="none" w:sz="0" w:space="0" w:color="auto"/>
                <w:bottom w:val="none" w:sz="0" w:space="0" w:color="auto"/>
                <w:right w:val="none" w:sz="0" w:space="0" w:color="auto"/>
              </w:divBdr>
              <w:divsChild>
                <w:div w:id="40831405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835342478">
      <w:bodyDiv w:val="1"/>
      <w:marLeft w:val="0"/>
      <w:marRight w:val="0"/>
      <w:marTop w:val="0"/>
      <w:marBottom w:val="0"/>
      <w:divBdr>
        <w:top w:val="none" w:sz="0" w:space="0" w:color="auto"/>
        <w:left w:val="none" w:sz="0" w:space="0" w:color="auto"/>
        <w:bottom w:val="none" w:sz="0" w:space="0" w:color="auto"/>
        <w:right w:val="none" w:sz="0" w:space="0" w:color="auto"/>
      </w:divBdr>
    </w:div>
    <w:div w:id="900486427">
      <w:bodyDiv w:val="1"/>
      <w:marLeft w:val="0"/>
      <w:marRight w:val="0"/>
      <w:marTop w:val="0"/>
      <w:marBottom w:val="0"/>
      <w:divBdr>
        <w:top w:val="none" w:sz="0" w:space="0" w:color="auto"/>
        <w:left w:val="none" w:sz="0" w:space="0" w:color="auto"/>
        <w:bottom w:val="none" w:sz="0" w:space="0" w:color="auto"/>
        <w:right w:val="none" w:sz="0" w:space="0" w:color="auto"/>
      </w:divBdr>
    </w:div>
    <w:div w:id="908923142">
      <w:bodyDiv w:val="1"/>
      <w:marLeft w:val="0"/>
      <w:marRight w:val="0"/>
      <w:marTop w:val="0"/>
      <w:marBottom w:val="0"/>
      <w:divBdr>
        <w:top w:val="none" w:sz="0" w:space="0" w:color="auto"/>
        <w:left w:val="none" w:sz="0" w:space="0" w:color="auto"/>
        <w:bottom w:val="none" w:sz="0" w:space="0" w:color="auto"/>
        <w:right w:val="none" w:sz="0" w:space="0" w:color="auto"/>
      </w:divBdr>
      <w:divsChild>
        <w:div w:id="1475021747">
          <w:marLeft w:val="360"/>
          <w:marRight w:val="0"/>
          <w:marTop w:val="200"/>
          <w:marBottom w:val="0"/>
          <w:divBdr>
            <w:top w:val="none" w:sz="0" w:space="0" w:color="auto"/>
            <w:left w:val="none" w:sz="0" w:space="0" w:color="auto"/>
            <w:bottom w:val="none" w:sz="0" w:space="0" w:color="auto"/>
            <w:right w:val="none" w:sz="0" w:space="0" w:color="auto"/>
          </w:divBdr>
        </w:div>
        <w:div w:id="1492061396">
          <w:marLeft w:val="360"/>
          <w:marRight w:val="0"/>
          <w:marTop w:val="200"/>
          <w:marBottom w:val="0"/>
          <w:divBdr>
            <w:top w:val="none" w:sz="0" w:space="0" w:color="auto"/>
            <w:left w:val="none" w:sz="0" w:space="0" w:color="auto"/>
            <w:bottom w:val="none" w:sz="0" w:space="0" w:color="auto"/>
            <w:right w:val="none" w:sz="0" w:space="0" w:color="auto"/>
          </w:divBdr>
        </w:div>
      </w:divsChild>
    </w:div>
    <w:div w:id="913973027">
      <w:bodyDiv w:val="1"/>
      <w:marLeft w:val="0"/>
      <w:marRight w:val="0"/>
      <w:marTop w:val="0"/>
      <w:marBottom w:val="0"/>
      <w:divBdr>
        <w:top w:val="none" w:sz="0" w:space="0" w:color="auto"/>
        <w:left w:val="none" w:sz="0" w:space="0" w:color="auto"/>
        <w:bottom w:val="none" w:sz="0" w:space="0" w:color="auto"/>
        <w:right w:val="none" w:sz="0" w:space="0" w:color="auto"/>
      </w:divBdr>
      <w:divsChild>
        <w:div w:id="215777009">
          <w:marLeft w:val="446"/>
          <w:marRight w:val="0"/>
          <w:marTop w:val="200"/>
          <w:marBottom w:val="0"/>
          <w:divBdr>
            <w:top w:val="none" w:sz="0" w:space="0" w:color="auto"/>
            <w:left w:val="none" w:sz="0" w:space="0" w:color="auto"/>
            <w:bottom w:val="none" w:sz="0" w:space="0" w:color="auto"/>
            <w:right w:val="none" w:sz="0" w:space="0" w:color="auto"/>
          </w:divBdr>
        </w:div>
        <w:div w:id="370887261">
          <w:marLeft w:val="446"/>
          <w:marRight w:val="0"/>
          <w:marTop w:val="200"/>
          <w:marBottom w:val="0"/>
          <w:divBdr>
            <w:top w:val="none" w:sz="0" w:space="0" w:color="auto"/>
            <w:left w:val="none" w:sz="0" w:space="0" w:color="auto"/>
            <w:bottom w:val="none" w:sz="0" w:space="0" w:color="auto"/>
            <w:right w:val="none" w:sz="0" w:space="0" w:color="auto"/>
          </w:divBdr>
        </w:div>
        <w:div w:id="912741849">
          <w:marLeft w:val="446"/>
          <w:marRight w:val="0"/>
          <w:marTop w:val="200"/>
          <w:marBottom w:val="0"/>
          <w:divBdr>
            <w:top w:val="none" w:sz="0" w:space="0" w:color="auto"/>
            <w:left w:val="none" w:sz="0" w:space="0" w:color="auto"/>
            <w:bottom w:val="none" w:sz="0" w:space="0" w:color="auto"/>
            <w:right w:val="none" w:sz="0" w:space="0" w:color="auto"/>
          </w:divBdr>
        </w:div>
        <w:div w:id="1147743661">
          <w:marLeft w:val="446"/>
          <w:marRight w:val="0"/>
          <w:marTop w:val="200"/>
          <w:marBottom w:val="0"/>
          <w:divBdr>
            <w:top w:val="none" w:sz="0" w:space="0" w:color="auto"/>
            <w:left w:val="none" w:sz="0" w:space="0" w:color="auto"/>
            <w:bottom w:val="none" w:sz="0" w:space="0" w:color="auto"/>
            <w:right w:val="none" w:sz="0" w:space="0" w:color="auto"/>
          </w:divBdr>
        </w:div>
        <w:div w:id="1707636968">
          <w:marLeft w:val="446"/>
          <w:marRight w:val="0"/>
          <w:marTop w:val="200"/>
          <w:marBottom w:val="0"/>
          <w:divBdr>
            <w:top w:val="none" w:sz="0" w:space="0" w:color="auto"/>
            <w:left w:val="none" w:sz="0" w:space="0" w:color="auto"/>
            <w:bottom w:val="none" w:sz="0" w:space="0" w:color="auto"/>
            <w:right w:val="none" w:sz="0" w:space="0" w:color="auto"/>
          </w:divBdr>
        </w:div>
        <w:div w:id="1805078788">
          <w:marLeft w:val="446"/>
          <w:marRight w:val="0"/>
          <w:marTop w:val="200"/>
          <w:marBottom w:val="0"/>
          <w:divBdr>
            <w:top w:val="none" w:sz="0" w:space="0" w:color="auto"/>
            <w:left w:val="none" w:sz="0" w:space="0" w:color="auto"/>
            <w:bottom w:val="none" w:sz="0" w:space="0" w:color="auto"/>
            <w:right w:val="none" w:sz="0" w:space="0" w:color="auto"/>
          </w:divBdr>
        </w:div>
        <w:div w:id="2098819395">
          <w:marLeft w:val="446"/>
          <w:marRight w:val="0"/>
          <w:marTop w:val="200"/>
          <w:marBottom w:val="0"/>
          <w:divBdr>
            <w:top w:val="none" w:sz="0" w:space="0" w:color="auto"/>
            <w:left w:val="none" w:sz="0" w:space="0" w:color="auto"/>
            <w:bottom w:val="none" w:sz="0" w:space="0" w:color="auto"/>
            <w:right w:val="none" w:sz="0" w:space="0" w:color="auto"/>
          </w:divBdr>
        </w:div>
      </w:divsChild>
    </w:div>
    <w:div w:id="930822481">
      <w:bodyDiv w:val="1"/>
      <w:marLeft w:val="0"/>
      <w:marRight w:val="0"/>
      <w:marTop w:val="0"/>
      <w:marBottom w:val="0"/>
      <w:divBdr>
        <w:top w:val="none" w:sz="0" w:space="0" w:color="auto"/>
        <w:left w:val="none" w:sz="0" w:space="0" w:color="auto"/>
        <w:bottom w:val="none" w:sz="0" w:space="0" w:color="auto"/>
        <w:right w:val="none" w:sz="0" w:space="0" w:color="auto"/>
      </w:divBdr>
    </w:div>
    <w:div w:id="946812012">
      <w:bodyDiv w:val="1"/>
      <w:marLeft w:val="0"/>
      <w:marRight w:val="0"/>
      <w:marTop w:val="0"/>
      <w:marBottom w:val="0"/>
      <w:divBdr>
        <w:top w:val="none" w:sz="0" w:space="0" w:color="auto"/>
        <w:left w:val="none" w:sz="0" w:space="0" w:color="auto"/>
        <w:bottom w:val="none" w:sz="0" w:space="0" w:color="auto"/>
        <w:right w:val="none" w:sz="0" w:space="0" w:color="auto"/>
      </w:divBdr>
    </w:div>
    <w:div w:id="1018238109">
      <w:bodyDiv w:val="1"/>
      <w:marLeft w:val="0"/>
      <w:marRight w:val="0"/>
      <w:marTop w:val="0"/>
      <w:marBottom w:val="0"/>
      <w:divBdr>
        <w:top w:val="none" w:sz="0" w:space="0" w:color="auto"/>
        <w:left w:val="none" w:sz="0" w:space="0" w:color="auto"/>
        <w:bottom w:val="none" w:sz="0" w:space="0" w:color="auto"/>
        <w:right w:val="none" w:sz="0" w:space="0" w:color="auto"/>
      </w:divBdr>
    </w:div>
    <w:div w:id="1020818673">
      <w:bodyDiv w:val="1"/>
      <w:marLeft w:val="0"/>
      <w:marRight w:val="0"/>
      <w:marTop w:val="0"/>
      <w:marBottom w:val="0"/>
      <w:divBdr>
        <w:top w:val="none" w:sz="0" w:space="0" w:color="auto"/>
        <w:left w:val="none" w:sz="0" w:space="0" w:color="auto"/>
        <w:bottom w:val="none" w:sz="0" w:space="0" w:color="auto"/>
        <w:right w:val="none" w:sz="0" w:space="0" w:color="auto"/>
      </w:divBdr>
    </w:div>
    <w:div w:id="1030449061">
      <w:bodyDiv w:val="1"/>
      <w:marLeft w:val="0"/>
      <w:marRight w:val="0"/>
      <w:marTop w:val="0"/>
      <w:marBottom w:val="0"/>
      <w:divBdr>
        <w:top w:val="none" w:sz="0" w:space="0" w:color="auto"/>
        <w:left w:val="none" w:sz="0" w:space="0" w:color="auto"/>
        <w:bottom w:val="none" w:sz="0" w:space="0" w:color="auto"/>
        <w:right w:val="none" w:sz="0" w:space="0" w:color="auto"/>
      </w:divBdr>
    </w:div>
    <w:div w:id="1093629581">
      <w:bodyDiv w:val="1"/>
      <w:marLeft w:val="0"/>
      <w:marRight w:val="0"/>
      <w:marTop w:val="0"/>
      <w:marBottom w:val="0"/>
      <w:divBdr>
        <w:top w:val="none" w:sz="0" w:space="0" w:color="auto"/>
        <w:left w:val="none" w:sz="0" w:space="0" w:color="auto"/>
        <w:bottom w:val="none" w:sz="0" w:space="0" w:color="auto"/>
        <w:right w:val="none" w:sz="0" w:space="0" w:color="auto"/>
      </w:divBdr>
    </w:div>
    <w:div w:id="1115057655">
      <w:bodyDiv w:val="1"/>
      <w:marLeft w:val="0"/>
      <w:marRight w:val="0"/>
      <w:marTop w:val="0"/>
      <w:marBottom w:val="0"/>
      <w:divBdr>
        <w:top w:val="none" w:sz="0" w:space="0" w:color="auto"/>
        <w:left w:val="none" w:sz="0" w:space="0" w:color="auto"/>
        <w:bottom w:val="none" w:sz="0" w:space="0" w:color="auto"/>
        <w:right w:val="none" w:sz="0" w:space="0" w:color="auto"/>
      </w:divBdr>
      <w:divsChild>
        <w:div w:id="679354558">
          <w:marLeft w:val="360"/>
          <w:marRight w:val="0"/>
          <w:marTop w:val="200"/>
          <w:marBottom w:val="0"/>
          <w:divBdr>
            <w:top w:val="none" w:sz="0" w:space="0" w:color="auto"/>
            <w:left w:val="none" w:sz="0" w:space="0" w:color="auto"/>
            <w:bottom w:val="none" w:sz="0" w:space="0" w:color="auto"/>
            <w:right w:val="none" w:sz="0" w:space="0" w:color="auto"/>
          </w:divBdr>
        </w:div>
        <w:div w:id="908421756">
          <w:marLeft w:val="360"/>
          <w:marRight w:val="0"/>
          <w:marTop w:val="200"/>
          <w:marBottom w:val="0"/>
          <w:divBdr>
            <w:top w:val="none" w:sz="0" w:space="0" w:color="auto"/>
            <w:left w:val="none" w:sz="0" w:space="0" w:color="auto"/>
            <w:bottom w:val="none" w:sz="0" w:space="0" w:color="auto"/>
            <w:right w:val="none" w:sz="0" w:space="0" w:color="auto"/>
          </w:divBdr>
        </w:div>
      </w:divsChild>
    </w:div>
    <w:div w:id="1138258023">
      <w:bodyDiv w:val="1"/>
      <w:marLeft w:val="0"/>
      <w:marRight w:val="0"/>
      <w:marTop w:val="0"/>
      <w:marBottom w:val="0"/>
      <w:divBdr>
        <w:top w:val="none" w:sz="0" w:space="0" w:color="auto"/>
        <w:left w:val="none" w:sz="0" w:space="0" w:color="auto"/>
        <w:bottom w:val="none" w:sz="0" w:space="0" w:color="auto"/>
        <w:right w:val="none" w:sz="0" w:space="0" w:color="auto"/>
      </w:divBdr>
    </w:div>
    <w:div w:id="1214732484">
      <w:bodyDiv w:val="1"/>
      <w:marLeft w:val="0"/>
      <w:marRight w:val="0"/>
      <w:marTop w:val="0"/>
      <w:marBottom w:val="0"/>
      <w:divBdr>
        <w:top w:val="none" w:sz="0" w:space="0" w:color="auto"/>
        <w:left w:val="none" w:sz="0" w:space="0" w:color="auto"/>
        <w:bottom w:val="none" w:sz="0" w:space="0" w:color="auto"/>
        <w:right w:val="none" w:sz="0" w:space="0" w:color="auto"/>
      </w:divBdr>
    </w:div>
    <w:div w:id="1313102678">
      <w:bodyDiv w:val="1"/>
      <w:marLeft w:val="0"/>
      <w:marRight w:val="0"/>
      <w:marTop w:val="0"/>
      <w:marBottom w:val="0"/>
      <w:divBdr>
        <w:top w:val="none" w:sz="0" w:space="0" w:color="auto"/>
        <w:left w:val="none" w:sz="0" w:space="0" w:color="auto"/>
        <w:bottom w:val="none" w:sz="0" w:space="0" w:color="auto"/>
        <w:right w:val="none" w:sz="0" w:space="0" w:color="auto"/>
      </w:divBdr>
    </w:div>
    <w:div w:id="1339506486">
      <w:bodyDiv w:val="1"/>
      <w:marLeft w:val="0"/>
      <w:marRight w:val="0"/>
      <w:marTop w:val="0"/>
      <w:marBottom w:val="0"/>
      <w:divBdr>
        <w:top w:val="none" w:sz="0" w:space="0" w:color="auto"/>
        <w:left w:val="none" w:sz="0" w:space="0" w:color="auto"/>
        <w:bottom w:val="none" w:sz="0" w:space="0" w:color="auto"/>
        <w:right w:val="none" w:sz="0" w:space="0" w:color="auto"/>
      </w:divBdr>
      <w:divsChild>
        <w:div w:id="370149215">
          <w:marLeft w:val="0"/>
          <w:marRight w:val="0"/>
          <w:marTop w:val="0"/>
          <w:marBottom w:val="0"/>
          <w:divBdr>
            <w:top w:val="none" w:sz="0" w:space="0" w:color="auto"/>
            <w:left w:val="none" w:sz="0" w:space="0" w:color="auto"/>
            <w:bottom w:val="none" w:sz="0" w:space="0" w:color="auto"/>
            <w:right w:val="none" w:sz="0" w:space="0" w:color="auto"/>
          </w:divBdr>
        </w:div>
      </w:divsChild>
    </w:div>
    <w:div w:id="1368795154">
      <w:bodyDiv w:val="1"/>
      <w:marLeft w:val="0"/>
      <w:marRight w:val="0"/>
      <w:marTop w:val="0"/>
      <w:marBottom w:val="0"/>
      <w:divBdr>
        <w:top w:val="none" w:sz="0" w:space="0" w:color="auto"/>
        <w:left w:val="none" w:sz="0" w:space="0" w:color="auto"/>
        <w:bottom w:val="none" w:sz="0" w:space="0" w:color="auto"/>
        <w:right w:val="none" w:sz="0" w:space="0" w:color="auto"/>
      </w:divBdr>
    </w:div>
    <w:div w:id="1457870796">
      <w:bodyDiv w:val="1"/>
      <w:marLeft w:val="0"/>
      <w:marRight w:val="0"/>
      <w:marTop w:val="0"/>
      <w:marBottom w:val="0"/>
      <w:divBdr>
        <w:top w:val="none" w:sz="0" w:space="0" w:color="auto"/>
        <w:left w:val="none" w:sz="0" w:space="0" w:color="auto"/>
        <w:bottom w:val="none" w:sz="0" w:space="0" w:color="auto"/>
        <w:right w:val="none" w:sz="0" w:space="0" w:color="auto"/>
      </w:divBdr>
    </w:div>
    <w:div w:id="1518153867">
      <w:bodyDiv w:val="1"/>
      <w:marLeft w:val="0"/>
      <w:marRight w:val="0"/>
      <w:marTop w:val="0"/>
      <w:marBottom w:val="0"/>
      <w:divBdr>
        <w:top w:val="none" w:sz="0" w:space="0" w:color="auto"/>
        <w:left w:val="none" w:sz="0" w:space="0" w:color="auto"/>
        <w:bottom w:val="none" w:sz="0" w:space="0" w:color="auto"/>
        <w:right w:val="none" w:sz="0" w:space="0" w:color="auto"/>
      </w:divBdr>
    </w:div>
    <w:div w:id="1581057489">
      <w:bodyDiv w:val="1"/>
      <w:marLeft w:val="0"/>
      <w:marRight w:val="0"/>
      <w:marTop w:val="0"/>
      <w:marBottom w:val="0"/>
      <w:divBdr>
        <w:top w:val="none" w:sz="0" w:space="0" w:color="auto"/>
        <w:left w:val="none" w:sz="0" w:space="0" w:color="auto"/>
        <w:bottom w:val="none" w:sz="0" w:space="0" w:color="auto"/>
        <w:right w:val="none" w:sz="0" w:space="0" w:color="auto"/>
      </w:divBdr>
    </w:div>
    <w:div w:id="1647777131">
      <w:bodyDiv w:val="1"/>
      <w:marLeft w:val="0"/>
      <w:marRight w:val="0"/>
      <w:marTop w:val="0"/>
      <w:marBottom w:val="0"/>
      <w:divBdr>
        <w:top w:val="none" w:sz="0" w:space="0" w:color="auto"/>
        <w:left w:val="none" w:sz="0" w:space="0" w:color="auto"/>
        <w:bottom w:val="none" w:sz="0" w:space="0" w:color="auto"/>
        <w:right w:val="none" w:sz="0" w:space="0" w:color="auto"/>
      </w:divBdr>
      <w:divsChild>
        <w:div w:id="443353304">
          <w:marLeft w:val="360"/>
          <w:marRight w:val="0"/>
          <w:marTop w:val="200"/>
          <w:marBottom w:val="0"/>
          <w:divBdr>
            <w:top w:val="none" w:sz="0" w:space="0" w:color="auto"/>
            <w:left w:val="none" w:sz="0" w:space="0" w:color="auto"/>
            <w:bottom w:val="none" w:sz="0" w:space="0" w:color="auto"/>
            <w:right w:val="none" w:sz="0" w:space="0" w:color="auto"/>
          </w:divBdr>
        </w:div>
        <w:div w:id="1893466838">
          <w:marLeft w:val="360"/>
          <w:marRight w:val="0"/>
          <w:marTop w:val="200"/>
          <w:marBottom w:val="0"/>
          <w:divBdr>
            <w:top w:val="none" w:sz="0" w:space="0" w:color="auto"/>
            <w:left w:val="none" w:sz="0" w:space="0" w:color="auto"/>
            <w:bottom w:val="none" w:sz="0" w:space="0" w:color="auto"/>
            <w:right w:val="none" w:sz="0" w:space="0" w:color="auto"/>
          </w:divBdr>
        </w:div>
      </w:divsChild>
    </w:div>
    <w:div w:id="1723090425">
      <w:bodyDiv w:val="1"/>
      <w:marLeft w:val="0"/>
      <w:marRight w:val="0"/>
      <w:marTop w:val="0"/>
      <w:marBottom w:val="0"/>
      <w:divBdr>
        <w:top w:val="none" w:sz="0" w:space="0" w:color="auto"/>
        <w:left w:val="none" w:sz="0" w:space="0" w:color="auto"/>
        <w:bottom w:val="none" w:sz="0" w:space="0" w:color="auto"/>
        <w:right w:val="none" w:sz="0" w:space="0" w:color="auto"/>
      </w:divBdr>
    </w:div>
    <w:div w:id="1729263836">
      <w:bodyDiv w:val="1"/>
      <w:marLeft w:val="0"/>
      <w:marRight w:val="0"/>
      <w:marTop w:val="0"/>
      <w:marBottom w:val="0"/>
      <w:divBdr>
        <w:top w:val="none" w:sz="0" w:space="0" w:color="auto"/>
        <w:left w:val="none" w:sz="0" w:space="0" w:color="auto"/>
        <w:bottom w:val="none" w:sz="0" w:space="0" w:color="auto"/>
        <w:right w:val="none" w:sz="0" w:space="0" w:color="auto"/>
      </w:divBdr>
    </w:div>
    <w:div w:id="1751271594">
      <w:bodyDiv w:val="1"/>
      <w:marLeft w:val="0"/>
      <w:marRight w:val="0"/>
      <w:marTop w:val="0"/>
      <w:marBottom w:val="0"/>
      <w:divBdr>
        <w:top w:val="none" w:sz="0" w:space="0" w:color="auto"/>
        <w:left w:val="none" w:sz="0" w:space="0" w:color="auto"/>
        <w:bottom w:val="none" w:sz="0" w:space="0" w:color="auto"/>
        <w:right w:val="none" w:sz="0" w:space="0" w:color="auto"/>
      </w:divBdr>
    </w:div>
    <w:div w:id="1800489559">
      <w:bodyDiv w:val="1"/>
      <w:marLeft w:val="0"/>
      <w:marRight w:val="0"/>
      <w:marTop w:val="0"/>
      <w:marBottom w:val="0"/>
      <w:divBdr>
        <w:top w:val="none" w:sz="0" w:space="0" w:color="auto"/>
        <w:left w:val="none" w:sz="0" w:space="0" w:color="auto"/>
        <w:bottom w:val="none" w:sz="0" w:space="0" w:color="auto"/>
        <w:right w:val="none" w:sz="0" w:space="0" w:color="auto"/>
      </w:divBdr>
    </w:div>
    <w:div w:id="1810516158">
      <w:bodyDiv w:val="1"/>
      <w:marLeft w:val="0"/>
      <w:marRight w:val="0"/>
      <w:marTop w:val="0"/>
      <w:marBottom w:val="0"/>
      <w:divBdr>
        <w:top w:val="none" w:sz="0" w:space="0" w:color="auto"/>
        <w:left w:val="none" w:sz="0" w:space="0" w:color="auto"/>
        <w:bottom w:val="none" w:sz="0" w:space="0" w:color="auto"/>
        <w:right w:val="none" w:sz="0" w:space="0" w:color="auto"/>
      </w:divBdr>
      <w:divsChild>
        <w:div w:id="14694010">
          <w:marLeft w:val="1080"/>
          <w:marRight w:val="0"/>
          <w:marTop w:val="100"/>
          <w:marBottom w:val="0"/>
          <w:divBdr>
            <w:top w:val="none" w:sz="0" w:space="0" w:color="auto"/>
            <w:left w:val="none" w:sz="0" w:space="0" w:color="auto"/>
            <w:bottom w:val="none" w:sz="0" w:space="0" w:color="auto"/>
            <w:right w:val="none" w:sz="0" w:space="0" w:color="auto"/>
          </w:divBdr>
        </w:div>
        <w:div w:id="91365391">
          <w:marLeft w:val="1080"/>
          <w:marRight w:val="0"/>
          <w:marTop w:val="100"/>
          <w:marBottom w:val="0"/>
          <w:divBdr>
            <w:top w:val="none" w:sz="0" w:space="0" w:color="auto"/>
            <w:left w:val="none" w:sz="0" w:space="0" w:color="auto"/>
            <w:bottom w:val="none" w:sz="0" w:space="0" w:color="auto"/>
            <w:right w:val="none" w:sz="0" w:space="0" w:color="auto"/>
          </w:divBdr>
        </w:div>
        <w:div w:id="225917235">
          <w:marLeft w:val="1080"/>
          <w:marRight w:val="0"/>
          <w:marTop w:val="100"/>
          <w:marBottom w:val="0"/>
          <w:divBdr>
            <w:top w:val="none" w:sz="0" w:space="0" w:color="auto"/>
            <w:left w:val="none" w:sz="0" w:space="0" w:color="auto"/>
            <w:bottom w:val="none" w:sz="0" w:space="0" w:color="auto"/>
            <w:right w:val="none" w:sz="0" w:space="0" w:color="auto"/>
          </w:divBdr>
        </w:div>
        <w:div w:id="554508269">
          <w:marLeft w:val="1080"/>
          <w:marRight w:val="0"/>
          <w:marTop w:val="100"/>
          <w:marBottom w:val="0"/>
          <w:divBdr>
            <w:top w:val="none" w:sz="0" w:space="0" w:color="auto"/>
            <w:left w:val="none" w:sz="0" w:space="0" w:color="auto"/>
            <w:bottom w:val="none" w:sz="0" w:space="0" w:color="auto"/>
            <w:right w:val="none" w:sz="0" w:space="0" w:color="auto"/>
          </w:divBdr>
        </w:div>
        <w:div w:id="638388400">
          <w:marLeft w:val="1080"/>
          <w:marRight w:val="0"/>
          <w:marTop w:val="100"/>
          <w:marBottom w:val="0"/>
          <w:divBdr>
            <w:top w:val="none" w:sz="0" w:space="0" w:color="auto"/>
            <w:left w:val="none" w:sz="0" w:space="0" w:color="auto"/>
            <w:bottom w:val="none" w:sz="0" w:space="0" w:color="auto"/>
            <w:right w:val="none" w:sz="0" w:space="0" w:color="auto"/>
          </w:divBdr>
        </w:div>
        <w:div w:id="845174666">
          <w:marLeft w:val="1080"/>
          <w:marRight w:val="0"/>
          <w:marTop w:val="100"/>
          <w:marBottom w:val="0"/>
          <w:divBdr>
            <w:top w:val="none" w:sz="0" w:space="0" w:color="auto"/>
            <w:left w:val="none" w:sz="0" w:space="0" w:color="auto"/>
            <w:bottom w:val="none" w:sz="0" w:space="0" w:color="auto"/>
            <w:right w:val="none" w:sz="0" w:space="0" w:color="auto"/>
          </w:divBdr>
        </w:div>
        <w:div w:id="1672831495">
          <w:marLeft w:val="1080"/>
          <w:marRight w:val="0"/>
          <w:marTop w:val="100"/>
          <w:marBottom w:val="0"/>
          <w:divBdr>
            <w:top w:val="none" w:sz="0" w:space="0" w:color="auto"/>
            <w:left w:val="none" w:sz="0" w:space="0" w:color="auto"/>
            <w:bottom w:val="none" w:sz="0" w:space="0" w:color="auto"/>
            <w:right w:val="none" w:sz="0" w:space="0" w:color="auto"/>
          </w:divBdr>
        </w:div>
      </w:divsChild>
    </w:div>
    <w:div w:id="1856722494">
      <w:bodyDiv w:val="1"/>
      <w:marLeft w:val="0"/>
      <w:marRight w:val="0"/>
      <w:marTop w:val="0"/>
      <w:marBottom w:val="0"/>
      <w:divBdr>
        <w:top w:val="none" w:sz="0" w:space="0" w:color="auto"/>
        <w:left w:val="none" w:sz="0" w:space="0" w:color="auto"/>
        <w:bottom w:val="none" w:sz="0" w:space="0" w:color="auto"/>
        <w:right w:val="none" w:sz="0" w:space="0" w:color="auto"/>
      </w:divBdr>
    </w:div>
    <w:div w:id="1871992385">
      <w:bodyDiv w:val="1"/>
      <w:marLeft w:val="0"/>
      <w:marRight w:val="0"/>
      <w:marTop w:val="0"/>
      <w:marBottom w:val="0"/>
      <w:divBdr>
        <w:top w:val="none" w:sz="0" w:space="0" w:color="auto"/>
        <w:left w:val="none" w:sz="0" w:space="0" w:color="auto"/>
        <w:bottom w:val="none" w:sz="0" w:space="0" w:color="auto"/>
        <w:right w:val="none" w:sz="0" w:space="0" w:color="auto"/>
      </w:divBdr>
    </w:div>
    <w:div w:id="1884055003">
      <w:bodyDiv w:val="1"/>
      <w:marLeft w:val="0"/>
      <w:marRight w:val="0"/>
      <w:marTop w:val="0"/>
      <w:marBottom w:val="0"/>
      <w:divBdr>
        <w:top w:val="none" w:sz="0" w:space="0" w:color="auto"/>
        <w:left w:val="none" w:sz="0" w:space="0" w:color="auto"/>
        <w:bottom w:val="none" w:sz="0" w:space="0" w:color="auto"/>
        <w:right w:val="none" w:sz="0" w:space="0" w:color="auto"/>
      </w:divBdr>
    </w:div>
    <w:div w:id="1933011052">
      <w:bodyDiv w:val="1"/>
      <w:marLeft w:val="0"/>
      <w:marRight w:val="0"/>
      <w:marTop w:val="0"/>
      <w:marBottom w:val="0"/>
      <w:divBdr>
        <w:top w:val="none" w:sz="0" w:space="0" w:color="auto"/>
        <w:left w:val="none" w:sz="0" w:space="0" w:color="auto"/>
        <w:bottom w:val="none" w:sz="0" w:space="0" w:color="auto"/>
        <w:right w:val="none" w:sz="0" w:space="0" w:color="auto"/>
      </w:divBdr>
    </w:div>
    <w:div w:id="1982490631">
      <w:bodyDiv w:val="1"/>
      <w:marLeft w:val="0"/>
      <w:marRight w:val="0"/>
      <w:marTop w:val="0"/>
      <w:marBottom w:val="0"/>
      <w:divBdr>
        <w:top w:val="none" w:sz="0" w:space="0" w:color="auto"/>
        <w:left w:val="none" w:sz="0" w:space="0" w:color="auto"/>
        <w:bottom w:val="none" w:sz="0" w:space="0" w:color="auto"/>
        <w:right w:val="none" w:sz="0" w:space="0" w:color="auto"/>
      </w:divBdr>
    </w:div>
    <w:div w:id="2054232351">
      <w:bodyDiv w:val="1"/>
      <w:marLeft w:val="0"/>
      <w:marRight w:val="0"/>
      <w:marTop w:val="0"/>
      <w:marBottom w:val="0"/>
      <w:divBdr>
        <w:top w:val="none" w:sz="0" w:space="0" w:color="auto"/>
        <w:left w:val="none" w:sz="0" w:space="0" w:color="auto"/>
        <w:bottom w:val="none" w:sz="0" w:space="0" w:color="auto"/>
        <w:right w:val="none" w:sz="0" w:space="0" w:color="auto"/>
      </w:divBdr>
    </w:div>
    <w:div w:id="2074694704">
      <w:bodyDiv w:val="1"/>
      <w:marLeft w:val="0"/>
      <w:marRight w:val="0"/>
      <w:marTop w:val="0"/>
      <w:marBottom w:val="0"/>
      <w:divBdr>
        <w:top w:val="none" w:sz="0" w:space="0" w:color="auto"/>
        <w:left w:val="none" w:sz="0" w:space="0" w:color="auto"/>
        <w:bottom w:val="none" w:sz="0" w:space="0" w:color="auto"/>
        <w:right w:val="none" w:sz="0" w:space="0" w:color="auto"/>
      </w:divBdr>
    </w:div>
    <w:div w:id="2078086046">
      <w:bodyDiv w:val="1"/>
      <w:marLeft w:val="0"/>
      <w:marRight w:val="0"/>
      <w:marTop w:val="0"/>
      <w:marBottom w:val="0"/>
      <w:divBdr>
        <w:top w:val="none" w:sz="0" w:space="0" w:color="auto"/>
        <w:left w:val="none" w:sz="0" w:space="0" w:color="auto"/>
        <w:bottom w:val="none" w:sz="0" w:space="0" w:color="auto"/>
        <w:right w:val="none" w:sz="0" w:space="0" w:color="auto"/>
      </w:divBdr>
    </w:div>
    <w:div w:id="2079397746">
      <w:bodyDiv w:val="1"/>
      <w:marLeft w:val="0"/>
      <w:marRight w:val="0"/>
      <w:marTop w:val="0"/>
      <w:marBottom w:val="0"/>
      <w:divBdr>
        <w:top w:val="none" w:sz="0" w:space="0" w:color="auto"/>
        <w:left w:val="none" w:sz="0" w:space="0" w:color="auto"/>
        <w:bottom w:val="none" w:sz="0" w:space="0" w:color="auto"/>
        <w:right w:val="none" w:sz="0" w:space="0" w:color="auto"/>
      </w:divBdr>
    </w:div>
    <w:div w:id="209828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file://eeas.europa.eu/ABV/home/stuares/Documents/Gender/GAP/GAPIII/Gender%20Country%20Profile_Nigeria.docx" TargetMode="External"/><Relationship Id="rId26" Type="http://schemas.openxmlformats.org/officeDocument/2006/relationships/hyperlink" Target="file://eeas.europa.eu/ABV/home/stuares/Documents/Gender/GAP/GAPIII/Gender%20Country%20Profile_Nigeria.docx" TargetMode="External"/><Relationship Id="rId39" Type="http://schemas.openxmlformats.org/officeDocument/2006/relationships/chart" Target="charts/chart5.xml"/><Relationship Id="rId21" Type="http://schemas.openxmlformats.org/officeDocument/2006/relationships/hyperlink" Target="file://eeas.europa.eu/ABV/home/stuares/Documents/Gender/GAP/GAPIII/Gender%20Country%20Profile_Nigeria.docx" TargetMode="External"/><Relationship Id="rId34" Type="http://schemas.openxmlformats.org/officeDocument/2006/relationships/image" Target="media/image6.png"/><Relationship Id="rId42" Type="http://schemas.openxmlformats.org/officeDocument/2006/relationships/image" Target="media/image10.jpeg"/><Relationship Id="rId47" Type="http://schemas.openxmlformats.org/officeDocument/2006/relationships/hyperlink" Target="https://www.researchgate.net/publication/322833408_Gender_analysis_of_micro-loan_sizes_accessed_by_small-scale_agro-entrepreneurs_in_the_Niger_Delta_region_of_Nigeria" TargetMode="External"/><Relationship Id="rId50" Type="http://schemas.openxmlformats.org/officeDocument/2006/relationships/hyperlink" Target="https://lawsofnigeria.placng.org/laws/NATIONAL%20DRUG%20LAW%20ENFORCEMENT%20AGENCY%20ACT.pdf" TargetMode="External"/><Relationship Id="rId55" Type="http://schemas.openxmlformats.org/officeDocument/2006/relationships/hyperlink" Target="http://www.africanchildforum.org/clr/policy%20per%20country/nigeria/nigeria_reproductivehealth_2001_en.pdf" TargetMode="External"/><Relationship Id="rId63" Type="http://schemas.openxmlformats.org/officeDocument/2006/relationships/hyperlink" Target="https://nigerianstat.gov.ng/elibrary?queries%5bsearch%5d=POPULATION" TargetMode="External"/><Relationship Id="rId68" Type="http://schemas.openxmlformats.org/officeDocument/2006/relationships/hyperlink" Target="https://doi.org/10.4314/jae.v17i1.3" TargetMode="External"/><Relationship Id="rId76" Type="http://schemas.openxmlformats.org/officeDocument/2006/relationships/hyperlink" Target="https://www.refworld.org/pdfid/5a7ae2324.pdf" TargetMode="External"/><Relationship Id="rId84" Type="http://schemas.microsoft.com/office/2007/relationships/diagramDrawing" Target="diagrams/drawing1.xml"/><Relationship Id="rId89" Type="http://schemas.openxmlformats.org/officeDocument/2006/relationships/theme" Target="theme/theme1.xml"/><Relationship Id="rId7" Type="http://schemas.openxmlformats.org/officeDocument/2006/relationships/styles" Target="styles.xml"/><Relationship Id="rId71" Type="http://schemas.openxmlformats.org/officeDocument/2006/relationships/hyperlink" Target="https://www.internal-displacement.org/features/nigeria-internal-displacement-crisis-conflict-floods" TargetMode="External"/><Relationship Id="rId2" Type="http://schemas.openxmlformats.org/officeDocument/2006/relationships/customXml" Target="../customXml/item2.xml"/><Relationship Id="rId16" Type="http://schemas.openxmlformats.org/officeDocument/2006/relationships/hyperlink" Target="file://eeas.europa.eu/ABV/home/stuares/Documents/Gender/GAP/GAPIII/Gender%20Country%20Profile_Nigeria.docx" TargetMode="External"/><Relationship Id="rId29" Type="http://schemas.openxmlformats.org/officeDocument/2006/relationships/hyperlink" Target="file://eeas.europa.eu/ABV/home/stuares/Documents/Gender/GAP/GAPIII/Gender%20Country%20Profile_Nigeria.docx" TargetMode="External"/><Relationship Id="rId11" Type="http://schemas.openxmlformats.org/officeDocument/2006/relationships/endnotes" Target="endnotes.xml"/><Relationship Id="rId24" Type="http://schemas.openxmlformats.org/officeDocument/2006/relationships/hyperlink" Target="file://eeas.europa.eu/ABV/home/stuares/Documents/Gender/GAP/GAPIII/Gender%20Country%20Profile_Nigeria.docx" TargetMode="External"/><Relationship Id="rId32" Type="http://schemas.openxmlformats.org/officeDocument/2006/relationships/image" Target="media/image4.png"/><Relationship Id="rId37" Type="http://schemas.openxmlformats.org/officeDocument/2006/relationships/chart" Target="charts/chart4.xml"/><Relationship Id="rId40" Type="http://schemas.openxmlformats.org/officeDocument/2006/relationships/image" Target="media/image8.png"/><Relationship Id="rId45" Type="http://schemas.openxmlformats.org/officeDocument/2006/relationships/image" Target="media/image12.png"/><Relationship Id="rId53" Type="http://schemas.openxmlformats.org/officeDocument/2006/relationships/hyperlink" Target="http://www.hbalogunconsult.com" TargetMode="External"/><Relationship Id="rId58" Type="http://schemas.openxmlformats.org/officeDocument/2006/relationships/hyperlink" Target="https://ihl-databases.icrc.org/ihl/INTRO/540?OpenDocument" TargetMode="External"/><Relationship Id="rId66" Type="http://schemas.openxmlformats.org/officeDocument/2006/relationships/hyperlink" Target="file:///C:/Users/DR%20ONUOBIA/Downloads/GDP_Report_Q4%20&amp;%20FULL%20YEAR%202020.pdf" TargetMode="External"/><Relationship Id="rId74" Type="http://schemas.openxmlformats.org/officeDocument/2006/relationships/hyperlink" Target="https://reliefweb.int/report/nigeria/providing-menstrual-hygiene-support-women-and-girls-living-idp-camps" TargetMode="External"/><Relationship Id="rId79" Type="http://schemas.openxmlformats.org/officeDocument/2006/relationships/hyperlink" Target="https://www.nature.com/articles/s41598-020-62417-w" TargetMode="External"/><Relationship Id="rId87" Type="http://schemas.openxmlformats.org/officeDocument/2006/relationships/header" Target="header1.xml"/><Relationship Id="rId5" Type="http://schemas.openxmlformats.org/officeDocument/2006/relationships/customXml" Target="../customXml/item5.xml"/><Relationship Id="rId61" Type="http://schemas.openxmlformats.org/officeDocument/2006/relationships/hyperlink" Target="https://www.sbmintel.com/2021/07/chart-of-the-week-nigeria-2021-half-year-kidnap-report/" TargetMode="External"/><Relationship Id="rId82" Type="http://schemas.openxmlformats.org/officeDocument/2006/relationships/diagramQuickStyle" Target="diagrams/quickStyle1.xml"/><Relationship Id="rId90" Type="http://schemas.microsoft.com/office/2016/09/relationships/commentsIds" Target="commentsIds.xml"/><Relationship Id="rId19" Type="http://schemas.openxmlformats.org/officeDocument/2006/relationships/hyperlink" Target="file://eeas.europa.eu/ABV/home/stuares/Documents/Gender/GAP/GAPIII/Gender%20Country%20Profile_Nigeria.doc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file://eeas.europa.eu/ABV/home/stuares/Documents/Gender/GAP/GAPIII/Gender%20Country%20Profile_Nigeria.docx" TargetMode="External"/><Relationship Id="rId27" Type="http://schemas.openxmlformats.org/officeDocument/2006/relationships/hyperlink" Target="file://eeas.europa.eu/ABV/home/stuares/Documents/Gender/GAP/GAPIII/Gender%20Country%20Profile_Nigeria.docx" TargetMode="External"/><Relationship Id="rId30" Type="http://schemas.openxmlformats.org/officeDocument/2006/relationships/hyperlink" Target="file://eeas.europa.eu/ABV/home/stuares/Documents/Gender/GAP/GAPIII/Gender%20Country%20Profile_Nigeria.docx" TargetMode="External"/><Relationship Id="rId35" Type="http://schemas.openxmlformats.org/officeDocument/2006/relationships/chart" Target="charts/chart2.xml"/><Relationship Id="rId43" Type="http://schemas.openxmlformats.org/officeDocument/2006/relationships/image" Target="media/image11.png"/><Relationship Id="rId48" Type="http://schemas.openxmlformats.org/officeDocument/2006/relationships/hyperlink" Target="https://nigerianwomentrustfund.org/wp-content/uploads/National-Gender-PolicySituation-Analysis.pdf" TargetMode="External"/><Relationship Id="rId56" Type="http://schemas.openxmlformats.org/officeDocument/2006/relationships/hyperlink" Target="file:///C:/Users/personal/Downloads/Demographic%20Statistics%20Bulletin%202017.pdf" TargetMode="External"/><Relationship Id="rId64" Type="http://schemas.openxmlformats.org/officeDocument/2006/relationships/hyperlink" Target="https://datareportal.com/reports/digital-2021-nigeria" TargetMode="External"/><Relationship Id="rId69" Type="http://schemas.openxmlformats.org/officeDocument/2006/relationships/hyperlink" Target="http://www.climatechange.gov.org" TargetMode="External"/><Relationship Id="rId77" Type="http://schemas.openxmlformats.org/officeDocument/2006/relationships/hyperlink" Target="https://www.reuters.com/article/us-nigeria-lgbt-widerimage-idUSKCN20I105" TargetMode="External"/><Relationship Id="rId8" Type="http://schemas.openxmlformats.org/officeDocument/2006/relationships/settings" Target="settings.xml"/><Relationship Id="rId51" Type="http://schemas.openxmlformats.org/officeDocument/2006/relationships/hyperlink" Target="https://lawsofnigeria.placng.org/laws/C38.pdf" TargetMode="External"/><Relationship Id="rId72" Type="http://schemas.openxmlformats.org/officeDocument/2006/relationships/hyperlink" Target="https://reliefweb.int/report/nigeria/displaced-women-and-girls-borno-state-nigeria-need-life-saving-contraceptive-services" TargetMode="External"/><Relationship Id="rId80" Type="http://schemas.openxmlformats.org/officeDocument/2006/relationships/diagramData" Target="diagrams/data1.xml"/><Relationship Id="rId85" Type="http://schemas.openxmlformats.org/officeDocument/2006/relationships/chart" Target="charts/chart8.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file://eeas.europa.eu/ABV/home/stuares/Documents/Gender/GAP/GAPIII/Gender%20Country%20Profile_Nigeria.docx" TargetMode="External"/><Relationship Id="rId25" Type="http://schemas.openxmlformats.org/officeDocument/2006/relationships/hyperlink" Target="file://eeas.europa.eu/ABV/home/stuares/Documents/Gender/GAP/GAPIII/Gender%20Country%20Profile_Nigeria.docx" TargetMode="External"/><Relationship Id="rId33" Type="http://schemas.openxmlformats.org/officeDocument/2006/relationships/image" Target="media/image5.jpeg"/><Relationship Id="rId38" Type="http://schemas.openxmlformats.org/officeDocument/2006/relationships/image" Target="media/image7.png"/><Relationship Id="rId46" Type="http://schemas.openxmlformats.org/officeDocument/2006/relationships/chart" Target="charts/chart7.xml"/><Relationship Id="rId59" Type="http://schemas.openxmlformats.org/officeDocument/2006/relationships/hyperlink" Target="file:///C:/Users/personal/Downloads/NGA87623.pdf" TargetMode="External"/><Relationship Id="rId67" Type="http://schemas.openxmlformats.org/officeDocument/2006/relationships/hyperlink" Target="https://www.cgdev.org/sites/default/files/new-economy-africa-opportunities-nigerias-emerging-technology-sector.pdf" TargetMode="External"/><Relationship Id="rId20" Type="http://schemas.openxmlformats.org/officeDocument/2006/relationships/hyperlink" Target="file://eeas.europa.eu/ABV/home/stuares/Documents/Gender/GAP/GAPIII/Gender%20Country%20Profile_Nigeria.docx" TargetMode="External"/><Relationship Id="rId41" Type="http://schemas.openxmlformats.org/officeDocument/2006/relationships/image" Target="media/image9.png"/><Relationship Id="rId54" Type="http://schemas.openxmlformats.org/officeDocument/2006/relationships/hyperlink" Target="https://documents1.worldbank.org/curated/en/775651567754681552/pdf/Women-on-Boards-in-Nigeria.pdf" TargetMode="External"/><Relationship Id="rId62" Type="http://schemas.openxmlformats.org/officeDocument/2006/relationships/hyperlink" Target="file:///C:/Users/personal/Downloads/Minimum%20Standards%20for%20Primary%20Health%20Care%20in%20Nigeria.pdf" TargetMode="External"/><Relationship Id="rId70" Type="http://schemas.openxmlformats.org/officeDocument/2006/relationships/hyperlink" Target="https://lawnigeria.com/2019/10/special-peoples-law-of-lagos-state/" TargetMode="External"/><Relationship Id="rId75" Type="http://schemas.openxmlformats.org/officeDocument/2006/relationships/hyperlink" Target="http://www.jstor.org/stable/41329750" TargetMode="External"/><Relationship Id="rId83" Type="http://schemas.openxmlformats.org/officeDocument/2006/relationships/diagramColors" Target="diagrams/colors1.xm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file://eeas.europa.eu/ABV/home/stuares/Documents/Gender/GAP/GAPIII/Gender%20Country%20Profile_Nigeria.docx" TargetMode="External"/><Relationship Id="rId23" Type="http://schemas.openxmlformats.org/officeDocument/2006/relationships/hyperlink" Target="file://eeas.europa.eu/ABV/home/stuares/Documents/Gender/GAP/GAPIII/Gender%20Country%20Profile_Nigeria.docx" TargetMode="External"/><Relationship Id="rId28" Type="http://schemas.openxmlformats.org/officeDocument/2006/relationships/hyperlink" Target="file://eeas.europa.eu/ABV/home/stuares/Documents/Gender/GAP/GAPIII/Gender%20Country%20Profile_Nigeria.docx" TargetMode="External"/><Relationship Id="rId36" Type="http://schemas.openxmlformats.org/officeDocument/2006/relationships/chart" Target="charts/chart3.xml"/><Relationship Id="rId49" Type="http://schemas.openxmlformats.org/officeDocument/2006/relationships/hyperlink" Target="https://lawsofnigeria.placng.org/laws/L1.pdf" TargetMode="External"/><Relationship Id="rId57" Type="http://schemas.openxmlformats.org/officeDocument/2006/relationships/hyperlink" Target="file:///C:/Users/personal/Downloads/Demographic%20Statistics%20Bulletin%202017%20(1).pdf" TargetMode="External"/><Relationship Id="rId10" Type="http://schemas.openxmlformats.org/officeDocument/2006/relationships/footnotes" Target="footnotes.xml"/><Relationship Id="rId31" Type="http://schemas.openxmlformats.org/officeDocument/2006/relationships/chart" Target="charts/chart1.xml"/><Relationship Id="rId44" Type="http://schemas.openxmlformats.org/officeDocument/2006/relationships/chart" Target="charts/chart6.xml"/><Relationship Id="rId52" Type="http://schemas.openxmlformats.org/officeDocument/2006/relationships/hyperlink" Target="https://www.un.org/en/events/pastevents/pdfs/Beijing_Declaration_and_Platform_for_Action.pdf" TargetMode="External"/><Relationship Id="rId60" Type="http://schemas.openxmlformats.org/officeDocument/2006/relationships/hyperlink" Target="https://digitallibrary.un.org/record/819031" TargetMode="External"/><Relationship Id="rId65" Type="http://schemas.openxmlformats.org/officeDocument/2006/relationships/hyperlink" Target="https://www.oecd.org/digital/bridging-the-digital-gender-divide.pdf" TargetMode="External"/><Relationship Id="rId73" Type="http://schemas.openxmlformats.org/officeDocument/2006/relationships/hyperlink" Target="https://doi.org/10.1177%2F08862605211001464" TargetMode="External"/><Relationship Id="rId78" Type="http://schemas.openxmlformats.org/officeDocument/2006/relationships/hyperlink" Target="https://www.reuters.com/article/us-nigeria-lgbt-widerimage-idUSKCN20I105" TargetMode="External"/><Relationship Id="rId81" Type="http://schemas.openxmlformats.org/officeDocument/2006/relationships/diagramLayout" Target="diagrams/layout1.xml"/><Relationship Id="rId86"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archive.uneca.org/sites/default/files/uploaded-documents/Beijing25/nigeria-beijing25_report.pdf" TargetMode="External"/><Relationship Id="rId13" Type="http://schemas.openxmlformats.org/officeDocument/2006/relationships/hyperlink" Target="https://www.nigerianstat.gov.ng/pdfuploads/Q4_2020_Unemployment_Report.pdf" TargetMode="External"/><Relationship Id="rId18" Type="http://schemas.openxmlformats.org/officeDocument/2006/relationships/hyperlink" Target="https://reportgbv.ng/" TargetMode="External"/><Relationship Id="rId26" Type="http://schemas.openxmlformats.org/officeDocument/2006/relationships/hyperlink" Target="https://www.unaids.org/en/resources/presscentre/pressreleaseandstatementarchive/2019/march/20190314_nigeria" TargetMode="External"/><Relationship Id="rId39" Type="http://schemas.openxmlformats.org/officeDocument/2006/relationships/hyperlink" Target="https://www.internetworldstats.com/stats1.htm" TargetMode="External"/><Relationship Id="rId3" Type="http://schemas.openxmlformats.org/officeDocument/2006/relationships/hyperlink" Target="https://www.britishcouncil.org/sites/default/files/british-council-gender-nigeria2012.pdf" TargetMode="External"/><Relationship Id="rId21" Type="http://schemas.openxmlformats.org/officeDocument/2006/relationships/hyperlink" Target="http://1325naps.peacewomen.org/wp-content/uploads/2020/12/NAPNigeria.pdf" TargetMode="External"/><Relationship Id="rId34" Type="http://schemas.openxmlformats.org/officeDocument/2006/relationships/hyperlink" Target="https://www.unicef.org/nigeria/education" TargetMode="External"/><Relationship Id="rId42" Type="http://schemas.openxmlformats.org/officeDocument/2006/relationships/hyperlink" Target="https://www.gsma.com/mobilefordevelopment/wp-content/uploads/2020/05/GSMA-The-Mobile-Gender-Gap-Report-2020.pdf" TargetMode="External"/><Relationship Id="rId7" Type="http://schemas.openxmlformats.org/officeDocument/2006/relationships/hyperlink" Target="https://www.bbc.com/news/world-africa-35820970" TargetMode="External"/><Relationship Id="rId12" Type="http://schemas.openxmlformats.org/officeDocument/2006/relationships/hyperlink" Target="https://documents1.worldbank.org/curated/en/650371467987906739/pdf/103937-WP-P146872-PUBLIC-Nigeria-Jobs-Report.pdf" TargetMode="External"/><Relationship Id="rId17" Type="http://schemas.openxmlformats.org/officeDocument/2006/relationships/hyperlink" Target="https://www.google.com/amp/s/amp.cnn.com/2020/06/12/africa/nigeria-state-of-emergency-rape/index.html" TargetMode="External"/><Relationship Id="rId25" Type="http://schemas.openxmlformats.org/officeDocument/2006/relationships/hyperlink" Target="https://www.who.int/reproductivehealth/maternal-health-nigeria/en/" TargetMode="External"/><Relationship Id="rId33" Type="http://schemas.openxmlformats.org/officeDocument/2006/relationships/hyperlink" Target="https://sdgs.un.org/goals" TargetMode="External"/><Relationship Id="rId38" Type="http://schemas.openxmlformats.org/officeDocument/2006/relationships/hyperlink" Target="https://www.premiumtimesng.com/coronavirus/389775-covid-19-fg-launches-free-e-learning-portals-for-students.html" TargetMode="External"/><Relationship Id="rId2" Type="http://schemas.openxmlformats.org/officeDocument/2006/relationships/hyperlink" Target="https://nigerianstat.gov.ng/elibrary?queries%5bsearch%5d=POPULATION" TargetMode="External"/><Relationship Id="rId16" Type="http://schemas.openxmlformats.org/officeDocument/2006/relationships/hyperlink" Target="https://nigeria.un.org/sites/default/files/2020-05/Gender%20Based%20Violence%20in%20Nigeria%20During%20COVID%2019%20Crisis_The%20Shadow%20Pandemic.pdf" TargetMode="External"/><Relationship Id="rId20" Type="http://schemas.openxmlformats.org/officeDocument/2006/relationships/hyperlink" Target="http://1325naps.peacewomen.org/index.php/nigeria/" TargetMode="External"/><Relationship Id="rId29" Type="http://schemas.openxmlformats.org/officeDocument/2006/relationships/hyperlink" Target="https://data.worldbank.org/indicator/SP.DYN.LE00.IN?locations=NG" TargetMode="External"/><Relationship Id="rId41" Type="http://schemas.openxmlformats.org/officeDocument/2006/relationships/hyperlink" Target="https://datareportal.com/reports/digital-2021-nigeria" TargetMode="External"/><Relationship Id="rId1" Type="http://schemas.openxmlformats.org/officeDocument/2006/relationships/hyperlink" Target="https://data.worldbank.org/indicator/SP.POP.TOTL?locations=NG" TargetMode="External"/><Relationship Id="rId6" Type="http://schemas.openxmlformats.org/officeDocument/2006/relationships/hyperlink" Target="https://bmcwomenshealth.biomedcentral.com/articles/10.1186/s12905-018-0664-3" TargetMode="External"/><Relationship Id="rId11" Type="http://schemas.openxmlformats.org/officeDocument/2006/relationships/hyperlink" Target="https://bfaglobal.com/insights/the-enduring-gender-gap-in-nigerian-household-headship/" TargetMode="External"/><Relationship Id="rId24" Type="http://schemas.openxmlformats.org/officeDocument/2006/relationships/hyperlink" Target="https://bmcpublichealth.biomedcentral.com/articles/10.1186/s12889-020-09349-2" TargetMode="External"/><Relationship Id="rId32" Type="http://schemas.openxmlformats.org/officeDocument/2006/relationships/hyperlink" Target="https://msdat.fmohconnect.gov.ng/covid/index.html" TargetMode="External"/><Relationship Id="rId37" Type="http://schemas.openxmlformats.org/officeDocument/2006/relationships/hyperlink" Target="https://reliefweb.int/sites/reliefweb.int/files/resources/nigeria_education_sector_covid-19_response_strategy_north_east_.pdf" TargetMode="External"/><Relationship Id="rId40" Type="http://schemas.openxmlformats.org/officeDocument/2006/relationships/hyperlink" Target="file:///C:/Users/DR%20ONUOBIA/Downloads/GDP_Report_Q4%20&amp;%20FULL%20YEAR%202020.pdf" TargetMode="External"/><Relationship Id="rId45" Type="http://schemas.openxmlformats.org/officeDocument/2006/relationships/hyperlink" Target="https://www.reuters.com/article/us-nigeria-lgbt-widerimage-idUSKCN20I105" TargetMode="External"/><Relationship Id="rId5" Type="http://schemas.openxmlformats.org/officeDocument/2006/relationships/hyperlink" Target="https://www.unicef.org/media/65381/file/GP-2020-Technical-Note-Gender-Norms.pdf" TargetMode="External"/><Relationship Id="rId15" Type="http://schemas.openxmlformats.org/officeDocument/2006/relationships/hyperlink" Target="https://documents1.worldbank.org/curated/en/775651567754681552/pdf/Women-on-Boards-in-Nigeria.pdf" TargetMode="External"/><Relationship Id="rId23" Type="http://schemas.openxmlformats.org/officeDocument/2006/relationships/hyperlink" Target="https://www.unicef.org/nigeria/situation-women-and-children-nigeria" TargetMode="External"/><Relationship Id="rId28" Type="http://schemas.openxmlformats.org/officeDocument/2006/relationships/hyperlink" Target="https://www.unicef.org/nigeria/media/1436/file/Nigeria-evaluation-of-maternal-newborn-and-child-health-week_0.pdf.pdf" TargetMode="External"/><Relationship Id="rId36" Type="http://schemas.openxmlformats.org/officeDocument/2006/relationships/hyperlink" Target="https://www.arise.tv/nigeria-cannot-afford-funds-to-revive-education-buhari-says/" TargetMode="External"/><Relationship Id="rId10" Type="http://schemas.openxmlformats.org/officeDocument/2006/relationships/hyperlink" Target="https://blogs.worldbank.org/opendata/african-countries-show-mixed-progress-towards-poverty-reduction-and-half-them-have-extreme" TargetMode="External"/><Relationship Id="rId19" Type="http://schemas.openxmlformats.org/officeDocument/2006/relationships/hyperlink" Target="https://www.sbmintel.com/2021/07/chart-of-the-week-nigeria-2021-half-year-kidnap-report/" TargetMode="External"/><Relationship Id="rId31" Type="http://schemas.openxmlformats.org/officeDocument/2006/relationships/hyperlink" Target="https://naca.gov.ng/wp-content/uploads/2019/10/Fact-Sheet-Women-Girls-Gender-Equality-and-HIV-in-Nigeria.pdf" TargetMode="External"/><Relationship Id="rId44" Type="http://schemas.openxmlformats.org/officeDocument/2006/relationships/hyperlink" Target="https://www.cgdev.org/sites/default/files/new-economy-africa-opportunities-nigerias-emerging-technology-sector.pdf" TargetMode="External"/><Relationship Id="rId4" Type="http://schemas.openxmlformats.org/officeDocument/2006/relationships/hyperlink" Target="http://www3.weforum.org/docs/WEF_GGGR_2021.pdf" TargetMode="External"/><Relationship Id="rId9" Type="http://schemas.openxmlformats.org/officeDocument/2006/relationships/hyperlink" Target="https://www.endpoverty.org/blog/nigeria-poverty-capital-of-the-world" TargetMode="External"/><Relationship Id="rId14" Type="http://schemas.openxmlformats.org/officeDocument/2006/relationships/hyperlink" Target="https://newsroom.mastercard.com/mea/2015/12/10/women-entrepreneurs-and-financial-inclusion-in-nigeria/" TargetMode="External"/><Relationship Id="rId22" Type="http://schemas.openxmlformats.org/officeDocument/2006/relationships/hyperlink" Target="https://wpsnigeria.net/wp-content/uploads/2021/02/WPS-Midterm-Eval-Report-Final.pdf" TargetMode="External"/><Relationship Id="rId27" Type="http://schemas.openxmlformats.org/officeDocument/2006/relationships/hyperlink" Target="https://www.aljazeera.com/features/2019/4/8/nigerias-medical-brain-drain-healthcare-woes-as-doctors-flee" TargetMode="External"/><Relationship Id="rId30" Type="http://schemas.openxmlformats.org/officeDocument/2006/relationships/hyperlink" Target="https://doi.org/10.1186/s12889-020-10133-5" TargetMode="External"/><Relationship Id="rId35" Type="http://schemas.openxmlformats.org/officeDocument/2006/relationships/hyperlink" Target="https://www.statista.com/statistics/1130675/completion-rate-for-upper-secondary-school-in-nigeria/" TargetMode="External"/><Relationship Id="rId43" Type="http://schemas.openxmlformats.org/officeDocument/2006/relationships/hyperlink" Target="https://wtec.org.ng/the-gender-gap/"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HP\Documents\Quant%20analysis.xlsx" TargetMode="External"/><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1" Type="http://schemas.openxmlformats.org/officeDocument/2006/relationships/oleObject" Target="file:///C:\Users\HP\Documents\Nigeria_Gender_Analysis_Project_-_all_versions_-_labels_-_2021-07-26-11-19-45_Cleaned.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HP\Documents\Quant%20analysi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HP\Documents\Quant%20analysis.xlsx" TargetMode="External"/></Relationships>
</file>

<file path=word/charts/_rels/chart7.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3.xml"/></Relationships>
</file>

<file path=word/charts/_rels/chart8.xml.rels><?xml version="1.0" encoding="UTF-8" standalone="yes"?>
<Relationships xmlns="http://schemas.openxmlformats.org/package/2006/relationships"><Relationship Id="rId1" Type="http://schemas.openxmlformats.org/officeDocument/2006/relationships/oleObject" Target="file:///C:\Users\HP\Documents\Nigeria_Gender_Analysis_Project_-_all_versions_-_labels_-_2021-07-26-11-19-45_Cleane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r>
              <a:rPr lang="en-US" dirty="0"/>
              <a:t>Gender Proportion in Nigeria</a:t>
            </a:r>
          </a:p>
        </c:rich>
      </c:tx>
      <c:layout/>
      <c:overlay val="0"/>
      <c:spPr>
        <a:noFill/>
        <a:ln>
          <a:noFill/>
        </a:ln>
        <a:effectLst/>
      </c:spPr>
      <c:txPr>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DF5-4E91-8C17-209576049A4F}"/>
              </c:ext>
            </c:extLst>
          </c:dPt>
          <c:dPt>
            <c:idx val="1"/>
            <c:bubble3D val="0"/>
            <c:explosion val="3"/>
            <c:spPr>
              <a:solidFill>
                <a:schemeClr val="accent2"/>
              </a:solidFill>
              <a:ln w="19050">
                <a:solidFill>
                  <a:schemeClr val="lt1"/>
                </a:solidFill>
              </a:ln>
              <a:effectLst/>
            </c:spPr>
            <c:extLst>
              <c:ext xmlns:c16="http://schemas.microsoft.com/office/drawing/2014/chart" uri="{C3380CC4-5D6E-409C-BE32-E72D297353CC}">
                <c16:uniqueId val="{00000003-CDF5-4E91-8C17-209576049A4F}"/>
              </c:ext>
            </c:extLst>
          </c:dPt>
          <c:cat>
            <c:strRef>
              <c:f>Sheet1!$A$2:$A$3</c:f>
              <c:strCache>
                <c:ptCount val="2"/>
                <c:pt idx="0">
                  <c:v>Male</c:v>
                </c:pt>
                <c:pt idx="1">
                  <c:v>Female</c:v>
                </c:pt>
              </c:strCache>
            </c:strRef>
          </c:cat>
          <c:val>
            <c:numRef>
              <c:f>Sheet1!$B$2:$B$3</c:f>
              <c:numCache>
                <c:formatCode>General</c:formatCode>
                <c:ptCount val="2"/>
                <c:pt idx="0">
                  <c:v>49.3</c:v>
                </c:pt>
                <c:pt idx="1">
                  <c:v>50.7</c:v>
                </c:pt>
              </c:numCache>
            </c:numRef>
          </c:val>
          <c:extLst>
            <c:ext xmlns:c16="http://schemas.microsoft.com/office/drawing/2014/chart" uri="{C3380CC4-5D6E-409C-BE32-E72D297353CC}">
              <c16:uniqueId val="{00000004-CDF5-4E91-8C17-209576049A4F}"/>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Sheet1!$B$138</c:f>
              <c:strCache>
                <c:ptCount val="1"/>
                <c:pt idx="0">
                  <c:v>I agree</c:v>
                </c:pt>
              </c:strCache>
            </c:strRef>
          </c:tx>
          <c:invertIfNegative val="0"/>
          <c:cat>
            <c:strRef>
              <c:f>Sheet1!$C$137:$J$137</c:f>
              <c:strCache>
                <c:ptCount val="8"/>
                <c:pt idx="0">
                  <c:v>Adamawa</c:v>
                </c:pt>
                <c:pt idx="1">
                  <c:v>Anambra</c:v>
                </c:pt>
                <c:pt idx="2">
                  <c:v>Edo</c:v>
                </c:pt>
                <c:pt idx="3">
                  <c:v>FCT</c:v>
                </c:pt>
                <c:pt idx="4">
                  <c:v>Kano</c:v>
                </c:pt>
                <c:pt idx="5">
                  <c:v>Kwara</c:v>
                </c:pt>
                <c:pt idx="6">
                  <c:v>Lagos</c:v>
                </c:pt>
                <c:pt idx="7">
                  <c:v>Total</c:v>
                </c:pt>
              </c:strCache>
            </c:strRef>
          </c:cat>
          <c:val>
            <c:numRef>
              <c:f>Sheet1!$C$138:$J$138</c:f>
              <c:numCache>
                <c:formatCode>0.00%</c:formatCode>
                <c:ptCount val="8"/>
                <c:pt idx="0">
                  <c:v>0.621</c:v>
                </c:pt>
                <c:pt idx="1">
                  <c:v>0.45500000000000002</c:v>
                </c:pt>
                <c:pt idx="2">
                  <c:v>0.50800000000000001</c:v>
                </c:pt>
                <c:pt idx="3">
                  <c:v>0.45600000000000002</c:v>
                </c:pt>
                <c:pt idx="4">
                  <c:v>0.46600000000000003</c:v>
                </c:pt>
                <c:pt idx="5">
                  <c:v>0.45600000000000002</c:v>
                </c:pt>
                <c:pt idx="6">
                  <c:v>0.42</c:v>
                </c:pt>
                <c:pt idx="7">
                  <c:v>0.49199999999999999</c:v>
                </c:pt>
              </c:numCache>
            </c:numRef>
          </c:val>
          <c:extLst>
            <c:ext xmlns:c16="http://schemas.microsoft.com/office/drawing/2014/chart" uri="{C3380CC4-5D6E-409C-BE32-E72D297353CC}">
              <c16:uniqueId val="{00000000-84A7-4BA5-A372-1B0377FF78BA}"/>
            </c:ext>
          </c:extLst>
        </c:ser>
        <c:ser>
          <c:idx val="1"/>
          <c:order val="1"/>
          <c:tx>
            <c:strRef>
              <c:f>Sheet1!$B$139</c:f>
              <c:strCache>
                <c:ptCount val="1"/>
                <c:pt idx="0">
                  <c:v>I disagree</c:v>
                </c:pt>
              </c:strCache>
            </c:strRef>
          </c:tx>
          <c:invertIfNegative val="0"/>
          <c:cat>
            <c:strRef>
              <c:f>Sheet1!$C$137:$J$137</c:f>
              <c:strCache>
                <c:ptCount val="8"/>
                <c:pt idx="0">
                  <c:v>Adamawa</c:v>
                </c:pt>
                <c:pt idx="1">
                  <c:v>Anambra</c:v>
                </c:pt>
                <c:pt idx="2">
                  <c:v>Edo</c:v>
                </c:pt>
                <c:pt idx="3">
                  <c:v>FCT</c:v>
                </c:pt>
                <c:pt idx="4">
                  <c:v>Kano</c:v>
                </c:pt>
                <c:pt idx="5">
                  <c:v>Kwara</c:v>
                </c:pt>
                <c:pt idx="6">
                  <c:v>Lagos</c:v>
                </c:pt>
                <c:pt idx="7">
                  <c:v>Total</c:v>
                </c:pt>
              </c:strCache>
            </c:strRef>
          </c:cat>
          <c:val>
            <c:numRef>
              <c:f>Sheet1!$C$139:$J$139</c:f>
              <c:numCache>
                <c:formatCode>0.00%</c:formatCode>
                <c:ptCount val="8"/>
                <c:pt idx="0">
                  <c:v>3.4000000000000002E-2</c:v>
                </c:pt>
                <c:pt idx="1">
                  <c:v>0.23100000000000001</c:v>
                </c:pt>
                <c:pt idx="2">
                  <c:v>0.24</c:v>
                </c:pt>
                <c:pt idx="3">
                  <c:v>0.123</c:v>
                </c:pt>
                <c:pt idx="4">
                  <c:v>0.22800000000000001</c:v>
                </c:pt>
                <c:pt idx="5">
                  <c:v>0.19</c:v>
                </c:pt>
                <c:pt idx="6">
                  <c:v>0.11600000000000001</c:v>
                </c:pt>
                <c:pt idx="7">
                  <c:v>0.17</c:v>
                </c:pt>
              </c:numCache>
            </c:numRef>
          </c:val>
          <c:extLst>
            <c:ext xmlns:c16="http://schemas.microsoft.com/office/drawing/2014/chart" uri="{C3380CC4-5D6E-409C-BE32-E72D297353CC}">
              <c16:uniqueId val="{00000001-84A7-4BA5-A372-1B0377FF78BA}"/>
            </c:ext>
          </c:extLst>
        </c:ser>
        <c:ser>
          <c:idx val="2"/>
          <c:order val="2"/>
          <c:tx>
            <c:strRef>
              <c:f>Sheet1!$B$140</c:f>
              <c:strCache>
                <c:ptCount val="1"/>
                <c:pt idx="0">
                  <c:v>I neither agree or disagree</c:v>
                </c:pt>
              </c:strCache>
            </c:strRef>
          </c:tx>
          <c:invertIfNegative val="0"/>
          <c:cat>
            <c:strRef>
              <c:f>Sheet1!$C$137:$J$137</c:f>
              <c:strCache>
                <c:ptCount val="8"/>
                <c:pt idx="0">
                  <c:v>Adamawa</c:v>
                </c:pt>
                <c:pt idx="1">
                  <c:v>Anambra</c:v>
                </c:pt>
                <c:pt idx="2">
                  <c:v>Edo</c:v>
                </c:pt>
                <c:pt idx="3">
                  <c:v>FCT</c:v>
                </c:pt>
                <c:pt idx="4">
                  <c:v>Kano</c:v>
                </c:pt>
                <c:pt idx="5">
                  <c:v>Kwara</c:v>
                </c:pt>
                <c:pt idx="6">
                  <c:v>Lagos</c:v>
                </c:pt>
                <c:pt idx="7">
                  <c:v>Total</c:v>
                </c:pt>
              </c:strCache>
            </c:strRef>
          </c:cat>
          <c:val>
            <c:numRef>
              <c:f>Sheet1!$C$140:$J$140</c:f>
              <c:numCache>
                <c:formatCode>0.00%</c:formatCode>
                <c:ptCount val="8"/>
                <c:pt idx="0">
                  <c:v>3.6999999999999998E-2</c:v>
                </c:pt>
                <c:pt idx="1">
                  <c:v>9.4E-2</c:v>
                </c:pt>
                <c:pt idx="2">
                  <c:v>0.157</c:v>
                </c:pt>
                <c:pt idx="3">
                  <c:v>0.17499999999999999</c:v>
                </c:pt>
                <c:pt idx="4">
                  <c:v>7.5999999999999998E-2</c:v>
                </c:pt>
                <c:pt idx="5">
                  <c:v>0.14599999999999999</c:v>
                </c:pt>
                <c:pt idx="6">
                  <c:v>0.223</c:v>
                </c:pt>
                <c:pt idx="7">
                  <c:v>0.11700000000000001</c:v>
                </c:pt>
              </c:numCache>
            </c:numRef>
          </c:val>
          <c:extLst>
            <c:ext xmlns:c16="http://schemas.microsoft.com/office/drawing/2014/chart" uri="{C3380CC4-5D6E-409C-BE32-E72D297353CC}">
              <c16:uniqueId val="{00000002-84A7-4BA5-A372-1B0377FF78BA}"/>
            </c:ext>
          </c:extLst>
        </c:ser>
        <c:ser>
          <c:idx val="3"/>
          <c:order val="3"/>
          <c:tx>
            <c:strRef>
              <c:f>Sheet1!$B$141</c:f>
              <c:strCache>
                <c:ptCount val="1"/>
                <c:pt idx="0">
                  <c:v>I strongly agree</c:v>
                </c:pt>
              </c:strCache>
            </c:strRef>
          </c:tx>
          <c:invertIfNegative val="0"/>
          <c:cat>
            <c:strRef>
              <c:f>Sheet1!$C$137:$J$137</c:f>
              <c:strCache>
                <c:ptCount val="8"/>
                <c:pt idx="0">
                  <c:v>Adamawa</c:v>
                </c:pt>
                <c:pt idx="1">
                  <c:v>Anambra</c:v>
                </c:pt>
                <c:pt idx="2">
                  <c:v>Edo</c:v>
                </c:pt>
                <c:pt idx="3">
                  <c:v>FCT</c:v>
                </c:pt>
                <c:pt idx="4">
                  <c:v>Kano</c:v>
                </c:pt>
                <c:pt idx="5">
                  <c:v>Kwara</c:v>
                </c:pt>
                <c:pt idx="6">
                  <c:v>Lagos</c:v>
                </c:pt>
                <c:pt idx="7">
                  <c:v>Total</c:v>
                </c:pt>
              </c:strCache>
            </c:strRef>
          </c:cat>
          <c:val>
            <c:numRef>
              <c:f>Sheet1!$C$141:$J$141</c:f>
              <c:numCache>
                <c:formatCode>0.00%</c:formatCode>
                <c:ptCount val="8"/>
                <c:pt idx="0">
                  <c:v>0.29199999999999998</c:v>
                </c:pt>
                <c:pt idx="1">
                  <c:v>0.153</c:v>
                </c:pt>
                <c:pt idx="2">
                  <c:v>8.5999999999999993E-2</c:v>
                </c:pt>
                <c:pt idx="3">
                  <c:v>0.184</c:v>
                </c:pt>
                <c:pt idx="4">
                  <c:v>0.17100000000000001</c:v>
                </c:pt>
                <c:pt idx="5">
                  <c:v>0.19</c:v>
                </c:pt>
                <c:pt idx="6">
                  <c:v>0.223</c:v>
                </c:pt>
                <c:pt idx="7">
                  <c:v>0.18099999999999999</c:v>
                </c:pt>
              </c:numCache>
            </c:numRef>
          </c:val>
          <c:extLst>
            <c:ext xmlns:c16="http://schemas.microsoft.com/office/drawing/2014/chart" uri="{C3380CC4-5D6E-409C-BE32-E72D297353CC}">
              <c16:uniqueId val="{00000003-84A7-4BA5-A372-1B0377FF78BA}"/>
            </c:ext>
          </c:extLst>
        </c:ser>
        <c:ser>
          <c:idx val="4"/>
          <c:order val="4"/>
          <c:tx>
            <c:strRef>
              <c:f>Sheet1!$B$142</c:f>
              <c:strCache>
                <c:ptCount val="1"/>
                <c:pt idx="0">
                  <c:v>I strongly disagree</c:v>
                </c:pt>
              </c:strCache>
            </c:strRef>
          </c:tx>
          <c:invertIfNegative val="0"/>
          <c:cat>
            <c:strRef>
              <c:f>Sheet1!$C$137:$J$137</c:f>
              <c:strCache>
                <c:ptCount val="8"/>
                <c:pt idx="0">
                  <c:v>Adamawa</c:v>
                </c:pt>
                <c:pt idx="1">
                  <c:v>Anambra</c:v>
                </c:pt>
                <c:pt idx="2">
                  <c:v>Edo</c:v>
                </c:pt>
                <c:pt idx="3">
                  <c:v>FCT</c:v>
                </c:pt>
                <c:pt idx="4">
                  <c:v>Kano</c:v>
                </c:pt>
                <c:pt idx="5">
                  <c:v>Kwara</c:v>
                </c:pt>
                <c:pt idx="6">
                  <c:v>Lagos</c:v>
                </c:pt>
                <c:pt idx="7">
                  <c:v>Total</c:v>
                </c:pt>
              </c:strCache>
            </c:strRef>
          </c:cat>
          <c:val>
            <c:numRef>
              <c:f>Sheet1!$C$142:$J$142</c:f>
              <c:numCache>
                <c:formatCode>0.00%</c:formatCode>
                <c:ptCount val="8"/>
                <c:pt idx="0">
                  <c:v>1.6E-2</c:v>
                </c:pt>
                <c:pt idx="1">
                  <c:v>6.8000000000000005E-2</c:v>
                </c:pt>
                <c:pt idx="2">
                  <c:v>0.01</c:v>
                </c:pt>
                <c:pt idx="3">
                  <c:v>6.0999999999999999E-2</c:v>
                </c:pt>
                <c:pt idx="4">
                  <c:v>5.8999999999999997E-2</c:v>
                </c:pt>
                <c:pt idx="5">
                  <c:v>1.9E-2</c:v>
                </c:pt>
                <c:pt idx="6">
                  <c:v>1.7999999999999999E-2</c:v>
                </c:pt>
                <c:pt idx="7">
                  <c:v>3.9E-2</c:v>
                </c:pt>
              </c:numCache>
            </c:numRef>
          </c:val>
          <c:extLst>
            <c:ext xmlns:c16="http://schemas.microsoft.com/office/drawing/2014/chart" uri="{C3380CC4-5D6E-409C-BE32-E72D297353CC}">
              <c16:uniqueId val="{00000004-84A7-4BA5-A372-1B0377FF78BA}"/>
            </c:ext>
          </c:extLst>
        </c:ser>
        <c:dLbls>
          <c:showLegendKey val="0"/>
          <c:showVal val="0"/>
          <c:showCatName val="0"/>
          <c:showSerName val="0"/>
          <c:showPercent val="0"/>
          <c:showBubbleSize val="0"/>
        </c:dLbls>
        <c:gapWidth val="150"/>
        <c:shape val="cylinder"/>
        <c:axId val="341251680"/>
        <c:axId val="341252072"/>
        <c:axId val="0"/>
      </c:bar3DChart>
      <c:catAx>
        <c:axId val="341251680"/>
        <c:scaling>
          <c:orientation val="minMax"/>
        </c:scaling>
        <c:delete val="0"/>
        <c:axPos val="l"/>
        <c:numFmt formatCode="General" sourceLinked="0"/>
        <c:majorTickMark val="out"/>
        <c:minorTickMark val="none"/>
        <c:tickLblPos val="nextTo"/>
        <c:crossAx val="341252072"/>
        <c:crosses val="autoZero"/>
        <c:auto val="1"/>
        <c:lblAlgn val="ctr"/>
        <c:lblOffset val="100"/>
        <c:noMultiLvlLbl val="0"/>
      </c:catAx>
      <c:valAx>
        <c:axId val="341252072"/>
        <c:scaling>
          <c:orientation val="minMax"/>
        </c:scaling>
        <c:delete val="0"/>
        <c:axPos val="b"/>
        <c:majorGridlines/>
        <c:numFmt formatCode="0.00%" sourceLinked="1"/>
        <c:majorTickMark val="out"/>
        <c:minorTickMark val="none"/>
        <c:tickLblPos val="nextTo"/>
        <c:crossAx val="341251680"/>
        <c:crosses val="autoZero"/>
        <c:crossBetween val="between"/>
      </c:valAx>
    </c:plotArea>
    <c:legend>
      <c:legendPos val="r"/>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Sheet1!$B$20</c:f>
              <c:strCache>
                <c:ptCount val="1"/>
                <c:pt idx="0">
                  <c:v>I agree</c:v>
                </c:pt>
              </c:strCache>
            </c:strRef>
          </c:tx>
          <c:invertIfNegative val="0"/>
          <c:cat>
            <c:strRef>
              <c:f>Sheet1!$C$19:$J$19</c:f>
              <c:strCache>
                <c:ptCount val="8"/>
                <c:pt idx="0">
                  <c:v>Adamawa</c:v>
                </c:pt>
                <c:pt idx="1">
                  <c:v>Anambra</c:v>
                </c:pt>
                <c:pt idx="2">
                  <c:v>Edo</c:v>
                </c:pt>
                <c:pt idx="3">
                  <c:v>FCT</c:v>
                </c:pt>
                <c:pt idx="4">
                  <c:v>Kano</c:v>
                </c:pt>
                <c:pt idx="5">
                  <c:v>Kwara</c:v>
                </c:pt>
                <c:pt idx="6">
                  <c:v>Lagos</c:v>
                </c:pt>
                <c:pt idx="7">
                  <c:v>Total</c:v>
                </c:pt>
              </c:strCache>
            </c:strRef>
          </c:cat>
          <c:val>
            <c:numRef>
              <c:f>Sheet1!$C$20:$J$20</c:f>
              <c:numCache>
                <c:formatCode>0.00%</c:formatCode>
                <c:ptCount val="8"/>
                <c:pt idx="0">
                  <c:v>0.67100000000000004</c:v>
                </c:pt>
                <c:pt idx="1">
                  <c:v>0.35099999999999998</c:v>
                </c:pt>
                <c:pt idx="2">
                  <c:v>0.629</c:v>
                </c:pt>
                <c:pt idx="3">
                  <c:v>0.437</c:v>
                </c:pt>
                <c:pt idx="4">
                  <c:v>0.55100000000000005</c:v>
                </c:pt>
                <c:pt idx="5">
                  <c:v>0.34200000000000003</c:v>
                </c:pt>
                <c:pt idx="6">
                  <c:v>0.28599999999999998</c:v>
                </c:pt>
                <c:pt idx="7">
                  <c:v>0.499</c:v>
                </c:pt>
              </c:numCache>
            </c:numRef>
          </c:val>
          <c:extLst>
            <c:ext xmlns:c16="http://schemas.microsoft.com/office/drawing/2014/chart" uri="{C3380CC4-5D6E-409C-BE32-E72D297353CC}">
              <c16:uniqueId val="{00000000-ECCB-43DF-8A71-692028467F10}"/>
            </c:ext>
          </c:extLst>
        </c:ser>
        <c:ser>
          <c:idx val="1"/>
          <c:order val="1"/>
          <c:tx>
            <c:strRef>
              <c:f>Sheet1!$B$21</c:f>
              <c:strCache>
                <c:ptCount val="1"/>
                <c:pt idx="0">
                  <c:v>I disagree</c:v>
                </c:pt>
              </c:strCache>
            </c:strRef>
          </c:tx>
          <c:invertIfNegative val="0"/>
          <c:cat>
            <c:strRef>
              <c:f>Sheet1!$C$19:$J$19</c:f>
              <c:strCache>
                <c:ptCount val="8"/>
                <c:pt idx="0">
                  <c:v>Adamawa</c:v>
                </c:pt>
                <c:pt idx="1">
                  <c:v>Anambra</c:v>
                </c:pt>
                <c:pt idx="2">
                  <c:v>Edo</c:v>
                </c:pt>
                <c:pt idx="3">
                  <c:v>FCT</c:v>
                </c:pt>
                <c:pt idx="4">
                  <c:v>Kano</c:v>
                </c:pt>
                <c:pt idx="5">
                  <c:v>Kwara</c:v>
                </c:pt>
                <c:pt idx="6">
                  <c:v>Lagos</c:v>
                </c:pt>
                <c:pt idx="7">
                  <c:v>Total</c:v>
                </c:pt>
              </c:strCache>
            </c:strRef>
          </c:cat>
          <c:val>
            <c:numRef>
              <c:f>Sheet1!$C$21:$J$21</c:f>
              <c:numCache>
                <c:formatCode>0.00%</c:formatCode>
                <c:ptCount val="8"/>
                <c:pt idx="0">
                  <c:v>3.4000000000000002E-2</c:v>
                </c:pt>
                <c:pt idx="1">
                  <c:v>0.26600000000000001</c:v>
                </c:pt>
                <c:pt idx="2">
                  <c:v>0.17599999999999999</c:v>
                </c:pt>
                <c:pt idx="3">
                  <c:v>0.17799999999999999</c:v>
                </c:pt>
                <c:pt idx="4">
                  <c:v>0.219</c:v>
                </c:pt>
                <c:pt idx="5">
                  <c:v>0.247</c:v>
                </c:pt>
                <c:pt idx="6">
                  <c:v>0.23200000000000001</c:v>
                </c:pt>
                <c:pt idx="7">
                  <c:v>0.184</c:v>
                </c:pt>
              </c:numCache>
            </c:numRef>
          </c:val>
          <c:extLst>
            <c:ext xmlns:c16="http://schemas.microsoft.com/office/drawing/2014/chart" uri="{C3380CC4-5D6E-409C-BE32-E72D297353CC}">
              <c16:uniqueId val="{00000001-ECCB-43DF-8A71-692028467F10}"/>
            </c:ext>
          </c:extLst>
        </c:ser>
        <c:ser>
          <c:idx val="2"/>
          <c:order val="2"/>
          <c:tx>
            <c:strRef>
              <c:f>Sheet1!$B$22</c:f>
              <c:strCache>
                <c:ptCount val="1"/>
                <c:pt idx="0">
                  <c:v>I neither agree or disagree</c:v>
                </c:pt>
              </c:strCache>
            </c:strRef>
          </c:tx>
          <c:invertIfNegative val="0"/>
          <c:cat>
            <c:strRef>
              <c:f>Sheet1!$C$19:$J$19</c:f>
              <c:strCache>
                <c:ptCount val="8"/>
                <c:pt idx="0">
                  <c:v>Adamawa</c:v>
                </c:pt>
                <c:pt idx="1">
                  <c:v>Anambra</c:v>
                </c:pt>
                <c:pt idx="2">
                  <c:v>Edo</c:v>
                </c:pt>
                <c:pt idx="3">
                  <c:v>FCT</c:v>
                </c:pt>
                <c:pt idx="4">
                  <c:v>Kano</c:v>
                </c:pt>
                <c:pt idx="5">
                  <c:v>Kwara</c:v>
                </c:pt>
                <c:pt idx="6">
                  <c:v>Lagos</c:v>
                </c:pt>
                <c:pt idx="7">
                  <c:v>Total</c:v>
                </c:pt>
              </c:strCache>
            </c:strRef>
          </c:cat>
          <c:val>
            <c:numRef>
              <c:f>Sheet1!$C$22:$J$22</c:f>
              <c:numCache>
                <c:formatCode>0.00%</c:formatCode>
                <c:ptCount val="8"/>
                <c:pt idx="0">
                  <c:v>2.8000000000000001E-2</c:v>
                </c:pt>
                <c:pt idx="1">
                  <c:v>0.104</c:v>
                </c:pt>
                <c:pt idx="2">
                  <c:v>8.3000000000000004E-2</c:v>
                </c:pt>
                <c:pt idx="3">
                  <c:v>0.123</c:v>
                </c:pt>
                <c:pt idx="4">
                  <c:v>5.8999999999999997E-2</c:v>
                </c:pt>
                <c:pt idx="5">
                  <c:v>0.20300000000000001</c:v>
                </c:pt>
                <c:pt idx="6">
                  <c:v>0.214</c:v>
                </c:pt>
                <c:pt idx="7">
                  <c:v>9.7000000000000003E-2</c:v>
                </c:pt>
              </c:numCache>
            </c:numRef>
          </c:val>
          <c:extLst>
            <c:ext xmlns:c16="http://schemas.microsoft.com/office/drawing/2014/chart" uri="{C3380CC4-5D6E-409C-BE32-E72D297353CC}">
              <c16:uniqueId val="{00000002-ECCB-43DF-8A71-692028467F10}"/>
            </c:ext>
          </c:extLst>
        </c:ser>
        <c:ser>
          <c:idx val="3"/>
          <c:order val="3"/>
          <c:tx>
            <c:strRef>
              <c:f>Sheet1!$B$23</c:f>
              <c:strCache>
                <c:ptCount val="1"/>
                <c:pt idx="0">
                  <c:v>I strongly agree</c:v>
                </c:pt>
              </c:strCache>
            </c:strRef>
          </c:tx>
          <c:invertIfNegative val="0"/>
          <c:cat>
            <c:strRef>
              <c:f>Sheet1!$C$19:$J$19</c:f>
              <c:strCache>
                <c:ptCount val="8"/>
                <c:pt idx="0">
                  <c:v>Adamawa</c:v>
                </c:pt>
                <c:pt idx="1">
                  <c:v>Anambra</c:v>
                </c:pt>
                <c:pt idx="2">
                  <c:v>Edo</c:v>
                </c:pt>
                <c:pt idx="3">
                  <c:v>FCT</c:v>
                </c:pt>
                <c:pt idx="4">
                  <c:v>Kano</c:v>
                </c:pt>
                <c:pt idx="5">
                  <c:v>Kwara</c:v>
                </c:pt>
                <c:pt idx="6">
                  <c:v>Lagos</c:v>
                </c:pt>
                <c:pt idx="7">
                  <c:v>Total</c:v>
                </c:pt>
              </c:strCache>
            </c:strRef>
          </c:cat>
          <c:val>
            <c:numRef>
              <c:f>Sheet1!$C$23:$J$23</c:f>
              <c:numCache>
                <c:formatCode>0.00%</c:formatCode>
                <c:ptCount val="8"/>
                <c:pt idx="0">
                  <c:v>0.25800000000000001</c:v>
                </c:pt>
                <c:pt idx="1">
                  <c:v>0.214</c:v>
                </c:pt>
                <c:pt idx="2">
                  <c:v>7.2999999999999995E-2</c:v>
                </c:pt>
                <c:pt idx="3">
                  <c:v>0.17799999999999999</c:v>
                </c:pt>
                <c:pt idx="4">
                  <c:v>0.129</c:v>
                </c:pt>
                <c:pt idx="5">
                  <c:v>0.12</c:v>
                </c:pt>
                <c:pt idx="6">
                  <c:v>0.08</c:v>
                </c:pt>
                <c:pt idx="7">
                  <c:v>0.16</c:v>
                </c:pt>
              </c:numCache>
            </c:numRef>
          </c:val>
          <c:extLst>
            <c:ext xmlns:c16="http://schemas.microsoft.com/office/drawing/2014/chart" uri="{C3380CC4-5D6E-409C-BE32-E72D297353CC}">
              <c16:uniqueId val="{00000003-ECCB-43DF-8A71-692028467F10}"/>
            </c:ext>
          </c:extLst>
        </c:ser>
        <c:ser>
          <c:idx val="4"/>
          <c:order val="4"/>
          <c:tx>
            <c:strRef>
              <c:f>Sheet1!$B$24</c:f>
              <c:strCache>
                <c:ptCount val="1"/>
                <c:pt idx="0">
                  <c:v>I strongly disagree</c:v>
                </c:pt>
              </c:strCache>
            </c:strRef>
          </c:tx>
          <c:invertIfNegative val="0"/>
          <c:cat>
            <c:strRef>
              <c:f>Sheet1!$C$19:$J$19</c:f>
              <c:strCache>
                <c:ptCount val="8"/>
                <c:pt idx="0">
                  <c:v>Adamawa</c:v>
                </c:pt>
                <c:pt idx="1">
                  <c:v>Anambra</c:v>
                </c:pt>
                <c:pt idx="2">
                  <c:v>Edo</c:v>
                </c:pt>
                <c:pt idx="3">
                  <c:v>FCT</c:v>
                </c:pt>
                <c:pt idx="4">
                  <c:v>Kano</c:v>
                </c:pt>
                <c:pt idx="5">
                  <c:v>Kwara</c:v>
                </c:pt>
                <c:pt idx="6">
                  <c:v>Lagos</c:v>
                </c:pt>
                <c:pt idx="7">
                  <c:v>Total</c:v>
                </c:pt>
              </c:strCache>
            </c:strRef>
          </c:cat>
          <c:val>
            <c:numRef>
              <c:f>Sheet1!$C$24:$J$24</c:f>
              <c:numCache>
                <c:formatCode>0.00%</c:formatCode>
                <c:ptCount val="8"/>
                <c:pt idx="0">
                  <c:v>8.9999999999999993E-3</c:v>
                </c:pt>
                <c:pt idx="1">
                  <c:v>6.5000000000000002E-2</c:v>
                </c:pt>
                <c:pt idx="2">
                  <c:v>3.7999999999999999E-2</c:v>
                </c:pt>
                <c:pt idx="3">
                  <c:v>8.4000000000000005E-2</c:v>
                </c:pt>
                <c:pt idx="4">
                  <c:v>4.2000000000000003E-2</c:v>
                </c:pt>
                <c:pt idx="5">
                  <c:v>8.8999999999999996E-2</c:v>
                </c:pt>
                <c:pt idx="6">
                  <c:v>0.188</c:v>
                </c:pt>
                <c:pt idx="7">
                  <c:v>5.8999999999999997E-2</c:v>
                </c:pt>
              </c:numCache>
            </c:numRef>
          </c:val>
          <c:extLst>
            <c:ext xmlns:c16="http://schemas.microsoft.com/office/drawing/2014/chart" uri="{C3380CC4-5D6E-409C-BE32-E72D297353CC}">
              <c16:uniqueId val="{00000004-ECCB-43DF-8A71-692028467F10}"/>
            </c:ext>
          </c:extLst>
        </c:ser>
        <c:dLbls>
          <c:showLegendKey val="0"/>
          <c:showVal val="0"/>
          <c:showCatName val="0"/>
          <c:showSerName val="0"/>
          <c:showPercent val="0"/>
          <c:showBubbleSize val="0"/>
        </c:dLbls>
        <c:gapWidth val="150"/>
        <c:shape val="cylinder"/>
        <c:axId val="341252856"/>
        <c:axId val="332726888"/>
        <c:axId val="0"/>
      </c:bar3DChart>
      <c:catAx>
        <c:axId val="341252856"/>
        <c:scaling>
          <c:orientation val="minMax"/>
        </c:scaling>
        <c:delete val="0"/>
        <c:axPos val="l"/>
        <c:numFmt formatCode="General" sourceLinked="0"/>
        <c:majorTickMark val="out"/>
        <c:minorTickMark val="none"/>
        <c:tickLblPos val="nextTo"/>
        <c:crossAx val="332726888"/>
        <c:crosses val="autoZero"/>
        <c:auto val="1"/>
        <c:lblAlgn val="ctr"/>
        <c:lblOffset val="100"/>
        <c:noMultiLvlLbl val="0"/>
      </c:catAx>
      <c:valAx>
        <c:axId val="332726888"/>
        <c:scaling>
          <c:orientation val="minMax"/>
        </c:scaling>
        <c:delete val="0"/>
        <c:axPos val="b"/>
        <c:majorGridlines/>
        <c:numFmt formatCode="0.00%" sourceLinked="1"/>
        <c:majorTickMark val="out"/>
        <c:minorTickMark val="none"/>
        <c:tickLblPos val="nextTo"/>
        <c:crossAx val="341252856"/>
        <c:crosses val="autoZero"/>
        <c:crossBetween val="between"/>
      </c:valAx>
    </c:plotArea>
    <c:legend>
      <c:legendPos val="r"/>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6"/>
    </mc:Choice>
    <mc:Fallback>
      <c:style val="36"/>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Sheet2!$E$12</c:f>
              <c:strCache>
                <c:ptCount val="1"/>
                <c:pt idx="0">
                  <c:v>I don't know</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Sheet2!$F$11:$M$11</c:f>
              <c:strCache>
                <c:ptCount val="8"/>
                <c:pt idx="0">
                  <c:v>Adamawa</c:v>
                </c:pt>
                <c:pt idx="1">
                  <c:v>Anambra</c:v>
                </c:pt>
                <c:pt idx="2">
                  <c:v>Edo</c:v>
                </c:pt>
                <c:pt idx="3">
                  <c:v>FCT</c:v>
                </c:pt>
                <c:pt idx="4">
                  <c:v>Kano</c:v>
                </c:pt>
                <c:pt idx="5">
                  <c:v>Kwara</c:v>
                </c:pt>
                <c:pt idx="6">
                  <c:v>Lagos</c:v>
                </c:pt>
                <c:pt idx="7">
                  <c:v>Total</c:v>
                </c:pt>
              </c:strCache>
            </c:strRef>
          </c:cat>
          <c:val>
            <c:numRef>
              <c:f>Sheet2!$F$12:$M$12</c:f>
              <c:numCache>
                <c:formatCode>0.00%</c:formatCode>
                <c:ptCount val="8"/>
                <c:pt idx="0">
                  <c:v>0.11799999999999999</c:v>
                </c:pt>
                <c:pt idx="1">
                  <c:v>2.3E-2</c:v>
                </c:pt>
                <c:pt idx="2">
                  <c:v>4.2000000000000003E-2</c:v>
                </c:pt>
                <c:pt idx="3">
                  <c:v>1.9E-2</c:v>
                </c:pt>
                <c:pt idx="4">
                  <c:v>0.14599999999999999</c:v>
                </c:pt>
                <c:pt idx="5">
                  <c:v>5.0999999999999997E-2</c:v>
                </c:pt>
                <c:pt idx="6">
                  <c:v>3.5999999999999997E-2</c:v>
                </c:pt>
                <c:pt idx="7">
                  <c:v>6.8000000000000005E-2</c:v>
                </c:pt>
              </c:numCache>
            </c:numRef>
          </c:val>
          <c:extLst>
            <c:ext xmlns:c16="http://schemas.microsoft.com/office/drawing/2014/chart" uri="{C3380CC4-5D6E-409C-BE32-E72D297353CC}">
              <c16:uniqueId val="{00000000-07B5-414D-A0A4-7D388F3CBFA4}"/>
            </c:ext>
          </c:extLst>
        </c:ser>
        <c:ser>
          <c:idx val="1"/>
          <c:order val="1"/>
          <c:tx>
            <c:strRef>
              <c:f>Sheet2!$E$13</c:f>
              <c:strCache>
                <c:ptCount val="1"/>
                <c:pt idx="0">
                  <c:v>Maybe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Sheet2!$F$11:$M$11</c:f>
              <c:strCache>
                <c:ptCount val="8"/>
                <c:pt idx="0">
                  <c:v>Adamawa</c:v>
                </c:pt>
                <c:pt idx="1">
                  <c:v>Anambra</c:v>
                </c:pt>
                <c:pt idx="2">
                  <c:v>Edo</c:v>
                </c:pt>
                <c:pt idx="3">
                  <c:v>FCT</c:v>
                </c:pt>
                <c:pt idx="4">
                  <c:v>Kano</c:v>
                </c:pt>
                <c:pt idx="5">
                  <c:v>Kwara</c:v>
                </c:pt>
                <c:pt idx="6">
                  <c:v>Lagos</c:v>
                </c:pt>
                <c:pt idx="7">
                  <c:v>Total</c:v>
                </c:pt>
              </c:strCache>
            </c:strRef>
          </c:cat>
          <c:val>
            <c:numRef>
              <c:f>Sheet2!$F$13:$M$13</c:f>
              <c:numCache>
                <c:formatCode>0.00%</c:formatCode>
                <c:ptCount val="8"/>
                <c:pt idx="0">
                  <c:v>6.5000000000000002E-2</c:v>
                </c:pt>
                <c:pt idx="1">
                  <c:v>8.1000000000000003E-2</c:v>
                </c:pt>
                <c:pt idx="2">
                  <c:v>8.8999999999999996E-2</c:v>
                </c:pt>
                <c:pt idx="3">
                  <c:v>0.129</c:v>
                </c:pt>
                <c:pt idx="4">
                  <c:v>0.14299999999999999</c:v>
                </c:pt>
                <c:pt idx="5">
                  <c:v>7.5999999999999998E-2</c:v>
                </c:pt>
                <c:pt idx="6">
                  <c:v>8.8999999999999996E-2</c:v>
                </c:pt>
                <c:pt idx="7">
                  <c:v>0.1</c:v>
                </c:pt>
              </c:numCache>
            </c:numRef>
          </c:val>
          <c:extLst>
            <c:ext xmlns:c16="http://schemas.microsoft.com/office/drawing/2014/chart" uri="{C3380CC4-5D6E-409C-BE32-E72D297353CC}">
              <c16:uniqueId val="{00000001-07B5-414D-A0A4-7D388F3CBFA4}"/>
            </c:ext>
          </c:extLst>
        </c:ser>
        <c:ser>
          <c:idx val="2"/>
          <c:order val="2"/>
          <c:tx>
            <c:strRef>
              <c:f>Sheet2!$E$14</c:f>
              <c:strCache>
                <c:ptCount val="1"/>
                <c:pt idx="0">
                  <c:v>No</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Sheet2!$F$11:$M$11</c:f>
              <c:strCache>
                <c:ptCount val="8"/>
                <c:pt idx="0">
                  <c:v>Adamawa</c:v>
                </c:pt>
                <c:pt idx="1">
                  <c:v>Anambra</c:v>
                </c:pt>
                <c:pt idx="2">
                  <c:v>Edo</c:v>
                </c:pt>
                <c:pt idx="3">
                  <c:v>FCT</c:v>
                </c:pt>
                <c:pt idx="4">
                  <c:v>Kano</c:v>
                </c:pt>
                <c:pt idx="5">
                  <c:v>Kwara</c:v>
                </c:pt>
                <c:pt idx="6">
                  <c:v>Lagos</c:v>
                </c:pt>
                <c:pt idx="7">
                  <c:v>Total</c:v>
                </c:pt>
              </c:strCache>
            </c:strRef>
          </c:cat>
          <c:val>
            <c:numRef>
              <c:f>Sheet2!$F$14:$M$14</c:f>
              <c:numCache>
                <c:formatCode>0.00%</c:formatCode>
                <c:ptCount val="8"/>
                <c:pt idx="0">
                  <c:v>0.34799999999999998</c:v>
                </c:pt>
                <c:pt idx="1">
                  <c:v>0.35099999999999998</c:v>
                </c:pt>
                <c:pt idx="2">
                  <c:v>0.35099999999999998</c:v>
                </c:pt>
                <c:pt idx="3">
                  <c:v>0.33</c:v>
                </c:pt>
                <c:pt idx="4">
                  <c:v>0.24399999999999999</c:v>
                </c:pt>
                <c:pt idx="5">
                  <c:v>0.32300000000000001</c:v>
                </c:pt>
                <c:pt idx="6">
                  <c:v>0.27700000000000002</c:v>
                </c:pt>
                <c:pt idx="7">
                  <c:v>0.32</c:v>
                </c:pt>
              </c:numCache>
            </c:numRef>
          </c:val>
          <c:extLst>
            <c:ext xmlns:c16="http://schemas.microsoft.com/office/drawing/2014/chart" uri="{C3380CC4-5D6E-409C-BE32-E72D297353CC}">
              <c16:uniqueId val="{00000002-07B5-414D-A0A4-7D388F3CBFA4}"/>
            </c:ext>
          </c:extLst>
        </c:ser>
        <c:ser>
          <c:idx val="3"/>
          <c:order val="3"/>
          <c:tx>
            <c:strRef>
              <c:f>Sheet2!$E$15</c:f>
              <c:strCache>
                <c:ptCount val="1"/>
                <c:pt idx="0">
                  <c:v>Yes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Sheet2!$F$11:$M$11</c:f>
              <c:strCache>
                <c:ptCount val="8"/>
                <c:pt idx="0">
                  <c:v>Adamawa</c:v>
                </c:pt>
                <c:pt idx="1">
                  <c:v>Anambra</c:v>
                </c:pt>
                <c:pt idx="2">
                  <c:v>Edo</c:v>
                </c:pt>
                <c:pt idx="3">
                  <c:v>FCT</c:v>
                </c:pt>
                <c:pt idx="4">
                  <c:v>Kano</c:v>
                </c:pt>
                <c:pt idx="5">
                  <c:v>Kwara</c:v>
                </c:pt>
                <c:pt idx="6">
                  <c:v>Lagos</c:v>
                </c:pt>
                <c:pt idx="7">
                  <c:v>Total</c:v>
                </c:pt>
              </c:strCache>
            </c:strRef>
          </c:cat>
          <c:val>
            <c:numRef>
              <c:f>Sheet2!$F$15:$M$15</c:f>
              <c:numCache>
                <c:formatCode>0.00%</c:formatCode>
                <c:ptCount val="8"/>
                <c:pt idx="0">
                  <c:v>0.46899999999999997</c:v>
                </c:pt>
                <c:pt idx="1">
                  <c:v>0.54500000000000004</c:v>
                </c:pt>
                <c:pt idx="2">
                  <c:v>0.51800000000000002</c:v>
                </c:pt>
                <c:pt idx="3">
                  <c:v>0.52100000000000002</c:v>
                </c:pt>
                <c:pt idx="4">
                  <c:v>0.46600000000000003</c:v>
                </c:pt>
                <c:pt idx="5">
                  <c:v>0.55100000000000005</c:v>
                </c:pt>
                <c:pt idx="6">
                  <c:v>0.59799999999999998</c:v>
                </c:pt>
                <c:pt idx="7">
                  <c:v>0.51200000000000001</c:v>
                </c:pt>
              </c:numCache>
            </c:numRef>
          </c:val>
          <c:extLst>
            <c:ext xmlns:c16="http://schemas.microsoft.com/office/drawing/2014/chart" uri="{C3380CC4-5D6E-409C-BE32-E72D297353CC}">
              <c16:uniqueId val="{00000003-07B5-414D-A0A4-7D388F3CBFA4}"/>
            </c:ext>
          </c:extLst>
        </c:ser>
        <c:dLbls>
          <c:showLegendKey val="0"/>
          <c:showVal val="0"/>
          <c:showCatName val="0"/>
          <c:showSerName val="0"/>
          <c:showPercent val="0"/>
          <c:showBubbleSize val="0"/>
        </c:dLbls>
        <c:gapWidth val="150"/>
        <c:shape val="box"/>
        <c:axId val="233618736"/>
        <c:axId val="233619128"/>
        <c:axId val="0"/>
      </c:bar3DChart>
      <c:catAx>
        <c:axId val="233618736"/>
        <c:scaling>
          <c:orientation val="minMax"/>
        </c:scaling>
        <c:delete val="0"/>
        <c:axPos val="b"/>
        <c:numFmt formatCode="General" sourceLinked="0"/>
        <c:majorTickMark val="out"/>
        <c:minorTickMark val="none"/>
        <c:tickLblPos val="nextTo"/>
        <c:crossAx val="233619128"/>
        <c:crosses val="autoZero"/>
        <c:auto val="1"/>
        <c:lblAlgn val="ctr"/>
        <c:lblOffset val="100"/>
        <c:noMultiLvlLbl val="0"/>
      </c:catAx>
      <c:valAx>
        <c:axId val="233619128"/>
        <c:scaling>
          <c:orientation val="minMax"/>
        </c:scaling>
        <c:delete val="0"/>
        <c:axPos val="l"/>
        <c:majorGridlines/>
        <c:numFmt formatCode="0.00%" sourceLinked="1"/>
        <c:majorTickMark val="out"/>
        <c:minorTickMark val="none"/>
        <c:tickLblPos val="nextTo"/>
        <c:crossAx val="233618736"/>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Sheet1!$B$148</c:f>
              <c:strCache>
                <c:ptCount val="1"/>
                <c:pt idx="0">
                  <c:v>I agree</c:v>
                </c:pt>
              </c:strCache>
            </c:strRef>
          </c:tx>
          <c:invertIfNegative val="0"/>
          <c:cat>
            <c:strRef>
              <c:f>Sheet1!$C$147:$J$147</c:f>
              <c:strCache>
                <c:ptCount val="8"/>
                <c:pt idx="0">
                  <c:v>Adamawa</c:v>
                </c:pt>
                <c:pt idx="1">
                  <c:v>Anambra</c:v>
                </c:pt>
                <c:pt idx="2">
                  <c:v>Edo</c:v>
                </c:pt>
                <c:pt idx="3">
                  <c:v>FCT</c:v>
                </c:pt>
                <c:pt idx="4">
                  <c:v>Kano</c:v>
                </c:pt>
                <c:pt idx="5">
                  <c:v>Kwara</c:v>
                </c:pt>
                <c:pt idx="6">
                  <c:v>Lagos</c:v>
                </c:pt>
                <c:pt idx="7">
                  <c:v>Total</c:v>
                </c:pt>
              </c:strCache>
            </c:strRef>
          </c:cat>
          <c:val>
            <c:numRef>
              <c:f>Sheet1!$C$148:$J$148</c:f>
              <c:numCache>
                <c:formatCode>0.00%</c:formatCode>
                <c:ptCount val="8"/>
                <c:pt idx="0">
                  <c:v>0.224</c:v>
                </c:pt>
                <c:pt idx="1">
                  <c:v>4.2000000000000003E-2</c:v>
                </c:pt>
                <c:pt idx="2">
                  <c:v>4.4999999999999998E-2</c:v>
                </c:pt>
                <c:pt idx="3">
                  <c:v>7.0999999999999994E-2</c:v>
                </c:pt>
                <c:pt idx="4">
                  <c:v>0.23899999999999999</c:v>
                </c:pt>
                <c:pt idx="5">
                  <c:v>5.0999999999999997E-2</c:v>
                </c:pt>
                <c:pt idx="7">
                  <c:v>0.114</c:v>
                </c:pt>
              </c:numCache>
            </c:numRef>
          </c:val>
          <c:extLst>
            <c:ext xmlns:c16="http://schemas.microsoft.com/office/drawing/2014/chart" uri="{C3380CC4-5D6E-409C-BE32-E72D297353CC}">
              <c16:uniqueId val="{00000000-239D-4449-804F-00CC3D1E9985}"/>
            </c:ext>
          </c:extLst>
        </c:ser>
        <c:ser>
          <c:idx val="1"/>
          <c:order val="1"/>
          <c:tx>
            <c:strRef>
              <c:f>Sheet1!$B$149</c:f>
              <c:strCache>
                <c:ptCount val="1"/>
                <c:pt idx="0">
                  <c:v>I disagree</c:v>
                </c:pt>
              </c:strCache>
            </c:strRef>
          </c:tx>
          <c:invertIfNegative val="0"/>
          <c:cat>
            <c:strRef>
              <c:f>Sheet1!$C$147:$J$147</c:f>
              <c:strCache>
                <c:ptCount val="8"/>
                <c:pt idx="0">
                  <c:v>Adamawa</c:v>
                </c:pt>
                <c:pt idx="1">
                  <c:v>Anambra</c:v>
                </c:pt>
                <c:pt idx="2">
                  <c:v>Edo</c:v>
                </c:pt>
                <c:pt idx="3">
                  <c:v>FCT</c:v>
                </c:pt>
                <c:pt idx="4">
                  <c:v>Kano</c:v>
                </c:pt>
                <c:pt idx="5">
                  <c:v>Kwara</c:v>
                </c:pt>
                <c:pt idx="6">
                  <c:v>Lagos</c:v>
                </c:pt>
                <c:pt idx="7">
                  <c:v>Total</c:v>
                </c:pt>
              </c:strCache>
            </c:strRef>
          </c:cat>
          <c:val>
            <c:numRef>
              <c:f>Sheet1!$C$149:$J$149</c:f>
              <c:numCache>
                <c:formatCode>0.00%</c:formatCode>
                <c:ptCount val="8"/>
                <c:pt idx="0">
                  <c:v>0.30399999999999999</c:v>
                </c:pt>
                <c:pt idx="1">
                  <c:v>0.25</c:v>
                </c:pt>
                <c:pt idx="2">
                  <c:v>0.27500000000000002</c:v>
                </c:pt>
                <c:pt idx="3">
                  <c:v>0.12</c:v>
                </c:pt>
                <c:pt idx="4">
                  <c:v>0.497</c:v>
                </c:pt>
                <c:pt idx="5">
                  <c:v>0.13900000000000001</c:v>
                </c:pt>
                <c:pt idx="6">
                  <c:v>7.0999999999999994E-2</c:v>
                </c:pt>
                <c:pt idx="7">
                  <c:v>0.26900000000000002</c:v>
                </c:pt>
              </c:numCache>
            </c:numRef>
          </c:val>
          <c:extLst>
            <c:ext xmlns:c16="http://schemas.microsoft.com/office/drawing/2014/chart" uri="{C3380CC4-5D6E-409C-BE32-E72D297353CC}">
              <c16:uniqueId val="{00000001-239D-4449-804F-00CC3D1E9985}"/>
            </c:ext>
          </c:extLst>
        </c:ser>
        <c:ser>
          <c:idx val="2"/>
          <c:order val="2"/>
          <c:tx>
            <c:strRef>
              <c:f>Sheet1!$B$150</c:f>
              <c:strCache>
                <c:ptCount val="1"/>
                <c:pt idx="0">
                  <c:v>I neither agree or disagree</c:v>
                </c:pt>
              </c:strCache>
            </c:strRef>
          </c:tx>
          <c:invertIfNegative val="0"/>
          <c:cat>
            <c:strRef>
              <c:f>Sheet1!$C$147:$J$147</c:f>
              <c:strCache>
                <c:ptCount val="8"/>
                <c:pt idx="0">
                  <c:v>Adamawa</c:v>
                </c:pt>
                <c:pt idx="1">
                  <c:v>Anambra</c:v>
                </c:pt>
                <c:pt idx="2">
                  <c:v>Edo</c:v>
                </c:pt>
                <c:pt idx="3">
                  <c:v>FCT</c:v>
                </c:pt>
                <c:pt idx="4">
                  <c:v>Kano</c:v>
                </c:pt>
                <c:pt idx="5">
                  <c:v>Kwara</c:v>
                </c:pt>
                <c:pt idx="6">
                  <c:v>Lagos</c:v>
                </c:pt>
                <c:pt idx="7">
                  <c:v>Total</c:v>
                </c:pt>
              </c:strCache>
            </c:strRef>
          </c:cat>
          <c:val>
            <c:numRef>
              <c:f>Sheet1!$C$150:$J$150</c:f>
              <c:numCache>
                <c:formatCode>0.00%</c:formatCode>
                <c:ptCount val="8"/>
                <c:pt idx="0">
                  <c:v>5.8999999999999997E-2</c:v>
                </c:pt>
                <c:pt idx="1">
                  <c:v>1.6E-2</c:v>
                </c:pt>
                <c:pt idx="2">
                  <c:v>4.4999999999999998E-2</c:v>
                </c:pt>
                <c:pt idx="3">
                  <c:v>8.1000000000000003E-2</c:v>
                </c:pt>
                <c:pt idx="4">
                  <c:v>7.2999999999999995E-2</c:v>
                </c:pt>
                <c:pt idx="5">
                  <c:v>4.3999999999999997E-2</c:v>
                </c:pt>
                <c:pt idx="6">
                  <c:v>1.7999999999999999E-2</c:v>
                </c:pt>
                <c:pt idx="7">
                  <c:v>5.1999999999999998E-2</c:v>
                </c:pt>
              </c:numCache>
            </c:numRef>
          </c:val>
          <c:extLst>
            <c:ext xmlns:c16="http://schemas.microsoft.com/office/drawing/2014/chart" uri="{C3380CC4-5D6E-409C-BE32-E72D297353CC}">
              <c16:uniqueId val="{00000002-239D-4449-804F-00CC3D1E9985}"/>
            </c:ext>
          </c:extLst>
        </c:ser>
        <c:ser>
          <c:idx val="3"/>
          <c:order val="3"/>
          <c:tx>
            <c:strRef>
              <c:f>Sheet1!$B$151</c:f>
              <c:strCache>
                <c:ptCount val="1"/>
                <c:pt idx="0">
                  <c:v>I strongly agree</c:v>
                </c:pt>
              </c:strCache>
            </c:strRef>
          </c:tx>
          <c:invertIfNegative val="0"/>
          <c:cat>
            <c:strRef>
              <c:f>Sheet1!$C$147:$J$147</c:f>
              <c:strCache>
                <c:ptCount val="8"/>
                <c:pt idx="0">
                  <c:v>Adamawa</c:v>
                </c:pt>
                <c:pt idx="1">
                  <c:v>Anambra</c:v>
                </c:pt>
                <c:pt idx="2">
                  <c:v>Edo</c:v>
                </c:pt>
                <c:pt idx="3">
                  <c:v>FCT</c:v>
                </c:pt>
                <c:pt idx="4">
                  <c:v>Kano</c:v>
                </c:pt>
                <c:pt idx="5">
                  <c:v>Kwara</c:v>
                </c:pt>
                <c:pt idx="6">
                  <c:v>Lagos</c:v>
                </c:pt>
                <c:pt idx="7">
                  <c:v>Total</c:v>
                </c:pt>
              </c:strCache>
            </c:strRef>
          </c:cat>
          <c:val>
            <c:numRef>
              <c:f>Sheet1!$C$151:$J$151</c:f>
              <c:numCache>
                <c:formatCode>0.00%</c:formatCode>
                <c:ptCount val="8"/>
                <c:pt idx="0">
                  <c:v>2.8000000000000001E-2</c:v>
                </c:pt>
                <c:pt idx="1">
                  <c:v>4.4999999999999998E-2</c:v>
                </c:pt>
                <c:pt idx="2">
                  <c:v>2.9000000000000001E-2</c:v>
                </c:pt>
                <c:pt idx="3">
                  <c:v>1.9E-2</c:v>
                </c:pt>
                <c:pt idx="4">
                  <c:v>7.9000000000000001E-2</c:v>
                </c:pt>
                <c:pt idx="5">
                  <c:v>3.2000000000000001E-2</c:v>
                </c:pt>
                <c:pt idx="6">
                  <c:v>2.7E-2</c:v>
                </c:pt>
                <c:pt idx="7">
                  <c:v>3.9E-2</c:v>
                </c:pt>
              </c:numCache>
            </c:numRef>
          </c:val>
          <c:extLst>
            <c:ext xmlns:c16="http://schemas.microsoft.com/office/drawing/2014/chart" uri="{C3380CC4-5D6E-409C-BE32-E72D297353CC}">
              <c16:uniqueId val="{00000003-239D-4449-804F-00CC3D1E9985}"/>
            </c:ext>
          </c:extLst>
        </c:ser>
        <c:ser>
          <c:idx val="4"/>
          <c:order val="4"/>
          <c:tx>
            <c:strRef>
              <c:f>Sheet1!$B$152</c:f>
              <c:strCache>
                <c:ptCount val="1"/>
                <c:pt idx="0">
                  <c:v>I strongly disagree</c:v>
                </c:pt>
              </c:strCache>
            </c:strRef>
          </c:tx>
          <c:invertIfNegative val="0"/>
          <c:cat>
            <c:strRef>
              <c:f>Sheet1!$C$147:$J$147</c:f>
              <c:strCache>
                <c:ptCount val="8"/>
                <c:pt idx="0">
                  <c:v>Adamawa</c:v>
                </c:pt>
                <c:pt idx="1">
                  <c:v>Anambra</c:v>
                </c:pt>
                <c:pt idx="2">
                  <c:v>Edo</c:v>
                </c:pt>
                <c:pt idx="3">
                  <c:v>FCT</c:v>
                </c:pt>
                <c:pt idx="4">
                  <c:v>Kano</c:v>
                </c:pt>
                <c:pt idx="5">
                  <c:v>Kwara</c:v>
                </c:pt>
                <c:pt idx="6">
                  <c:v>Lagos</c:v>
                </c:pt>
                <c:pt idx="7">
                  <c:v>Total</c:v>
                </c:pt>
              </c:strCache>
            </c:strRef>
          </c:cat>
          <c:val>
            <c:numRef>
              <c:f>Sheet1!$C$152:$J$152</c:f>
              <c:numCache>
                <c:formatCode>0.00%</c:formatCode>
                <c:ptCount val="8"/>
                <c:pt idx="0">
                  <c:v>0.38500000000000001</c:v>
                </c:pt>
                <c:pt idx="1">
                  <c:v>0.64600000000000002</c:v>
                </c:pt>
                <c:pt idx="2">
                  <c:v>0.60699999999999998</c:v>
                </c:pt>
                <c:pt idx="3">
                  <c:v>0.70899999999999996</c:v>
                </c:pt>
                <c:pt idx="4">
                  <c:v>0.112</c:v>
                </c:pt>
                <c:pt idx="5">
                  <c:v>0.73399999999999999</c:v>
                </c:pt>
                <c:pt idx="6">
                  <c:v>0.88400000000000001</c:v>
                </c:pt>
                <c:pt idx="7">
                  <c:v>0.52500000000000002</c:v>
                </c:pt>
              </c:numCache>
            </c:numRef>
          </c:val>
          <c:extLst>
            <c:ext xmlns:c16="http://schemas.microsoft.com/office/drawing/2014/chart" uri="{C3380CC4-5D6E-409C-BE32-E72D297353CC}">
              <c16:uniqueId val="{00000004-239D-4449-804F-00CC3D1E9985}"/>
            </c:ext>
          </c:extLst>
        </c:ser>
        <c:dLbls>
          <c:showLegendKey val="0"/>
          <c:showVal val="0"/>
          <c:showCatName val="0"/>
          <c:showSerName val="0"/>
          <c:showPercent val="0"/>
          <c:showBubbleSize val="0"/>
        </c:dLbls>
        <c:gapWidth val="150"/>
        <c:shape val="cylinder"/>
        <c:axId val="233619520"/>
        <c:axId val="233621872"/>
        <c:axId val="0"/>
      </c:bar3DChart>
      <c:catAx>
        <c:axId val="233619520"/>
        <c:scaling>
          <c:orientation val="minMax"/>
        </c:scaling>
        <c:delete val="0"/>
        <c:axPos val="b"/>
        <c:numFmt formatCode="General" sourceLinked="0"/>
        <c:majorTickMark val="out"/>
        <c:minorTickMark val="none"/>
        <c:tickLblPos val="nextTo"/>
        <c:crossAx val="233621872"/>
        <c:crosses val="autoZero"/>
        <c:auto val="1"/>
        <c:lblAlgn val="ctr"/>
        <c:lblOffset val="100"/>
        <c:noMultiLvlLbl val="0"/>
      </c:catAx>
      <c:valAx>
        <c:axId val="233621872"/>
        <c:scaling>
          <c:orientation val="minMax"/>
        </c:scaling>
        <c:delete val="0"/>
        <c:axPos val="l"/>
        <c:majorGridlines/>
        <c:numFmt formatCode="0.00%" sourceLinked="1"/>
        <c:majorTickMark val="out"/>
        <c:minorTickMark val="none"/>
        <c:tickLblPos val="nextTo"/>
        <c:crossAx val="233619520"/>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9"/>
    </mc:Choice>
    <mc:Fallback>
      <c:style val="39"/>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Sheet1!$D$218</c:f>
              <c:strCache>
                <c:ptCount val="1"/>
                <c:pt idx="0">
                  <c:v>I don’t know</c:v>
                </c:pt>
              </c:strCache>
            </c:strRef>
          </c:tx>
          <c:invertIfNegative val="0"/>
          <c:cat>
            <c:strRef>
              <c:f>Sheet1!$E$217:$L$217</c:f>
              <c:strCache>
                <c:ptCount val="8"/>
                <c:pt idx="0">
                  <c:v>Adamawa</c:v>
                </c:pt>
                <c:pt idx="1">
                  <c:v>Anambra</c:v>
                </c:pt>
                <c:pt idx="2">
                  <c:v>Edo</c:v>
                </c:pt>
                <c:pt idx="3">
                  <c:v>FCT</c:v>
                </c:pt>
                <c:pt idx="4">
                  <c:v>Kano</c:v>
                </c:pt>
                <c:pt idx="5">
                  <c:v>Kwara</c:v>
                </c:pt>
                <c:pt idx="6">
                  <c:v>Lagos</c:v>
                </c:pt>
                <c:pt idx="7">
                  <c:v>Total</c:v>
                </c:pt>
              </c:strCache>
            </c:strRef>
          </c:cat>
          <c:val>
            <c:numRef>
              <c:f>Sheet1!$E$218:$L$218</c:f>
              <c:numCache>
                <c:formatCode>0.00%</c:formatCode>
                <c:ptCount val="8"/>
                <c:pt idx="0">
                  <c:v>0.53400000000000003</c:v>
                </c:pt>
                <c:pt idx="1">
                  <c:v>0.315</c:v>
                </c:pt>
                <c:pt idx="2">
                  <c:v>0.31</c:v>
                </c:pt>
                <c:pt idx="3">
                  <c:v>0.52800000000000002</c:v>
                </c:pt>
                <c:pt idx="4">
                  <c:v>0.14000000000000001</c:v>
                </c:pt>
                <c:pt idx="5">
                  <c:v>0.39200000000000002</c:v>
                </c:pt>
                <c:pt idx="6">
                  <c:v>0.54500000000000004</c:v>
                </c:pt>
                <c:pt idx="7">
                  <c:v>0.374</c:v>
                </c:pt>
              </c:numCache>
            </c:numRef>
          </c:val>
          <c:extLst>
            <c:ext xmlns:c16="http://schemas.microsoft.com/office/drawing/2014/chart" uri="{C3380CC4-5D6E-409C-BE32-E72D297353CC}">
              <c16:uniqueId val="{00000000-CF93-4ABE-A1CF-B8F3A4032514}"/>
            </c:ext>
          </c:extLst>
        </c:ser>
        <c:ser>
          <c:idx val="1"/>
          <c:order val="1"/>
          <c:tx>
            <c:strRef>
              <c:f>Sheet1!$D$219</c:f>
              <c:strCache>
                <c:ptCount val="1"/>
                <c:pt idx="0">
                  <c:v>I have nothing to say</c:v>
                </c:pt>
              </c:strCache>
            </c:strRef>
          </c:tx>
          <c:invertIfNegative val="0"/>
          <c:cat>
            <c:strRef>
              <c:f>Sheet1!$E$217:$L$217</c:f>
              <c:strCache>
                <c:ptCount val="8"/>
                <c:pt idx="0">
                  <c:v>Adamawa</c:v>
                </c:pt>
                <c:pt idx="1">
                  <c:v>Anambra</c:v>
                </c:pt>
                <c:pt idx="2">
                  <c:v>Edo</c:v>
                </c:pt>
                <c:pt idx="3">
                  <c:v>FCT</c:v>
                </c:pt>
                <c:pt idx="4">
                  <c:v>Kano</c:v>
                </c:pt>
                <c:pt idx="5">
                  <c:v>Kwara</c:v>
                </c:pt>
                <c:pt idx="6">
                  <c:v>Lagos</c:v>
                </c:pt>
                <c:pt idx="7">
                  <c:v>Total</c:v>
                </c:pt>
              </c:strCache>
            </c:strRef>
          </c:cat>
          <c:val>
            <c:numRef>
              <c:f>Sheet1!$E$219:$L$219</c:f>
              <c:numCache>
                <c:formatCode>0.00%</c:formatCode>
                <c:ptCount val="8"/>
                <c:pt idx="0">
                  <c:v>0.193</c:v>
                </c:pt>
                <c:pt idx="1">
                  <c:v>0.10100000000000001</c:v>
                </c:pt>
                <c:pt idx="2">
                  <c:v>0.115</c:v>
                </c:pt>
                <c:pt idx="3">
                  <c:v>0.11700000000000001</c:v>
                </c:pt>
                <c:pt idx="4">
                  <c:v>0.13200000000000001</c:v>
                </c:pt>
                <c:pt idx="5">
                  <c:v>9.5000000000000001E-2</c:v>
                </c:pt>
                <c:pt idx="6">
                  <c:v>7.0999999999999994E-2</c:v>
                </c:pt>
                <c:pt idx="7">
                  <c:v>0.125</c:v>
                </c:pt>
              </c:numCache>
            </c:numRef>
          </c:val>
          <c:extLst>
            <c:ext xmlns:c16="http://schemas.microsoft.com/office/drawing/2014/chart" uri="{C3380CC4-5D6E-409C-BE32-E72D297353CC}">
              <c16:uniqueId val="{00000001-CF93-4ABE-A1CF-B8F3A4032514}"/>
            </c:ext>
          </c:extLst>
        </c:ser>
        <c:ser>
          <c:idx val="2"/>
          <c:order val="2"/>
          <c:tx>
            <c:strRef>
              <c:f>Sheet1!$D$220</c:f>
              <c:strCache>
                <c:ptCount val="1"/>
                <c:pt idx="0">
                  <c:v>No</c:v>
                </c:pt>
              </c:strCache>
            </c:strRef>
          </c:tx>
          <c:invertIfNegative val="0"/>
          <c:cat>
            <c:strRef>
              <c:f>Sheet1!$E$217:$L$217</c:f>
              <c:strCache>
                <c:ptCount val="8"/>
                <c:pt idx="0">
                  <c:v>Adamawa</c:v>
                </c:pt>
                <c:pt idx="1">
                  <c:v>Anambra</c:v>
                </c:pt>
                <c:pt idx="2">
                  <c:v>Edo</c:v>
                </c:pt>
                <c:pt idx="3">
                  <c:v>FCT</c:v>
                </c:pt>
                <c:pt idx="4">
                  <c:v>Kano</c:v>
                </c:pt>
                <c:pt idx="5">
                  <c:v>Kwara</c:v>
                </c:pt>
                <c:pt idx="6">
                  <c:v>Lagos</c:v>
                </c:pt>
                <c:pt idx="7">
                  <c:v>Total</c:v>
                </c:pt>
              </c:strCache>
            </c:strRef>
          </c:cat>
          <c:val>
            <c:numRef>
              <c:f>Sheet1!$E$220:$L$220</c:f>
              <c:numCache>
                <c:formatCode>0.00%</c:formatCode>
                <c:ptCount val="8"/>
                <c:pt idx="0">
                  <c:v>0.24199999999999999</c:v>
                </c:pt>
                <c:pt idx="1">
                  <c:v>0.46100000000000002</c:v>
                </c:pt>
                <c:pt idx="2">
                  <c:v>0.51100000000000001</c:v>
                </c:pt>
                <c:pt idx="3">
                  <c:v>0.29399999999999998</c:v>
                </c:pt>
                <c:pt idx="4">
                  <c:v>0.58399999999999996</c:v>
                </c:pt>
                <c:pt idx="5">
                  <c:v>0.39900000000000002</c:v>
                </c:pt>
                <c:pt idx="6">
                  <c:v>0.29499999999999998</c:v>
                </c:pt>
                <c:pt idx="7">
                  <c:v>0.41199999999999998</c:v>
                </c:pt>
              </c:numCache>
            </c:numRef>
          </c:val>
          <c:extLst>
            <c:ext xmlns:c16="http://schemas.microsoft.com/office/drawing/2014/chart" uri="{C3380CC4-5D6E-409C-BE32-E72D297353CC}">
              <c16:uniqueId val="{00000002-CF93-4ABE-A1CF-B8F3A4032514}"/>
            </c:ext>
          </c:extLst>
        </c:ser>
        <c:ser>
          <c:idx val="3"/>
          <c:order val="3"/>
          <c:tx>
            <c:strRef>
              <c:f>Sheet1!$D$221</c:f>
              <c:strCache>
                <c:ptCount val="1"/>
                <c:pt idx="0">
                  <c:v>Yes</c:v>
                </c:pt>
              </c:strCache>
            </c:strRef>
          </c:tx>
          <c:invertIfNegative val="0"/>
          <c:cat>
            <c:strRef>
              <c:f>Sheet1!$E$217:$L$217</c:f>
              <c:strCache>
                <c:ptCount val="8"/>
                <c:pt idx="0">
                  <c:v>Adamawa</c:v>
                </c:pt>
                <c:pt idx="1">
                  <c:v>Anambra</c:v>
                </c:pt>
                <c:pt idx="2">
                  <c:v>Edo</c:v>
                </c:pt>
                <c:pt idx="3">
                  <c:v>FCT</c:v>
                </c:pt>
                <c:pt idx="4">
                  <c:v>Kano</c:v>
                </c:pt>
                <c:pt idx="5">
                  <c:v>Kwara</c:v>
                </c:pt>
                <c:pt idx="6">
                  <c:v>Lagos</c:v>
                </c:pt>
                <c:pt idx="7">
                  <c:v>Total</c:v>
                </c:pt>
              </c:strCache>
            </c:strRef>
          </c:cat>
          <c:val>
            <c:numRef>
              <c:f>Sheet1!$E$221:$L$221</c:f>
              <c:numCache>
                <c:formatCode>0.00%</c:formatCode>
                <c:ptCount val="8"/>
                <c:pt idx="0">
                  <c:v>3.1E-2</c:v>
                </c:pt>
                <c:pt idx="1">
                  <c:v>0.123</c:v>
                </c:pt>
                <c:pt idx="2">
                  <c:v>6.4000000000000001E-2</c:v>
                </c:pt>
                <c:pt idx="3">
                  <c:v>6.0999999999999999E-2</c:v>
                </c:pt>
                <c:pt idx="4">
                  <c:v>0.14299999999999999</c:v>
                </c:pt>
                <c:pt idx="5">
                  <c:v>0.114</c:v>
                </c:pt>
                <c:pt idx="6">
                  <c:v>8.8999999999999996E-2</c:v>
                </c:pt>
                <c:pt idx="7">
                  <c:v>8.7999999999999995E-2</c:v>
                </c:pt>
              </c:numCache>
            </c:numRef>
          </c:val>
          <c:extLst>
            <c:ext xmlns:c16="http://schemas.microsoft.com/office/drawing/2014/chart" uri="{C3380CC4-5D6E-409C-BE32-E72D297353CC}">
              <c16:uniqueId val="{00000003-CF93-4ABE-A1CF-B8F3A4032514}"/>
            </c:ext>
          </c:extLst>
        </c:ser>
        <c:dLbls>
          <c:showLegendKey val="0"/>
          <c:showVal val="0"/>
          <c:showCatName val="0"/>
          <c:showSerName val="0"/>
          <c:showPercent val="0"/>
          <c:showBubbleSize val="0"/>
        </c:dLbls>
        <c:gapWidth val="150"/>
        <c:shape val="cylinder"/>
        <c:axId val="233621088"/>
        <c:axId val="233622264"/>
        <c:axId val="0"/>
      </c:bar3DChart>
      <c:catAx>
        <c:axId val="233621088"/>
        <c:scaling>
          <c:orientation val="minMax"/>
        </c:scaling>
        <c:delete val="0"/>
        <c:axPos val="b"/>
        <c:numFmt formatCode="General" sourceLinked="0"/>
        <c:majorTickMark val="out"/>
        <c:minorTickMark val="none"/>
        <c:tickLblPos val="nextTo"/>
        <c:crossAx val="233622264"/>
        <c:crosses val="autoZero"/>
        <c:auto val="1"/>
        <c:lblAlgn val="ctr"/>
        <c:lblOffset val="100"/>
        <c:noMultiLvlLbl val="0"/>
      </c:catAx>
      <c:valAx>
        <c:axId val="233622264"/>
        <c:scaling>
          <c:orientation val="minMax"/>
        </c:scaling>
        <c:delete val="0"/>
        <c:axPos val="l"/>
        <c:majorGridlines/>
        <c:numFmt formatCode="0.00%" sourceLinked="1"/>
        <c:majorTickMark val="out"/>
        <c:minorTickMark val="none"/>
        <c:tickLblPos val="nextTo"/>
        <c:crossAx val="233621088"/>
        <c:crosses val="autoZero"/>
        <c:crossBetween val="between"/>
      </c:val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6"/>
    </mc:Choice>
    <mc:Fallback>
      <c:style val="36"/>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Sheet1!$D$6</c:f>
              <c:strCache>
                <c:ptCount val="1"/>
                <c:pt idx="0">
                  <c:v>I don't know</c:v>
                </c:pt>
              </c:strCache>
            </c:strRef>
          </c:tx>
          <c:invertIfNegative val="0"/>
          <c:cat>
            <c:strRef>
              <c:f>Sheet1!$E$5:$L$5</c:f>
              <c:strCache>
                <c:ptCount val="8"/>
                <c:pt idx="0">
                  <c:v>Adamawa</c:v>
                </c:pt>
                <c:pt idx="1">
                  <c:v>Anambra</c:v>
                </c:pt>
                <c:pt idx="2">
                  <c:v>Edo</c:v>
                </c:pt>
                <c:pt idx="3">
                  <c:v>FCT</c:v>
                </c:pt>
                <c:pt idx="4">
                  <c:v>Kano</c:v>
                </c:pt>
                <c:pt idx="5">
                  <c:v>Kwara</c:v>
                </c:pt>
                <c:pt idx="6">
                  <c:v>Lagos</c:v>
                </c:pt>
                <c:pt idx="7">
                  <c:v>Total</c:v>
                </c:pt>
              </c:strCache>
            </c:strRef>
          </c:cat>
          <c:val>
            <c:numRef>
              <c:f>Sheet1!$E$6:$L$6</c:f>
              <c:numCache>
                <c:formatCode>0.00%</c:formatCode>
                <c:ptCount val="8"/>
                <c:pt idx="0">
                  <c:v>9.2999999999999999E-2</c:v>
                </c:pt>
                <c:pt idx="1">
                  <c:v>7.4999999999999997E-2</c:v>
                </c:pt>
                <c:pt idx="2">
                  <c:v>0.105</c:v>
                </c:pt>
                <c:pt idx="3">
                  <c:v>0.252</c:v>
                </c:pt>
                <c:pt idx="4">
                  <c:v>6.7000000000000004E-2</c:v>
                </c:pt>
                <c:pt idx="5">
                  <c:v>0.20899999999999999</c:v>
                </c:pt>
                <c:pt idx="6">
                  <c:v>0.152</c:v>
                </c:pt>
                <c:pt idx="7">
                  <c:v>0.127</c:v>
                </c:pt>
              </c:numCache>
            </c:numRef>
          </c:val>
          <c:extLst>
            <c:ext xmlns:c16="http://schemas.microsoft.com/office/drawing/2014/chart" uri="{C3380CC4-5D6E-409C-BE32-E72D297353CC}">
              <c16:uniqueId val="{00000000-9DDD-4748-AA00-96260FC3D309}"/>
            </c:ext>
          </c:extLst>
        </c:ser>
        <c:ser>
          <c:idx val="1"/>
          <c:order val="1"/>
          <c:tx>
            <c:strRef>
              <c:f>Sheet1!$D$7</c:f>
              <c:strCache>
                <c:ptCount val="1"/>
                <c:pt idx="0">
                  <c:v>I have nothing to say</c:v>
                </c:pt>
              </c:strCache>
            </c:strRef>
          </c:tx>
          <c:invertIfNegative val="0"/>
          <c:cat>
            <c:strRef>
              <c:f>Sheet1!$E$5:$L$5</c:f>
              <c:strCache>
                <c:ptCount val="8"/>
                <c:pt idx="0">
                  <c:v>Adamawa</c:v>
                </c:pt>
                <c:pt idx="1">
                  <c:v>Anambra</c:v>
                </c:pt>
                <c:pt idx="2">
                  <c:v>Edo</c:v>
                </c:pt>
                <c:pt idx="3">
                  <c:v>FCT</c:v>
                </c:pt>
                <c:pt idx="4">
                  <c:v>Kano</c:v>
                </c:pt>
                <c:pt idx="5">
                  <c:v>Kwara</c:v>
                </c:pt>
                <c:pt idx="6">
                  <c:v>Lagos</c:v>
                </c:pt>
                <c:pt idx="7">
                  <c:v>Total</c:v>
                </c:pt>
              </c:strCache>
            </c:strRef>
          </c:cat>
          <c:val>
            <c:numRef>
              <c:f>Sheet1!$E$7:$L$7</c:f>
              <c:numCache>
                <c:formatCode>0.00%</c:formatCode>
                <c:ptCount val="8"/>
                <c:pt idx="0">
                  <c:v>8.6999999999999994E-2</c:v>
                </c:pt>
                <c:pt idx="1">
                  <c:v>0.107</c:v>
                </c:pt>
                <c:pt idx="2">
                  <c:v>0.13400000000000001</c:v>
                </c:pt>
                <c:pt idx="3">
                  <c:v>0.23300000000000001</c:v>
                </c:pt>
                <c:pt idx="4">
                  <c:v>6.2E-2</c:v>
                </c:pt>
                <c:pt idx="5">
                  <c:v>0.215</c:v>
                </c:pt>
                <c:pt idx="6">
                  <c:v>0.17</c:v>
                </c:pt>
                <c:pt idx="7">
                  <c:v>0.13300000000000001</c:v>
                </c:pt>
              </c:numCache>
            </c:numRef>
          </c:val>
          <c:extLst>
            <c:ext xmlns:c16="http://schemas.microsoft.com/office/drawing/2014/chart" uri="{C3380CC4-5D6E-409C-BE32-E72D297353CC}">
              <c16:uniqueId val="{00000001-9DDD-4748-AA00-96260FC3D309}"/>
            </c:ext>
          </c:extLst>
        </c:ser>
        <c:ser>
          <c:idx val="2"/>
          <c:order val="2"/>
          <c:tx>
            <c:strRef>
              <c:f>Sheet1!$D$8</c:f>
              <c:strCache>
                <c:ptCount val="1"/>
                <c:pt idx="0">
                  <c:v>No</c:v>
                </c:pt>
              </c:strCache>
            </c:strRef>
          </c:tx>
          <c:invertIfNegative val="0"/>
          <c:cat>
            <c:strRef>
              <c:f>Sheet1!$E$5:$L$5</c:f>
              <c:strCache>
                <c:ptCount val="8"/>
                <c:pt idx="0">
                  <c:v>Adamawa</c:v>
                </c:pt>
                <c:pt idx="1">
                  <c:v>Anambra</c:v>
                </c:pt>
                <c:pt idx="2">
                  <c:v>Edo</c:v>
                </c:pt>
                <c:pt idx="3">
                  <c:v>FCT</c:v>
                </c:pt>
                <c:pt idx="4">
                  <c:v>Kano</c:v>
                </c:pt>
                <c:pt idx="5">
                  <c:v>Kwara</c:v>
                </c:pt>
                <c:pt idx="6">
                  <c:v>Lagos</c:v>
                </c:pt>
                <c:pt idx="7">
                  <c:v>Total</c:v>
                </c:pt>
              </c:strCache>
            </c:strRef>
          </c:cat>
          <c:val>
            <c:numRef>
              <c:f>Sheet1!$E$8:$L$8</c:f>
              <c:numCache>
                <c:formatCode>0.00%</c:formatCode>
                <c:ptCount val="8"/>
                <c:pt idx="0">
                  <c:v>0.33900000000000002</c:v>
                </c:pt>
                <c:pt idx="1">
                  <c:v>0.73699999999999999</c:v>
                </c:pt>
                <c:pt idx="2">
                  <c:v>0.57499999999999996</c:v>
                </c:pt>
                <c:pt idx="3">
                  <c:v>0.47599999999999998</c:v>
                </c:pt>
                <c:pt idx="4">
                  <c:v>0.38500000000000001</c:v>
                </c:pt>
                <c:pt idx="5">
                  <c:v>0.53200000000000003</c:v>
                </c:pt>
                <c:pt idx="6">
                  <c:v>0.61599999999999999</c:v>
                </c:pt>
                <c:pt idx="7">
                  <c:v>0.50700000000000001</c:v>
                </c:pt>
              </c:numCache>
            </c:numRef>
          </c:val>
          <c:extLst>
            <c:ext xmlns:c16="http://schemas.microsoft.com/office/drawing/2014/chart" uri="{C3380CC4-5D6E-409C-BE32-E72D297353CC}">
              <c16:uniqueId val="{00000002-9DDD-4748-AA00-96260FC3D309}"/>
            </c:ext>
          </c:extLst>
        </c:ser>
        <c:ser>
          <c:idx val="3"/>
          <c:order val="3"/>
          <c:tx>
            <c:strRef>
              <c:f>Sheet1!$D$9</c:f>
              <c:strCache>
                <c:ptCount val="1"/>
                <c:pt idx="0">
                  <c:v>Yes</c:v>
                </c:pt>
              </c:strCache>
            </c:strRef>
          </c:tx>
          <c:invertIfNegative val="0"/>
          <c:cat>
            <c:strRef>
              <c:f>Sheet1!$E$5:$L$5</c:f>
              <c:strCache>
                <c:ptCount val="8"/>
                <c:pt idx="0">
                  <c:v>Adamawa</c:v>
                </c:pt>
                <c:pt idx="1">
                  <c:v>Anambra</c:v>
                </c:pt>
                <c:pt idx="2">
                  <c:v>Edo</c:v>
                </c:pt>
                <c:pt idx="3">
                  <c:v>FCT</c:v>
                </c:pt>
                <c:pt idx="4">
                  <c:v>Kano</c:v>
                </c:pt>
                <c:pt idx="5">
                  <c:v>Kwara</c:v>
                </c:pt>
                <c:pt idx="6">
                  <c:v>Lagos</c:v>
                </c:pt>
                <c:pt idx="7">
                  <c:v>Total</c:v>
                </c:pt>
              </c:strCache>
            </c:strRef>
          </c:cat>
          <c:val>
            <c:numRef>
              <c:f>Sheet1!$E$9:$L$9</c:f>
              <c:numCache>
                <c:formatCode>0.00%</c:formatCode>
                <c:ptCount val="8"/>
                <c:pt idx="0">
                  <c:v>0.48099999999999998</c:v>
                </c:pt>
                <c:pt idx="1">
                  <c:v>8.1000000000000003E-2</c:v>
                </c:pt>
                <c:pt idx="2">
                  <c:v>0.185</c:v>
                </c:pt>
                <c:pt idx="3">
                  <c:v>3.9E-2</c:v>
                </c:pt>
                <c:pt idx="4">
                  <c:v>0.48599999999999999</c:v>
                </c:pt>
                <c:pt idx="5">
                  <c:v>4.3999999999999997E-2</c:v>
                </c:pt>
                <c:pt idx="6">
                  <c:v>6.3E-2</c:v>
                </c:pt>
                <c:pt idx="7">
                  <c:v>0.23300000000000001</c:v>
                </c:pt>
              </c:numCache>
            </c:numRef>
          </c:val>
          <c:extLst>
            <c:ext xmlns:c16="http://schemas.microsoft.com/office/drawing/2014/chart" uri="{C3380CC4-5D6E-409C-BE32-E72D297353CC}">
              <c16:uniqueId val="{00000003-9DDD-4748-AA00-96260FC3D309}"/>
            </c:ext>
          </c:extLst>
        </c:ser>
        <c:dLbls>
          <c:showLegendKey val="0"/>
          <c:showVal val="0"/>
          <c:showCatName val="0"/>
          <c:showSerName val="0"/>
          <c:showPercent val="0"/>
          <c:showBubbleSize val="0"/>
        </c:dLbls>
        <c:gapWidth val="150"/>
        <c:shape val="cylinder"/>
        <c:axId val="233619912"/>
        <c:axId val="422116464"/>
        <c:axId val="0"/>
      </c:bar3DChart>
      <c:catAx>
        <c:axId val="233619912"/>
        <c:scaling>
          <c:orientation val="minMax"/>
        </c:scaling>
        <c:delete val="0"/>
        <c:axPos val="b"/>
        <c:numFmt formatCode="General" sourceLinked="0"/>
        <c:majorTickMark val="out"/>
        <c:minorTickMark val="none"/>
        <c:tickLblPos val="nextTo"/>
        <c:crossAx val="422116464"/>
        <c:crosses val="autoZero"/>
        <c:auto val="1"/>
        <c:lblAlgn val="ctr"/>
        <c:lblOffset val="100"/>
        <c:noMultiLvlLbl val="0"/>
      </c:catAx>
      <c:valAx>
        <c:axId val="422116464"/>
        <c:scaling>
          <c:orientation val="minMax"/>
        </c:scaling>
        <c:delete val="0"/>
        <c:axPos val="l"/>
        <c:majorGridlines/>
        <c:numFmt formatCode="0.00%" sourceLinked="1"/>
        <c:majorTickMark val="out"/>
        <c:minorTickMark val="none"/>
        <c:tickLblPos val="nextTo"/>
        <c:crossAx val="233619912"/>
        <c:crosses val="autoZero"/>
        <c:crossBetween val="between"/>
      </c:valAx>
    </c:plotArea>
    <c:legend>
      <c:legendPos val="r"/>
      <c:overlay val="0"/>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Sheet1!$L$52</c:f>
              <c:strCache>
                <c:ptCount val="1"/>
                <c:pt idx="0">
                  <c:v>Number</c:v>
                </c:pt>
              </c:strCache>
            </c:strRef>
          </c:tx>
          <c:cat>
            <c:strRef>
              <c:f>Sheet1!$K$53:$K$56</c:f>
              <c:strCache>
                <c:ptCount val="4"/>
                <c:pt idx="0">
                  <c:v>Female</c:v>
                </c:pt>
                <c:pt idx="1">
                  <c:v>Male</c:v>
                </c:pt>
                <c:pt idx="2">
                  <c:v>Other</c:v>
                </c:pt>
                <c:pt idx="3">
                  <c:v>Prefers not to say</c:v>
                </c:pt>
              </c:strCache>
            </c:strRef>
          </c:cat>
          <c:val>
            <c:numRef>
              <c:f>Sheet1!$L$53:$L$56</c:f>
              <c:numCache>
                <c:formatCode>General</c:formatCode>
                <c:ptCount val="4"/>
                <c:pt idx="0">
                  <c:v>989</c:v>
                </c:pt>
                <c:pt idx="1">
                  <c:v>851</c:v>
                </c:pt>
                <c:pt idx="2">
                  <c:v>12</c:v>
                </c:pt>
                <c:pt idx="3">
                  <c:v>26</c:v>
                </c:pt>
              </c:numCache>
            </c:numRef>
          </c:val>
          <c:extLst>
            <c:ext xmlns:c16="http://schemas.microsoft.com/office/drawing/2014/chart" uri="{C3380CC4-5D6E-409C-BE32-E72D297353CC}">
              <c16:uniqueId val="{00000000-5B8C-478F-B6B0-EE78922593BB}"/>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04DB3AA-0446-4DBD-9E3A-282FBF4C4AA5}"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en-GB"/>
        </a:p>
      </dgm:t>
    </dgm:pt>
    <dgm:pt modelId="{564290FA-7728-4676-A3C1-7481091AD72F}">
      <dgm:prSet phldrT="[Text]"/>
      <dgm:spPr/>
      <dgm:t>
        <a:bodyPr/>
        <a:lstStyle/>
        <a:p>
          <a:r>
            <a:rPr lang="en-US"/>
            <a:t>GLOBAL/REGIONAL TREATIES</a:t>
          </a:r>
          <a:endParaRPr lang="en-GB" dirty="0"/>
        </a:p>
      </dgm:t>
    </dgm:pt>
    <dgm:pt modelId="{46808913-92B9-4A19-AB29-052567AEE29A}" type="parTrans" cxnId="{02C1F4CD-86BB-43B8-B843-A0F4B7BF978F}">
      <dgm:prSet/>
      <dgm:spPr/>
      <dgm:t>
        <a:bodyPr/>
        <a:lstStyle/>
        <a:p>
          <a:endParaRPr lang="en-GB"/>
        </a:p>
      </dgm:t>
    </dgm:pt>
    <dgm:pt modelId="{FD18AE4E-0FA1-4296-A564-E8547A102AED}" type="sibTrans" cxnId="{02C1F4CD-86BB-43B8-B843-A0F4B7BF978F}">
      <dgm:prSet/>
      <dgm:spPr/>
      <dgm:t>
        <a:bodyPr/>
        <a:lstStyle/>
        <a:p>
          <a:endParaRPr lang="en-GB"/>
        </a:p>
      </dgm:t>
    </dgm:pt>
    <dgm:pt modelId="{F21A2663-23D9-4352-8104-D73BD9071145}">
      <dgm:prSet phldrT="[Text]"/>
      <dgm:spPr/>
      <dgm:t>
        <a:bodyPr/>
        <a:lstStyle/>
        <a:p>
          <a:r>
            <a:rPr lang="en-US" dirty="0"/>
            <a:t>Convention on the Elimination of All Forms of Discrimination against Women (CEDAW)</a:t>
          </a:r>
          <a:endParaRPr lang="en-GB" dirty="0"/>
        </a:p>
      </dgm:t>
    </dgm:pt>
    <dgm:pt modelId="{A2DD9A21-67F4-4D0C-B82B-CB04BA77D79B}" type="parTrans" cxnId="{1D79AEF4-4116-4AF4-AE77-5E4251B30CD2}">
      <dgm:prSet/>
      <dgm:spPr/>
      <dgm:t>
        <a:bodyPr/>
        <a:lstStyle/>
        <a:p>
          <a:endParaRPr lang="en-GB"/>
        </a:p>
      </dgm:t>
    </dgm:pt>
    <dgm:pt modelId="{3F7B32C9-67D5-453B-81C9-F3DD636DF01C}" type="sibTrans" cxnId="{1D79AEF4-4116-4AF4-AE77-5E4251B30CD2}">
      <dgm:prSet/>
      <dgm:spPr/>
      <dgm:t>
        <a:bodyPr/>
        <a:lstStyle/>
        <a:p>
          <a:endParaRPr lang="en-GB"/>
        </a:p>
      </dgm:t>
    </dgm:pt>
    <dgm:pt modelId="{E46F2528-E55E-4C75-9B3F-F225F2FB82DD}">
      <dgm:prSet phldrT="[Text]"/>
      <dgm:spPr/>
      <dgm:t>
        <a:bodyPr/>
        <a:lstStyle/>
        <a:p>
          <a:r>
            <a:rPr lang="en-US" dirty="0"/>
            <a:t>GENDER SPECIFIC LEGISLATION  AND POLICIES</a:t>
          </a:r>
          <a:endParaRPr lang="en-GB" dirty="0"/>
        </a:p>
      </dgm:t>
    </dgm:pt>
    <dgm:pt modelId="{A7A90D78-C963-4773-A2EA-E10D004276CB}" type="parTrans" cxnId="{66F380B2-9397-4CC1-985E-F7926BFD58BB}">
      <dgm:prSet/>
      <dgm:spPr/>
      <dgm:t>
        <a:bodyPr/>
        <a:lstStyle/>
        <a:p>
          <a:endParaRPr lang="en-GB"/>
        </a:p>
      </dgm:t>
    </dgm:pt>
    <dgm:pt modelId="{6AEF5FC9-B089-4884-8DA4-9D9DE95145CA}" type="sibTrans" cxnId="{66F380B2-9397-4CC1-985E-F7926BFD58BB}">
      <dgm:prSet/>
      <dgm:spPr/>
      <dgm:t>
        <a:bodyPr/>
        <a:lstStyle/>
        <a:p>
          <a:endParaRPr lang="en-GB"/>
        </a:p>
      </dgm:t>
    </dgm:pt>
    <dgm:pt modelId="{A3453633-CB91-48EA-8053-B4DD8D103C0C}">
      <dgm:prSet phldrT="[Text]"/>
      <dgm:spPr/>
      <dgm:t>
        <a:bodyPr/>
        <a:lstStyle/>
        <a:p>
          <a:r>
            <a:rPr lang="en-US" dirty="0"/>
            <a:t>Violence against Persons (Prohibition) Act, 2015 </a:t>
          </a:r>
          <a:endParaRPr lang="en-GB" dirty="0"/>
        </a:p>
      </dgm:t>
    </dgm:pt>
    <dgm:pt modelId="{A6836913-AD30-4F45-BFA3-B3E660E146BF}" type="parTrans" cxnId="{77397EA4-4040-4E21-B383-FAA7B8CD577E}">
      <dgm:prSet/>
      <dgm:spPr/>
      <dgm:t>
        <a:bodyPr/>
        <a:lstStyle/>
        <a:p>
          <a:endParaRPr lang="en-GB"/>
        </a:p>
      </dgm:t>
    </dgm:pt>
    <dgm:pt modelId="{A228267C-3E06-4CB7-B010-71AF2173E97D}" type="sibTrans" cxnId="{77397EA4-4040-4E21-B383-FAA7B8CD577E}">
      <dgm:prSet/>
      <dgm:spPr/>
      <dgm:t>
        <a:bodyPr/>
        <a:lstStyle/>
        <a:p>
          <a:endParaRPr lang="en-GB"/>
        </a:p>
      </dgm:t>
    </dgm:pt>
    <dgm:pt modelId="{AA561159-B243-43D3-9456-558BC26CD333}">
      <dgm:prSet phldrT="[Text]"/>
      <dgm:spPr/>
      <dgm:t>
        <a:bodyPr/>
        <a:lstStyle/>
        <a:p>
          <a:r>
            <a:rPr lang="en-GB" dirty="0"/>
            <a:t>Relevant State Laws</a:t>
          </a:r>
        </a:p>
      </dgm:t>
    </dgm:pt>
    <dgm:pt modelId="{CEB65B63-4F98-4421-AB1B-59FA4C9BAD80}" type="parTrans" cxnId="{DBDC0D57-EFB2-473B-BA3A-9B660E4828B6}">
      <dgm:prSet/>
      <dgm:spPr/>
      <dgm:t>
        <a:bodyPr/>
        <a:lstStyle/>
        <a:p>
          <a:endParaRPr lang="en-GB"/>
        </a:p>
      </dgm:t>
    </dgm:pt>
    <dgm:pt modelId="{E74F910A-5181-4F45-B5FF-67922029896E}" type="sibTrans" cxnId="{DBDC0D57-EFB2-473B-BA3A-9B660E4828B6}">
      <dgm:prSet/>
      <dgm:spPr/>
      <dgm:t>
        <a:bodyPr/>
        <a:lstStyle/>
        <a:p>
          <a:endParaRPr lang="en-GB"/>
        </a:p>
      </dgm:t>
    </dgm:pt>
    <dgm:pt modelId="{1D0E83DF-EE9F-4613-9377-BF3EECB73F81}">
      <dgm:prSet phldrT="[Text]"/>
      <dgm:spPr/>
      <dgm:t>
        <a:bodyPr/>
        <a:lstStyle/>
        <a:p>
          <a:r>
            <a:rPr lang="en-US" dirty="0"/>
            <a:t>CROSS CUTTING LEGISLATION AND POLICIES</a:t>
          </a:r>
          <a:endParaRPr lang="en-GB" dirty="0"/>
        </a:p>
      </dgm:t>
    </dgm:pt>
    <dgm:pt modelId="{C937F9E8-E950-4E4C-822F-C7ADB2C02B3C}" type="parTrans" cxnId="{26FA801B-3F7F-407C-92D4-31D19A36C28F}">
      <dgm:prSet/>
      <dgm:spPr/>
      <dgm:t>
        <a:bodyPr/>
        <a:lstStyle/>
        <a:p>
          <a:endParaRPr lang="en-GB"/>
        </a:p>
      </dgm:t>
    </dgm:pt>
    <dgm:pt modelId="{B5F6A266-E53E-49B7-A6C7-8054D733817D}" type="sibTrans" cxnId="{26FA801B-3F7F-407C-92D4-31D19A36C28F}">
      <dgm:prSet/>
      <dgm:spPr/>
      <dgm:t>
        <a:bodyPr/>
        <a:lstStyle/>
        <a:p>
          <a:endParaRPr lang="en-GB"/>
        </a:p>
      </dgm:t>
    </dgm:pt>
    <dgm:pt modelId="{F6E468A9-ECE7-42FE-8286-3012E80CFEF1}">
      <dgm:prSet phldrT="[Text]"/>
      <dgm:spPr/>
      <dgm:t>
        <a:bodyPr/>
        <a:lstStyle/>
        <a:p>
          <a:r>
            <a:rPr lang="en-US" dirty="0">
              <a:solidFill>
                <a:schemeClr val="tx1"/>
              </a:solidFill>
            </a:rPr>
            <a:t>Child's Rights Act, 2003</a:t>
          </a:r>
          <a:endParaRPr lang="en-GB" dirty="0"/>
        </a:p>
      </dgm:t>
    </dgm:pt>
    <dgm:pt modelId="{74209B69-1495-4913-91A3-37D62FB106B3}" type="parTrans" cxnId="{6EF293CE-AC93-433A-9A82-E4786D4ADECC}">
      <dgm:prSet/>
      <dgm:spPr/>
      <dgm:t>
        <a:bodyPr/>
        <a:lstStyle/>
        <a:p>
          <a:endParaRPr lang="en-GB"/>
        </a:p>
      </dgm:t>
    </dgm:pt>
    <dgm:pt modelId="{F15B70EA-0D53-4C9A-8280-B07178485431}" type="sibTrans" cxnId="{6EF293CE-AC93-433A-9A82-E4786D4ADECC}">
      <dgm:prSet/>
      <dgm:spPr/>
      <dgm:t>
        <a:bodyPr/>
        <a:lstStyle/>
        <a:p>
          <a:endParaRPr lang="en-GB"/>
        </a:p>
      </dgm:t>
    </dgm:pt>
    <dgm:pt modelId="{27601050-3836-45FD-82B9-C581A5AE27DE}">
      <dgm:prSet phldrT="[Text]"/>
      <dgm:spPr/>
      <dgm:t>
        <a:bodyPr/>
        <a:lstStyle/>
        <a:p>
          <a:r>
            <a:rPr lang="en-US" dirty="0"/>
            <a:t>The Constitution</a:t>
          </a:r>
          <a:endParaRPr lang="en-GB" dirty="0"/>
        </a:p>
      </dgm:t>
    </dgm:pt>
    <dgm:pt modelId="{BE9F2F92-493C-45A2-85A4-53929D874E34}" type="parTrans" cxnId="{2F04D377-5A01-4CC8-98B1-7A42088E3287}">
      <dgm:prSet/>
      <dgm:spPr/>
      <dgm:t>
        <a:bodyPr/>
        <a:lstStyle/>
        <a:p>
          <a:endParaRPr lang="en-GB"/>
        </a:p>
      </dgm:t>
    </dgm:pt>
    <dgm:pt modelId="{868CFF84-CE2F-4708-A99B-B2B5AFBAEC10}" type="sibTrans" cxnId="{2F04D377-5A01-4CC8-98B1-7A42088E3287}">
      <dgm:prSet/>
      <dgm:spPr/>
      <dgm:t>
        <a:bodyPr/>
        <a:lstStyle/>
        <a:p>
          <a:endParaRPr lang="en-GB"/>
        </a:p>
      </dgm:t>
    </dgm:pt>
    <dgm:pt modelId="{2DCA31E1-0F57-46D3-8BD4-918CBA9BA93A}">
      <dgm:prSet/>
      <dgm:spPr/>
      <dgm:t>
        <a:bodyPr/>
        <a:lstStyle/>
        <a:p>
          <a:r>
            <a:rPr lang="en-US" dirty="0"/>
            <a:t>Protocol to the African Charter on Human and People’s Rights on the Rights of Women</a:t>
          </a:r>
        </a:p>
      </dgm:t>
    </dgm:pt>
    <dgm:pt modelId="{B6DE0805-CE14-414E-BEB7-60FA4E9FEA90}" type="parTrans" cxnId="{99E18D80-7E36-46BF-BFD9-318AB7DA6F57}">
      <dgm:prSet/>
      <dgm:spPr/>
      <dgm:t>
        <a:bodyPr/>
        <a:lstStyle/>
        <a:p>
          <a:endParaRPr lang="en-GB"/>
        </a:p>
      </dgm:t>
    </dgm:pt>
    <dgm:pt modelId="{F5EE591F-D68B-4012-B2F6-6788CE30ABFF}" type="sibTrans" cxnId="{99E18D80-7E36-46BF-BFD9-318AB7DA6F57}">
      <dgm:prSet/>
      <dgm:spPr/>
      <dgm:t>
        <a:bodyPr/>
        <a:lstStyle/>
        <a:p>
          <a:endParaRPr lang="en-GB"/>
        </a:p>
      </dgm:t>
    </dgm:pt>
    <dgm:pt modelId="{B1D09C1A-8199-47B6-8A6A-4CF9DBCAA629}">
      <dgm:prSet/>
      <dgm:spPr/>
      <dgm:t>
        <a:bodyPr/>
        <a:lstStyle/>
        <a:p>
          <a:r>
            <a:rPr lang="en-US" dirty="0"/>
            <a:t>ECOWAS Gender Strategy 2010-2020, AU Solemn Declaration on Gender Equality in Africa</a:t>
          </a:r>
        </a:p>
      </dgm:t>
    </dgm:pt>
    <dgm:pt modelId="{FA6E5379-47D3-4F03-9F89-9CB0C298EE5E}" type="parTrans" cxnId="{A18023B3-A977-4083-83C5-C784B45C4F28}">
      <dgm:prSet/>
      <dgm:spPr/>
      <dgm:t>
        <a:bodyPr/>
        <a:lstStyle/>
        <a:p>
          <a:endParaRPr lang="en-GB"/>
        </a:p>
      </dgm:t>
    </dgm:pt>
    <dgm:pt modelId="{412BC0DD-5261-43F6-876E-428883227EB8}" type="sibTrans" cxnId="{A18023B3-A977-4083-83C5-C784B45C4F28}">
      <dgm:prSet/>
      <dgm:spPr/>
      <dgm:t>
        <a:bodyPr/>
        <a:lstStyle/>
        <a:p>
          <a:endParaRPr lang="en-GB"/>
        </a:p>
      </dgm:t>
    </dgm:pt>
    <dgm:pt modelId="{01A1C811-4D15-4807-9E84-0365CCE92C8D}">
      <dgm:prSet/>
      <dgm:spPr/>
      <dgm:t>
        <a:bodyPr/>
        <a:lstStyle/>
        <a:p>
          <a:r>
            <a:rPr lang="en-US" dirty="0"/>
            <a:t>UN Sustainable Development Goals framework  </a:t>
          </a:r>
          <a:r>
            <a:rPr lang="en-US" dirty="0" err="1"/>
            <a:t>etc</a:t>
          </a:r>
          <a:endParaRPr lang="en-US" dirty="0"/>
        </a:p>
      </dgm:t>
    </dgm:pt>
    <dgm:pt modelId="{3056EF03-6E82-419A-B931-AEFCDE4EC4B7}" type="parTrans" cxnId="{337F46D8-9083-4FB9-A336-FB3E99479A05}">
      <dgm:prSet/>
      <dgm:spPr/>
      <dgm:t>
        <a:bodyPr/>
        <a:lstStyle/>
        <a:p>
          <a:endParaRPr lang="en-GB"/>
        </a:p>
      </dgm:t>
    </dgm:pt>
    <dgm:pt modelId="{621E199A-64D9-4EED-A2AE-2D6DCEE91466}" type="sibTrans" cxnId="{337F46D8-9083-4FB9-A336-FB3E99479A05}">
      <dgm:prSet/>
      <dgm:spPr/>
      <dgm:t>
        <a:bodyPr/>
        <a:lstStyle/>
        <a:p>
          <a:endParaRPr lang="en-GB"/>
        </a:p>
      </dgm:t>
    </dgm:pt>
    <dgm:pt modelId="{AC89929C-90F3-439C-B293-ADD44B2BF662}">
      <dgm:prSet/>
      <dgm:spPr/>
      <dgm:t>
        <a:bodyPr/>
        <a:lstStyle/>
        <a:p>
          <a:r>
            <a:rPr lang="en-US" dirty="0"/>
            <a:t>Trafficking in Persons (Prohibition) Law Enforcement and Administration Act 2015</a:t>
          </a:r>
        </a:p>
      </dgm:t>
    </dgm:pt>
    <dgm:pt modelId="{CF53EA56-E2E8-4A8B-880B-3DD825D6A65F}" type="parTrans" cxnId="{764394F3-799D-44E9-B0B6-90A388188E6B}">
      <dgm:prSet/>
      <dgm:spPr/>
      <dgm:t>
        <a:bodyPr/>
        <a:lstStyle/>
        <a:p>
          <a:endParaRPr lang="en-GB"/>
        </a:p>
      </dgm:t>
    </dgm:pt>
    <dgm:pt modelId="{A3988609-DD39-4B88-B0B0-472576961096}" type="sibTrans" cxnId="{764394F3-799D-44E9-B0B6-90A388188E6B}">
      <dgm:prSet/>
      <dgm:spPr/>
      <dgm:t>
        <a:bodyPr/>
        <a:lstStyle/>
        <a:p>
          <a:endParaRPr lang="en-GB"/>
        </a:p>
      </dgm:t>
    </dgm:pt>
    <dgm:pt modelId="{9CCCE95D-752D-4B6A-8AEA-C05B24EB86F3}">
      <dgm:prSet/>
      <dgm:spPr/>
      <dgm:t>
        <a:bodyPr/>
        <a:lstStyle/>
        <a:p>
          <a:r>
            <a:rPr lang="en-US"/>
            <a:t>National Gender Policy 2007</a:t>
          </a:r>
          <a:endParaRPr lang="en-US" dirty="0"/>
        </a:p>
      </dgm:t>
    </dgm:pt>
    <dgm:pt modelId="{7951E6B7-0583-4BCA-9414-EB33379EC79B}" type="parTrans" cxnId="{0DD41F86-352A-45AB-938B-EB241436D9AF}">
      <dgm:prSet/>
      <dgm:spPr/>
      <dgm:t>
        <a:bodyPr/>
        <a:lstStyle/>
        <a:p>
          <a:endParaRPr lang="en-GB"/>
        </a:p>
      </dgm:t>
    </dgm:pt>
    <dgm:pt modelId="{CDBA567A-F6D6-42DF-AB69-245AB15BBCC6}" type="sibTrans" cxnId="{0DD41F86-352A-45AB-938B-EB241436D9AF}">
      <dgm:prSet/>
      <dgm:spPr/>
      <dgm:t>
        <a:bodyPr/>
        <a:lstStyle/>
        <a:p>
          <a:endParaRPr lang="en-GB"/>
        </a:p>
      </dgm:t>
    </dgm:pt>
    <dgm:pt modelId="{C18A92B7-BF41-41A4-A21A-6211C963AE8A}">
      <dgm:prSet/>
      <dgm:spPr/>
      <dgm:t>
        <a:bodyPr/>
        <a:lstStyle/>
        <a:p>
          <a:r>
            <a:rPr lang="en-US" dirty="0"/>
            <a:t>National Gender Policy Strategic Framework (Implementation Plan) 2008-2013</a:t>
          </a:r>
        </a:p>
      </dgm:t>
    </dgm:pt>
    <dgm:pt modelId="{F548E6E6-BE6A-4B89-AF8F-353035596AEC}" type="parTrans" cxnId="{5163BAF1-B759-4F0B-B881-A40B83098766}">
      <dgm:prSet/>
      <dgm:spPr/>
      <dgm:t>
        <a:bodyPr/>
        <a:lstStyle/>
        <a:p>
          <a:endParaRPr lang="en-GB"/>
        </a:p>
      </dgm:t>
    </dgm:pt>
    <dgm:pt modelId="{DD5AF9EF-20E6-4EC0-B5AD-623855959AF9}" type="sibTrans" cxnId="{5163BAF1-B759-4F0B-B881-A40B83098766}">
      <dgm:prSet/>
      <dgm:spPr/>
      <dgm:t>
        <a:bodyPr/>
        <a:lstStyle/>
        <a:p>
          <a:endParaRPr lang="en-GB"/>
        </a:p>
      </dgm:t>
    </dgm:pt>
    <dgm:pt modelId="{BA64DDBB-FCDB-4BF1-9EB1-7894DA555FDA}">
      <dgm:prSet phldrT="[Text]"/>
      <dgm:spPr/>
      <dgm:t>
        <a:bodyPr/>
        <a:lstStyle/>
        <a:p>
          <a:r>
            <a:rPr lang="en-GB" dirty="0"/>
            <a:t>National Policy on Ageing</a:t>
          </a:r>
        </a:p>
      </dgm:t>
    </dgm:pt>
    <dgm:pt modelId="{3540490B-B091-4330-B854-B62341250B7B}" type="parTrans" cxnId="{7D053980-60D3-45CB-B21F-2D18E1F49D4F}">
      <dgm:prSet/>
      <dgm:spPr/>
      <dgm:t>
        <a:bodyPr/>
        <a:lstStyle/>
        <a:p>
          <a:endParaRPr lang="en-US"/>
        </a:p>
      </dgm:t>
    </dgm:pt>
    <dgm:pt modelId="{F725E0E1-D632-4B3A-BBE7-A9FE9DFDD3EC}" type="sibTrans" cxnId="{7D053980-60D3-45CB-B21F-2D18E1F49D4F}">
      <dgm:prSet/>
      <dgm:spPr/>
      <dgm:t>
        <a:bodyPr/>
        <a:lstStyle/>
        <a:p>
          <a:endParaRPr lang="en-US"/>
        </a:p>
      </dgm:t>
    </dgm:pt>
    <dgm:pt modelId="{2D02A819-FF80-46C8-B652-2EF80E3D84AC}">
      <dgm:prSet phldrT="[Text]"/>
      <dgm:spPr/>
      <dgm:t>
        <a:bodyPr/>
        <a:lstStyle/>
        <a:p>
          <a:r>
            <a:rPr lang="en-GB" dirty="0"/>
            <a:t>Discrimination against Persons Living with Disabilities (Prohibition) Act</a:t>
          </a:r>
        </a:p>
      </dgm:t>
    </dgm:pt>
    <dgm:pt modelId="{A14AFFCC-3606-4C96-B894-5A21A9AB1A51}" type="parTrans" cxnId="{F44D00DD-2EB6-4108-BF03-F15B46ECA9E7}">
      <dgm:prSet/>
      <dgm:spPr/>
      <dgm:t>
        <a:bodyPr/>
        <a:lstStyle/>
        <a:p>
          <a:endParaRPr lang="en-US"/>
        </a:p>
      </dgm:t>
    </dgm:pt>
    <dgm:pt modelId="{D94C640D-3C73-4FB3-9A76-58CD5F9AFB5C}" type="sibTrans" cxnId="{F44D00DD-2EB6-4108-BF03-F15B46ECA9E7}">
      <dgm:prSet/>
      <dgm:spPr/>
      <dgm:t>
        <a:bodyPr/>
        <a:lstStyle/>
        <a:p>
          <a:endParaRPr lang="en-US"/>
        </a:p>
      </dgm:t>
    </dgm:pt>
    <dgm:pt modelId="{E16C6C31-177B-4BC9-A0CD-53084068AACE}">
      <dgm:prSet/>
      <dgm:spPr/>
      <dgm:t>
        <a:bodyPr/>
        <a:lstStyle/>
        <a:p>
          <a:endParaRPr lang="en-US" dirty="0"/>
        </a:p>
      </dgm:t>
    </dgm:pt>
    <dgm:pt modelId="{E8B97EC5-B844-423E-A0CD-7EB5C968E8CD}" type="parTrans" cxnId="{D9EA6685-06C0-4C6F-B24D-CB5E45FAC47B}">
      <dgm:prSet/>
      <dgm:spPr/>
      <dgm:t>
        <a:bodyPr/>
        <a:lstStyle/>
        <a:p>
          <a:endParaRPr lang="en-US"/>
        </a:p>
      </dgm:t>
    </dgm:pt>
    <dgm:pt modelId="{E576F586-8324-44B9-8DEC-C95CD82DC522}" type="sibTrans" cxnId="{D9EA6685-06C0-4C6F-B24D-CB5E45FAC47B}">
      <dgm:prSet/>
      <dgm:spPr/>
      <dgm:t>
        <a:bodyPr/>
        <a:lstStyle/>
        <a:p>
          <a:endParaRPr lang="en-US"/>
        </a:p>
      </dgm:t>
    </dgm:pt>
    <dgm:pt modelId="{C8E7FB13-5C36-4BDF-834E-D5F33CC75B7C}" type="pres">
      <dgm:prSet presAssocID="{504DB3AA-0446-4DBD-9E3A-282FBF4C4AA5}" presName="Name0" presStyleCnt="0">
        <dgm:presLayoutVars>
          <dgm:dir/>
          <dgm:animLvl val="lvl"/>
          <dgm:resizeHandles val="exact"/>
        </dgm:presLayoutVars>
      </dgm:prSet>
      <dgm:spPr/>
      <dgm:t>
        <a:bodyPr/>
        <a:lstStyle/>
        <a:p>
          <a:endParaRPr lang="en-US"/>
        </a:p>
      </dgm:t>
    </dgm:pt>
    <dgm:pt modelId="{9413D0B9-3F65-44CF-8277-5A09E83B5527}" type="pres">
      <dgm:prSet presAssocID="{564290FA-7728-4676-A3C1-7481091AD72F}" presName="composite" presStyleCnt="0"/>
      <dgm:spPr/>
    </dgm:pt>
    <dgm:pt modelId="{8C8665AC-FFFB-441E-8F45-BEA986AA5D1E}" type="pres">
      <dgm:prSet presAssocID="{564290FA-7728-4676-A3C1-7481091AD72F}" presName="parTx" presStyleLbl="alignNode1" presStyleIdx="0" presStyleCnt="3">
        <dgm:presLayoutVars>
          <dgm:chMax val="0"/>
          <dgm:chPref val="0"/>
          <dgm:bulletEnabled val="1"/>
        </dgm:presLayoutVars>
      </dgm:prSet>
      <dgm:spPr/>
      <dgm:t>
        <a:bodyPr/>
        <a:lstStyle/>
        <a:p>
          <a:endParaRPr lang="en-US"/>
        </a:p>
      </dgm:t>
    </dgm:pt>
    <dgm:pt modelId="{C0CF872F-492C-4A4F-957E-FF0D533256A4}" type="pres">
      <dgm:prSet presAssocID="{564290FA-7728-4676-A3C1-7481091AD72F}" presName="desTx" presStyleLbl="alignAccFollowNode1" presStyleIdx="0" presStyleCnt="3">
        <dgm:presLayoutVars>
          <dgm:bulletEnabled val="1"/>
        </dgm:presLayoutVars>
      </dgm:prSet>
      <dgm:spPr/>
      <dgm:t>
        <a:bodyPr/>
        <a:lstStyle/>
        <a:p>
          <a:endParaRPr lang="en-US"/>
        </a:p>
      </dgm:t>
    </dgm:pt>
    <dgm:pt modelId="{ECACF6FF-1820-48AD-93C8-1A2719F0637D}" type="pres">
      <dgm:prSet presAssocID="{FD18AE4E-0FA1-4296-A564-E8547A102AED}" presName="space" presStyleCnt="0"/>
      <dgm:spPr/>
    </dgm:pt>
    <dgm:pt modelId="{5E57FC2F-37F6-4EFB-9C68-961D811F170F}" type="pres">
      <dgm:prSet presAssocID="{E46F2528-E55E-4C75-9B3F-F225F2FB82DD}" presName="composite" presStyleCnt="0"/>
      <dgm:spPr/>
    </dgm:pt>
    <dgm:pt modelId="{A9B0B8D7-A838-4B23-AAF3-1B92EA61AA53}" type="pres">
      <dgm:prSet presAssocID="{E46F2528-E55E-4C75-9B3F-F225F2FB82DD}" presName="parTx" presStyleLbl="alignNode1" presStyleIdx="1" presStyleCnt="3">
        <dgm:presLayoutVars>
          <dgm:chMax val="0"/>
          <dgm:chPref val="0"/>
          <dgm:bulletEnabled val="1"/>
        </dgm:presLayoutVars>
      </dgm:prSet>
      <dgm:spPr/>
      <dgm:t>
        <a:bodyPr/>
        <a:lstStyle/>
        <a:p>
          <a:endParaRPr lang="en-US"/>
        </a:p>
      </dgm:t>
    </dgm:pt>
    <dgm:pt modelId="{604EDC3F-3DB3-4110-9FFA-3A648FC3C173}" type="pres">
      <dgm:prSet presAssocID="{E46F2528-E55E-4C75-9B3F-F225F2FB82DD}" presName="desTx" presStyleLbl="alignAccFollowNode1" presStyleIdx="1" presStyleCnt="3">
        <dgm:presLayoutVars>
          <dgm:bulletEnabled val="1"/>
        </dgm:presLayoutVars>
      </dgm:prSet>
      <dgm:spPr/>
      <dgm:t>
        <a:bodyPr/>
        <a:lstStyle/>
        <a:p>
          <a:endParaRPr lang="en-US"/>
        </a:p>
      </dgm:t>
    </dgm:pt>
    <dgm:pt modelId="{7D635878-EE95-402E-BA30-C6E4E6F14755}" type="pres">
      <dgm:prSet presAssocID="{6AEF5FC9-B089-4884-8DA4-9D9DE95145CA}" presName="space" presStyleCnt="0"/>
      <dgm:spPr/>
    </dgm:pt>
    <dgm:pt modelId="{32B31CB1-A4DA-4B28-80B6-E224557949E8}" type="pres">
      <dgm:prSet presAssocID="{1D0E83DF-EE9F-4613-9377-BF3EECB73F81}" presName="composite" presStyleCnt="0"/>
      <dgm:spPr/>
    </dgm:pt>
    <dgm:pt modelId="{976D2404-5171-4CEF-A703-9777A17AC6AC}" type="pres">
      <dgm:prSet presAssocID="{1D0E83DF-EE9F-4613-9377-BF3EECB73F81}" presName="parTx" presStyleLbl="alignNode1" presStyleIdx="2" presStyleCnt="3">
        <dgm:presLayoutVars>
          <dgm:chMax val="0"/>
          <dgm:chPref val="0"/>
          <dgm:bulletEnabled val="1"/>
        </dgm:presLayoutVars>
      </dgm:prSet>
      <dgm:spPr/>
      <dgm:t>
        <a:bodyPr/>
        <a:lstStyle/>
        <a:p>
          <a:endParaRPr lang="en-US"/>
        </a:p>
      </dgm:t>
    </dgm:pt>
    <dgm:pt modelId="{18485F88-83C4-4C51-99F4-965C1D27ECBB}" type="pres">
      <dgm:prSet presAssocID="{1D0E83DF-EE9F-4613-9377-BF3EECB73F81}" presName="desTx" presStyleLbl="alignAccFollowNode1" presStyleIdx="2" presStyleCnt="3">
        <dgm:presLayoutVars>
          <dgm:bulletEnabled val="1"/>
        </dgm:presLayoutVars>
      </dgm:prSet>
      <dgm:spPr/>
      <dgm:t>
        <a:bodyPr/>
        <a:lstStyle/>
        <a:p>
          <a:endParaRPr lang="en-US"/>
        </a:p>
      </dgm:t>
    </dgm:pt>
  </dgm:ptLst>
  <dgm:cxnLst>
    <dgm:cxn modelId="{6EF293CE-AC93-433A-9A82-E4786D4ADECC}" srcId="{1D0E83DF-EE9F-4613-9377-BF3EECB73F81}" destId="{F6E468A9-ECE7-42FE-8286-3012E80CFEF1}" srcOrd="0" destOrd="0" parTransId="{74209B69-1495-4913-91A3-37D62FB106B3}" sibTransId="{F15B70EA-0D53-4C9A-8280-B07178485431}"/>
    <dgm:cxn modelId="{2F04D377-5A01-4CC8-98B1-7A42088E3287}" srcId="{1D0E83DF-EE9F-4613-9377-BF3EECB73F81}" destId="{27601050-3836-45FD-82B9-C581A5AE27DE}" srcOrd="1" destOrd="0" parTransId="{BE9F2F92-493C-45A2-85A4-53929D874E34}" sibTransId="{868CFF84-CE2F-4708-A99B-B2B5AFBAEC10}"/>
    <dgm:cxn modelId="{95F47935-BA68-4710-A455-35A2AB3F0E04}" type="presOf" srcId="{AC89929C-90F3-439C-B293-ADD44B2BF662}" destId="{604EDC3F-3DB3-4110-9FFA-3A648FC3C173}" srcOrd="0" destOrd="1" presId="urn:microsoft.com/office/officeart/2005/8/layout/hList1"/>
    <dgm:cxn modelId="{1096D153-0AFD-4004-98DA-3C5275BD82D8}" type="presOf" srcId="{2D02A819-FF80-46C8-B652-2EF80E3D84AC}" destId="{18485F88-83C4-4C51-99F4-965C1D27ECBB}" srcOrd="0" destOrd="3" presId="urn:microsoft.com/office/officeart/2005/8/layout/hList1"/>
    <dgm:cxn modelId="{58D61D31-47A8-498E-9D70-8C6D98E2206A}" type="presOf" srcId="{504DB3AA-0446-4DBD-9E3A-282FBF4C4AA5}" destId="{C8E7FB13-5C36-4BDF-834E-D5F33CC75B7C}" srcOrd="0" destOrd="0" presId="urn:microsoft.com/office/officeart/2005/8/layout/hList1"/>
    <dgm:cxn modelId="{77397EA4-4040-4E21-B383-FAA7B8CD577E}" srcId="{E46F2528-E55E-4C75-9B3F-F225F2FB82DD}" destId="{A3453633-CB91-48EA-8053-B4DD8D103C0C}" srcOrd="0" destOrd="0" parTransId="{A6836913-AD30-4F45-BFA3-B3E660E146BF}" sibTransId="{A228267C-3E06-4CB7-B010-71AF2173E97D}"/>
    <dgm:cxn modelId="{0DD41F86-352A-45AB-938B-EB241436D9AF}" srcId="{E46F2528-E55E-4C75-9B3F-F225F2FB82DD}" destId="{9CCCE95D-752D-4B6A-8AEA-C05B24EB86F3}" srcOrd="2" destOrd="0" parTransId="{7951E6B7-0583-4BCA-9414-EB33379EC79B}" sibTransId="{CDBA567A-F6D6-42DF-AB69-245AB15BBCC6}"/>
    <dgm:cxn modelId="{764394F3-799D-44E9-B0B6-90A388188E6B}" srcId="{E46F2528-E55E-4C75-9B3F-F225F2FB82DD}" destId="{AC89929C-90F3-439C-B293-ADD44B2BF662}" srcOrd="1" destOrd="0" parTransId="{CF53EA56-E2E8-4A8B-880B-3DD825D6A65F}" sibTransId="{A3988609-DD39-4B88-B0B0-472576961096}"/>
    <dgm:cxn modelId="{BC3A2611-6A9C-4B76-A511-EDA56A01EFBF}" type="presOf" srcId="{F21A2663-23D9-4352-8104-D73BD9071145}" destId="{C0CF872F-492C-4A4F-957E-FF0D533256A4}" srcOrd="0" destOrd="0" presId="urn:microsoft.com/office/officeart/2005/8/layout/hList1"/>
    <dgm:cxn modelId="{DBDC0D57-EFB2-473B-BA3A-9B660E4828B6}" srcId="{E46F2528-E55E-4C75-9B3F-F225F2FB82DD}" destId="{AA561159-B243-43D3-9456-558BC26CD333}" srcOrd="4" destOrd="0" parTransId="{CEB65B63-4F98-4421-AB1B-59FA4C9BAD80}" sibTransId="{E74F910A-5181-4F45-B5FF-67922029896E}"/>
    <dgm:cxn modelId="{1C5901DA-E7ED-472A-928A-81A483B93E7E}" type="presOf" srcId="{C18A92B7-BF41-41A4-A21A-6211C963AE8A}" destId="{604EDC3F-3DB3-4110-9FFA-3A648FC3C173}" srcOrd="0" destOrd="3" presId="urn:microsoft.com/office/officeart/2005/8/layout/hList1"/>
    <dgm:cxn modelId="{4D5158C2-DC9D-482E-8AE7-2E8BC6DB54A7}" type="presOf" srcId="{27601050-3836-45FD-82B9-C581A5AE27DE}" destId="{18485F88-83C4-4C51-99F4-965C1D27ECBB}" srcOrd="0" destOrd="1" presId="urn:microsoft.com/office/officeart/2005/8/layout/hList1"/>
    <dgm:cxn modelId="{2F668BF9-B1AC-4D99-95A9-03A7A554A5BE}" type="presOf" srcId="{F6E468A9-ECE7-42FE-8286-3012E80CFEF1}" destId="{18485F88-83C4-4C51-99F4-965C1D27ECBB}" srcOrd="0" destOrd="0" presId="urn:microsoft.com/office/officeart/2005/8/layout/hList1"/>
    <dgm:cxn modelId="{5163BAF1-B759-4F0B-B881-A40B83098766}" srcId="{E46F2528-E55E-4C75-9B3F-F225F2FB82DD}" destId="{C18A92B7-BF41-41A4-A21A-6211C963AE8A}" srcOrd="3" destOrd="0" parTransId="{F548E6E6-BE6A-4B89-AF8F-353035596AEC}" sibTransId="{DD5AF9EF-20E6-4EC0-B5AD-623855959AF9}"/>
    <dgm:cxn modelId="{02C1F4CD-86BB-43B8-B843-A0F4B7BF978F}" srcId="{504DB3AA-0446-4DBD-9E3A-282FBF4C4AA5}" destId="{564290FA-7728-4676-A3C1-7481091AD72F}" srcOrd="0" destOrd="0" parTransId="{46808913-92B9-4A19-AB29-052567AEE29A}" sibTransId="{FD18AE4E-0FA1-4296-A564-E8547A102AED}"/>
    <dgm:cxn modelId="{337F46D8-9083-4FB9-A336-FB3E99479A05}" srcId="{564290FA-7728-4676-A3C1-7481091AD72F}" destId="{01A1C811-4D15-4807-9E84-0365CCE92C8D}" srcOrd="3" destOrd="0" parTransId="{3056EF03-6E82-419A-B931-AEFCDE4EC4B7}" sibTransId="{621E199A-64D9-4EED-A2AE-2D6DCEE91466}"/>
    <dgm:cxn modelId="{26FA801B-3F7F-407C-92D4-31D19A36C28F}" srcId="{504DB3AA-0446-4DBD-9E3A-282FBF4C4AA5}" destId="{1D0E83DF-EE9F-4613-9377-BF3EECB73F81}" srcOrd="2" destOrd="0" parTransId="{C937F9E8-E950-4E4C-822F-C7ADB2C02B3C}" sibTransId="{B5F6A266-E53E-49B7-A6C7-8054D733817D}"/>
    <dgm:cxn modelId="{ACF90FF2-F700-4819-9A57-1CF6A172E524}" type="presOf" srcId="{AA561159-B243-43D3-9456-558BC26CD333}" destId="{604EDC3F-3DB3-4110-9FFA-3A648FC3C173}" srcOrd="0" destOrd="4" presId="urn:microsoft.com/office/officeart/2005/8/layout/hList1"/>
    <dgm:cxn modelId="{906B6F0B-6AEC-4414-A7EF-EE3D7C50FE54}" type="presOf" srcId="{B1D09C1A-8199-47B6-8A6A-4CF9DBCAA629}" destId="{C0CF872F-492C-4A4F-957E-FF0D533256A4}" srcOrd="0" destOrd="2" presId="urn:microsoft.com/office/officeart/2005/8/layout/hList1"/>
    <dgm:cxn modelId="{1132679C-893C-422C-BB69-F7D3EBFE0F8D}" type="presOf" srcId="{1D0E83DF-EE9F-4613-9377-BF3EECB73F81}" destId="{976D2404-5171-4CEF-A703-9777A17AC6AC}" srcOrd="0" destOrd="0" presId="urn:microsoft.com/office/officeart/2005/8/layout/hList1"/>
    <dgm:cxn modelId="{1D79AEF4-4116-4AF4-AE77-5E4251B30CD2}" srcId="{564290FA-7728-4676-A3C1-7481091AD72F}" destId="{F21A2663-23D9-4352-8104-D73BD9071145}" srcOrd="0" destOrd="0" parTransId="{A2DD9A21-67F4-4D0C-B82B-CB04BA77D79B}" sibTransId="{3F7B32C9-67D5-453B-81C9-F3DD636DF01C}"/>
    <dgm:cxn modelId="{66F380B2-9397-4CC1-985E-F7926BFD58BB}" srcId="{504DB3AA-0446-4DBD-9E3A-282FBF4C4AA5}" destId="{E46F2528-E55E-4C75-9B3F-F225F2FB82DD}" srcOrd="1" destOrd="0" parTransId="{A7A90D78-C963-4773-A2EA-E10D004276CB}" sibTransId="{6AEF5FC9-B089-4884-8DA4-9D9DE95145CA}"/>
    <dgm:cxn modelId="{7D053980-60D3-45CB-B21F-2D18E1F49D4F}" srcId="{1D0E83DF-EE9F-4613-9377-BF3EECB73F81}" destId="{BA64DDBB-FCDB-4BF1-9EB1-7894DA555FDA}" srcOrd="2" destOrd="0" parTransId="{3540490B-B091-4330-B854-B62341250B7B}" sibTransId="{F725E0E1-D632-4B3A-BBE7-A9FE9DFDD3EC}"/>
    <dgm:cxn modelId="{A18023B3-A977-4083-83C5-C784B45C4F28}" srcId="{564290FA-7728-4676-A3C1-7481091AD72F}" destId="{B1D09C1A-8199-47B6-8A6A-4CF9DBCAA629}" srcOrd="2" destOrd="0" parTransId="{FA6E5379-47D3-4F03-9F89-9CB0C298EE5E}" sibTransId="{412BC0DD-5261-43F6-876E-428883227EB8}"/>
    <dgm:cxn modelId="{A68635EA-3A55-4431-9960-F6024D9A2AD7}" type="presOf" srcId="{E16C6C31-177B-4BC9-A0CD-53084068AACE}" destId="{C0CF872F-492C-4A4F-957E-FF0D533256A4}" srcOrd="0" destOrd="4" presId="urn:microsoft.com/office/officeart/2005/8/layout/hList1"/>
    <dgm:cxn modelId="{2BC98407-2EC0-471D-8BC0-E9D56142A7A1}" type="presOf" srcId="{2DCA31E1-0F57-46D3-8BD4-918CBA9BA93A}" destId="{C0CF872F-492C-4A4F-957E-FF0D533256A4}" srcOrd="0" destOrd="1" presId="urn:microsoft.com/office/officeart/2005/8/layout/hList1"/>
    <dgm:cxn modelId="{F95A884F-C5ED-44DC-8CD6-91B0B39CDDCA}" type="presOf" srcId="{BA64DDBB-FCDB-4BF1-9EB1-7894DA555FDA}" destId="{18485F88-83C4-4C51-99F4-965C1D27ECBB}" srcOrd="0" destOrd="2" presId="urn:microsoft.com/office/officeart/2005/8/layout/hList1"/>
    <dgm:cxn modelId="{F44D00DD-2EB6-4108-BF03-F15B46ECA9E7}" srcId="{1D0E83DF-EE9F-4613-9377-BF3EECB73F81}" destId="{2D02A819-FF80-46C8-B652-2EF80E3D84AC}" srcOrd="3" destOrd="0" parTransId="{A14AFFCC-3606-4C96-B894-5A21A9AB1A51}" sibTransId="{D94C640D-3C73-4FB3-9A76-58CD5F9AFB5C}"/>
    <dgm:cxn modelId="{99E18D80-7E36-46BF-BFD9-318AB7DA6F57}" srcId="{564290FA-7728-4676-A3C1-7481091AD72F}" destId="{2DCA31E1-0F57-46D3-8BD4-918CBA9BA93A}" srcOrd="1" destOrd="0" parTransId="{B6DE0805-CE14-414E-BEB7-60FA4E9FEA90}" sibTransId="{F5EE591F-D68B-4012-B2F6-6788CE30ABFF}"/>
    <dgm:cxn modelId="{44664D9D-30E1-4F5C-A45D-759B985F40B7}" type="presOf" srcId="{E46F2528-E55E-4C75-9B3F-F225F2FB82DD}" destId="{A9B0B8D7-A838-4B23-AAF3-1B92EA61AA53}" srcOrd="0" destOrd="0" presId="urn:microsoft.com/office/officeart/2005/8/layout/hList1"/>
    <dgm:cxn modelId="{A262DEC8-5003-45CF-8137-BD7E755032FE}" type="presOf" srcId="{564290FA-7728-4676-A3C1-7481091AD72F}" destId="{8C8665AC-FFFB-441E-8F45-BEA986AA5D1E}" srcOrd="0" destOrd="0" presId="urn:microsoft.com/office/officeart/2005/8/layout/hList1"/>
    <dgm:cxn modelId="{18AE0E5F-38CD-40DD-88D2-CD51EB9E17F3}" type="presOf" srcId="{9CCCE95D-752D-4B6A-8AEA-C05B24EB86F3}" destId="{604EDC3F-3DB3-4110-9FFA-3A648FC3C173}" srcOrd="0" destOrd="2" presId="urn:microsoft.com/office/officeart/2005/8/layout/hList1"/>
    <dgm:cxn modelId="{0CB402E2-5E7A-4F80-8DEB-5A278CA6555A}" type="presOf" srcId="{01A1C811-4D15-4807-9E84-0365CCE92C8D}" destId="{C0CF872F-492C-4A4F-957E-FF0D533256A4}" srcOrd="0" destOrd="3" presId="urn:microsoft.com/office/officeart/2005/8/layout/hList1"/>
    <dgm:cxn modelId="{D9EA6685-06C0-4C6F-B24D-CB5E45FAC47B}" srcId="{564290FA-7728-4676-A3C1-7481091AD72F}" destId="{E16C6C31-177B-4BC9-A0CD-53084068AACE}" srcOrd="4" destOrd="0" parTransId="{E8B97EC5-B844-423E-A0CD-7EB5C968E8CD}" sibTransId="{E576F586-8324-44B9-8DEC-C95CD82DC522}"/>
    <dgm:cxn modelId="{D0D23505-6159-4188-A7C6-14E5B9348C09}" type="presOf" srcId="{A3453633-CB91-48EA-8053-B4DD8D103C0C}" destId="{604EDC3F-3DB3-4110-9FFA-3A648FC3C173}" srcOrd="0" destOrd="0" presId="urn:microsoft.com/office/officeart/2005/8/layout/hList1"/>
    <dgm:cxn modelId="{8EFDCBF2-7A88-47C5-BBA9-9F9B63F3C43F}" type="presParOf" srcId="{C8E7FB13-5C36-4BDF-834E-D5F33CC75B7C}" destId="{9413D0B9-3F65-44CF-8277-5A09E83B5527}" srcOrd="0" destOrd="0" presId="urn:microsoft.com/office/officeart/2005/8/layout/hList1"/>
    <dgm:cxn modelId="{D4391642-7EDC-4808-AB83-14AADE809E0B}" type="presParOf" srcId="{9413D0B9-3F65-44CF-8277-5A09E83B5527}" destId="{8C8665AC-FFFB-441E-8F45-BEA986AA5D1E}" srcOrd="0" destOrd="0" presId="urn:microsoft.com/office/officeart/2005/8/layout/hList1"/>
    <dgm:cxn modelId="{1667B5C2-A13B-4A9E-9AF8-58281F4EE181}" type="presParOf" srcId="{9413D0B9-3F65-44CF-8277-5A09E83B5527}" destId="{C0CF872F-492C-4A4F-957E-FF0D533256A4}" srcOrd="1" destOrd="0" presId="urn:microsoft.com/office/officeart/2005/8/layout/hList1"/>
    <dgm:cxn modelId="{BFF583C6-3608-481C-A7EA-1F9A4F42874E}" type="presParOf" srcId="{C8E7FB13-5C36-4BDF-834E-D5F33CC75B7C}" destId="{ECACF6FF-1820-48AD-93C8-1A2719F0637D}" srcOrd="1" destOrd="0" presId="urn:microsoft.com/office/officeart/2005/8/layout/hList1"/>
    <dgm:cxn modelId="{BFE64815-5519-4066-8918-6327C57CC84B}" type="presParOf" srcId="{C8E7FB13-5C36-4BDF-834E-D5F33CC75B7C}" destId="{5E57FC2F-37F6-4EFB-9C68-961D811F170F}" srcOrd="2" destOrd="0" presId="urn:microsoft.com/office/officeart/2005/8/layout/hList1"/>
    <dgm:cxn modelId="{1CDA04F8-7DB1-47B9-A93F-C1445F3CEDFE}" type="presParOf" srcId="{5E57FC2F-37F6-4EFB-9C68-961D811F170F}" destId="{A9B0B8D7-A838-4B23-AAF3-1B92EA61AA53}" srcOrd="0" destOrd="0" presId="urn:microsoft.com/office/officeart/2005/8/layout/hList1"/>
    <dgm:cxn modelId="{89589B5D-4CA1-4027-97BA-866FDB718D52}" type="presParOf" srcId="{5E57FC2F-37F6-4EFB-9C68-961D811F170F}" destId="{604EDC3F-3DB3-4110-9FFA-3A648FC3C173}" srcOrd="1" destOrd="0" presId="urn:microsoft.com/office/officeart/2005/8/layout/hList1"/>
    <dgm:cxn modelId="{E066374C-9658-4F4D-B1FA-4B773C2ABD58}" type="presParOf" srcId="{C8E7FB13-5C36-4BDF-834E-D5F33CC75B7C}" destId="{7D635878-EE95-402E-BA30-C6E4E6F14755}" srcOrd="3" destOrd="0" presId="urn:microsoft.com/office/officeart/2005/8/layout/hList1"/>
    <dgm:cxn modelId="{CCB4EAE1-746E-4437-ACFC-85B4D2C1FC5B}" type="presParOf" srcId="{C8E7FB13-5C36-4BDF-834E-D5F33CC75B7C}" destId="{32B31CB1-A4DA-4B28-80B6-E224557949E8}" srcOrd="4" destOrd="0" presId="urn:microsoft.com/office/officeart/2005/8/layout/hList1"/>
    <dgm:cxn modelId="{05F1DBE9-FF85-4C4B-ADFC-5312AF1A1412}" type="presParOf" srcId="{32B31CB1-A4DA-4B28-80B6-E224557949E8}" destId="{976D2404-5171-4CEF-A703-9777A17AC6AC}" srcOrd="0" destOrd="0" presId="urn:microsoft.com/office/officeart/2005/8/layout/hList1"/>
    <dgm:cxn modelId="{2F974C68-E30F-4794-B401-3FA819D46214}" type="presParOf" srcId="{32B31CB1-A4DA-4B28-80B6-E224557949E8}" destId="{18485F88-83C4-4C51-99F4-965C1D27ECBB}" srcOrd="1" destOrd="0" presId="urn:microsoft.com/office/officeart/2005/8/layout/hList1"/>
  </dgm:cxnLst>
  <dgm:bg/>
  <dgm:whole/>
  <dgm:extLst>
    <a:ext uri="http://schemas.microsoft.com/office/drawing/2008/diagram">
      <dsp:dataModelExt xmlns:dsp="http://schemas.microsoft.com/office/drawing/2008/diagram" relId="rId8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C8665AC-FFFB-441E-8F45-BEA986AA5D1E}">
      <dsp:nvSpPr>
        <dsp:cNvPr id="0" name=""/>
        <dsp:cNvSpPr/>
      </dsp:nvSpPr>
      <dsp:spPr>
        <a:xfrm>
          <a:off x="1797" y="34515"/>
          <a:ext cx="1752897" cy="289244"/>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32512" rIns="56896" bIns="32512" numCol="1" spcCol="1270" anchor="ctr" anchorCtr="0">
          <a:noAutofit/>
        </a:bodyPr>
        <a:lstStyle/>
        <a:p>
          <a:pPr lvl="0" algn="ctr" defTabSz="355600">
            <a:lnSpc>
              <a:spcPct val="90000"/>
            </a:lnSpc>
            <a:spcBef>
              <a:spcPct val="0"/>
            </a:spcBef>
            <a:spcAft>
              <a:spcPct val="35000"/>
            </a:spcAft>
          </a:pPr>
          <a:r>
            <a:rPr lang="en-US" sz="800" kern="1200"/>
            <a:t>GLOBAL/REGIONAL TREATIES</a:t>
          </a:r>
          <a:endParaRPr lang="en-GB" sz="800" kern="1200" dirty="0"/>
        </a:p>
      </dsp:txBody>
      <dsp:txXfrm>
        <a:off x="1797" y="34515"/>
        <a:ext cx="1752897" cy="289244"/>
      </dsp:txXfrm>
    </dsp:sp>
    <dsp:sp modelId="{C0CF872F-492C-4A4F-957E-FF0D533256A4}">
      <dsp:nvSpPr>
        <dsp:cNvPr id="0" name=""/>
        <dsp:cNvSpPr/>
      </dsp:nvSpPr>
      <dsp:spPr>
        <a:xfrm>
          <a:off x="1797" y="323759"/>
          <a:ext cx="1752897" cy="1537200"/>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672" tIns="42672" rIns="56896" bIns="64008" numCol="1" spcCol="1270" anchor="t" anchorCtr="0">
          <a:noAutofit/>
        </a:bodyPr>
        <a:lstStyle/>
        <a:p>
          <a:pPr marL="57150" lvl="1" indent="-57150" algn="l" defTabSz="355600">
            <a:lnSpc>
              <a:spcPct val="90000"/>
            </a:lnSpc>
            <a:spcBef>
              <a:spcPct val="0"/>
            </a:spcBef>
            <a:spcAft>
              <a:spcPct val="15000"/>
            </a:spcAft>
            <a:buChar char="••"/>
          </a:pPr>
          <a:r>
            <a:rPr lang="en-US" sz="800" kern="1200" dirty="0"/>
            <a:t>Convention on the Elimination of All Forms of Discrimination against Women (CEDAW)</a:t>
          </a:r>
          <a:endParaRPr lang="en-GB" sz="800" kern="1200" dirty="0"/>
        </a:p>
        <a:p>
          <a:pPr marL="57150" lvl="1" indent="-57150" algn="l" defTabSz="355600">
            <a:lnSpc>
              <a:spcPct val="90000"/>
            </a:lnSpc>
            <a:spcBef>
              <a:spcPct val="0"/>
            </a:spcBef>
            <a:spcAft>
              <a:spcPct val="15000"/>
            </a:spcAft>
            <a:buChar char="••"/>
          </a:pPr>
          <a:r>
            <a:rPr lang="en-US" sz="800" kern="1200" dirty="0"/>
            <a:t>Protocol to the African Charter on Human and People’s Rights on the Rights of Women</a:t>
          </a:r>
        </a:p>
        <a:p>
          <a:pPr marL="57150" lvl="1" indent="-57150" algn="l" defTabSz="355600">
            <a:lnSpc>
              <a:spcPct val="90000"/>
            </a:lnSpc>
            <a:spcBef>
              <a:spcPct val="0"/>
            </a:spcBef>
            <a:spcAft>
              <a:spcPct val="15000"/>
            </a:spcAft>
            <a:buChar char="••"/>
          </a:pPr>
          <a:r>
            <a:rPr lang="en-US" sz="800" kern="1200" dirty="0"/>
            <a:t>ECOWAS Gender Strategy 2010-2020, AU Solemn Declaration on Gender Equality in Africa</a:t>
          </a:r>
        </a:p>
        <a:p>
          <a:pPr marL="57150" lvl="1" indent="-57150" algn="l" defTabSz="355600">
            <a:lnSpc>
              <a:spcPct val="90000"/>
            </a:lnSpc>
            <a:spcBef>
              <a:spcPct val="0"/>
            </a:spcBef>
            <a:spcAft>
              <a:spcPct val="15000"/>
            </a:spcAft>
            <a:buChar char="••"/>
          </a:pPr>
          <a:r>
            <a:rPr lang="en-US" sz="800" kern="1200" dirty="0"/>
            <a:t>UN Sustainable Development Goals framework  </a:t>
          </a:r>
          <a:r>
            <a:rPr lang="en-US" sz="800" kern="1200" dirty="0" err="1"/>
            <a:t>etc</a:t>
          </a:r>
          <a:endParaRPr lang="en-US" sz="800" kern="1200" dirty="0"/>
        </a:p>
        <a:p>
          <a:pPr marL="57150" lvl="1" indent="-57150" algn="l" defTabSz="355600">
            <a:lnSpc>
              <a:spcPct val="90000"/>
            </a:lnSpc>
            <a:spcBef>
              <a:spcPct val="0"/>
            </a:spcBef>
            <a:spcAft>
              <a:spcPct val="15000"/>
            </a:spcAft>
            <a:buChar char="••"/>
          </a:pPr>
          <a:endParaRPr lang="en-US" sz="800" kern="1200" dirty="0"/>
        </a:p>
      </dsp:txBody>
      <dsp:txXfrm>
        <a:off x="1797" y="323759"/>
        <a:ext cx="1752897" cy="1537200"/>
      </dsp:txXfrm>
    </dsp:sp>
    <dsp:sp modelId="{A9B0B8D7-A838-4B23-AAF3-1B92EA61AA53}">
      <dsp:nvSpPr>
        <dsp:cNvPr id="0" name=""/>
        <dsp:cNvSpPr/>
      </dsp:nvSpPr>
      <dsp:spPr>
        <a:xfrm>
          <a:off x="2000101" y="34515"/>
          <a:ext cx="1752897" cy="289244"/>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32512" rIns="56896" bIns="32512" numCol="1" spcCol="1270" anchor="ctr" anchorCtr="0">
          <a:noAutofit/>
        </a:bodyPr>
        <a:lstStyle/>
        <a:p>
          <a:pPr lvl="0" algn="ctr" defTabSz="355600">
            <a:lnSpc>
              <a:spcPct val="90000"/>
            </a:lnSpc>
            <a:spcBef>
              <a:spcPct val="0"/>
            </a:spcBef>
            <a:spcAft>
              <a:spcPct val="35000"/>
            </a:spcAft>
          </a:pPr>
          <a:r>
            <a:rPr lang="en-US" sz="800" kern="1200" dirty="0"/>
            <a:t>GENDER SPECIFIC LEGISLATION  AND POLICIES</a:t>
          </a:r>
          <a:endParaRPr lang="en-GB" sz="800" kern="1200" dirty="0"/>
        </a:p>
      </dsp:txBody>
      <dsp:txXfrm>
        <a:off x="2000101" y="34515"/>
        <a:ext cx="1752897" cy="289244"/>
      </dsp:txXfrm>
    </dsp:sp>
    <dsp:sp modelId="{604EDC3F-3DB3-4110-9FFA-3A648FC3C173}">
      <dsp:nvSpPr>
        <dsp:cNvPr id="0" name=""/>
        <dsp:cNvSpPr/>
      </dsp:nvSpPr>
      <dsp:spPr>
        <a:xfrm>
          <a:off x="2000101" y="323759"/>
          <a:ext cx="1752897" cy="1537200"/>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672" tIns="42672" rIns="56896" bIns="64008" numCol="1" spcCol="1270" anchor="t" anchorCtr="0">
          <a:noAutofit/>
        </a:bodyPr>
        <a:lstStyle/>
        <a:p>
          <a:pPr marL="57150" lvl="1" indent="-57150" algn="l" defTabSz="355600">
            <a:lnSpc>
              <a:spcPct val="90000"/>
            </a:lnSpc>
            <a:spcBef>
              <a:spcPct val="0"/>
            </a:spcBef>
            <a:spcAft>
              <a:spcPct val="15000"/>
            </a:spcAft>
            <a:buChar char="••"/>
          </a:pPr>
          <a:r>
            <a:rPr lang="en-US" sz="800" kern="1200" dirty="0"/>
            <a:t>Violence against Persons (Prohibition) Act, 2015 </a:t>
          </a:r>
          <a:endParaRPr lang="en-GB" sz="800" kern="1200" dirty="0"/>
        </a:p>
        <a:p>
          <a:pPr marL="57150" lvl="1" indent="-57150" algn="l" defTabSz="355600">
            <a:lnSpc>
              <a:spcPct val="90000"/>
            </a:lnSpc>
            <a:spcBef>
              <a:spcPct val="0"/>
            </a:spcBef>
            <a:spcAft>
              <a:spcPct val="15000"/>
            </a:spcAft>
            <a:buChar char="••"/>
          </a:pPr>
          <a:r>
            <a:rPr lang="en-US" sz="800" kern="1200" dirty="0"/>
            <a:t>Trafficking in Persons (Prohibition) Law Enforcement and Administration Act 2015</a:t>
          </a:r>
        </a:p>
        <a:p>
          <a:pPr marL="57150" lvl="1" indent="-57150" algn="l" defTabSz="355600">
            <a:lnSpc>
              <a:spcPct val="90000"/>
            </a:lnSpc>
            <a:spcBef>
              <a:spcPct val="0"/>
            </a:spcBef>
            <a:spcAft>
              <a:spcPct val="15000"/>
            </a:spcAft>
            <a:buChar char="••"/>
          </a:pPr>
          <a:r>
            <a:rPr lang="en-US" sz="800" kern="1200"/>
            <a:t>National Gender Policy 2007</a:t>
          </a:r>
          <a:endParaRPr lang="en-US" sz="800" kern="1200" dirty="0"/>
        </a:p>
        <a:p>
          <a:pPr marL="57150" lvl="1" indent="-57150" algn="l" defTabSz="355600">
            <a:lnSpc>
              <a:spcPct val="90000"/>
            </a:lnSpc>
            <a:spcBef>
              <a:spcPct val="0"/>
            </a:spcBef>
            <a:spcAft>
              <a:spcPct val="15000"/>
            </a:spcAft>
            <a:buChar char="••"/>
          </a:pPr>
          <a:r>
            <a:rPr lang="en-US" sz="800" kern="1200" dirty="0"/>
            <a:t>National Gender Policy Strategic Framework (Implementation Plan) 2008-2013</a:t>
          </a:r>
        </a:p>
        <a:p>
          <a:pPr marL="57150" lvl="1" indent="-57150" algn="l" defTabSz="355600">
            <a:lnSpc>
              <a:spcPct val="90000"/>
            </a:lnSpc>
            <a:spcBef>
              <a:spcPct val="0"/>
            </a:spcBef>
            <a:spcAft>
              <a:spcPct val="15000"/>
            </a:spcAft>
            <a:buChar char="••"/>
          </a:pPr>
          <a:r>
            <a:rPr lang="en-GB" sz="800" kern="1200" dirty="0"/>
            <a:t>Relevant State Laws</a:t>
          </a:r>
        </a:p>
      </dsp:txBody>
      <dsp:txXfrm>
        <a:off x="2000101" y="323759"/>
        <a:ext cx="1752897" cy="1537200"/>
      </dsp:txXfrm>
    </dsp:sp>
    <dsp:sp modelId="{976D2404-5171-4CEF-A703-9777A17AC6AC}">
      <dsp:nvSpPr>
        <dsp:cNvPr id="0" name=""/>
        <dsp:cNvSpPr/>
      </dsp:nvSpPr>
      <dsp:spPr>
        <a:xfrm>
          <a:off x="3998404" y="34515"/>
          <a:ext cx="1752897" cy="289244"/>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32512" rIns="56896" bIns="32512" numCol="1" spcCol="1270" anchor="ctr" anchorCtr="0">
          <a:noAutofit/>
        </a:bodyPr>
        <a:lstStyle/>
        <a:p>
          <a:pPr lvl="0" algn="ctr" defTabSz="355600">
            <a:lnSpc>
              <a:spcPct val="90000"/>
            </a:lnSpc>
            <a:spcBef>
              <a:spcPct val="0"/>
            </a:spcBef>
            <a:spcAft>
              <a:spcPct val="35000"/>
            </a:spcAft>
          </a:pPr>
          <a:r>
            <a:rPr lang="en-US" sz="800" kern="1200" dirty="0"/>
            <a:t>CROSS CUTTING LEGISLATION AND POLICIES</a:t>
          </a:r>
          <a:endParaRPr lang="en-GB" sz="800" kern="1200" dirty="0"/>
        </a:p>
      </dsp:txBody>
      <dsp:txXfrm>
        <a:off x="3998404" y="34515"/>
        <a:ext cx="1752897" cy="289244"/>
      </dsp:txXfrm>
    </dsp:sp>
    <dsp:sp modelId="{18485F88-83C4-4C51-99F4-965C1D27ECBB}">
      <dsp:nvSpPr>
        <dsp:cNvPr id="0" name=""/>
        <dsp:cNvSpPr/>
      </dsp:nvSpPr>
      <dsp:spPr>
        <a:xfrm>
          <a:off x="3998404" y="323759"/>
          <a:ext cx="1752897" cy="1537200"/>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672" tIns="42672" rIns="56896" bIns="64008" numCol="1" spcCol="1270" anchor="t" anchorCtr="0">
          <a:noAutofit/>
        </a:bodyPr>
        <a:lstStyle/>
        <a:p>
          <a:pPr marL="57150" lvl="1" indent="-57150" algn="l" defTabSz="355600">
            <a:lnSpc>
              <a:spcPct val="90000"/>
            </a:lnSpc>
            <a:spcBef>
              <a:spcPct val="0"/>
            </a:spcBef>
            <a:spcAft>
              <a:spcPct val="15000"/>
            </a:spcAft>
            <a:buChar char="••"/>
          </a:pPr>
          <a:r>
            <a:rPr lang="en-US" sz="800" kern="1200" dirty="0">
              <a:solidFill>
                <a:schemeClr val="tx1"/>
              </a:solidFill>
            </a:rPr>
            <a:t>Child's Rights Act, 2003</a:t>
          </a:r>
          <a:endParaRPr lang="en-GB" sz="800" kern="1200" dirty="0"/>
        </a:p>
        <a:p>
          <a:pPr marL="57150" lvl="1" indent="-57150" algn="l" defTabSz="355600">
            <a:lnSpc>
              <a:spcPct val="90000"/>
            </a:lnSpc>
            <a:spcBef>
              <a:spcPct val="0"/>
            </a:spcBef>
            <a:spcAft>
              <a:spcPct val="15000"/>
            </a:spcAft>
            <a:buChar char="••"/>
          </a:pPr>
          <a:r>
            <a:rPr lang="en-US" sz="800" kern="1200" dirty="0"/>
            <a:t>The Constitution</a:t>
          </a:r>
          <a:endParaRPr lang="en-GB" sz="800" kern="1200" dirty="0"/>
        </a:p>
        <a:p>
          <a:pPr marL="57150" lvl="1" indent="-57150" algn="l" defTabSz="355600">
            <a:lnSpc>
              <a:spcPct val="90000"/>
            </a:lnSpc>
            <a:spcBef>
              <a:spcPct val="0"/>
            </a:spcBef>
            <a:spcAft>
              <a:spcPct val="15000"/>
            </a:spcAft>
            <a:buChar char="••"/>
          </a:pPr>
          <a:r>
            <a:rPr lang="en-GB" sz="800" kern="1200" dirty="0"/>
            <a:t>National Policy on Ageing</a:t>
          </a:r>
        </a:p>
        <a:p>
          <a:pPr marL="57150" lvl="1" indent="-57150" algn="l" defTabSz="355600">
            <a:lnSpc>
              <a:spcPct val="90000"/>
            </a:lnSpc>
            <a:spcBef>
              <a:spcPct val="0"/>
            </a:spcBef>
            <a:spcAft>
              <a:spcPct val="15000"/>
            </a:spcAft>
            <a:buChar char="••"/>
          </a:pPr>
          <a:r>
            <a:rPr lang="en-GB" sz="800" kern="1200" dirty="0"/>
            <a:t>Discrimination against Persons Living with Disabilities (Prohibition) Act</a:t>
          </a:r>
        </a:p>
      </dsp:txBody>
      <dsp:txXfrm>
        <a:off x="3998404" y="323759"/>
        <a:ext cx="1752897" cy="1537200"/>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2021-06-18T00:00:00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C36BEC9D9697BD4C8C78EBAFF0433E22" ma:contentTypeVersion="0" ma:contentTypeDescription="Create a new document in this library." ma:contentTypeScope="" ma:versionID="79a6feed3203fee811a87a9894a39242">
  <xsd:schema xmlns:xsd="http://www.w3.org/2001/XMLSchema" xmlns:xs="http://www.w3.org/2001/XMLSchema" xmlns:p="http://schemas.microsoft.com/office/2006/metadata/properties" xmlns:ns2="http://schemas.microsoft.com/sharepoint/v3/fields" xmlns:ns3="8dae67d0-9041-4f43-ada3-45791a390b0e" targetNamespace="http://schemas.microsoft.com/office/2006/metadata/properties" ma:root="true" ma:fieldsID="764b9c217799a3912d911b030494c494" ns2:_="" ns3:_="">
    <xsd:import namespace="http://schemas.microsoft.com/sharepoint/v3/fields"/>
    <xsd:import namespace="8dae67d0-9041-4f43-ada3-45791a390b0e"/>
    <xsd:element name="properties">
      <xsd:complexType>
        <xsd:sequence>
          <xsd:element name="documentManagement">
            <xsd:complexType>
              <xsd:all>
                <xsd:element ref="ns3:EC_Collab_Reference" minOccurs="0"/>
                <xsd:element ref="ns2:_Status" minOccurs="0"/>
                <xsd:element ref="ns3:EC_Collab_DocumentLanguage"/>
                <xsd:element ref="ns3:EC_Collab_Statu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8dae67d0-9041-4f43-ada3-45791a390b0e"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4"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5"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EC_Collab_Status xmlns="8dae67d0-9041-4f43-ada3-45791a390b0e">Not Started</EC_Collab_Status>
    <_Status xmlns="http://schemas.microsoft.com/sharepoint/v3/fields">Not Started</_Status>
    <EC_Collab_DocumentLanguage xmlns="8dae67d0-9041-4f43-ada3-45791a390b0e">EN</EC_Collab_DocumentLanguage>
    <EC_Collab_Reference xmlns="8dae67d0-9041-4f43-ada3-45791a390b0e"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25478A9-A6B0-4A31-8B8D-98F157E7EDA3}">
  <ds:schemaRefs>
    <ds:schemaRef ds:uri="http://schemas.microsoft.com/sharepoint/v3/contenttype/forms"/>
  </ds:schemaRefs>
</ds:datastoreItem>
</file>

<file path=customXml/itemProps3.xml><?xml version="1.0" encoding="utf-8"?>
<ds:datastoreItem xmlns:ds="http://schemas.openxmlformats.org/officeDocument/2006/customXml" ds:itemID="{092F4866-A394-45E1-BB9C-1A815F976D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8dae67d0-9041-4f43-ada3-45791a390b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0D391C-87AB-4AFA-A4E1-2DAA1E008786}">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8dae67d0-9041-4f43-ada3-45791a390b0e"/>
    <ds:schemaRef ds:uri="http://schemas.microsoft.com/sharepoint/v3/fields"/>
    <ds:schemaRef ds:uri="http://www.w3.org/XML/1998/namespace"/>
  </ds:schemaRefs>
</ds:datastoreItem>
</file>

<file path=customXml/itemProps5.xml><?xml version="1.0" encoding="utf-8"?>
<ds:datastoreItem xmlns:ds="http://schemas.openxmlformats.org/officeDocument/2006/customXml" ds:itemID="{1CE6B88C-DFA1-427F-821E-D1D25AC2D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99</Pages>
  <Words>34100</Words>
  <Characters>195057</Characters>
  <Application>Microsoft Office Word</Application>
  <DocSecurity>0</DocSecurity>
  <Lines>4150</Lines>
  <Paragraphs>1848</Paragraphs>
  <ScaleCrop>false</ScaleCrop>
  <HeadingPairs>
    <vt:vector size="2" baseType="variant">
      <vt:variant>
        <vt:lpstr>Title</vt:lpstr>
      </vt:variant>
      <vt:variant>
        <vt:i4>1</vt:i4>
      </vt:variant>
    </vt:vector>
  </HeadingPairs>
  <TitlesOfParts>
    <vt:vector size="1" baseType="lpstr">
      <vt:lpstr>Country GENDER Profile for Nigeria</vt:lpstr>
    </vt:vector>
  </TitlesOfParts>
  <Company>Prepared by:Prof Cheluchi Onyemelukwe (CHELD)Ms Chioma Ezegwu</Company>
  <LinksUpToDate>false</LinksUpToDate>
  <CharactersWithSpaces>227309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Country GENDER Profile for Nigeria</dc:title>
  <dc:subject>Gender Country Profile for Nigeria</dc:subject>
  <dc:creator>Centre for Health Ethics Law and Development (CHELD)</dc:creator>
  <cp:keywords/>
  <dc:description/>
  <cp:lastModifiedBy>BASSE Dior (INTPA-EXT)</cp:lastModifiedBy>
  <cp:revision>2</cp:revision>
  <dcterms:created xsi:type="dcterms:W3CDTF">2022-06-21T13:53:00Z</dcterms:created>
  <dcterms:modified xsi:type="dcterms:W3CDTF">2022-06-21T13:53:00Z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0x010100258AA79CEB83498886A3A0868112325000C36BEC9D9697BD4C8C78EBAFF0433E22</vt:lpwstr>
  </property>
</Properties>
</file>