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608"/>
      </w:tblGrid>
      <w:tr w:rsidR="00383D3B" w14:paraId="3C420E01" w14:textId="77777777" w:rsidTr="00743423">
        <w:trPr>
          <w:jc w:val="center"/>
        </w:trPr>
        <w:tc>
          <w:tcPr>
            <w:tcW w:w="4516" w:type="dxa"/>
          </w:tcPr>
          <w:p w14:paraId="6EA30BD7" w14:textId="77777777" w:rsidR="00383D3B" w:rsidRPr="00EC5BFE" w:rsidRDefault="00383D3B" w:rsidP="003E562A">
            <w:pPr>
              <w:spacing w:line="259" w:lineRule="auto"/>
              <w:ind w:left="-5"/>
            </w:pPr>
            <w:bookmarkStart w:id="0" w:name="_GoBack"/>
            <w:bookmarkEnd w:id="0"/>
            <w:r w:rsidRPr="00EC5BFE">
              <w:rPr>
                <w:rFonts w:eastAsia="Arial"/>
                <w:sz w:val="20"/>
              </w:rPr>
              <w:t xml:space="preserve">EUROPEAN COMMISSION </w:t>
            </w:r>
          </w:p>
          <w:p w14:paraId="000A330B" w14:textId="77777777" w:rsidR="00383D3B" w:rsidRDefault="00383D3B" w:rsidP="003E562A">
            <w:pPr>
              <w:spacing w:line="259" w:lineRule="auto"/>
              <w:ind w:left="-5"/>
              <w:rPr>
                <w:rFonts w:eastAsia="Arial"/>
                <w:sz w:val="20"/>
              </w:rPr>
            </w:pPr>
            <w:r w:rsidRPr="00EC5BFE">
              <w:rPr>
                <w:rFonts w:eastAsia="Arial"/>
                <w:sz w:val="16"/>
              </w:rPr>
              <w:t>DIRECTORATE-GENERAL FOR INTERNATIO</w:t>
            </w:r>
            <w:r>
              <w:rPr>
                <w:rFonts w:eastAsia="Arial"/>
                <w:sz w:val="16"/>
              </w:rPr>
              <w:t>NAL COOPERATION AND DEVELOPMENT</w:t>
            </w:r>
          </w:p>
        </w:tc>
        <w:tc>
          <w:tcPr>
            <w:tcW w:w="4679" w:type="dxa"/>
          </w:tcPr>
          <w:p w14:paraId="2254CAE5" w14:textId="77777777" w:rsidR="00383D3B" w:rsidRPr="00EC5BFE" w:rsidRDefault="00383D3B" w:rsidP="003E562A">
            <w:pPr>
              <w:spacing w:line="259" w:lineRule="auto"/>
              <w:ind w:left="-5"/>
            </w:pPr>
            <w:r w:rsidRPr="00EC5BFE">
              <w:rPr>
                <w:rFonts w:eastAsia="Arial"/>
                <w:sz w:val="20"/>
              </w:rPr>
              <w:t xml:space="preserve">EUROPEAN EXTERNAL ACTION SERVICE </w:t>
            </w:r>
          </w:p>
          <w:p w14:paraId="29F878E1" w14:textId="77777777" w:rsidR="00383D3B" w:rsidRDefault="00383D3B" w:rsidP="00383D3B">
            <w:pPr>
              <w:spacing w:line="259" w:lineRule="auto"/>
              <w:jc w:val="center"/>
              <w:rPr>
                <w:rFonts w:eastAsia="Arial"/>
                <w:sz w:val="20"/>
              </w:rPr>
            </w:pPr>
          </w:p>
        </w:tc>
      </w:tr>
      <w:tr w:rsidR="00383D3B" w14:paraId="00BCF574" w14:textId="77777777" w:rsidTr="00743423">
        <w:trPr>
          <w:trHeight w:val="1484"/>
          <w:jc w:val="center"/>
        </w:trPr>
        <w:tc>
          <w:tcPr>
            <w:tcW w:w="4516" w:type="dxa"/>
          </w:tcPr>
          <w:p w14:paraId="4D201407" w14:textId="77777777" w:rsidR="00383D3B" w:rsidRDefault="00383D3B" w:rsidP="003E562A">
            <w:pPr>
              <w:spacing w:line="259" w:lineRule="auto"/>
              <w:rPr>
                <w:rFonts w:eastAsia="Arial"/>
                <w:sz w:val="20"/>
              </w:rPr>
            </w:pPr>
          </w:p>
          <w:p w14:paraId="62AD3E50" w14:textId="77777777" w:rsidR="00383D3B" w:rsidRDefault="00383D3B" w:rsidP="003E562A">
            <w:pPr>
              <w:spacing w:line="259" w:lineRule="auto"/>
              <w:rPr>
                <w:rFonts w:eastAsia="Arial"/>
                <w:sz w:val="20"/>
              </w:rPr>
            </w:pPr>
            <w:r w:rsidRPr="00EC5BFE">
              <w:rPr>
                <w:noProof/>
                <w:lang w:val="en-IE" w:eastAsia="en-IE"/>
              </w:rPr>
              <w:drawing>
                <wp:inline distT="0" distB="0" distL="0" distR="0" wp14:anchorId="50AA781C" wp14:editId="36CEABA8">
                  <wp:extent cx="1367701" cy="6751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367701" cy="675132"/>
                          </a:xfrm>
                          <a:prstGeom prst="rect">
                            <a:avLst/>
                          </a:prstGeom>
                        </pic:spPr>
                      </pic:pic>
                    </a:graphicData>
                  </a:graphic>
                </wp:inline>
              </w:drawing>
            </w:r>
          </w:p>
        </w:tc>
        <w:tc>
          <w:tcPr>
            <w:tcW w:w="4679" w:type="dxa"/>
          </w:tcPr>
          <w:p w14:paraId="2B3C60E0" w14:textId="77777777" w:rsidR="00383D3B" w:rsidRDefault="00383D3B" w:rsidP="003E562A">
            <w:pPr>
              <w:spacing w:line="259" w:lineRule="auto"/>
              <w:rPr>
                <w:rFonts w:eastAsia="Arial"/>
                <w:sz w:val="20"/>
              </w:rPr>
            </w:pPr>
          </w:p>
          <w:p w14:paraId="465D34BC" w14:textId="77777777" w:rsidR="00383D3B" w:rsidRDefault="00383D3B" w:rsidP="003E562A">
            <w:pPr>
              <w:spacing w:line="259" w:lineRule="auto"/>
              <w:rPr>
                <w:rFonts w:eastAsia="Arial"/>
                <w:sz w:val="20"/>
              </w:rPr>
            </w:pPr>
            <w:r w:rsidRPr="00EC5BFE">
              <w:rPr>
                <w:noProof/>
                <w:lang w:val="en-IE" w:eastAsia="en-IE"/>
              </w:rPr>
              <w:drawing>
                <wp:inline distT="0" distB="0" distL="0" distR="0" wp14:anchorId="319C0B92" wp14:editId="4A74BB14">
                  <wp:extent cx="999744" cy="647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stretch>
                            <a:fillRect/>
                          </a:stretch>
                        </pic:blipFill>
                        <pic:spPr>
                          <a:xfrm>
                            <a:off x="0" y="0"/>
                            <a:ext cx="999744" cy="647700"/>
                          </a:xfrm>
                          <a:prstGeom prst="rect">
                            <a:avLst/>
                          </a:prstGeom>
                        </pic:spPr>
                      </pic:pic>
                    </a:graphicData>
                  </a:graphic>
                </wp:inline>
              </w:drawing>
            </w:r>
          </w:p>
        </w:tc>
      </w:tr>
      <w:tr w:rsidR="00383D3B" w14:paraId="01A58072" w14:textId="77777777" w:rsidTr="00743423">
        <w:trPr>
          <w:jc w:val="center"/>
        </w:trPr>
        <w:tc>
          <w:tcPr>
            <w:tcW w:w="4516" w:type="dxa"/>
          </w:tcPr>
          <w:p w14:paraId="6C211EDB" w14:textId="77777777" w:rsidR="00383D3B" w:rsidRPr="00EC5BFE" w:rsidRDefault="00383D3B" w:rsidP="003E562A">
            <w:pPr>
              <w:spacing w:after="12" w:line="259" w:lineRule="auto"/>
              <w:ind w:left="-5"/>
            </w:pPr>
            <w:r w:rsidRPr="00EC5BFE">
              <w:rPr>
                <w:rFonts w:eastAsia="Arial"/>
                <w:sz w:val="16"/>
              </w:rPr>
              <w:t>The Director-General</w:t>
            </w:r>
            <w:r w:rsidRPr="00EC5BFE">
              <w:rPr>
                <w:sz w:val="20"/>
              </w:rPr>
              <w:t xml:space="preserve"> </w:t>
            </w:r>
          </w:p>
        </w:tc>
        <w:tc>
          <w:tcPr>
            <w:tcW w:w="4679" w:type="dxa"/>
          </w:tcPr>
          <w:p w14:paraId="4DA9AED8" w14:textId="77777777" w:rsidR="00383D3B" w:rsidRPr="00EC5BFE" w:rsidRDefault="00383D3B" w:rsidP="003E562A">
            <w:pPr>
              <w:spacing w:after="221" w:line="259" w:lineRule="auto"/>
              <w:ind w:left="-5"/>
            </w:pPr>
            <w:r w:rsidRPr="00EC5BFE">
              <w:rPr>
                <w:rFonts w:eastAsia="Arial"/>
                <w:sz w:val="16"/>
              </w:rPr>
              <w:t>Secretary General</w:t>
            </w:r>
            <w:r w:rsidRPr="00EC5BFE">
              <w:rPr>
                <w:rFonts w:eastAsia="Arial"/>
                <w:sz w:val="20"/>
              </w:rPr>
              <w:t xml:space="preserve"> </w:t>
            </w:r>
          </w:p>
        </w:tc>
      </w:tr>
    </w:tbl>
    <w:p w14:paraId="453D3F13" w14:textId="77777777" w:rsidR="00383D3B" w:rsidRDefault="00383D3B" w:rsidP="00743423">
      <w:pPr>
        <w:tabs>
          <w:tab w:val="left" w:pos="5980"/>
        </w:tabs>
        <w:spacing w:after="120"/>
        <w:jc w:val="both"/>
        <w:rPr>
          <w:rFonts w:ascii="Times New Roman" w:hAnsi="Times New Roman" w:cs="Times New Roman"/>
          <w:sz w:val="24"/>
          <w:szCs w:val="24"/>
        </w:rPr>
      </w:pPr>
      <w:r>
        <w:rPr>
          <w:rFonts w:ascii="Times New Roman" w:hAnsi="Times New Roman" w:cs="Times New Roman"/>
          <w:sz w:val="24"/>
          <w:szCs w:val="24"/>
        </w:rPr>
        <w:tab/>
      </w:r>
    </w:p>
    <w:p w14:paraId="59A99571" w14:textId="77777777" w:rsidR="00383D3B" w:rsidRPr="00017F30" w:rsidRDefault="00383D3B" w:rsidP="00383D3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145F8E">
        <w:rPr>
          <w:rFonts w:ascii="Times New Roman" w:hAnsi="Times New Roman" w:cs="Times New Roman"/>
          <w:b/>
          <w:sz w:val="24"/>
          <w:szCs w:val="24"/>
        </w:rPr>
        <w:t xml:space="preserve">Gender Action </w:t>
      </w:r>
      <w:r w:rsidRPr="001F7795">
        <w:rPr>
          <w:rFonts w:ascii="Times New Roman" w:hAnsi="Times New Roman" w:cs="Times New Roman"/>
          <w:b/>
          <w:sz w:val="24"/>
          <w:szCs w:val="24"/>
        </w:rPr>
        <w:t>Plan III – 2021-2025</w:t>
      </w:r>
      <w:r w:rsidRPr="00017F30">
        <w:rPr>
          <w:rFonts w:ascii="Times New Roman" w:hAnsi="Times New Roman" w:cs="Times New Roman"/>
          <w:sz w:val="24"/>
          <w:szCs w:val="24"/>
        </w:rPr>
        <w:t xml:space="preserve"> </w:t>
      </w:r>
    </w:p>
    <w:p w14:paraId="6C387D7C" w14:textId="5D2F3D37" w:rsidR="00632736" w:rsidRDefault="00B516CE" w:rsidP="004E7D81">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UGANDA - </w:t>
      </w:r>
      <w:r w:rsidR="00383D3B" w:rsidRPr="009F1CE7">
        <w:rPr>
          <w:rFonts w:ascii="Times New Roman" w:hAnsi="Times New Roman" w:cs="Times New Roman"/>
          <w:b/>
          <w:sz w:val="24"/>
          <w:szCs w:val="24"/>
        </w:rPr>
        <w:t xml:space="preserve">Country </w:t>
      </w:r>
      <w:r w:rsidR="00383D3B">
        <w:rPr>
          <w:rFonts w:ascii="Times New Roman" w:hAnsi="Times New Roman" w:cs="Times New Roman"/>
          <w:b/>
          <w:sz w:val="24"/>
          <w:szCs w:val="24"/>
        </w:rPr>
        <w:t xml:space="preserve">Level </w:t>
      </w:r>
      <w:r w:rsidR="00383D3B" w:rsidRPr="009F1CE7">
        <w:rPr>
          <w:rFonts w:ascii="Times New Roman" w:hAnsi="Times New Roman" w:cs="Times New Roman"/>
          <w:b/>
          <w:sz w:val="24"/>
          <w:szCs w:val="24"/>
        </w:rPr>
        <w:t xml:space="preserve">Implementation Plan </w:t>
      </w:r>
      <w:r>
        <w:rPr>
          <w:rFonts w:ascii="Times New Roman" w:hAnsi="Times New Roman" w:cs="Times New Roman"/>
          <w:b/>
          <w:sz w:val="24"/>
          <w:szCs w:val="24"/>
        </w:rPr>
        <w:t>(</w:t>
      </w:r>
      <w:r w:rsidR="00915664">
        <w:rPr>
          <w:rFonts w:ascii="Times New Roman" w:hAnsi="Times New Roman" w:cs="Times New Roman"/>
          <w:b/>
          <w:sz w:val="24"/>
          <w:szCs w:val="24"/>
        </w:rPr>
        <w:t>CLIP)</w:t>
      </w:r>
    </w:p>
    <w:p w14:paraId="78E2AEEF" w14:textId="662D004E" w:rsidR="0009758D" w:rsidRPr="002E1AA2" w:rsidRDefault="00147EEE" w:rsidP="004E7D81">
      <w:pPr>
        <w:spacing w:after="120"/>
        <w:jc w:val="both"/>
        <w:rPr>
          <w:rFonts w:ascii="Times New Roman" w:hAnsi="Times New Roman" w:cs="Times New Roman"/>
          <w:b/>
          <w:sz w:val="28"/>
          <w:szCs w:val="28"/>
        </w:rPr>
      </w:pPr>
      <w:r>
        <w:rPr>
          <w:noProof/>
          <w:lang w:val="en-IE" w:eastAsia="en-IE"/>
        </w:rPr>
        <w:drawing>
          <wp:inline distT="0" distB="0" distL="0" distR="0" wp14:anchorId="34183496" wp14:editId="1FA627C6">
            <wp:extent cx="5281448"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4345" cy="3659606"/>
                    </a:xfrm>
                    <a:prstGeom prst="rect">
                      <a:avLst/>
                    </a:prstGeom>
                    <a:noFill/>
                    <a:ln>
                      <a:noFill/>
                    </a:ln>
                  </pic:spPr>
                </pic:pic>
              </a:graphicData>
            </a:graphic>
          </wp:inline>
        </w:drawing>
      </w:r>
    </w:p>
    <w:p w14:paraId="2B5E126B" w14:textId="77777777" w:rsidR="005D161B" w:rsidRPr="00595005" w:rsidRDefault="003C1CEF" w:rsidP="00B94A77">
      <w:pPr>
        <w:pStyle w:val="ListParagraph"/>
        <w:numPr>
          <w:ilvl w:val="0"/>
          <w:numId w:val="15"/>
        </w:numPr>
        <w:ind w:left="426" w:hanging="426"/>
        <w:rPr>
          <w:rFonts w:ascii="Times New Roman" w:hAnsi="Times New Roman" w:cs="Times New Roman"/>
          <w:b/>
          <w:sz w:val="24"/>
          <w:szCs w:val="24"/>
        </w:rPr>
      </w:pPr>
      <w:r w:rsidRPr="005D161B">
        <w:rPr>
          <w:rFonts w:ascii="Times New Roman" w:hAnsi="Times New Roman" w:cs="Times New Roman"/>
          <w:b/>
          <w:sz w:val="24"/>
          <w:szCs w:val="24"/>
        </w:rPr>
        <w:t xml:space="preserve">Context </w:t>
      </w:r>
      <w:r w:rsidR="00267FAE" w:rsidRPr="005D161B">
        <w:rPr>
          <w:rFonts w:ascii="Times New Roman" w:hAnsi="Times New Roman" w:cs="Times New Roman"/>
          <w:b/>
          <w:sz w:val="24"/>
          <w:szCs w:val="24"/>
        </w:rPr>
        <w:t xml:space="preserve">for EU </w:t>
      </w:r>
      <w:r w:rsidR="000776E5">
        <w:rPr>
          <w:rFonts w:ascii="Times New Roman" w:hAnsi="Times New Roman" w:cs="Times New Roman"/>
          <w:b/>
          <w:sz w:val="24"/>
          <w:szCs w:val="24"/>
        </w:rPr>
        <w:t>action</w:t>
      </w:r>
      <w:r w:rsidR="00267FAE" w:rsidRPr="005D161B">
        <w:rPr>
          <w:rFonts w:ascii="Times New Roman" w:hAnsi="Times New Roman" w:cs="Times New Roman"/>
          <w:b/>
          <w:sz w:val="24"/>
          <w:szCs w:val="24"/>
        </w:rPr>
        <w:t xml:space="preserve"> gender equality</w:t>
      </w:r>
      <w:r w:rsidR="00932F7F">
        <w:rPr>
          <w:rFonts w:ascii="Times New Roman" w:hAnsi="Times New Roman" w:cs="Times New Roman"/>
          <w:b/>
          <w:sz w:val="24"/>
          <w:szCs w:val="24"/>
        </w:rPr>
        <w:t xml:space="preserve"> and </w:t>
      </w:r>
      <w:r w:rsidR="000776E5">
        <w:rPr>
          <w:rFonts w:ascii="Times New Roman" w:hAnsi="Times New Roman" w:cs="Times New Roman"/>
          <w:b/>
          <w:sz w:val="24"/>
          <w:szCs w:val="24"/>
        </w:rPr>
        <w:t xml:space="preserve">women’s empowerment </w:t>
      </w:r>
      <w:r w:rsidR="00267FAE" w:rsidRPr="005D161B">
        <w:rPr>
          <w:rFonts w:ascii="Times New Roman" w:hAnsi="Times New Roman" w:cs="Times New Roman"/>
          <w:b/>
          <w:sz w:val="24"/>
          <w:szCs w:val="24"/>
        </w:rPr>
        <w:t>in the country</w:t>
      </w:r>
      <w:r w:rsidR="00A67B43" w:rsidRPr="005D161B">
        <w:rPr>
          <w:rFonts w:ascii="Times New Roman" w:hAnsi="Times New Roman" w:cs="Times New Roman"/>
          <w:b/>
          <w:sz w:val="24"/>
          <w:szCs w:val="24"/>
        </w:rPr>
        <w:t xml:space="preserve"> </w:t>
      </w:r>
    </w:p>
    <w:p w14:paraId="448B90D7" w14:textId="306E6E58" w:rsidR="000D4168" w:rsidRDefault="008C2645" w:rsidP="00B516CE">
      <w:pPr>
        <w:autoSpaceDE w:val="0"/>
        <w:autoSpaceDN w:val="0"/>
        <w:adjustRightInd w:val="0"/>
        <w:spacing w:after="0" w:line="240" w:lineRule="auto"/>
        <w:jc w:val="both"/>
        <w:rPr>
          <w:rFonts w:ascii="Calibri" w:hAnsi="Calibri"/>
        </w:rPr>
      </w:pPr>
      <w:r>
        <w:rPr>
          <w:rFonts w:ascii="Calibri" w:hAnsi="Calibri"/>
        </w:rPr>
        <w:t xml:space="preserve">Uganda’s vision 2040 is a transformed society where Ugandans aspire for a future in which men and women are accorded equal opportunity to participate in development. </w:t>
      </w:r>
      <w:r w:rsidR="006A78A8">
        <w:rPr>
          <w:rFonts w:ascii="Calibri" w:hAnsi="Calibri"/>
        </w:rPr>
        <w:t>This is further strengthened in the N</w:t>
      </w:r>
      <w:r w:rsidR="005D2C6C">
        <w:rPr>
          <w:rFonts w:ascii="Calibri" w:hAnsi="Calibri"/>
        </w:rPr>
        <w:t xml:space="preserve">ational </w:t>
      </w:r>
      <w:r w:rsidR="006A78A8">
        <w:rPr>
          <w:rFonts w:ascii="Calibri" w:hAnsi="Calibri"/>
        </w:rPr>
        <w:t>D</w:t>
      </w:r>
      <w:r w:rsidR="005D2C6C">
        <w:rPr>
          <w:rFonts w:ascii="Calibri" w:hAnsi="Calibri"/>
        </w:rPr>
        <w:t xml:space="preserve">evelopment </w:t>
      </w:r>
      <w:r w:rsidR="006A78A8">
        <w:rPr>
          <w:rFonts w:ascii="Calibri" w:hAnsi="Calibri"/>
        </w:rPr>
        <w:t>P</w:t>
      </w:r>
      <w:r w:rsidR="005D2C6C">
        <w:rPr>
          <w:rFonts w:ascii="Calibri" w:hAnsi="Calibri"/>
        </w:rPr>
        <w:t>lan</w:t>
      </w:r>
      <w:r w:rsidR="006A78A8">
        <w:rPr>
          <w:rFonts w:ascii="Calibri" w:hAnsi="Calibri"/>
        </w:rPr>
        <w:t xml:space="preserve"> </w:t>
      </w:r>
      <w:r w:rsidR="005D2C6C">
        <w:rPr>
          <w:rFonts w:ascii="Calibri" w:hAnsi="Calibri"/>
        </w:rPr>
        <w:t xml:space="preserve">(NDP) </w:t>
      </w:r>
      <w:r w:rsidR="006A78A8">
        <w:rPr>
          <w:rFonts w:ascii="Calibri" w:hAnsi="Calibri"/>
        </w:rPr>
        <w:t xml:space="preserve">III which sets out Uganda’s vision of a transformed society from </w:t>
      </w:r>
      <w:r w:rsidR="006510D0">
        <w:rPr>
          <w:rFonts w:ascii="Calibri" w:hAnsi="Calibri"/>
        </w:rPr>
        <w:t xml:space="preserve">a peasant economy to a modern and prosperous one by 2040. In addition, the Government of Uganda has strengthened </w:t>
      </w:r>
      <w:r w:rsidR="00915664">
        <w:rPr>
          <w:rFonts w:ascii="Calibri" w:hAnsi="Calibri"/>
        </w:rPr>
        <w:t>its</w:t>
      </w:r>
      <w:r w:rsidR="006510D0">
        <w:rPr>
          <w:rFonts w:ascii="Calibri" w:hAnsi="Calibri"/>
        </w:rPr>
        <w:t xml:space="preserve"> commitment to realize equal opportunities in planning and budgeting </w:t>
      </w:r>
      <w:r w:rsidR="00141DDB">
        <w:rPr>
          <w:rFonts w:ascii="Calibri" w:hAnsi="Calibri"/>
        </w:rPr>
        <w:t>through the Public Finance Management Act (</w:t>
      </w:r>
      <w:r w:rsidR="00915664">
        <w:rPr>
          <w:rFonts w:ascii="Calibri" w:hAnsi="Calibri"/>
        </w:rPr>
        <w:t>PFMA)</w:t>
      </w:r>
      <w:r w:rsidR="00141DDB">
        <w:rPr>
          <w:rFonts w:ascii="Calibri" w:hAnsi="Calibri"/>
        </w:rPr>
        <w:t xml:space="preserve"> 2015 that mandates </w:t>
      </w:r>
      <w:r w:rsidR="007F2DDC">
        <w:rPr>
          <w:rFonts w:ascii="Calibri" w:hAnsi="Calibri"/>
        </w:rPr>
        <w:t>all sectors</w:t>
      </w:r>
      <w:r w:rsidR="00141DDB">
        <w:rPr>
          <w:rFonts w:ascii="Calibri" w:hAnsi="Calibri"/>
        </w:rPr>
        <w:t xml:space="preserve">, </w:t>
      </w:r>
      <w:r w:rsidR="005D2C6C">
        <w:rPr>
          <w:rFonts w:ascii="Calibri" w:hAnsi="Calibri"/>
        </w:rPr>
        <w:t>Ministries, Departments and Agencies (</w:t>
      </w:r>
      <w:r w:rsidR="00141DDB">
        <w:rPr>
          <w:rFonts w:ascii="Calibri" w:hAnsi="Calibri"/>
        </w:rPr>
        <w:t>MDAs</w:t>
      </w:r>
      <w:r w:rsidR="005D2C6C">
        <w:rPr>
          <w:rFonts w:ascii="Calibri" w:hAnsi="Calibri"/>
        </w:rPr>
        <w:t>)</w:t>
      </w:r>
      <w:r w:rsidR="00141DDB">
        <w:rPr>
          <w:rFonts w:ascii="Calibri" w:hAnsi="Calibri"/>
        </w:rPr>
        <w:t xml:space="preserve"> and local governments to plan and budget in a gender and equity responsive manner to be issued with a certificate of compliance</w:t>
      </w:r>
      <w:r w:rsidR="00141DDB">
        <w:rPr>
          <w:rStyle w:val="FootnoteReference"/>
          <w:rFonts w:ascii="Calibri" w:hAnsi="Calibri"/>
        </w:rPr>
        <w:footnoteReference w:id="1"/>
      </w:r>
      <w:r w:rsidR="00141DDB">
        <w:rPr>
          <w:rFonts w:ascii="Calibri" w:hAnsi="Calibri"/>
        </w:rPr>
        <w:t xml:space="preserve">. </w:t>
      </w:r>
      <w:r w:rsidR="00937DEC">
        <w:rPr>
          <w:rFonts w:ascii="Calibri" w:hAnsi="Calibri"/>
        </w:rPr>
        <w:t>The recently passed sexual offences bill (20</w:t>
      </w:r>
      <w:r w:rsidR="007A23AC">
        <w:rPr>
          <w:rFonts w:ascii="Calibri" w:hAnsi="Calibri"/>
        </w:rPr>
        <w:t>19</w:t>
      </w:r>
      <w:r w:rsidR="00937DEC">
        <w:rPr>
          <w:rFonts w:ascii="Calibri" w:hAnsi="Calibri"/>
        </w:rPr>
        <w:t>) has specific provision for sex-related offences that have hitherto remained inappropriately addressed and on the increase despite the existence of other related laws</w:t>
      </w:r>
      <w:r w:rsidR="006D2AB9">
        <w:rPr>
          <w:rStyle w:val="FootnoteReference"/>
          <w:rFonts w:ascii="Calibri" w:hAnsi="Calibri"/>
        </w:rPr>
        <w:footnoteReference w:id="2"/>
      </w:r>
      <w:r w:rsidR="00937DEC">
        <w:rPr>
          <w:rFonts w:ascii="Calibri" w:hAnsi="Calibri"/>
        </w:rPr>
        <w:t xml:space="preserve">. However, </w:t>
      </w:r>
      <w:r w:rsidR="006D2AB9">
        <w:rPr>
          <w:rFonts w:ascii="Calibri" w:hAnsi="Calibri"/>
        </w:rPr>
        <w:t xml:space="preserve">it falls short on international </w:t>
      </w:r>
      <w:r w:rsidR="006D2AB9">
        <w:rPr>
          <w:rFonts w:ascii="Calibri" w:hAnsi="Calibri"/>
        </w:rPr>
        <w:lastRenderedPageBreak/>
        <w:t>human rights standards in its current form and there are calls for its revision before being assented to by the President.</w:t>
      </w:r>
      <w:r w:rsidR="00937DEC">
        <w:rPr>
          <w:rFonts w:ascii="Calibri" w:hAnsi="Calibri"/>
        </w:rPr>
        <w:t xml:space="preserve"> </w:t>
      </w:r>
    </w:p>
    <w:p w14:paraId="548B1987" w14:textId="77777777" w:rsidR="000D4168" w:rsidRDefault="000D4168" w:rsidP="00B516CE">
      <w:pPr>
        <w:autoSpaceDE w:val="0"/>
        <w:autoSpaceDN w:val="0"/>
        <w:adjustRightInd w:val="0"/>
        <w:spacing w:after="0" w:line="240" w:lineRule="auto"/>
        <w:jc w:val="both"/>
        <w:rPr>
          <w:rFonts w:ascii="Calibri" w:hAnsi="Calibri"/>
        </w:rPr>
      </w:pPr>
    </w:p>
    <w:p w14:paraId="26DBDF73" w14:textId="37EBC0DD" w:rsidR="00FA7654" w:rsidRDefault="00D17238" w:rsidP="00B516CE">
      <w:pPr>
        <w:autoSpaceDE w:val="0"/>
        <w:autoSpaceDN w:val="0"/>
        <w:adjustRightInd w:val="0"/>
        <w:spacing w:after="0" w:line="240" w:lineRule="auto"/>
        <w:jc w:val="both"/>
        <w:rPr>
          <w:rFonts w:ascii="Calibri" w:hAnsi="Calibri"/>
        </w:rPr>
      </w:pPr>
      <w:r w:rsidRPr="00B516CE">
        <w:rPr>
          <w:rFonts w:ascii="Calibri" w:hAnsi="Calibri"/>
        </w:rPr>
        <w:t>Uganda has a progressive legal and policy framework to support gender equality and women’s empowerment</w:t>
      </w:r>
      <w:r w:rsidR="00C54470" w:rsidRPr="00B516CE">
        <w:rPr>
          <w:rFonts w:ascii="Calibri" w:hAnsi="Calibri"/>
        </w:rPr>
        <w:t xml:space="preserve"> (GEWE)</w:t>
      </w:r>
      <w:r w:rsidRPr="00B516CE">
        <w:rPr>
          <w:rFonts w:ascii="Calibri" w:hAnsi="Calibri"/>
        </w:rPr>
        <w:t xml:space="preserve">. </w:t>
      </w:r>
      <w:r w:rsidR="00703D75" w:rsidRPr="00B516CE">
        <w:rPr>
          <w:rFonts w:ascii="Calibri" w:hAnsi="Calibri"/>
        </w:rPr>
        <w:t>Th</w:t>
      </w:r>
      <w:r w:rsidRPr="00B516CE">
        <w:rPr>
          <w:rFonts w:ascii="Calibri" w:hAnsi="Calibri"/>
        </w:rPr>
        <w:t>e Constitution</w:t>
      </w:r>
      <w:r w:rsidR="00FA7654" w:rsidRPr="00B516CE">
        <w:rPr>
          <w:rFonts w:ascii="Calibri" w:hAnsi="Calibri"/>
        </w:rPr>
        <w:t xml:space="preserve"> prohibits all forms of discrimination against women and provides for the protection and promotion of women’s rights</w:t>
      </w:r>
      <w:r w:rsidRPr="00B516CE">
        <w:rPr>
          <w:rFonts w:ascii="Calibri" w:hAnsi="Calibri"/>
          <w:vertAlign w:val="superscript"/>
        </w:rPr>
        <w:footnoteReference w:id="3"/>
      </w:r>
      <w:r w:rsidR="00B516CE">
        <w:rPr>
          <w:rFonts w:ascii="Calibri" w:hAnsi="Calibri"/>
        </w:rPr>
        <w:t xml:space="preserve">. </w:t>
      </w:r>
      <w:r w:rsidR="009E36E5" w:rsidRPr="00B516CE">
        <w:rPr>
          <w:rFonts w:ascii="Calibri" w:hAnsi="Calibri"/>
        </w:rPr>
        <w:t>O</w:t>
      </w:r>
      <w:r w:rsidR="002D3CD8" w:rsidRPr="00B516CE">
        <w:rPr>
          <w:rFonts w:ascii="Calibri" w:hAnsi="Calibri"/>
        </w:rPr>
        <w:t xml:space="preserve">ther </w:t>
      </w:r>
      <w:r w:rsidR="00C54470" w:rsidRPr="00B516CE">
        <w:rPr>
          <w:rFonts w:ascii="Calibri" w:hAnsi="Calibri"/>
        </w:rPr>
        <w:t xml:space="preserve">specific </w:t>
      </w:r>
      <w:r w:rsidR="002D3CD8" w:rsidRPr="00B516CE">
        <w:rPr>
          <w:rFonts w:ascii="Calibri" w:hAnsi="Calibri"/>
        </w:rPr>
        <w:t xml:space="preserve">laws </w:t>
      </w:r>
      <w:r w:rsidR="00C54470" w:rsidRPr="00B516CE">
        <w:rPr>
          <w:rFonts w:ascii="Calibri" w:hAnsi="Calibri"/>
        </w:rPr>
        <w:t xml:space="preserve">relating to GEWE include </w:t>
      </w:r>
      <w:r w:rsidR="002D3CD8" w:rsidRPr="00B516CE">
        <w:rPr>
          <w:rFonts w:ascii="Calibri" w:hAnsi="Calibri"/>
        </w:rPr>
        <w:t>the Domestic Violence Act</w:t>
      </w:r>
      <w:r w:rsidR="00F07FBC" w:rsidRPr="00B516CE">
        <w:rPr>
          <w:rFonts w:ascii="Calibri" w:hAnsi="Calibri"/>
        </w:rPr>
        <w:t xml:space="preserve"> (2010)</w:t>
      </w:r>
      <w:r w:rsidR="002D3CD8" w:rsidRPr="00B516CE">
        <w:rPr>
          <w:rFonts w:ascii="Calibri" w:hAnsi="Calibri"/>
        </w:rPr>
        <w:t>, the Prohibition of Female Genital Mutilation Act</w:t>
      </w:r>
      <w:r w:rsidR="005D185F" w:rsidRPr="00B516CE">
        <w:rPr>
          <w:rFonts w:ascii="Calibri" w:hAnsi="Calibri"/>
        </w:rPr>
        <w:t xml:space="preserve"> (2009)</w:t>
      </w:r>
      <w:r w:rsidR="009E36E5" w:rsidRPr="00B516CE">
        <w:rPr>
          <w:rFonts w:ascii="Calibri" w:hAnsi="Calibri"/>
        </w:rPr>
        <w:t>;</w:t>
      </w:r>
      <w:r w:rsidR="002D3CD8" w:rsidRPr="00B516CE">
        <w:rPr>
          <w:rFonts w:ascii="Calibri" w:hAnsi="Calibri"/>
        </w:rPr>
        <w:t xml:space="preserve"> and the Prevention of Human Trafficking Act</w:t>
      </w:r>
      <w:r w:rsidR="005D185F" w:rsidRPr="00B516CE">
        <w:rPr>
          <w:rFonts w:ascii="Calibri" w:hAnsi="Calibri"/>
        </w:rPr>
        <w:t xml:space="preserve"> (2009)</w:t>
      </w:r>
      <w:r w:rsidR="009E36E5" w:rsidRPr="00B516CE">
        <w:rPr>
          <w:rFonts w:ascii="Calibri" w:hAnsi="Calibri"/>
        </w:rPr>
        <w:t>,</w:t>
      </w:r>
      <w:r w:rsidR="002D3CD8" w:rsidRPr="00B516CE">
        <w:rPr>
          <w:rFonts w:ascii="Calibri" w:hAnsi="Calibri"/>
        </w:rPr>
        <w:t xml:space="preserve"> which outlaw</w:t>
      </w:r>
      <w:r w:rsidR="009E36E5" w:rsidRPr="00B516CE">
        <w:rPr>
          <w:rFonts w:ascii="Calibri" w:hAnsi="Calibri"/>
        </w:rPr>
        <w:t>s</w:t>
      </w:r>
      <w:r w:rsidR="002D3CD8" w:rsidRPr="00B516CE">
        <w:rPr>
          <w:rFonts w:ascii="Calibri" w:hAnsi="Calibri"/>
        </w:rPr>
        <w:t xml:space="preserve"> customs that violate women’s and girls’ right to personal dignity and bodily integrity</w:t>
      </w:r>
      <w:r w:rsidR="00F3459A">
        <w:rPr>
          <w:rFonts w:ascii="Calibri" w:hAnsi="Calibri"/>
        </w:rPr>
        <w:t xml:space="preserve"> and</w:t>
      </w:r>
      <w:r w:rsidR="00C54470" w:rsidRPr="00B516CE">
        <w:rPr>
          <w:rFonts w:ascii="Calibri" w:hAnsi="Calibri"/>
        </w:rPr>
        <w:t xml:space="preserve"> the </w:t>
      </w:r>
      <w:r w:rsidR="000D4168">
        <w:rPr>
          <w:rFonts w:ascii="Calibri" w:hAnsi="Calibri"/>
        </w:rPr>
        <w:t>C</w:t>
      </w:r>
      <w:r w:rsidR="000D4168" w:rsidRPr="00B516CE">
        <w:rPr>
          <w:rFonts w:ascii="Calibri" w:hAnsi="Calibri"/>
        </w:rPr>
        <w:t>hildren Act</w:t>
      </w:r>
      <w:r w:rsidR="00C54470" w:rsidRPr="00B516CE">
        <w:rPr>
          <w:rFonts w:ascii="Calibri" w:hAnsi="Calibri"/>
        </w:rPr>
        <w:t xml:space="preserve"> </w:t>
      </w:r>
      <w:r w:rsidR="00F3459A">
        <w:rPr>
          <w:rFonts w:ascii="Calibri" w:hAnsi="Calibri"/>
        </w:rPr>
        <w:t xml:space="preserve">(amendment, </w:t>
      </w:r>
      <w:r w:rsidR="00C54470" w:rsidRPr="00B516CE">
        <w:rPr>
          <w:rFonts w:ascii="Calibri" w:hAnsi="Calibri"/>
        </w:rPr>
        <w:t>2016</w:t>
      </w:r>
      <w:r w:rsidR="00F3459A">
        <w:rPr>
          <w:rFonts w:ascii="Calibri" w:hAnsi="Calibri"/>
        </w:rPr>
        <w:t>)</w:t>
      </w:r>
      <w:r w:rsidR="002D3CD8" w:rsidRPr="00B516CE">
        <w:rPr>
          <w:rFonts w:ascii="Calibri" w:hAnsi="Calibri"/>
        </w:rPr>
        <w:t xml:space="preserve">. </w:t>
      </w:r>
      <w:r w:rsidR="009E36E5" w:rsidRPr="00B516CE">
        <w:rPr>
          <w:rFonts w:ascii="Calibri" w:hAnsi="Calibri"/>
        </w:rPr>
        <w:t>These laws provide a legal</w:t>
      </w:r>
      <w:r w:rsidR="00604FB1" w:rsidRPr="00B516CE">
        <w:rPr>
          <w:rFonts w:ascii="Calibri" w:hAnsi="Calibri"/>
        </w:rPr>
        <w:t xml:space="preserve"> framework</w:t>
      </w:r>
      <w:r w:rsidR="009E36E5" w:rsidRPr="00B516CE">
        <w:rPr>
          <w:rFonts w:ascii="Calibri" w:hAnsi="Calibri"/>
        </w:rPr>
        <w:t xml:space="preserve"> for</w:t>
      </w:r>
      <w:r w:rsidR="002D3CD8" w:rsidRPr="00B516CE">
        <w:rPr>
          <w:rFonts w:ascii="Calibri" w:hAnsi="Calibri"/>
        </w:rPr>
        <w:t xml:space="preserve"> the empowerment of women and girls and </w:t>
      </w:r>
      <w:r w:rsidR="009E36E5" w:rsidRPr="00B516CE">
        <w:rPr>
          <w:rFonts w:ascii="Calibri" w:hAnsi="Calibri"/>
        </w:rPr>
        <w:t xml:space="preserve">for </w:t>
      </w:r>
      <w:r w:rsidR="002D3CD8" w:rsidRPr="00B516CE">
        <w:rPr>
          <w:rFonts w:ascii="Calibri" w:hAnsi="Calibri"/>
        </w:rPr>
        <w:t>address</w:t>
      </w:r>
      <w:r w:rsidR="009E36E5" w:rsidRPr="00B516CE">
        <w:rPr>
          <w:rFonts w:ascii="Calibri" w:hAnsi="Calibri"/>
        </w:rPr>
        <w:t>ing</w:t>
      </w:r>
      <w:r w:rsidR="002D3CD8" w:rsidRPr="00B516CE">
        <w:rPr>
          <w:rFonts w:ascii="Calibri" w:hAnsi="Calibri"/>
        </w:rPr>
        <w:t xml:space="preserve"> barriers that negatively affect women’s status in society</w:t>
      </w:r>
      <w:r w:rsidR="00604FB1" w:rsidRPr="00B516CE">
        <w:rPr>
          <w:rFonts w:ascii="Calibri" w:hAnsi="Calibri"/>
        </w:rPr>
        <w:t>.</w:t>
      </w:r>
      <w:r w:rsidR="002D3CD8" w:rsidRPr="00B516CE">
        <w:rPr>
          <w:rFonts w:ascii="Calibri" w:hAnsi="Calibri"/>
        </w:rPr>
        <w:t xml:space="preserve"> </w:t>
      </w:r>
      <w:r w:rsidR="00604FB1" w:rsidRPr="00B516CE">
        <w:rPr>
          <w:rFonts w:ascii="Calibri" w:hAnsi="Calibri"/>
        </w:rPr>
        <w:t>Laws also provide for the building of women’s</w:t>
      </w:r>
      <w:r w:rsidR="002D3CD8" w:rsidRPr="00B516CE">
        <w:rPr>
          <w:rFonts w:ascii="Calibri" w:hAnsi="Calibri"/>
        </w:rPr>
        <w:t xml:space="preserve"> capacity to participate in governance </w:t>
      </w:r>
      <w:r w:rsidR="00F3459A">
        <w:rPr>
          <w:rFonts w:ascii="Calibri" w:hAnsi="Calibri"/>
        </w:rPr>
        <w:t>structures</w:t>
      </w:r>
      <w:r w:rsidR="002D3CD8" w:rsidRPr="00B516CE">
        <w:rPr>
          <w:rFonts w:ascii="Calibri" w:hAnsi="Calibri"/>
        </w:rPr>
        <w:t xml:space="preserve"> with equal rights and as beneficiaries of good governance dividends</w:t>
      </w:r>
      <w:r w:rsidR="002D3CD8" w:rsidRPr="00F3459A">
        <w:rPr>
          <w:rFonts w:ascii="Calibri" w:hAnsi="Calibri"/>
          <w:vertAlign w:val="superscript"/>
        </w:rPr>
        <w:footnoteReference w:id="4"/>
      </w:r>
      <w:r w:rsidR="00F3459A">
        <w:rPr>
          <w:rFonts w:ascii="Calibri" w:hAnsi="Calibri"/>
        </w:rPr>
        <w:t>.</w:t>
      </w:r>
      <w:r w:rsidR="002D3CD8" w:rsidRPr="00B516CE">
        <w:rPr>
          <w:rFonts w:ascii="Calibri" w:hAnsi="Calibri"/>
        </w:rPr>
        <w:t xml:space="preserve"> </w:t>
      </w:r>
      <w:r w:rsidR="00FA7654" w:rsidRPr="00B516CE">
        <w:rPr>
          <w:rFonts w:ascii="Calibri" w:hAnsi="Calibri"/>
        </w:rPr>
        <w:t xml:space="preserve">At the international level, Uganda </w:t>
      </w:r>
      <w:r w:rsidR="009E36E5" w:rsidRPr="00B516CE">
        <w:rPr>
          <w:rFonts w:ascii="Calibri" w:hAnsi="Calibri"/>
        </w:rPr>
        <w:t xml:space="preserve">has </w:t>
      </w:r>
      <w:r w:rsidR="00FA7654" w:rsidRPr="00B516CE">
        <w:rPr>
          <w:rFonts w:ascii="Calibri" w:hAnsi="Calibri"/>
        </w:rPr>
        <w:t>ratified the Convention on the Elimination of All Forms of Discrimination against Women (CEDAW)</w:t>
      </w:r>
      <w:r w:rsidR="001070CE" w:rsidRPr="00B516CE">
        <w:rPr>
          <w:rFonts w:ascii="Calibri" w:hAnsi="Calibri"/>
        </w:rPr>
        <w:t xml:space="preserve">, the Maputo Protocol </w:t>
      </w:r>
      <w:r w:rsidR="00FA7654" w:rsidRPr="00B516CE">
        <w:rPr>
          <w:rFonts w:ascii="Calibri" w:hAnsi="Calibri"/>
        </w:rPr>
        <w:t xml:space="preserve">and the Goma Declaration on Eradicating Sexual Violence and Ending Impunity </w:t>
      </w:r>
      <w:r w:rsidR="00703D75" w:rsidRPr="00B516CE">
        <w:rPr>
          <w:rFonts w:ascii="Calibri" w:hAnsi="Calibri"/>
        </w:rPr>
        <w:t xml:space="preserve">in the Great Lakes Region. </w:t>
      </w:r>
      <w:r w:rsidR="00F3459A">
        <w:rPr>
          <w:rFonts w:ascii="Calibri" w:hAnsi="Calibri"/>
        </w:rPr>
        <w:t xml:space="preserve">Uganda has also </w:t>
      </w:r>
      <w:r w:rsidR="0005344D">
        <w:rPr>
          <w:rFonts w:ascii="Calibri" w:hAnsi="Calibri"/>
        </w:rPr>
        <w:t>developed its 3</w:t>
      </w:r>
      <w:r w:rsidR="0005344D" w:rsidRPr="000D4168">
        <w:rPr>
          <w:rFonts w:ascii="Calibri" w:hAnsi="Calibri"/>
          <w:vertAlign w:val="superscript"/>
        </w:rPr>
        <w:t>rd</w:t>
      </w:r>
      <w:r w:rsidR="0005344D">
        <w:rPr>
          <w:rFonts w:ascii="Calibri" w:hAnsi="Calibri"/>
        </w:rPr>
        <w:t xml:space="preserve"> National Action Plan on Women, Peace and Security 2020-2025.</w:t>
      </w:r>
    </w:p>
    <w:p w14:paraId="40A540A9" w14:textId="77777777" w:rsidR="00B516CE" w:rsidRDefault="00B516CE" w:rsidP="00B516CE">
      <w:pPr>
        <w:autoSpaceDE w:val="0"/>
        <w:autoSpaceDN w:val="0"/>
        <w:adjustRightInd w:val="0"/>
        <w:spacing w:after="0" w:line="240" w:lineRule="auto"/>
        <w:jc w:val="both"/>
        <w:rPr>
          <w:rFonts w:ascii="Calibri" w:hAnsi="Calibri"/>
        </w:rPr>
      </w:pPr>
    </w:p>
    <w:p w14:paraId="34CD5C5C" w14:textId="5479F874" w:rsidR="00513EDA" w:rsidRPr="00B516CE" w:rsidRDefault="00E215FA" w:rsidP="004E7D81">
      <w:pPr>
        <w:autoSpaceDE w:val="0"/>
        <w:autoSpaceDN w:val="0"/>
        <w:adjustRightInd w:val="0"/>
        <w:spacing w:after="0" w:line="240" w:lineRule="auto"/>
        <w:jc w:val="both"/>
        <w:rPr>
          <w:rFonts w:ascii="Calibri" w:hAnsi="Calibri"/>
        </w:rPr>
      </w:pPr>
      <w:r>
        <w:rPr>
          <w:rFonts w:ascii="Calibri" w:hAnsi="Calibri"/>
        </w:rPr>
        <w:t>Although much has been achieved especially on the legal and policy framework for GEWE, there still exists a</w:t>
      </w:r>
      <w:r w:rsidR="0005344D">
        <w:rPr>
          <w:rFonts w:ascii="Calibri" w:hAnsi="Calibri"/>
        </w:rPr>
        <w:t xml:space="preserve"> significant</w:t>
      </w:r>
      <w:r>
        <w:rPr>
          <w:rFonts w:ascii="Calibri" w:hAnsi="Calibri"/>
        </w:rPr>
        <w:t xml:space="preserve"> gap between laws and policies on one hand and reality on women’s and girls’ lives on the other. </w:t>
      </w:r>
      <w:r>
        <w:t xml:space="preserve"> </w:t>
      </w:r>
      <w:r w:rsidR="00E51B2E" w:rsidRPr="00B516CE">
        <w:rPr>
          <w:rFonts w:ascii="Calibri" w:hAnsi="Calibri"/>
        </w:rPr>
        <w:t xml:space="preserve">There are reported high rates of gender-based violence; </w:t>
      </w:r>
      <w:r w:rsidR="00586CE0">
        <w:rPr>
          <w:rFonts w:ascii="Calibri" w:hAnsi="Calibri"/>
        </w:rPr>
        <w:t>e.g.</w:t>
      </w:r>
      <w:r w:rsidR="00BC2A99" w:rsidRPr="00B516CE">
        <w:rPr>
          <w:rFonts w:ascii="Calibri" w:hAnsi="Calibri"/>
        </w:rPr>
        <w:t xml:space="preserve"> 56%</w:t>
      </w:r>
      <w:r w:rsidR="0005344D">
        <w:rPr>
          <w:rFonts w:ascii="Calibri" w:hAnsi="Calibri"/>
        </w:rPr>
        <w:t xml:space="preserve"> of</w:t>
      </w:r>
      <w:r w:rsidR="00DF47A9">
        <w:rPr>
          <w:rFonts w:ascii="Calibri" w:hAnsi="Calibri"/>
        </w:rPr>
        <w:t xml:space="preserve"> women reported having experienced physical violence</w:t>
      </w:r>
      <w:r w:rsidR="001A426F">
        <w:rPr>
          <w:rFonts w:ascii="Calibri" w:hAnsi="Calibri"/>
        </w:rPr>
        <w:t xml:space="preserve"> at some point in their lives</w:t>
      </w:r>
      <w:r w:rsidR="00BC2A99" w:rsidRPr="00B516CE">
        <w:rPr>
          <w:rFonts w:ascii="Calibri" w:hAnsi="Calibri"/>
        </w:rPr>
        <w:t xml:space="preserve">, </w:t>
      </w:r>
      <w:r w:rsidR="007C42EC">
        <w:rPr>
          <w:rFonts w:ascii="Calibri" w:hAnsi="Calibri"/>
        </w:rPr>
        <w:t xml:space="preserve">and </w:t>
      </w:r>
      <w:r w:rsidR="00BC2A99" w:rsidRPr="00B516CE">
        <w:rPr>
          <w:rFonts w:ascii="Calibri" w:hAnsi="Calibri"/>
        </w:rPr>
        <w:t xml:space="preserve">22% </w:t>
      </w:r>
      <w:r w:rsidR="007C42EC">
        <w:rPr>
          <w:rFonts w:ascii="Calibri" w:hAnsi="Calibri"/>
        </w:rPr>
        <w:t xml:space="preserve">of women aged 15 – 49 years have experienced </w:t>
      </w:r>
      <w:r w:rsidR="00DF47A9">
        <w:rPr>
          <w:rFonts w:ascii="Calibri" w:hAnsi="Calibri"/>
        </w:rPr>
        <w:t xml:space="preserve">sexual </w:t>
      </w:r>
      <w:r w:rsidR="00586CE0">
        <w:rPr>
          <w:rFonts w:ascii="Calibri" w:hAnsi="Calibri"/>
        </w:rPr>
        <w:t>violence</w:t>
      </w:r>
      <w:r w:rsidR="00DF47A9">
        <w:rPr>
          <w:rStyle w:val="FootnoteReference"/>
          <w:rFonts w:ascii="Calibri" w:hAnsi="Calibri"/>
        </w:rPr>
        <w:footnoteReference w:id="5"/>
      </w:r>
      <w:r w:rsidR="00DF47A9">
        <w:rPr>
          <w:rFonts w:ascii="Calibri" w:hAnsi="Calibri"/>
        </w:rPr>
        <w:t xml:space="preserve">. </w:t>
      </w:r>
      <w:r w:rsidR="00BC2A99" w:rsidRPr="00B516CE">
        <w:rPr>
          <w:rFonts w:ascii="Calibri" w:hAnsi="Calibri"/>
        </w:rPr>
        <w:t xml:space="preserve"> </w:t>
      </w:r>
      <w:r w:rsidR="00F03895">
        <w:rPr>
          <w:rFonts w:ascii="Calibri" w:hAnsi="Calibri"/>
        </w:rPr>
        <w:t xml:space="preserve">The COVID-19 pandemic has exacerbated the situation with increased cases of </w:t>
      </w:r>
      <w:r w:rsidR="00A90B63">
        <w:rPr>
          <w:rFonts w:ascii="Calibri" w:hAnsi="Calibri"/>
        </w:rPr>
        <w:t>S</w:t>
      </w:r>
      <w:r w:rsidR="00F03895">
        <w:rPr>
          <w:rFonts w:ascii="Calibri" w:hAnsi="Calibri"/>
        </w:rPr>
        <w:t>GBV</w:t>
      </w:r>
      <w:r w:rsidR="00A90B63">
        <w:rPr>
          <w:rFonts w:ascii="Calibri" w:hAnsi="Calibri"/>
        </w:rPr>
        <w:t>, early pregnancies and</w:t>
      </w:r>
      <w:r w:rsidR="00F03895">
        <w:rPr>
          <w:rFonts w:ascii="Calibri" w:hAnsi="Calibri"/>
        </w:rPr>
        <w:t xml:space="preserve"> cases of defilement against girls and children especially as a result of closure of schools and lockdown.  </w:t>
      </w:r>
      <w:r w:rsidR="005B618D">
        <w:rPr>
          <w:rFonts w:ascii="Calibri" w:hAnsi="Calibri"/>
        </w:rPr>
        <w:t>Rape or defilement is the third most common case reported to the police</w:t>
      </w:r>
      <w:r w:rsidR="005B618D" w:rsidRPr="00F15337">
        <w:rPr>
          <w:vertAlign w:val="superscript"/>
        </w:rPr>
        <w:footnoteReference w:id="6"/>
      </w:r>
      <w:r w:rsidR="005B618D">
        <w:rPr>
          <w:rFonts w:ascii="Calibri" w:hAnsi="Calibri"/>
        </w:rPr>
        <w:t xml:space="preserve"> while conviction rates remain low. There is</w:t>
      </w:r>
      <w:r w:rsidR="007C6252" w:rsidRPr="00B516CE">
        <w:rPr>
          <w:rFonts w:ascii="Calibri" w:hAnsi="Calibri"/>
        </w:rPr>
        <w:t xml:space="preserve"> unequal</w:t>
      </w:r>
      <w:r w:rsidR="00E51B2E" w:rsidRPr="00B516CE">
        <w:rPr>
          <w:rFonts w:ascii="Calibri" w:hAnsi="Calibri"/>
        </w:rPr>
        <w:t xml:space="preserve"> division of </w:t>
      </w:r>
      <w:r w:rsidR="00BC2A99" w:rsidRPr="00B516CE">
        <w:rPr>
          <w:rFonts w:ascii="Calibri" w:hAnsi="Calibri"/>
        </w:rPr>
        <w:t>unpaid care and domestic work, and discrimination in public office remain significant</w:t>
      </w:r>
      <w:r w:rsidR="00E51B2E" w:rsidRPr="00B516CE">
        <w:rPr>
          <w:rFonts w:ascii="Calibri" w:hAnsi="Calibri"/>
        </w:rPr>
        <w:t xml:space="preserve"> barriers to gender equality in </w:t>
      </w:r>
      <w:r w:rsidR="00BC2A99" w:rsidRPr="00B516CE">
        <w:rPr>
          <w:rFonts w:ascii="Calibri" w:hAnsi="Calibri"/>
        </w:rPr>
        <w:t>Uganda</w:t>
      </w:r>
      <w:r w:rsidR="00E51B2E" w:rsidRPr="00971B18">
        <w:rPr>
          <w:rFonts w:ascii="Calibri" w:hAnsi="Calibri"/>
          <w:vertAlign w:val="superscript"/>
        </w:rPr>
        <w:footnoteReference w:id="7"/>
      </w:r>
      <w:r w:rsidR="00BC2A99" w:rsidRPr="00B516CE">
        <w:rPr>
          <w:rFonts w:ascii="Calibri" w:hAnsi="Calibri"/>
        </w:rPr>
        <w:t>. Shocks, climate change and disasters continue to have a disproportionate effect on women and children</w:t>
      </w:r>
      <w:r w:rsidR="00513EDA" w:rsidRPr="00B516CE">
        <w:rPr>
          <w:rFonts w:ascii="Calibri" w:hAnsi="Calibri"/>
        </w:rPr>
        <w:t>.</w:t>
      </w:r>
      <w:r w:rsidR="00BC2A99">
        <w:rPr>
          <w:rFonts w:ascii="Calibri" w:hAnsi="Calibri"/>
        </w:rPr>
        <w:t xml:space="preserve"> </w:t>
      </w:r>
      <w:r w:rsidR="00513EDA" w:rsidRPr="00B516CE">
        <w:rPr>
          <w:rFonts w:ascii="Calibri" w:hAnsi="Calibri"/>
        </w:rPr>
        <w:t xml:space="preserve">Uganda has made strides in improving access to sexual and reproductive health services. </w:t>
      </w:r>
    </w:p>
    <w:p w14:paraId="7F6D03B8" w14:textId="77777777" w:rsidR="006F520A" w:rsidRPr="00B516CE" w:rsidRDefault="006F520A" w:rsidP="004E7D81">
      <w:pPr>
        <w:autoSpaceDE w:val="0"/>
        <w:autoSpaceDN w:val="0"/>
        <w:adjustRightInd w:val="0"/>
        <w:spacing w:after="0" w:line="240" w:lineRule="auto"/>
        <w:jc w:val="both"/>
        <w:rPr>
          <w:rFonts w:ascii="Calibri" w:hAnsi="Calibri"/>
        </w:rPr>
      </w:pPr>
    </w:p>
    <w:p w14:paraId="21AC2BA3" w14:textId="64D188DF" w:rsidR="00FE6D6A" w:rsidRDefault="00007432" w:rsidP="00B516CE">
      <w:pPr>
        <w:autoSpaceDE w:val="0"/>
        <w:autoSpaceDN w:val="0"/>
        <w:adjustRightInd w:val="0"/>
        <w:spacing w:after="0" w:line="240" w:lineRule="auto"/>
        <w:jc w:val="both"/>
        <w:rPr>
          <w:rFonts w:ascii="Calibri" w:hAnsi="Calibri"/>
        </w:rPr>
      </w:pPr>
      <w:r>
        <w:rPr>
          <w:rFonts w:ascii="Calibri" w:hAnsi="Calibri"/>
        </w:rPr>
        <w:t>The situation of women and girls is further complicated by the existence of p</w:t>
      </w:r>
      <w:r w:rsidR="00486971">
        <w:rPr>
          <w:rFonts w:ascii="Calibri" w:hAnsi="Calibri"/>
        </w:rPr>
        <w:t xml:space="preserve">ost conflict situations in </w:t>
      </w:r>
      <w:r>
        <w:rPr>
          <w:rFonts w:ascii="Calibri" w:hAnsi="Calibri"/>
        </w:rPr>
        <w:t xml:space="preserve">parts of </w:t>
      </w:r>
      <w:r w:rsidR="00486971">
        <w:rPr>
          <w:rFonts w:ascii="Calibri" w:hAnsi="Calibri"/>
        </w:rPr>
        <w:t xml:space="preserve">the country, </w:t>
      </w:r>
      <w:r w:rsidR="00100BAC">
        <w:rPr>
          <w:rFonts w:ascii="Calibri" w:hAnsi="Calibri"/>
        </w:rPr>
        <w:t xml:space="preserve">localised </w:t>
      </w:r>
      <w:r w:rsidR="00486971">
        <w:rPr>
          <w:rFonts w:ascii="Calibri" w:hAnsi="Calibri"/>
        </w:rPr>
        <w:t xml:space="preserve">conflicts </w:t>
      </w:r>
      <w:r>
        <w:rPr>
          <w:rFonts w:ascii="Calibri" w:hAnsi="Calibri"/>
        </w:rPr>
        <w:t xml:space="preserve">related to the extraction of </w:t>
      </w:r>
      <w:r w:rsidR="00486971">
        <w:rPr>
          <w:rFonts w:ascii="Calibri" w:hAnsi="Calibri"/>
        </w:rPr>
        <w:t>natural resources and the influx of refugees from neighbouring countries</w:t>
      </w:r>
      <w:r>
        <w:rPr>
          <w:rFonts w:ascii="Calibri" w:hAnsi="Calibri"/>
        </w:rPr>
        <w:t xml:space="preserve">. </w:t>
      </w:r>
    </w:p>
    <w:p w14:paraId="3984316B" w14:textId="77777777" w:rsidR="00100BAC" w:rsidRDefault="00100BAC" w:rsidP="00B516CE">
      <w:pPr>
        <w:autoSpaceDE w:val="0"/>
        <w:autoSpaceDN w:val="0"/>
        <w:adjustRightInd w:val="0"/>
        <w:spacing w:after="0" w:line="240" w:lineRule="auto"/>
        <w:jc w:val="both"/>
        <w:rPr>
          <w:rFonts w:ascii="Calibri" w:hAnsi="Calibri"/>
        </w:rPr>
      </w:pPr>
    </w:p>
    <w:p w14:paraId="6512C250" w14:textId="60746471" w:rsidR="00C5365C" w:rsidRPr="0033452D" w:rsidRDefault="00C5365C" w:rsidP="00B516CE">
      <w:pPr>
        <w:autoSpaceDE w:val="0"/>
        <w:autoSpaceDN w:val="0"/>
        <w:adjustRightInd w:val="0"/>
        <w:spacing w:after="0" w:line="240" w:lineRule="auto"/>
        <w:jc w:val="both"/>
        <w:rPr>
          <w:rFonts w:ascii="Calibri" w:hAnsi="Calibri"/>
        </w:rPr>
      </w:pPr>
    </w:p>
    <w:p w14:paraId="1BB55673" w14:textId="77777777" w:rsidR="00856ED5" w:rsidRPr="00E2573D" w:rsidRDefault="00856ED5" w:rsidP="0007283B">
      <w:pPr>
        <w:spacing w:after="0" w:line="240" w:lineRule="auto"/>
        <w:jc w:val="both"/>
        <w:rPr>
          <w:i/>
          <w:lang w:val="en-US"/>
        </w:rPr>
      </w:pPr>
    </w:p>
    <w:p w14:paraId="16C23606" w14:textId="77777777" w:rsidR="00235987" w:rsidRPr="0007283B" w:rsidRDefault="00856ED5" w:rsidP="00C371D6">
      <w:pPr>
        <w:pStyle w:val="ListParagraph"/>
        <w:numPr>
          <w:ilvl w:val="0"/>
          <w:numId w:val="15"/>
        </w:numPr>
        <w:ind w:left="426" w:hanging="426"/>
        <w:rPr>
          <w:rFonts w:ascii="Times New Roman" w:hAnsi="Times New Roman" w:cs="Times New Roman"/>
          <w:b/>
          <w:sz w:val="24"/>
          <w:szCs w:val="24"/>
        </w:rPr>
      </w:pPr>
      <w:r>
        <w:rPr>
          <w:rFonts w:ascii="Times New Roman" w:hAnsi="Times New Roman" w:cs="Times New Roman"/>
          <w:b/>
          <w:sz w:val="24"/>
          <w:szCs w:val="24"/>
        </w:rPr>
        <w:t>Selected t</w:t>
      </w:r>
      <w:r w:rsidR="008C278D">
        <w:rPr>
          <w:rFonts w:ascii="Times New Roman" w:hAnsi="Times New Roman" w:cs="Times New Roman"/>
          <w:b/>
          <w:sz w:val="24"/>
          <w:szCs w:val="24"/>
        </w:rPr>
        <w:t xml:space="preserve">hematic </w:t>
      </w:r>
      <w:r w:rsidR="008C3FE3">
        <w:rPr>
          <w:rFonts w:ascii="Times New Roman" w:hAnsi="Times New Roman" w:cs="Times New Roman"/>
          <w:b/>
          <w:sz w:val="24"/>
          <w:szCs w:val="24"/>
        </w:rPr>
        <w:t xml:space="preserve">areas </w:t>
      </w:r>
      <w:r>
        <w:rPr>
          <w:rFonts w:ascii="Times New Roman" w:hAnsi="Times New Roman" w:cs="Times New Roman"/>
          <w:b/>
          <w:sz w:val="24"/>
          <w:szCs w:val="24"/>
        </w:rPr>
        <w:t xml:space="preserve">of engagement </w:t>
      </w:r>
      <w:r w:rsidR="001345A6">
        <w:rPr>
          <w:rFonts w:ascii="Times New Roman" w:hAnsi="Times New Roman" w:cs="Times New Roman"/>
          <w:b/>
          <w:sz w:val="24"/>
          <w:szCs w:val="24"/>
        </w:rPr>
        <w:t>and</w:t>
      </w:r>
      <w:r w:rsidR="008C3FE3">
        <w:rPr>
          <w:rFonts w:ascii="Times New Roman" w:hAnsi="Times New Roman" w:cs="Times New Roman"/>
          <w:b/>
          <w:sz w:val="24"/>
          <w:szCs w:val="24"/>
        </w:rPr>
        <w:t xml:space="preserve"> </w:t>
      </w:r>
      <w:r w:rsidR="00846A82">
        <w:rPr>
          <w:rFonts w:ascii="Times New Roman" w:hAnsi="Times New Roman" w:cs="Times New Roman"/>
          <w:b/>
          <w:sz w:val="24"/>
          <w:szCs w:val="24"/>
        </w:rPr>
        <w:t xml:space="preserve">objectives </w:t>
      </w:r>
    </w:p>
    <w:p w14:paraId="1D32BC05" w14:textId="3A55AC28" w:rsidR="004A0308" w:rsidRPr="0047600B" w:rsidRDefault="004A0308" w:rsidP="004E7D81">
      <w:pPr>
        <w:spacing w:after="0" w:line="240" w:lineRule="auto"/>
        <w:jc w:val="both"/>
      </w:pPr>
    </w:p>
    <w:p w14:paraId="2EBA1E87" w14:textId="6C4F00D2" w:rsidR="00D526E2" w:rsidRDefault="00D526E2" w:rsidP="00F924AD">
      <w:pPr>
        <w:pStyle w:val="Default"/>
        <w:jc w:val="both"/>
        <w:rPr>
          <w:rFonts w:asciiTheme="minorHAnsi" w:hAnsiTheme="minorHAnsi" w:cstheme="minorHAnsi"/>
          <w:sz w:val="22"/>
          <w:szCs w:val="22"/>
        </w:rPr>
      </w:pPr>
      <w:r w:rsidRPr="00D526E2">
        <w:rPr>
          <w:rFonts w:asciiTheme="minorHAnsi" w:hAnsiTheme="minorHAnsi" w:cstheme="minorHAnsi"/>
          <w:sz w:val="22"/>
          <w:szCs w:val="22"/>
        </w:rPr>
        <w:t>The CLIP is closely linked to the 2021-2027 multi-annual indicative programme</w:t>
      </w:r>
      <w:r w:rsidR="00352F12">
        <w:rPr>
          <w:rFonts w:asciiTheme="minorHAnsi" w:hAnsiTheme="minorHAnsi" w:cstheme="minorHAnsi"/>
          <w:sz w:val="22"/>
          <w:szCs w:val="22"/>
        </w:rPr>
        <w:t xml:space="preserve"> (MIP)</w:t>
      </w:r>
      <w:r w:rsidRPr="00D526E2">
        <w:rPr>
          <w:rFonts w:asciiTheme="minorHAnsi" w:hAnsiTheme="minorHAnsi" w:cstheme="minorHAnsi"/>
          <w:sz w:val="22"/>
          <w:szCs w:val="22"/>
        </w:rPr>
        <w:t>, the Human Rights and Democracy Country Strategy</w:t>
      </w:r>
      <w:r w:rsidR="00BF17D2">
        <w:rPr>
          <w:rFonts w:asciiTheme="minorHAnsi" w:hAnsiTheme="minorHAnsi" w:cstheme="minorHAnsi"/>
          <w:sz w:val="22"/>
          <w:szCs w:val="22"/>
        </w:rPr>
        <w:t xml:space="preserve"> </w:t>
      </w:r>
      <w:r w:rsidR="0001370A">
        <w:rPr>
          <w:rFonts w:asciiTheme="minorHAnsi" w:hAnsiTheme="minorHAnsi" w:cstheme="minorHAnsi"/>
          <w:sz w:val="22"/>
          <w:szCs w:val="22"/>
        </w:rPr>
        <w:t xml:space="preserve">(HRDCS) </w:t>
      </w:r>
      <w:r w:rsidR="00BF17D2">
        <w:rPr>
          <w:rFonts w:asciiTheme="minorHAnsi" w:hAnsiTheme="minorHAnsi" w:cstheme="minorHAnsi"/>
          <w:sz w:val="22"/>
          <w:szCs w:val="22"/>
        </w:rPr>
        <w:t>2021-2024</w:t>
      </w:r>
      <w:r w:rsidRPr="00D526E2">
        <w:rPr>
          <w:rFonts w:asciiTheme="minorHAnsi" w:hAnsiTheme="minorHAnsi" w:cstheme="minorHAnsi"/>
          <w:sz w:val="22"/>
          <w:szCs w:val="22"/>
        </w:rPr>
        <w:t xml:space="preserve"> and the 2021-2027 </w:t>
      </w:r>
      <w:r w:rsidR="00BF17D2">
        <w:rPr>
          <w:rFonts w:asciiTheme="minorHAnsi" w:hAnsiTheme="minorHAnsi" w:cstheme="minorHAnsi"/>
          <w:sz w:val="22"/>
          <w:szCs w:val="22"/>
        </w:rPr>
        <w:t>C</w:t>
      </w:r>
      <w:r w:rsidRPr="00D526E2">
        <w:rPr>
          <w:rFonts w:asciiTheme="minorHAnsi" w:hAnsiTheme="minorHAnsi" w:cstheme="minorHAnsi"/>
          <w:sz w:val="22"/>
          <w:szCs w:val="22"/>
        </w:rPr>
        <w:t xml:space="preserve">ivil </w:t>
      </w:r>
      <w:r w:rsidR="00BF17D2">
        <w:rPr>
          <w:rFonts w:asciiTheme="minorHAnsi" w:hAnsiTheme="minorHAnsi" w:cstheme="minorHAnsi"/>
          <w:sz w:val="22"/>
          <w:szCs w:val="22"/>
        </w:rPr>
        <w:t>S</w:t>
      </w:r>
      <w:r w:rsidRPr="00D526E2">
        <w:rPr>
          <w:rFonts w:asciiTheme="minorHAnsi" w:hAnsiTheme="minorHAnsi" w:cstheme="minorHAnsi"/>
          <w:sz w:val="22"/>
          <w:szCs w:val="22"/>
        </w:rPr>
        <w:t xml:space="preserve">ociety </w:t>
      </w:r>
      <w:r w:rsidR="00BF17D2">
        <w:rPr>
          <w:rFonts w:asciiTheme="minorHAnsi" w:hAnsiTheme="minorHAnsi" w:cstheme="minorHAnsi"/>
          <w:sz w:val="22"/>
          <w:szCs w:val="22"/>
        </w:rPr>
        <w:t>R</w:t>
      </w:r>
      <w:r w:rsidRPr="00D526E2">
        <w:rPr>
          <w:rFonts w:asciiTheme="minorHAnsi" w:hAnsiTheme="minorHAnsi" w:cstheme="minorHAnsi"/>
          <w:sz w:val="22"/>
          <w:szCs w:val="22"/>
        </w:rPr>
        <w:t xml:space="preserve">oadmap. Gender equality is a cross-cutting and prominent themes in all three </w:t>
      </w:r>
      <w:r w:rsidR="00A90B63">
        <w:rPr>
          <w:rFonts w:asciiTheme="minorHAnsi" w:hAnsiTheme="minorHAnsi" w:cstheme="minorHAnsi"/>
          <w:sz w:val="22"/>
          <w:szCs w:val="22"/>
        </w:rPr>
        <w:t xml:space="preserve">strategic </w:t>
      </w:r>
      <w:r w:rsidRPr="00D526E2">
        <w:rPr>
          <w:rFonts w:asciiTheme="minorHAnsi" w:hAnsiTheme="minorHAnsi" w:cstheme="minorHAnsi"/>
          <w:sz w:val="22"/>
          <w:szCs w:val="22"/>
        </w:rPr>
        <w:t>documents.</w:t>
      </w:r>
    </w:p>
    <w:p w14:paraId="6350DEE3" w14:textId="77777777" w:rsidR="00D526E2" w:rsidRDefault="00D526E2" w:rsidP="00F924AD">
      <w:pPr>
        <w:pStyle w:val="Default"/>
        <w:jc w:val="both"/>
        <w:rPr>
          <w:rFonts w:asciiTheme="minorHAnsi" w:hAnsiTheme="minorHAnsi" w:cstheme="minorHAnsi"/>
          <w:sz w:val="22"/>
          <w:szCs w:val="22"/>
        </w:rPr>
      </w:pPr>
    </w:p>
    <w:p w14:paraId="52ED66FA" w14:textId="5445E3E9" w:rsidR="00B63F1A" w:rsidRDefault="00352F12" w:rsidP="00F924AD">
      <w:pPr>
        <w:pStyle w:val="Default"/>
        <w:jc w:val="both"/>
        <w:rPr>
          <w:sz w:val="22"/>
          <w:szCs w:val="22"/>
        </w:rPr>
      </w:pPr>
      <w:r>
        <w:rPr>
          <w:rFonts w:asciiTheme="minorHAnsi" w:hAnsiTheme="minorHAnsi" w:cstheme="minorHAnsi"/>
          <w:sz w:val="22"/>
          <w:szCs w:val="22"/>
        </w:rPr>
        <w:t>T</w:t>
      </w:r>
      <w:r w:rsidR="00B45D4C">
        <w:rPr>
          <w:rFonts w:asciiTheme="minorHAnsi" w:hAnsiTheme="minorHAnsi" w:cstheme="minorHAnsi"/>
          <w:sz w:val="22"/>
          <w:szCs w:val="22"/>
        </w:rPr>
        <w:t xml:space="preserve">he </w:t>
      </w:r>
      <w:r w:rsidR="00FD4030">
        <w:rPr>
          <w:rFonts w:asciiTheme="minorHAnsi" w:hAnsiTheme="minorHAnsi" w:cstheme="minorHAnsi"/>
          <w:sz w:val="22"/>
          <w:szCs w:val="22"/>
        </w:rPr>
        <w:t>2021</w:t>
      </w:r>
      <w:r w:rsidR="00B45D4C">
        <w:rPr>
          <w:rFonts w:asciiTheme="minorHAnsi" w:hAnsiTheme="minorHAnsi" w:cstheme="minorHAnsi"/>
          <w:sz w:val="22"/>
          <w:szCs w:val="22"/>
        </w:rPr>
        <w:t>–</w:t>
      </w:r>
      <w:r w:rsidR="00FD4030">
        <w:rPr>
          <w:rFonts w:asciiTheme="minorHAnsi" w:hAnsiTheme="minorHAnsi" w:cstheme="minorHAnsi"/>
          <w:sz w:val="22"/>
          <w:szCs w:val="22"/>
        </w:rPr>
        <w:t>2025</w:t>
      </w:r>
      <w:r w:rsidR="00B45D4C">
        <w:rPr>
          <w:rFonts w:asciiTheme="minorHAnsi" w:hAnsiTheme="minorHAnsi" w:cstheme="minorHAnsi"/>
          <w:sz w:val="22"/>
          <w:szCs w:val="22"/>
        </w:rPr>
        <w:t xml:space="preserve"> CLIP</w:t>
      </w:r>
      <w:r w:rsidR="00A01BE0" w:rsidRPr="00F924AD">
        <w:rPr>
          <w:rFonts w:asciiTheme="minorHAnsi" w:hAnsiTheme="minorHAnsi" w:cstheme="minorHAnsi"/>
          <w:sz w:val="22"/>
          <w:szCs w:val="22"/>
        </w:rPr>
        <w:t xml:space="preserve"> </w:t>
      </w:r>
      <w:r w:rsidR="00B45D4C">
        <w:rPr>
          <w:rFonts w:asciiTheme="minorHAnsi" w:hAnsiTheme="minorHAnsi" w:cstheme="minorHAnsi"/>
          <w:sz w:val="22"/>
          <w:szCs w:val="22"/>
        </w:rPr>
        <w:t xml:space="preserve">will focus </w:t>
      </w:r>
      <w:r w:rsidR="00FA6EAC">
        <w:rPr>
          <w:rFonts w:asciiTheme="minorHAnsi" w:hAnsiTheme="minorHAnsi" w:cstheme="minorHAnsi"/>
          <w:sz w:val="22"/>
          <w:szCs w:val="22"/>
        </w:rPr>
        <w:t>on the following five</w:t>
      </w:r>
      <w:r w:rsidR="00B45D4C">
        <w:rPr>
          <w:rFonts w:asciiTheme="minorHAnsi" w:hAnsiTheme="minorHAnsi" w:cstheme="minorHAnsi"/>
          <w:sz w:val="22"/>
          <w:szCs w:val="22"/>
        </w:rPr>
        <w:t xml:space="preserve"> </w:t>
      </w:r>
      <w:r w:rsidR="009662FA">
        <w:rPr>
          <w:rFonts w:asciiTheme="minorHAnsi" w:hAnsiTheme="minorHAnsi" w:cstheme="minorHAnsi"/>
          <w:sz w:val="22"/>
          <w:szCs w:val="22"/>
        </w:rPr>
        <w:t>key thematic policy</w:t>
      </w:r>
      <w:r w:rsidR="00B45D4C">
        <w:rPr>
          <w:rFonts w:asciiTheme="minorHAnsi" w:hAnsiTheme="minorHAnsi" w:cstheme="minorHAnsi"/>
          <w:sz w:val="22"/>
          <w:szCs w:val="22"/>
        </w:rPr>
        <w:t xml:space="preserve"> areas</w:t>
      </w:r>
      <w:r w:rsidR="002845CD">
        <w:rPr>
          <w:rFonts w:asciiTheme="minorHAnsi" w:hAnsiTheme="minorHAnsi" w:cstheme="minorHAnsi"/>
          <w:sz w:val="22"/>
          <w:szCs w:val="22"/>
        </w:rPr>
        <w:t xml:space="preserve"> </w:t>
      </w:r>
      <w:r w:rsidR="00B45D4C">
        <w:rPr>
          <w:rFonts w:asciiTheme="minorHAnsi" w:hAnsiTheme="minorHAnsi" w:cstheme="minorHAnsi"/>
          <w:sz w:val="22"/>
          <w:szCs w:val="22"/>
        </w:rPr>
        <w:t xml:space="preserve">of the </w:t>
      </w:r>
      <w:r>
        <w:rPr>
          <w:rFonts w:asciiTheme="minorHAnsi" w:hAnsiTheme="minorHAnsi" w:cstheme="minorHAnsi"/>
          <w:sz w:val="22"/>
          <w:szCs w:val="22"/>
        </w:rPr>
        <w:t>GAP III</w:t>
      </w:r>
      <w:r w:rsidR="00B45D4C">
        <w:rPr>
          <w:rFonts w:asciiTheme="minorHAnsi" w:hAnsiTheme="minorHAnsi" w:cstheme="minorHAnsi"/>
          <w:sz w:val="22"/>
          <w:szCs w:val="22"/>
        </w:rPr>
        <w:t>:</w:t>
      </w:r>
      <w:r w:rsidR="00A01BE0" w:rsidRPr="00F924AD">
        <w:rPr>
          <w:rFonts w:asciiTheme="minorHAnsi" w:hAnsiTheme="minorHAnsi" w:cstheme="minorHAnsi"/>
          <w:sz w:val="22"/>
          <w:szCs w:val="22"/>
        </w:rPr>
        <w:t xml:space="preserve"> </w:t>
      </w:r>
      <w:r w:rsidR="00A01BE0" w:rsidRPr="00F924AD">
        <w:rPr>
          <w:sz w:val="22"/>
          <w:szCs w:val="22"/>
        </w:rPr>
        <w:t xml:space="preserve">(i) </w:t>
      </w:r>
      <w:r w:rsidR="00B45D4C">
        <w:rPr>
          <w:bCs/>
          <w:sz w:val="22"/>
          <w:szCs w:val="22"/>
        </w:rPr>
        <w:t>e</w:t>
      </w:r>
      <w:r w:rsidR="00FD4030">
        <w:rPr>
          <w:bCs/>
          <w:sz w:val="22"/>
          <w:szCs w:val="22"/>
        </w:rPr>
        <w:t>nsuring freedom from all forms of gender-based violence</w:t>
      </w:r>
      <w:r w:rsidR="00A01BE0" w:rsidRPr="00F924AD">
        <w:rPr>
          <w:sz w:val="22"/>
          <w:szCs w:val="22"/>
        </w:rPr>
        <w:t xml:space="preserve">, (ii) </w:t>
      </w:r>
      <w:r w:rsidR="00B45D4C">
        <w:rPr>
          <w:sz w:val="22"/>
          <w:szCs w:val="22"/>
        </w:rPr>
        <w:t>p</w:t>
      </w:r>
      <w:r w:rsidR="00FD4030">
        <w:rPr>
          <w:sz w:val="22"/>
          <w:szCs w:val="22"/>
        </w:rPr>
        <w:t>romoting sexual and reproductive health and rights</w:t>
      </w:r>
      <w:r w:rsidR="00A01BE0" w:rsidRPr="00F924AD">
        <w:rPr>
          <w:sz w:val="22"/>
          <w:szCs w:val="22"/>
        </w:rPr>
        <w:t>, (iii)</w:t>
      </w:r>
      <w:r w:rsidR="00FD4030">
        <w:rPr>
          <w:sz w:val="22"/>
          <w:szCs w:val="22"/>
        </w:rPr>
        <w:t xml:space="preserve"> </w:t>
      </w:r>
      <w:r w:rsidR="00B45D4C">
        <w:rPr>
          <w:sz w:val="22"/>
          <w:szCs w:val="22"/>
        </w:rPr>
        <w:t>p</w:t>
      </w:r>
      <w:r w:rsidR="00FD4030">
        <w:rPr>
          <w:sz w:val="22"/>
          <w:szCs w:val="22"/>
        </w:rPr>
        <w:t>romoting economic and social rights and empowering girls and women</w:t>
      </w:r>
      <w:r w:rsidR="00137897">
        <w:rPr>
          <w:sz w:val="22"/>
          <w:szCs w:val="22"/>
        </w:rPr>
        <w:t xml:space="preserve">, (iv) </w:t>
      </w:r>
      <w:r w:rsidR="00B45D4C">
        <w:rPr>
          <w:sz w:val="22"/>
          <w:szCs w:val="22"/>
        </w:rPr>
        <w:t xml:space="preserve">advancing </w:t>
      </w:r>
      <w:r w:rsidR="00137897">
        <w:rPr>
          <w:sz w:val="22"/>
          <w:szCs w:val="22"/>
        </w:rPr>
        <w:lastRenderedPageBreak/>
        <w:t>equal participation and leadership, and (</w:t>
      </w:r>
      <w:r w:rsidR="00B45D4C">
        <w:rPr>
          <w:sz w:val="22"/>
          <w:szCs w:val="22"/>
        </w:rPr>
        <w:t>v</w:t>
      </w:r>
      <w:r w:rsidR="00137897">
        <w:rPr>
          <w:sz w:val="22"/>
          <w:szCs w:val="22"/>
        </w:rPr>
        <w:t xml:space="preserve">) </w:t>
      </w:r>
      <w:r w:rsidR="00B45D4C">
        <w:rPr>
          <w:sz w:val="22"/>
          <w:szCs w:val="22"/>
        </w:rPr>
        <w:t>i</w:t>
      </w:r>
      <w:r w:rsidR="00137897">
        <w:rPr>
          <w:sz w:val="22"/>
          <w:szCs w:val="22"/>
        </w:rPr>
        <w:t>ntegrating women, peace and security agenda</w:t>
      </w:r>
      <w:r w:rsidR="00C21E15">
        <w:rPr>
          <w:sz w:val="22"/>
          <w:szCs w:val="22"/>
        </w:rPr>
        <w:t>.</w:t>
      </w:r>
      <w:r w:rsidR="00FD4030">
        <w:rPr>
          <w:sz w:val="22"/>
          <w:szCs w:val="22"/>
        </w:rPr>
        <w:t xml:space="preserve"> </w:t>
      </w:r>
      <w:r w:rsidR="00A01BE0" w:rsidRPr="00F924AD">
        <w:rPr>
          <w:sz w:val="22"/>
          <w:szCs w:val="22"/>
        </w:rPr>
        <w:t xml:space="preserve"> </w:t>
      </w:r>
      <w:r w:rsidR="00137897">
        <w:rPr>
          <w:sz w:val="22"/>
          <w:szCs w:val="22"/>
        </w:rPr>
        <w:t>The</w:t>
      </w:r>
      <w:r>
        <w:rPr>
          <w:sz w:val="22"/>
          <w:szCs w:val="22"/>
        </w:rPr>
        <w:t xml:space="preserve"> selection</w:t>
      </w:r>
      <w:r w:rsidR="00F10308">
        <w:rPr>
          <w:sz w:val="22"/>
          <w:szCs w:val="22"/>
        </w:rPr>
        <w:t xml:space="preserve"> build</w:t>
      </w:r>
      <w:r>
        <w:rPr>
          <w:sz w:val="22"/>
          <w:szCs w:val="22"/>
        </w:rPr>
        <w:t>s</w:t>
      </w:r>
      <w:r w:rsidR="00F10308">
        <w:rPr>
          <w:sz w:val="22"/>
          <w:szCs w:val="22"/>
        </w:rPr>
        <w:t xml:space="preserve"> on priorities and lessons learnt from </w:t>
      </w:r>
      <w:r w:rsidR="00F30DFF">
        <w:rPr>
          <w:sz w:val="22"/>
          <w:szCs w:val="22"/>
        </w:rPr>
        <w:t xml:space="preserve">the </w:t>
      </w:r>
      <w:r w:rsidR="00F10308">
        <w:rPr>
          <w:sz w:val="22"/>
          <w:szCs w:val="22"/>
        </w:rPr>
        <w:t>GAP II</w:t>
      </w:r>
      <w:r w:rsidR="00F30DFF">
        <w:rPr>
          <w:sz w:val="22"/>
          <w:szCs w:val="22"/>
        </w:rPr>
        <w:t xml:space="preserve"> implementation</w:t>
      </w:r>
      <w:r>
        <w:rPr>
          <w:sz w:val="22"/>
          <w:szCs w:val="22"/>
        </w:rPr>
        <w:t xml:space="preserve"> and is aligned with the</w:t>
      </w:r>
      <w:r w:rsidR="00F670B7">
        <w:rPr>
          <w:sz w:val="22"/>
          <w:szCs w:val="22"/>
        </w:rPr>
        <w:t xml:space="preserve"> MIP priorities</w:t>
      </w:r>
      <w:r w:rsidR="00F62558">
        <w:rPr>
          <w:sz w:val="22"/>
          <w:szCs w:val="22"/>
        </w:rPr>
        <w:t xml:space="preserve">. </w:t>
      </w:r>
      <w:r w:rsidR="000A364F">
        <w:rPr>
          <w:sz w:val="22"/>
          <w:szCs w:val="22"/>
        </w:rPr>
        <w:t>The</w:t>
      </w:r>
      <w:r w:rsidR="00F30DFF">
        <w:rPr>
          <w:sz w:val="22"/>
          <w:szCs w:val="22"/>
        </w:rPr>
        <w:t xml:space="preserve"> above objectives</w:t>
      </w:r>
      <w:r w:rsidR="000A364F">
        <w:rPr>
          <w:sz w:val="22"/>
          <w:szCs w:val="22"/>
        </w:rPr>
        <w:t xml:space="preserve"> will be achieved through</w:t>
      </w:r>
      <w:r w:rsidR="00B714AD">
        <w:rPr>
          <w:sz w:val="22"/>
          <w:szCs w:val="22"/>
        </w:rPr>
        <w:t xml:space="preserve"> specific actions such as the EU-UN Spotlight initiative</w:t>
      </w:r>
      <w:r w:rsidR="00A90B63">
        <w:rPr>
          <w:sz w:val="22"/>
          <w:szCs w:val="22"/>
        </w:rPr>
        <w:t>, support to adolescent girls education</w:t>
      </w:r>
      <w:r w:rsidR="00B714AD">
        <w:rPr>
          <w:sz w:val="22"/>
          <w:szCs w:val="22"/>
        </w:rPr>
        <w:t xml:space="preserve"> and support to civil society</w:t>
      </w:r>
      <w:r w:rsidR="00324E34">
        <w:rPr>
          <w:sz w:val="22"/>
          <w:szCs w:val="22"/>
        </w:rPr>
        <w:t>. P</w:t>
      </w:r>
      <w:r w:rsidR="008F6C2E">
        <w:rPr>
          <w:sz w:val="22"/>
          <w:szCs w:val="22"/>
        </w:rPr>
        <w:t xml:space="preserve">olitical and policy </w:t>
      </w:r>
      <w:r w:rsidR="000A364F">
        <w:rPr>
          <w:sz w:val="22"/>
          <w:szCs w:val="22"/>
        </w:rPr>
        <w:t>dialogue with</w:t>
      </w:r>
      <w:r w:rsidR="008F6C2E">
        <w:rPr>
          <w:sz w:val="22"/>
          <w:szCs w:val="22"/>
        </w:rPr>
        <w:t xml:space="preserve"> the government and partnership</w:t>
      </w:r>
      <w:r w:rsidR="00067A1C">
        <w:rPr>
          <w:sz w:val="22"/>
          <w:szCs w:val="22"/>
        </w:rPr>
        <w:t>s</w:t>
      </w:r>
      <w:r w:rsidR="008F6C2E">
        <w:rPr>
          <w:sz w:val="22"/>
          <w:szCs w:val="22"/>
        </w:rPr>
        <w:t xml:space="preserve"> with EU Member States</w:t>
      </w:r>
      <w:r w:rsidR="00B714AD">
        <w:rPr>
          <w:sz w:val="22"/>
          <w:szCs w:val="22"/>
        </w:rPr>
        <w:t xml:space="preserve"> </w:t>
      </w:r>
      <w:r w:rsidR="00067A1C">
        <w:rPr>
          <w:sz w:val="22"/>
          <w:szCs w:val="22"/>
        </w:rPr>
        <w:t xml:space="preserve">as part of the </w:t>
      </w:r>
      <w:r w:rsidR="00B714AD">
        <w:rPr>
          <w:sz w:val="22"/>
          <w:szCs w:val="22"/>
        </w:rPr>
        <w:t>T</w:t>
      </w:r>
      <w:r w:rsidR="00067A1C">
        <w:rPr>
          <w:sz w:val="22"/>
          <w:szCs w:val="22"/>
        </w:rPr>
        <w:t>eam Europe initiative</w:t>
      </w:r>
      <w:r w:rsidR="00B714AD">
        <w:rPr>
          <w:sz w:val="22"/>
          <w:szCs w:val="22"/>
        </w:rPr>
        <w:t xml:space="preserve"> on demography and social inclusion</w:t>
      </w:r>
      <w:r w:rsidR="008F6C2E">
        <w:rPr>
          <w:sz w:val="22"/>
          <w:szCs w:val="22"/>
        </w:rPr>
        <w:t xml:space="preserve"> and </w:t>
      </w:r>
      <w:r w:rsidR="00067A1C">
        <w:rPr>
          <w:sz w:val="22"/>
          <w:szCs w:val="22"/>
        </w:rPr>
        <w:t xml:space="preserve">with </w:t>
      </w:r>
      <w:r w:rsidR="008F6C2E">
        <w:rPr>
          <w:sz w:val="22"/>
          <w:szCs w:val="22"/>
        </w:rPr>
        <w:t>the private sector</w:t>
      </w:r>
      <w:r w:rsidR="00067A1C">
        <w:rPr>
          <w:sz w:val="22"/>
          <w:szCs w:val="22"/>
        </w:rPr>
        <w:t xml:space="preserve"> such as </w:t>
      </w:r>
      <w:r w:rsidR="00B714AD">
        <w:rPr>
          <w:sz w:val="22"/>
          <w:szCs w:val="22"/>
        </w:rPr>
        <w:t>the Sustainable Business for Uganda Platform</w:t>
      </w:r>
      <w:r w:rsidR="00BF17D2">
        <w:rPr>
          <w:sz w:val="22"/>
          <w:szCs w:val="22"/>
        </w:rPr>
        <w:t xml:space="preserve"> (SB4U)</w:t>
      </w:r>
      <w:r w:rsidR="00324E34">
        <w:rPr>
          <w:sz w:val="22"/>
          <w:szCs w:val="22"/>
        </w:rPr>
        <w:t xml:space="preserve"> will also contribute to the achievement of the CLIP objectives</w:t>
      </w:r>
      <w:r w:rsidR="008F6C2E">
        <w:rPr>
          <w:sz w:val="22"/>
          <w:szCs w:val="22"/>
        </w:rPr>
        <w:t xml:space="preserve">. </w:t>
      </w:r>
      <w:r w:rsidR="00CE0ED5">
        <w:rPr>
          <w:sz w:val="22"/>
          <w:szCs w:val="22"/>
        </w:rPr>
        <w:t>The EU Delegation will also pursue a greater engagement with faith-based organisation</w:t>
      </w:r>
      <w:r w:rsidR="00324E34">
        <w:rPr>
          <w:sz w:val="22"/>
          <w:szCs w:val="22"/>
        </w:rPr>
        <w:t>s</w:t>
      </w:r>
      <w:r w:rsidR="00CE0ED5">
        <w:rPr>
          <w:sz w:val="22"/>
          <w:szCs w:val="22"/>
        </w:rPr>
        <w:t xml:space="preserve"> which play an essential role in shaping norms in the country</w:t>
      </w:r>
      <w:r w:rsidR="00324E34">
        <w:rPr>
          <w:sz w:val="22"/>
          <w:szCs w:val="22"/>
        </w:rPr>
        <w:t xml:space="preserve"> </w:t>
      </w:r>
      <w:r w:rsidR="00785FAA">
        <w:rPr>
          <w:sz w:val="22"/>
          <w:szCs w:val="22"/>
        </w:rPr>
        <w:t>as well as</w:t>
      </w:r>
      <w:r w:rsidR="00324E34">
        <w:rPr>
          <w:sz w:val="22"/>
          <w:szCs w:val="22"/>
        </w:rPr>
        <w:t xml:space="preserve"> with youth-based organisations</w:t>
      </w:r>
      <w:r w:rsidR="00CE0ED5">
        <w:rPr>
          <w:sz w:val="22"/>
          <w:szCs w:val="22"/>
        </w:rPr>
        <w:t>.</w:t>
      </w:r>
      <w:r w:rsidR="003E729B">
        <w:rPr>
          <w:sz w:val="22"/>
          <w:szCs w:val="22"/>
        </w:rPr>
        <w:t xml:space="preserve"> </w:t>
      </w:r>
    </w:p>
    <w:p w14:paraId="5D8F15E2" w14:textId="75E821A3" w:rsidR="009662FA" w:rsidRDefault="009662FA" w:rsidP="00F924AD">
      <w:pPr>
        <w:pStyle w:val="Default"/>
        <w:jc w:val="both"/>
        <w:rPr>
          <w:sz w:val="22"/>
          <w:szCs w:val="22"/>
        </w:rPr>
      </w:pPr>
    </w:p>
    <w:p w14:paraId="78946BB2" w14:textId="102B052E" w:rsidR="00E217B8" w:rsidRDefault="00E217B8" w:rsidP="00F924AD">
      <w:pPr>
        <w:pStyle w:val="Default"/>
        <w:jc w:val="both"/>
        <w:rPr>
          <w:sz w:val="22"/>
          <w:szCs w:val="22"/>
        </w:rPr>
      </w:pPr>
    </w:p>
    <w:p w14:paraId="70F47490" w14:textId="78F5384B" w:rsidR="00E217B8" w:rsidRPr="00F520B1" w:rsidRDefault="00E217B8" w:rsidP="00F924AD">
      <w:pPr>
        <w:pStyle w:val="Default"/>
        <w:jc w:val="both"/>
        <w:rPr>
          <w:b/>
          <w:sz w:val="22"/>
          <w:szCs w:val="22"/>
        </w:rPr>
      </w:pPr>
      <w:r w:rsidRPr="00F520B1">
        <w:rPr>
          <w:b/>
          <w:sz w:val="22"/>
          <w:szCs w:val="22"/>
        </w:rPr>
        <w:t xml:space="preserve">Priority area I- </w:t>
      </w:r>
      <w:r w:rsidR="007811A3">
        <w:rPr>
          <w:b/>
          <w:sz w:val="22"/>
          <w:szCs w:val="22"/>
        </w:rPr>
        <w:t>Ensuring freedom from all forms of gender-based violence</w:t>
      </w:r>
      <w:r w:rsidRPr="00F520B1">
        <w:rPr>
          <w:b/>
          <w:sz w:val="22"/>
          <w:szCs w:val="22"/>
        </w:rPr>
        <w:t xml:space="preserve"> </w:t>
      </w:r>
    </w:p>
    <w:p w14:paraId="197C7A8D" w14:textId="68FCED1C" w:rsidR="00DB5B59" w:rsidRPr="00F3459A" w:rsidRDefault="00E217B8">
      <w:pPr>
        <w:autoSpaceDE w:val="0"/>
        <w:autoSpaceDN w:val="0"/>
        <w:adjustRightInd w:val="0"/>
        <w:spacing w:after="0" w:line="240" w:lineRule="auto"/>
        <w:rPr>
          <w:rFonts w:cstheme="minorHAnsi"/>
          <w:color w:val="000000"/>
        </w:rPr>
      </w:pPr>
      <w:r w:rsidRPr="00F3459A">
        <w:rPr>
          <w:rFonts w:cstheme="minorHAnsi"/>
          <w:color w:val="000000"/>
        </w:rPr>
        <w:t xml:space="preserve">Overall objective- </w:t>
      </w:r>
      <w:r w:rsidR="00F670B7" w:rsidRPr="00F3459A">
        <w:rPr>
          <w:rFonts w:cstheme="minorHAnsi"/>
          <w:color w:val="000000"/>
        </w:rPr>
        <w:t>Women and girls</w:t>
      </w:r>
      <w:r w:rsidR="00DB5B59" w:rsidRPr="00F3459A">
        <w:rPr>
          <w:rFonts w:cstheme="minorHAnsi"/>
          <w:color w:val="000000"/>
        </w:rPr>
        <w:t xml:space="preserve"> are free from all forms of </w:t>
      </w:r>
      <w:r w:rsidR="00F670B7" w:rsidRPr="00F3459A">
        <w:rPr>
          <w:rFonts w:cstheme="minorHAnsi"/>
          <w:color w:val="000000"/>
        </w:rPr>
        <w:t>gender-based violence</w:t>
      </w:r>
      <w:r w:rsidR="00C20F20">
        <w:rPr>
          <w:rFonts w:cstheme="minorHAnsi"/>
          <w:color w:val="000000"/>
        </w:rPr>
        <w:t xml:space="preserve"> (priority areas 3 of the MIP</w:t>
      </w:r>
      <w:r w:rsidR="00C5385A">
        <w:rPr>
          <w:rFonts w:cstheme="minorHAnsi"/>
          <w:color w:val="000000"/>
        </w:rPr>
        <w:t>, priority 3 of the HRDCS</w:t>
      </w:r>
      <w:r w:rsidR="00C20F20">
        <w:rPr>
          <w:rFonts w:cstheme="minorHAnsi"/>
          <w:color w:val="000000"/>
        </w:rPr>
        <w:t>)</w:t>
      </w:r>
      <w:r w:rsidR="00DB5B59" w:rsidRPr="00F3459A">
        <w:rPr>
          <w:rFonts w:cstheme="minorHAnsi"/>
          <w:color w:val="000000"/>
        </w:rPr>
        <w:t>.</w:t>
      </w:r>
    </w:p>
    <w:p w14:paraId="6D289D8A" w14:textId="352780A8" w:rsidR="00960B71" w:rsidRDefault="00960B71" w:rsidP="00DB5B59">
      <w:pPr>
        <w:pStyle w:val="Default"/>
        <w:jc w:val="both"/>
        <w:rPr>
          <w:sz w:val="22"/>
          <w:szCs w:val="22"/>
        </w:rPr>
      </w:pPr>
    </w:p>
    <w:p w14:paraId="4D34B9DE" w14:textId="1183D59C" w:rsidR="00DB5B59" w:rsidRDefault="00DB5B59" w:rsidP="00DB5B59">
      <w:pPr>
        <w:pStyle w:val="Default"/>
        <w:jc w:val="both"/>
        <w:rPr>
          <w:sz w:val="22"/>
          <w:szCs w:val="22"/>
        </w:rPr>
      </w:pPr>
      <w:r>
        <w:rPr>
          <w:sz w:val="22"/>
          <w:szCs w:val="22"/>
        </w:rPr>
        <w:t xml:space="preserve">Despite positive trends in legislation and actions to eliminate GBV in Uganda, women continue to be subject to various forms of </w:t>
      </w:r>
      <w:r w:rsidR="001E7EA2">
        <w:rPr>
          <w:sz w:val="22"/>
          <w:szCs w:val="22"/>
        </w:rPr>
        <w:t xml:space="preserve">abuse and </w:t>
      </w:r>
      <w:r w:rsidR="002845CD">
        <w:rPr>
          <w:sz w:val="22"/>
          <w:szCs w:val="22"/>
        </w:rPr>
        <w:t>violence, including</w:t>
      </w:r>
      <w:r w:rsidR="001E7EA2">
        <w:rPr>
          <w:sz w:val="22"/>
          <w:szCs w:val="22"/>
        </w:rPr>
        <w:t xml:space="preserve"> physical, sexual, emotional and economic abuse. </w:t>
      </w:r>
      <w:r w:rsidR="00AC1228">
        <w:rPr>
          <w:sz w:val="22"/>
          <w:szCs w:val="22"/>
        </w:rPr>
        <w:t xml:space="preserve"> </w:t>
      </w:r>
      <w:r w:rsidR="00221F56">
        <w:rPr>
          <w:sz w:val="22"/>
          <w:szCs w:val="22"/>
        </w:rPr>
        <w:t xml:space="preserve">The impact of COVID-19 lockdown and school closures has worsened the situation. </w:t>
      </w:r>
      <w:r w:rsidR="007C2A15">
        <w:rPr>
          <w:sz w:val="22"/>
          <w:szCs w:val="22"/>
        </w:rPr>
        <w:t xml:space="preserve">The EU in Uganda intends to use a transformative approach </w:t>
      </w:r>
      <w:r w:rsidR="00785FAA">
        <w:rPr>
          <w:sz w:val="22"/>
          <w:szCs w:val="22"/>
        </w:rPr>
        <w:t>and</w:t>
      </w:r>
      <w:r w:rsidR="007C2A15">
        <w:rPr>
          <w:sz w:val="22"/>
          <w:szCs w:val="22"/>
        </w:rPr>
        <w:t xml:space="preserve"> </w:t>
      </w:r>
      <w:r w:rsidR="00785FAA">
        <w:rPr>
          <w:sz w:val="22"/>
          <w:szCs w:val="22"/>
        </w:rPr>
        <w:t xml:space="preserve">also </w:t>
      </w:r>
      <w:r w:rsidR="007C2A15">
        <w:rPr>
          <w:sz w:val="22"/>
          <w:szCs w:val="22"/>
        </w:rPr>
        <w:t xml:space="preserve">increase men and boys’ engagement as champions of change. </w:t>
      </w:r>
      <w:r w:rsidR="00480B6F">
        <w:rPr>
          <w:sz w:val="22"/>
          <w:szCs w:val="22"/>
        </w:rPr>
        <w:t>T</w:t>
      </w:r>
      <w:r w:rsidR="009A265F">
        <w:rPr>
          <w:sz w:val="22"/>
          <w:szCs w:val="22"/>
        </w:rPr>
        <w:t xml:space="preserve">he </w:t>
      </w:r>
      <w:r w:rsidR="001E7EA2">
        <w:rPr>
          <w:sz w:val="22"/>
          <w:szCs w:val="22"/>
        </w:rPr>
        <w:t xml:space="preserve">specific </w:t>
      </w:r>
      <w:r w:rsidR="009A265F">
        <w:rPr>
          <w:sz w:val="22"/>
          <w:szCs w:val="22"/>
        </w:rPr>
        <w:t>objectives</w:t>
      </w:r>
      <w:r w:rsidR="001E7EA2">
        <w:rPr>
          <w:sz w:val="22"/>
          <w:szCs w:val="22"/>
        </w:rPr>
        <w:t xml:space="preserve"> under this priority </w:t>
      </w:r>
      <w:r w:rsidR="00480B6F">
        <w:rPr>
          <w:sz w:val="22"/>
          <w:szCs w:val="22"/>
        </w:rPr>
        <w:t>are:</w:t>
      </w:r>
      <w:r>
        <w:rPr>
          <w:sz w:val="22"/>
          <w:szCs w:val="22"/>
        </w:rPr>
        <w:t xml:space="preserve"> </w:t>
      </w:r>
    </w:p>
    <w:p w14:paraId="55E0EB33" w14:textId="0F08D75E" w:rsidR="00E643C1" w:rsidRDefault="006427ED" w:rsidP="00E643C1">
      <w:pPr>
        <w:pStyle w:val="Default"/>
        <w:numPr>
          <w:ilvl w:val="1"/>
          <w:numId w:val="59"/>
        </w:numPr>
        <w:jc w:val="both"/>
        <w:rPr>
          <w:rFonts w:asciiTheme="minorHAnsi" w:hAnsiTheme="minorHAnsi" w:cstheme="minorHAnsi"/>
          <w:sz w:val="22"/>
          <w:szCs w:val="22"/>
        </w:rPr>
      </w:pPr>
      <w:r w:rsidRPr="004E7D81">
        <w:rPr>
          <w:rFonts w:asciiTheme="minorHAnsi" w:hAnsiTheme="minorHAnsi" w:cstheme="minorHAnsi"/>
          <w:sz w:val="22"/>
          <w:szCs w:val="22"/>
        </w:rPr>
        <w:t>Women and girls are</w:t>
      </w:r>
      <w:r w:rsidR="009C4159" w:rsidRPr="004E7D81">
        <w:rPr>
          <w:rFonts w:asciiTheme="minorHAnsi" w:hAnsiTheme="minorHAnsi" w:cstheme="minorHAnsi"/>
          <w:sz w:val="22"/>
          <w:szCs w:val="22"/>
        </w:rPr>
        <w:t xml:space="preserve"> protected from all forms o</w:t>
      </w:r>
      <w:r w:rsidRPr="004E7D81">
        <w:rPr>
          <w:rFonts w:asciiTheme="minorHAnsi" w:hAnsiTheme="minorHAnsi" w:cstheme="minorHAnsi"/>
          <w:sz w:val="22"/>
          <w:szCs w:val="22"/>
        </w:rPr>
        <w:t xml:space="preserve">f gender-based </w:t>
      </w:r>
      <w:r w:rsidR="009A265F" w:rsidRPr="004E7D81">
        <w:rPr>
          <w:rFonts w:asciiTheme="minorHAnsi" w:hAnsiTheme="minorHAnsi" w:cstheme="minorHAnsi"/>
          <w:sz w:val="22"/>
          <w:szCs w:val="22"/>
        </w:rPr>
        <w:t>violence through</w:t>
      </w:r>
      <w:r w:rsidR="009C4159" w:rsidRPr="004E7D81">
        <w:rPr>
          <w:rFonts w:asciiTheme="minorHAnsi" w:hAnsiTheme="minorHAnsi" w:cstheme="minorHAnsi"/>
          <w:sz w:val="22"/>
          <w:szCs w:val="22"/>
        </w:rPr>
        <w:t xml:space="preserve"> legislation and effective enforcement</w:t>
      </w:r>
      <w:r w:rsidR="009A265F">
        <w:rPr>
          <w:rFonts w:asciiTheme="minorHAnsi" w:hAnsiTheme="minorHAnsi" w:cstheme="minorHAnsi"/>
          <w:sz w:val="22"/>
          <w:szCs w:val="22"/>
        </w:rPr>
        <w:t xml:space="preserve">. </w:t>
      </w:r>
    </w:p>
    <w:p w14:paraId="76868DFB" w14:textId="55B88E18" w:rsidR="00E643C1" w:rsidRDefault="00DD4DB5" w:rsidP="00E643C1">
      <w:pPr>
        <w:pStyle w:val="Default"/>
        <w:numPr>
          <w:ilvl w:val="1"/>
          <w:numId w:val="59"/>
        </w:numPr>
        <w:jc w:val="both"/>
        <w:rPr>
          <w:rFonts w:asciiTheme="minorHAnsi" w:hAnsiTheme="minorHAnsi" w:cstheme="minorHAnsi"/>
          <w:sz w:val="22"/>
          <w:szCs w:val="22"/>
        </w:rPr>
      </w:pPr>
      <w:r>
        <w:rPr>
          <w:rFonts w:asciiTheme="minorHAnsi" w:hAnsiTheme="minorHAnsi" w:cstheme="minorHAnsi"/>
          <w:sz w:val="22"/>
          <w:szCs w:val="22"/>
        </w:rPr>
        <w:t xml:space="preserve"> </w:t>
      </w:r>
      <w:r w:rsidR="009C4159" w:rsidRPr="00E643C1">
        <w:rPr>
          <w:rFonts w:asciiTheme="minorHAnsi" w:hAnsiTheme="minorHAnsi" w:cstheme="minorHAnsi"/>
          <w:sz w:val="22"/>
          <w:szCs w:val="22"/>
        </w:rPr>
        <w:t xml:space="preserve">Women, men, girls </w:t>
      </w:r>
      <w:r w:rsidR="00627146" w:rsidRPr="00E643C1">
        <w:rPr>
          <w:rFonts w:asciiTheme="minorHAnsi" w:hAnsiTheme="minorHAnsi" w:cstheme="minorHAnsi"/>
          <w:sz w:val="22"/>
          <w:szCs w:val="22"/>
        </w:rPr>
        <w:t>and boys</w:t>
      </w:r>
      <w:r w:rsidR="006427ED" w:rsidRPr="00E643C1">
        <w:rPr>
          <w:rFonts w:asciiTheme="minorHAnsi" w:hAnsiTheme="minorHAnsi" w:cstheme="minorHAnsi"/>
          <w:sz w:val="22"/>
          <w:szCs w:val="22"/>
        </w:rPr>
        <w:t xml:space="preserve"> </w:t>
      </w:r>
      <w:r w:rsidR="009C4159" w:rsidRPr="00E643C1">
        <w:rPr>
          <w:rFonts w:asciiTheme="minorHAnsi" w:hAnsiTheme="minorHAnsi" w:cstheme="minorHAnsi"/>
          <w:sz w:val="22"/>
          <w:szCs w:val="22"/>
        </w:rPr>
        <w:t>are agents of change</w:t>
      </w:r>
      <w:r w:rsidR="00AC5E2E">
        <w:rPr>
          <w:rFonts w:asciiTheme="minorHAnsi" w:hAnsiTheme="minorHAnsi" w:cstheme="minorHAnsi"/>
          <w:sz w:val="22"/>
          <w:szCs w:val="22"/>
        </w:rPr>
        <w:t xml:space="preserve"> </w:t>
      </w:r>
      <w:r w:rsidR="009C4159" w:rsidRPr="00E643C1">
        <w:rPr>
          <w:rFonts w:asciiTheme="minorHAnsi" w:hAnsiTheme="minorHAnsi" w:cstheme="minorHAnsi"/>
          <w:sz w:val="22"/>
          <w:szCs w:val="22"/>
        </w:rPr>
        <w:t>regarding discriminatory social norms, gender s</w:t>
      </w:r>
      <w:r w:rsidR="006427ED" w:rsidRPr="00E643C1">
        <w:rPr>
          <w:rFonts w:asciiTheme="minorHAnsi" w:hAnsiTheme="minorHAnsi" w:cstheme="minorHAnsi"/>
          <w:sz w:val="22"/>
          <w:szCs w:val="22"/>
        </w:rPr>
        <w:t>tereotypes</w:t>
      </w:r>
      <w:r w:rsidR="00B32163" w:rsidRPr="00E643C1">
        <w:rPr>
          <w:rFonts w:asciiTheme="minorHAnsi" w:hAnsiTheme="minorHAnsi" w:cstheme="minorHAnsi"/>
          <w:sz w:val="22"/>
          <w:szCs w:val="22"/>
        </w:rPr>
        <w:t xml:space="preserve">. </w:t>
      </w:r>
    </w:p>
    <w:p w14:paraId="5FDA76ED" w14:textId="70A1CA3F" w:rsidR="009C4159" w:rsidRPr="000D58FF" w:rsidRDefault="000D58FF" w:rsidP="000D58FF">
      <w:pPr>
        <w:pStyle w:val="Default"/>
        <w:numPr>
          <w:ilvl w:val="1"/>
          <w:numId w:val="59"/>
        </w:numPr>
        <w:jc w:val="both"/>
        <w:rPr>
          <w:rFonts w:asciiTheme="minorHAnsi" w:hAnsiTheme="minorHAnsi" w:cstheme="minorHAnsi"/>
          <w:sz w:val="22"/>
          <w:szCs w:val="22"/>
        </w:rPr>
      </w:pPr>
      <w:r w:rsidRPr="00393DEE">
        <w:rPr>
          <w:rFonts w:asciiTheme="minorHAnsi" w:hAnsiTheme="minorHAnsi" w:cstheme="minorHAnsi"/>
          <w:sz w:val="22"/>
          <w:szCs w:val="22"/>
        </w:rPr>
        <w:t>P</w:t>
      </w:r>
      <w:r>
        <w:rPr>
          <w:rFonts w:asciiTheme="minorHAnsi" w:hAnsiTheme="minorHAnsi" w:cstheme="minorHAnsi"/>
          <w:sz w:val="22"/>
          <w:szCs w:val="22"/>
        </w:rPr>
        <w:t>romote</w:t>
      </w:r>
      <w:r w:rsidRPr="00393DEE">
        <w:rPr>
          <w:rFonts w:asciiTheme="minorHAnsi" w:hAnsiTheme="minorHAnsi" w:cstheme="minorHAnsi"/>
          <w:sz w:val="22"/>
          <w:szCs w:val="22"/>
        </w:rPr>
        <w:t xml:space="preserve"> the provision of medical, psycho-social, legal and safety support to victims/survivors of conflict-related sexual and/or SGBV. </w:t>
      </w:r>
      <w:r w:rsidR="00B32163" w:rsidRPr="000D58FF">
        <w:rPr>
          <w:rFonts w:asciiTheme="minorHAnsi" w:hAnsiTheme="minorHAnsi" w:cstheme="minorHAnsi"/>
          <w:sz w:val="22"/>
          <w:szCs w:val="22"/>
        </w:rPr>
        <w:t xml:space="preserve"> </w:t>
      </w:r>
    </w:p>
    <w:p w14:paraId="14091DDB" w14:textId="1B490EA5" w:rsidR="004C0752" w:rsidRDefault="006427ED" w:rsidP="004C0752">
      <w:pPr>
        <w:pStyle w:val="Default"/>
        <w:numPr>
          <w:ilvl w:val="1"/>
          <w:numId w:val="59"/>
        </w:numPr>
        <w:jc w:val="both"/>
        <w:rPr>
          <w:rFonts w:asciiTheme="minorHAnsi" w:hAnsiTheme="minorHAnsi" w:cstheme="minorHAnsi"/>
          <w:sz w:val="22"/>
          <w:szCs w:val="22"/>
        </w:rPr>
      </w:pPr>
      <w:r w:rsidRPr="004C0752">
        <w:rPr>
          <w:rFonts w:asciiTheme="minorHAnsi" w:hAnsiTheme="minorHAnsi" w:cstheme="minorHAnsi"/>
          <w:sz w:val="22"/>
          <w:szCs w:val="22"/>
        </w:rPr>
        <w:t>Women and girls are</w:t>
      </w:r>
      <w:r w:rsidR="009C4159" w:rsidRPr="004C0752">
        <w:rPr>
          <w:rFonts w:asciiTheme="minorHAnsi" w:hAnsiTheme="minorHAnsi" w:cstheme="minorHAnsi"/>
          <w:sz w:val="22"/>
          <w:szCs w:val="22"/>
        </w:rPr>
        <w:t xml:space="preserve"> protected from </w:t>
      </w:r>
      <w:r w:rsidR="009C3354">
        <w:rPr>
          <w:rFonts w:asciiTheme="minorHAnsi" w:hAnsiTheme="minorHAnsi" w:cstheme="minorHAnsi"/>
          <w:sz w:val="22"/>
          <w:szCs w:val="22"/>
        </w:rPr>
        <w:t>SGBV</w:t>
      </w:r>
      <w:r w:rsidR="00221F56">
        <w:rPr>
          <w:rFonts w:asciiTheme="minorHAnsi" w:hAnsiTheme="minorHAnsi" w:cstheme="minorHAnsi"/>
          <w:sz w:val="22"/>
          <w:szCs w:val="22"/>
        </w:rPr>
        <w:t xml:space="preserve"> in</w:t>
      </w:r>
      <w:r w:rsidR="009C4159" w:rsidRPr="004C0752">
        <w:rPr>
          <w:rFonts w:asciiTheme="minorHAnsi" w:hAnsiTheme="minorHAnsi" w:cstheme="minorHAnsi"/>
          <w:sz w:val="22"/>
          <w:szCs w:val="22"/>
        </w:rPr>
        <w:t xml:space="preserve"> humanitarian</w:t>
      </w:r>
      <w:r w:rsidR="00221F56">
        <w:rPr>
          <w:rFonts w:asciiTheme="minorHAnsi" w:hAnsiTheme="minorHAnsi" w:cstheme="minorHAnsi"/>
          <w:sz w:val="22"/>
          <w:szCs w:val="22"/>
        </w:rPr>
        <w:t xml:space="preserve"> (refugees and those displaced)</w:t>
      </w:r>
      <w:r w:rsidR="009C4159" w:rsidRPr="004C0752">
        <w:rPr>
          <w:rFonts w:asciiTheme="minorHAnsi" w:hAnsiTheme="minorHAnsi" w:cstheme="minorHAnsi"/>
          <w:sz w:val="22"/>
          <w:szCs w:val="22"/>
        </w:rPr>
        <w:t xml:space="preserve"> crisis situations</w:t>
      </w:r>
      <w:r w:rsidR="00F12B6A">
        <w:rPr>
          <w:rFonts w:asciiTheme="minorHAnsi" w:hAnsiTheme="minorHAnsi" w:cstheme="minorHAnsi"/>
          <w:sz w:val="22"/>
          <w:szCs w:val="22"/>
        </w:rPr>
        <w:t>.</w:t>
      </w:r>
      <w:r w:rsidR="00A75918" w:rsidRPr="004C0752">
        <w:rPr>
          <w:rFonts w:asciiTheme="minorHAnsi" w:hAnsiTheme="minorHAnsi" w:cstheme="minorHAnsi"/>
          <w:sz w:val="22"/>
          <w:szCs w:val="22"/>
        </w:rPr>
        <w:t xml:space="preserve"> </w:t>
      </w:r>
    </w:p>
    <w:p w14:paraId="33E2EEDA" w14:textId="0D59BD6C" w:rsidR="001E7EA2" w:rsidRDefault="009C4159" w:rsidP="004C0752">
      <w:pPr>
        <w:pStyle w:val="Default"/>
        <w:numPr>
          <w:ilvl w:val="1"/>
          <w:numId w:val="59"/>
        </w:numPr>
        <w:jc w:val="both"/>
        <w:rPr>
          <w:rFonts w:asciiTheme="minorHAnsi" w:hAnsiTheme="minorHAnsi" w:cstheme="minorHAnsi"/>
          <w:sz w:val="22"/>
          <w:szCs w:val="22"/>
        </w:rPr>
      </w:pPr>
      <w:r w:rsidRPr="004C0752">
        <w:rPr>
          <w:rFonts w:asciiTheme="minorHAnsi" w:hAnsiTheme="minorHAnsi" w:cstheme="minorHAnsi"/>
          <w:sz w:val="22"/>
          <w:szCs w:val="22"/>
        </w:rPr>
        <w:t xml:space="preserve">Women’s rights organisations, </w:t>
      </w:r>
      <w:r w:rsidR="00672EF4">
        <w:rPr>
          <w:rFonts w:asciiTheme="minorHAnsi" w:hAnsiTheme="minorHAnsi" w:cstheme="minorHAnsi"/>
          <w:sz w:val="22"/>
          <w:szCs w:val="22"/>
        </w:rPr>
        <w:t xml:space="preserve">women human rights defenders (WHRDs), </w:t>
      </w:r>
      <w:r w:rsidRPr="004C0752">
        <w:rPr>
          <w:rFonts w:asciiTheme="minorHAnsi" w:hAnsiTheme="minorHAnsi" w:cstheme="minorHAnsi"/>
          <w:sz w:val="22"/>
          <w:szCs w:val="22"/>
        </w:rPr>
        <w:t xml:space="preserve">social movements and other civil society organisations are influential in ending </w:t>
      </w:r>
      <w:r w:rsidR="00AE71A9">
        <w:rPr>
          <w:rFonts w:asciiTheme="minorHAnsi" w:hAnsiTheme="minorHAnsi" w:cstheme="minorHAnsi"/>
          <w:sz w:val="22"/>
          <w:szCs w:val="22"/>
        </w:rPr>
        <w:t>GBV</w:t>
      </w:r>
      <w:r w:rsidR="00A75918" w:rsidRPr="004C0752">
        <w:rPr>
          <w:rFonts w:asciiTheme="minorHAnsi" w:hAnsiTheme="minorHAnsi" w:cstheme="minorHAnsi"/>
          <w:sz w:val="22"/>
          <w:szCs w:val="22"/>
        </w:rPr>
        <w:t>.</w:t>
      </w:r>
      <w:r w:rsidR="00672EF4">
        <w:rPr>
          <w:rStyle w:val="FootnoteReference"/>
          <w:rFonts w:asciiTheme="minorHAnsi" w:hAnsiTheme="minorHAnsi" w:cstheme="minorHAnsi"/>
          <w:sz w:val="22"/>
          <w:szCs w:val="22"/>
        </w:rPr>
        <w:footnoteReference w:id="8"/>
      </w:r>
    </w:p>
    <w:p w14:paraId="46C49168" w14:textId="77777777" w:rsidR="000D58FF" w:rsidRPr="004C0752" w:rsidRDefault="000D58FF" w:rsidP="000D58FF">
      <w:pPr>
        <w:pStyle w:val="Default"/>
        <w:ind w:left="1080"/>
        <w:jc w:val="both"/>
        <w:rPr>
          <w:rFonts w:asciiTheme="minorHAnsi" w:hAnsiTheme="minorHAnsi" w:cstheme="minorHAnsi"/>
          <w:sz w:val="22"/>
          <w:szCs w:val="22"/>
        </w:rPr>
      </w:pPr>
    </w:p>
    <w:p w14:paraId="362B2461" w14:textId="233CAD30" w:rsidR="004F308E" w:rsidRDefault="004F308E" w:rsidP="0051704F">
      <w:pPr>
        <w:pStyle w:val="Default"/>
        <w:jc w:val="both"/>
        <w:rPr>
          <w:rFonts w:asciiTheme="minorHAnsi" w:hAnsiTheme="minorHAnsi" w:cstheme="minorHAnsi"/>
          <w:sz w:val="22"/>
          <w:szCs w:val="22"/>
        </w:rPr>
      </w:pPr>
    </w:p>
    <w:p w14:paraId="52CFF328" w14:textId="77777777" w:rsidR="00BB177E" w:rsidRPr="00C677F4" w:rsidRDefault="00BB177E" w:rsidP="00BB177E">
      <w:pPr>
        <w:pStyle w:val="Default"/>
        <w:jc w:val="both"/>
        <w:rPr>
          <w:b/>
          <w:sz w:val="22"/>
          <w:szCs w:val="22"/>
        </w:rPr>
      </w:pPr>
      <w:r w:rsidRPr="00C677F4">
        <w:rPr>
          <w:b/>
          <w:sz w:val="22"/>
          <w:szCs w:val="22"/>
        </w:rPr>
        <w:t>Priority area II- P</w:t>
      </w:r>
      <w:r>
        <w:rPr>
          <w:b/>
          <w:sz w:val="22"/>
          <w:szCs w:val="22"/>
        </w:rPr>
        <w:t>romoting sexual and reproductive health and rights</w:t>
      </w:r>
    </w:p>
    <w:p w14:paraId="0EB037BA" w14:textId="529B415E" w:rsidR="00BB177E" w:rsidRPr="00E10EEF" w:rsidRDefault="00BB177E" w:rsidP="00BB177E">
      <w:pPr>
        <w:pStyle w:val="Default"/>
        <w:jc w:val="both"/>
        <w:rPr>
          <w:rFonts w:asciiTheme="minorHAnsi" w:hAnsiTheme="minorHAnsi" w:cstheme="minorHAnsi"/>
          <w:b/>
          <w:sz w:val="22"/>
          <w:szCs w:val="22"/>
        </w:rPr>
      </w:pPr>
      <w:r>
        <w:rPr>
          <w:sz w:val="22"/>
          <w:szCs w:val="22"/>
        </w:rPr>
        <w:t xml:space="preserve">Overall objective – </w:t>
      </w:r>
      <w:r w:rsidRPr="009C54C3">
        <w:rPr>
          <w:sz w:val="22"/>
          <w:szCs w:val="22"/>
        </w:rPr>
        <w:t xml:space="preserve">To enable </w:t>
      </w:r>
      <w:r>
        <w:rPr>
          <w:rFonts w:asciiTheme="minorHAnsi" w:hAnsiTheme="minorHAnsi" w:cstheme="minorHAnsi"/>
          <w:sz w:val="22"/>
          <w:szCs w:val="22"/>
        </w:rPr>
        <w:t>w</w:t>
      </w:r>
      <w:r w:rsidRPr="00E10EEF">
        <w:rPr>
          <w:rFonts w:asciiTheme="minorHAnsi" w:hAnsiTheme="minorHAnsi" w:cstheme="minorHAnsi"/>
          <w:sz w:val="22"/>
          <w:szCs w:val="22"/>
        </w:rPr>
        <w:t xml:space="preserve">omen </w:t>
      </w:r>
      <w:r>
        <w:rPr>
          <w:rFonts w:asciiTheme="minorHAnsi" w:hAnsiTheme="minorHAnsi" w:cstheme="minorHAnsi"/>
          <w:sz w:val="22"/>
          <w:szCs w:val="22"/>
        </w:rPr>
        <w:t>and girls access universal health and</w:t>
      </w:r>
      <w:r w:rsidRPr="00E10EEF">
        <w:rPr>
          <w:rFonts w:asciiTheme="minorHAnsi" w:hAnsiTheme="minorHAnsi" w:cstheme="minorHAnsi"/>
          <w:sz w:val="22"/>
          <w:szCs w:val="22"/>
        </w:rPr>
        <w:t xml:space="preserve"> enjoy their health and sexual and reproductive rights</w:t>
      </w:r>
      <w:r w:rsidR="00C20F20">
        <w:rPr>
          <w:rFonts w:asciiTheme="minorHAnsi" w:hAnsiTheme="minorHAnsi" w:cstheme="minorHAnsi"/>
          <w:sz w:val="22"/>
          <w:szCs w:val="22"/>
        </w:rPr>
        <w:t xml:space="preserve"> (priority area 3 of the MIP</w:t>
      </w:r>
      <w:r w:rsidR="00C5385A">
        <w:rPr>
          <w:rFonts w:asciiTheme="minorHAnsi" w:hAnsiTheme="minorHAnsi" w:cstheme="minorHAnsi"/>
          <w:sz w:val="22"/>
          <w:szCs w:val="22"/>
        </w:rPr>
        <w:t>, priority 1 of the HRDCS</w:t>
      </w:r>
      <w:r w:rsidR="00C20F20">
        <w:rPr>
          <w:rFonts w:asciiTheme="minorHAnsi" w:hAnsiTheme="minorHAnsi" w:cstheme="minorHAnsi"/>
          <w:sz w:val="22"/>
          <w:szCs w:val="22"/>
        </w:rPr>
        <w:t>)</w:t>
      </w:r>
      <w:r w:rsidR="006F47C1">
        <w:rPr>
          <w:rFonts w:asciiTheme="minorHAnsi" w:hAnsiTheme="minorHAnsi" w:cstheme="minorHAnsi"/>
          <w:sz w:val="22"/>
          <w:szCs w:val="22"/>
        </w:rPr>
        <w:t>.</w:t>
      </w:r>
    </w:p>
    <w:p w14:paraId="19568728" w14:textId="77777777" w:rsidR="00BB177E" w:rsidRDefault="00BB177E" w:rsidP="00BB177E">
      <w:pPr>
        <w:pStyle w:val="Default"/>
        <w:jc w:val="both"/>
        <w:rPr>
          <w:sz w:val="22"/>
          <w:szCs w:val="22"/>
        </w:rPr>
      </w:pPr>
    </w:p>
    <w:p w14:paraId="278BBFEE" w14:textId="628381CB" w:rsidR="00BB177E" w:rsidRDefault="00BB177E" w:rsidP="00BB177E">
      <w:pPr>
        <w:pStyle w:val="Default"/>
        <w:jc w:val="both"/>
        <w:rPr>
          <w:sz w:val="22"/>
          <w:szCs w:val="22"/>
        </w:rPr>
      </w:pPr>
      <w:r>
        <w:rPr>
          <w:sz w:val="22"/>
          <w:szCs w:val="22"/>
        </w:rPr>
        <w:t>S</w:t>
      </w:r>
      <w:r w:rsidR="009C3354">
        <w:rPr>
          <w:sz w:val="22"/>
          <w:szCs w:val="22"/>
        </w:rPr>
        <w:t xml:space="preserve">exual and </w:t>
      </w:r>
      <w:r>
        <w:rPr>
          <w:sz w:val="22"/>
          <w:szCs w:val="22"/>
        </w:rPr>
        <w:t>R</w:t>
      </w:r>
      <w:r w:rsidR="009C3354">
        <w:rPr>
          <w:sz w:val="22"/>
          <w:szCs w:val="22"/>
        </w:rPr>
        <w:t xml:space="preserve">eproductive </w:t>
      </w:r>
      <w:r>
        <w:rPr>
          <w:sz w:val="22"/>
          <w:szCs w:val="22"/>
        </w:rPr>
        <w:t>H</w:t>
      </w:r>
      <w:r w:rsidR="009C3354">
        <w:rPr>
          <w:sz w:val="22"/>
          <w:szCs w:val="22"/>
        </w:rPr>
        <w:t xml:space="preserve">ealth and </w:t>
      </w:r>
      <w:r>
        <w:rPr>
          <w:sz w:val="22"/>
          <w:szCs w:val="22"/>
        </w:rPr>
        <w:t>R</w:t>
      </w:r>
      <w:r w:rsidR="009C3354">
        <w:rPr>
          <w:sz w:val="22"/>
          <w:szCs w:val="22"/>
        </w:rPr>
        <w:t>ights (SRHR)</w:t>
      </w:r>
      <w:r>
        <w:rPr>
          <w:sz w:val="22"/>
          <w:szCs w:val="22"/>
        </w:rPr>
        <w:t xml:space="preserve"> still remains a contentious issue in Uganda. There is limited access to information and services on SRHR to many women and girls. </w:t>
      </w:r>
      <w:r w:rsidR="00287AD9">
        <w:rPr>
          <w:sz w:val="22"/>
          <w:szCs w:val="22"/>
        </w:rPr>
        <w:t xml:space="preserve">Many girls are </w:t>
      </w:r>
      <w:r w:rsidR="00147EEE">
        <w:rPr>
          <w:sz w:val="22"/>
          <w:szCs w:val="22"/>
        </w:rPr>
        <w:t>married before</w:t>
      </w:r>
      <w:r w:rsidR="00287AD9">
        <w:rPr>
          <w:sz w:val="22"/>
          <w:szCs w:val="22"/>
        </w:rPr>
        <w:t xml:space="preserve"> age of eighteen and teenage pregnancy still remains a major concern. </w:t>
      </w:r>
      <w:r w:rsidR="000D58FF" w:rsidRPr="000D58FF">
        <w:rPr>
          <w:sz w:val="22"/>
          <w:szCs w:val="22"/>
          <w:lang w:val="en-US"/>
        </w:rPr>
        <w:t xml:space="preserve">The National Sexuality Education Framework was launched and is being disseminated. The lower secondary curriculum has been revised to integrate sexuality education infused across all subjects.  Key challenges for continued engagement regards quality of </w:t>
      </w:r>
      <w:r w:rsidR="0001370A">
        <w:rPr>
          <w:sz w:val="22"/>
          <w:szCs w:val="22"/>
          <w:lang w:val="en-US"/>
        </w:rPr>
        <w:t>sexual education</w:t>
      </w:r>
      <w:r w:rsidR="000D58FF" w:rsidRPr="000D58FF">
        <w:rPr>
          <w:sz w:val="22"/>
          <w:szCs w:val="22"/>
          <w:lang w:val="en-US"/>
        </w:rPr>
        <w:t xml:space="preserve"> intervention by government</w:t>
      </w:r>
      <w:r w:rsidR="009D6621">
        <w:rPr>
          <w:sz w:val="22"/>
          <w:szCs w:val="22"/>
          <w:lang w:val="en-US"/>
        </w:rPr>
        <w:t xml:space="preserve"> and</w:t>
      </w:r>
      <w:r w:rsidR="000D58FF" w:rsidRPr="000D58FF">
        <w:rPr>
          <w:sz w:val="22"/>
          <w:szCs w:val="22"/>
          <w:lang w:val="en-US"/>
        </w:rPr>
        <w:t xml:space="preserve"> restrictive implementation environment for partners</w:t>
      </w:r>
      <w:r w:rsidR="00677007">
        <w:rPr>
          <w:sz w:val="22"/>
          <w:szCs w:val="22"/>
          <w:lang w:val="en-US"/>
        </w:rPr>
        <w:t xml:space="preserve"> especially from traditional religious institutions</w:t>
      </w:r>
      <w:r w:rsidRPr="000D58FF">
        <w:rPr>
          <w:sz w:val="22"/>
          <w:szCs w:val="22"/>
        </w:rPr>
        <w:t>. There are limited</w:t>
      </w:r>
      <w:r>
        <w:rPr>
          <w:sz w:val="22"/>
          <w:szCs w:val="22"/>
        </w:rPr>
        <w:t xml:space="preserve"> family planning services and </w:t>
      </w:r>
      <w:r w:rsidR="00C20F20">
        <w:rPr>
          <w:sz w:val="22"/>
          <w:szCs w:val="22"/>
        </w:rPr>
        <w:t xml:space="preserve">the </w:t>
      </w:r>
      <w:r>
        <w:rPr>
          <w:sz w:val="22"/>
          <w:szCs w:val="22"/>
        </w:rPr>
        <w:t xml:space="preserve">majority </w:t>
      </w:r>
      <w:r w:rsidR="00C20F20">
        <w:rPr>
          <w:sz w:val="22"/>
          <w:szCs w:val="22"/>
        </w:rPr>
        <w:t xml:space="preserve">of </w:t>
      </w:r>
      <w:r>
        <w:rPr>
          <w:sz w:val="22"/>
          <w:szCs w:val="22"/>
        </w:rPr>
        <w:t xml:space="preserve">women cannot make </w:t>
      </w:r>
      <w:r w:rsidR="00C20F20">
        <w:rPr>
          <w:sz w:val="22"/>
          <w:szCs w:val="22"/>
        </w:rPr>
        <w:t xml:space="preserve">free and informed </w:t>
      </w:r>
      <w:r>
        <w:rPr>
          <w:sz w:val="22"/>
          <w:szCs w:val="22"/>
        </w:rPr>
        <w:t xml:space="preserve">decision </w:t>
      </w:r>
      <w:r w:rsidR="00C20F20">
        <w:rPr>
          <w:sz w:val="22"/>
          <w:szCs w:val="22"/>
        </w:rPr>
        <w:t>about the</w:t>
      </w:r>
      <w:r w:rsidR="00163F14">
        <w:rPr>
          <w:sz w:val="22"/>
          <w:szCs w:val="22"/>
        </w:rPr>
        <w:t>ir</w:t>
      </w:r>
      <w:r w:rsidR="00C20F20">
        <w:rPr>
          <w:sz w:val="22"/>
          <w:szCs w:val="22"/>
        </w:rPr>
        <w:t xml:space="preserve"> sexual</w:t>
      </w:r>
      <w:r w:rsidR="00163F14">
        <w:rPr>
          <w:sz w:val="22"/>
          <w:szCs w:val="22"/>
        </w:rPr>
        <w:t xml:space="preserve"> and reproductive health. The specific objectives under this priority are:</w:t>
      </w:r>
    </w:p>
    <w:p w14:paraId="374EE25B" w14:textId="77777777" w:rsidR="00BB177E" w:rsidRDefault="00BB177E" w:rsidP="00BB177E">
      <w:pPr>
        <w:pStyle w:val="Default"/>
        <w:jc w:val="both"/>
        <w:rPr>
          <w:sz w:val="22"/>
          <w:szCs w:val="22"/>
        </w:rPr>
      </w:pPr>
    </w:p>
    <w:p w14:paraId="3D98A3C2" w14:textId="726F92D0" w:rsidR="00F45033" w:rsidRDefault="00BB177E" w:rsidP="009F6CB4">
      <w:pPr>
        <w:pStyle w:val="Default"/>
        <w:numPr>
          <w:ilvl w:val="1"/>
          <w:numId w:val="15"/>
        </w:numPr>
        <w:jc w:val="both"/>
        <w:rPr>
          <w:sz w:val="22"/>
          <w:szCs w:val="22"/>
        </w:rPr>
      </w:pPr>
      <w:r>
        <w:rPr>
          <w:sz w:val="22"/>
          <w:szCs w:val="22"/>
        </w:rPr>
        <w:t xml:space="preserve">Women and girls have </w:t>
      </w:r>
      <w:r w:rsidR="00591067">
        <w:rPr>
          <w:sz w:val="22"/>
          <w:szCs w:val="22"/>
        </w:rPr>
        <w:t>improved</w:t>
      </w:r>
      <w:r w:rsidR="00B9267C">
        <w:rPr>
          <w:sz w:val="22"/>
          <w:szCs w:val="22"/>
        </w:rPr>
        <w:t xml:space="preserve"> </w:t>
      </w:r>
      <w:r>
        <w:rPr>
          <w:sz w:val="22"/>
          <w:szCs w:val="22"/>
        </w:rPr>
        <w:t>access to quality sexual and reproductive health care and services</w:t>
      </w:r>
      <w:r w:rsidR="00B9267C">
        <w:rPr>
          <w:sz w:val="22"/>
          <w:szCs w:val="22"/>
        </w:rPr>
        <w:t xml:space="preserve">. </w:t>
      </w:r>
    </w:p>
    <w:p w14:paraId="0692FB86" w14:textId="52DE3B64" w:rsidR="00AC2182" w:rsidRPr="00D22CDB" w:rsidRDefault="00AC2182" w:rsidP="00D22CDB">
      <w:pPr>
        <w:pStyle w:val="Default"/>
        <w:numPr>
          <w:ilvl w:val="1"/>
          <w:numId w:val="15"/>
        </w:numPr>
        <w:jc w:val="both"/>
        <w:rPr>
          <w:sz w:val="22"/>
          <w:szCs w:val="22"/>
        </w:rPr>
      </w:pPr>
      <w:r w:rsidRPr="004C0752">
        <w:rPr>
          <w:sz w:val="22"/>
          <w:szCs w:val="22"/>
        </w:rPr>
        <w:lastRenderedPageBreak/>
        <w:t>Comprehensive sexuality education fully integrated within the education curriculum</w:t>
      </w:r>
      <w:r w:rsidR="00B9267C" w:rsidRPr="004C0752">
        <w:rPr>
          <w:sz w:val="22"/>
          <w:szCs w:val="22"/>
        </w:rPr>
        <w:t>.</w:t>
      </w:r>
      <w:r w:rsidR="000A137D">
        <w:rPr>
          <w:sz w:val="22"/>
          <w:szCs w:val="22"/>
        </w:rPr>
        <w:t xml:space="preserve"> </w:t>
      </w:r>
    </w:p>
    <w:p w14:paraId="301F5F7A" w14:textId="31C8D516" w:rsidR="001F1013" w:rsidRPr="006D611C" w:rsidRDefault="00BB177E" w:rsidP="004E7D81">
      <w:pPr>
        <w:pStyle w:val="Default"/>
        <w:jc w:val="both"/>
        <w:rPr>
          <w:rFonts w:asciiTheme="minorHAnsi" w:hAnsiTheme="minorHAnsi" w:cstheme="minorHAnsi"/>
          <w:sz w:val="22"/>
          <w:szCs w:val="22"/>
        </w:rPr>
      </w:pPr>
      <w:r>
        <w:rPr>
          <w:sz w:val="22"/>
          <w:szCs w:val="22"/>
        </w:rPr>
        <w:t xml:space="preserve">    </w:t>
      </w:r>
    </w:p>
    <w:p w14:paraId="3E9E94AD" w14:textId="31619D2C" w:rsidR="001F1013" w:rsidRPr="00C677F4" w:rsidRDefault="001F1013" w:rsidP="001F1013">
      <w:pPr>
        <w:pStyle w:val="Default"/>
        <w:jc w:val="both"/>
        <w:rPr>
          <w:b/>
          <w:sz w:val="22"/>
          <w:szCs w:val="22"/>
        </w:rPr>
      </w:pPr>
      <w:r w:rsidRPr="00C677F4">
        <w:rPr>
          <w:b/>
          <w:sz w:val="22"/>
          <w:szCs w:val="22"/>
        </w:rPr>
        <w:t>Priority area II</w:t>
      </w:r>
      <w:r w:rsidR="003A452E">
        <w:rPr>
          <w:b/>
          <w:sz w:val="22"/>
          <w:szCs w:val="22"/>
        </w:rPr>
        <w:t>I</w:t>
      </w:r>
      <w:r w:rsidRPr="00C677F4">
        <w:rPr>
          <w:b/>
          <w:sz w:val="22"/>
          <w:szCs w:val="22"/>
        </w:rPr>
        <w:t xml:space="preserve">- Promoting </w:t>
      </w:r>
      <w:r w:rsidR="003A452E">
        <w:rPr>
          <w:b/>
          <w:sz w:val="22"/>
          <w:szCs w:val="22"/>
        </w:rPr>
        <w:t xml:space="preserve">economic and social rights </w:t>
      </w:r>
      <w:r w:rsidR="00492E39">
        <w:rPr>
          <w:b/>
          <w:sz w:val="22"/>
          <w:szCs w:val="22"/>
        </w:rPr>
        <w:t>and empowering women and girls</w:t>
      </w:r>
    </w:p>
    <w:p w14:paraId="64BA8404" w14:textId="558E7812" w:rsidR="001F1013" w:rsidRDefault="001F1013" w:rsidP="001F1013">
      <w:pPr>
        <w:pStyle w:val="Default"/>
        <w:jc w:val="both"/>
        <w:rPr>
          <w:sz w:val="22"/>
          <w:szCs w:val="22"/>
        </w:rPr>
      </w:pPr>
      <w:r>
        <w:rPr>
          <w:sz w:val="22"/>
          <w:szCs w:val="22"/>
        </w:rPr>
        <w:t xml:space="preserve">Overall objective- To </w:t>
      </w:r>
      <w:r w:rsidR="00B16A94">
        <w:rPr>
          <w:sz w:val="22"/>
          <w:szCs w:val="22"/>
        </w:rPr>
        <w:t xml:space="preserve">facilitate </w:t>
      </w:r>
      <w:r w:rsidR="000500EF">
        <w:rPr>
          <w:sz w:val="22"/>
          <w:szCs w:val="22"/>
        </w:rPr>
        <w:t xml:space="preserve">girls and </w:t>
      </w:r>
      <w:r w:rsidR="00B16A94">
        <w:rPr>
          <w:sz w:val="22"/>
          <w:szCs w:val="22"/>
        </w:rPr>
        <w:t xml:space="preserve">women </w:t>
      </w:r>
      <w:r w:rsidR="00521585">
        <w:rPr>
          <w:sz w:val="22"/>
          <w:szCs w:val="22"/>
        </w:rPr>
        <w:t>empowerment through</w:t>
      </w:r>
      <w:r w:rsidR="00B16A94">
        <w:rPr>
          <w:sz w:val="22"/>
          <w:szCs w:val="22"/>
        </w:rPr>
        <w:t xml:space="preserve"> </w:t>
      </w:r>
      <w:r w:rsidR="000500EF">
        <w:rPr>
          <w:sz w:val="22"/>
          <w:szCs w:val="22"/>
        </w:rPr>
        <w:t xml:space="preserve">education, </w:t>
      </w:r>
      <w:r w:rsidR="00B16A94">
        <w:rPr>
          <w:sz w:val="22"/>
          <w:szCs w:val="22"/>
        </w:rPr>
        <w:t>sustainable g</w:t>
      </w:r>
      <w:r w:rsidR="00521585">
        <w:rPr>
          <w:sz w:val="22"/>
          <w:szCs w:val="22"/>
        </w:rPr>
        <w:t>rowth and increased access to jobs</w:t>
      </w:r>
      <w:r w:rsidR="00CE0ED5">
        <w:rPr>
          <w:sz w:val="22"/>
          <w:szCs w:val="22"/>
        </w:rPr>
        <w:t xml:space="preserve"> (priorit</w:t>
      </w:r>
      <w:r w:rsidR="000500EF">
        <w:rPr>
          <w:sz w:val="22"/>
          <w:szCs w:val="22"/>
        </w:rPr>
        <w:t>ies</w:t>
      </w:r>
      <w:r w:rsidR="00CE0ED5">
        <w:rPr>
          <w:sz w:val="22"/>
          <w:szCs w:val="22"/>
        </w:rPr>
        <w:t xml:space="preserve"> 2</w:t>
      </w:r>
      <w:r w:rsidR="000500EF">
        <w:rPr>
          <w:sz w:val="22"/>
          <w:szCs w:val="22"/>
        </w:rPr>
        <w:t xml:space="preserve"> and 3</w:t>
      </w:r>
      <w:r w:rsidR="00CE0ED5">
        <w:rPr>
          <w:sz w:val="22"/>
          <w:szCs w:val="22"/>
        </w:rPr>
        <w:t xml:space="preserve"> of the MIP</w:t>
      </w:r>
      <w:r w:rsidR="008E01B5">
        <w:rPr>
          <w:sz w:val="22"/>
          <w:szCs w:val="22"/>
        </w:rPr>
        <w:t>, priorities</w:t>
      </w:r>
      <w:r w:rsidR="00C5385A">
        <w:rPr>
          <w:sz w:val="22"/>
          <w:szCs w:val="22"/>
        </w:rPr>
        <w:t xml:space="preserve"> </w:t>
      </w:r>
      <w:r w:rsidR="00253C9C">
        <w:rPr>
          <w:sz w:val="22"/>
          <w:szCs w:val="22"/>
        </w:rPr>
        <w:t>1 and 4</w:t>
      </w:r>
      <w:r w:rsidR="00C5385A">
        <w:rPr>
          <w:sz w:val="22"/>
          <w:szCs w:val="22"/>
        </w:rPr>
        <w:t xml:space="preserve"> of the HRDCS</w:t>
      </w:r>
      <w:r w:rsidR="00C5385A">
        <w:rPr>
          <w:rStyle w:val="FootnoteReference"/>
          <w:sz w:val="22"/>
          <w:szCs w:val="22"/>
        </w:rPr>
        <w:footnoteReference w:id="9"/>
      </w:r>
      <w:r w:rsidR="00CE0ED5">
        <w:rPr>
          <w:sz w:val="22"/>
          <w:szCs w:val="22"/>
        </w:rPr>
        <w:t>)</w:t>
      </w:r>
      <w:r w:rsidR="006957F6">
        <w:rPr>
          <w:sz w:val="22"/>
          <w:szCs w:val="22"/>
        </w:rPr>
        <w:t>.</w:t>
      </w:r>
    </w:p>
    <w:p w14:paraId="62677F1E" w14:textId="77777777" w:rsidR="00AA40C1" w:rsidRDefault="00AA40C1" w:rsidP="001F1013">
      <w:pPr>
        <w:pStyle w:val="Default"/>
        <w:jc w:val="both"/>
        <w:rPr>
          <w:sz w:val="22"/>
          <w:szCs w:val="22"/>
        </w:rPr>
      </w:pPr>
    </w:p>
    <w:p w14:paraId="378490CB" w14:textId="06A4FE31" w:rsidR="00AA40C1" w:rsidRDefault="00944CD3" w:rsidP="001F1013">
      <w:pPr>
        <w:pStyle w:val="Default"/>
        <w:jc w:val="both"/>
        <w:rPr>
          <w:sz w:val="22"/>
          <w:szCs w:val="22"/>
        </w:rPr>
      </w:pPr>
      <w:r w:rsidRPr="00944CD3">
        <w:rPr>
          <w:sz w:val="22"/>
          <w:szCs w:val="22"/>
        </w:rPr>
        <w:t>Despite a policy of universal access to education, completion rates in primary school are low, with just a third of students completing primary education. At secondary level, completion rates are even lower, especially for girls who experience additional barriers including gender-based violence in schools. The vicious circle of girls’ low education and high unplanned (teenage) pregnancy rates, further entrenched by patriarchal attitudes, hampers the achievement of other social and economic rights</w:t>
      </w:r>
      <w:r w:rsidR="00886B0D">
        <w:rPr>
          <w:sz w:val="22"/>
          <w:szCs w:val="22"/>
        </w:rPr>
        <w:t xml:space="preserve"> and is directly linked to the major demographic challenge of the country</w:t>
      </w:r>
      <w:r w:rsidRPr="00944CD3">
        <w:rPr>
          <w:sz w:val="22"/>
          <w:szCs w:val="22"/>
        </w:rPr>
        <w:t>.</w:t>
      </w:r>
      <w:r>
        <w:rPr>
          <w:sz w:val="22"/>
          <w:szCs w:val="22"/>
        </w:rPr>
        <w:t xml:space="preserve"> </w:t>
      </w:r>
      <w:r w:rsidR="00886B0D">
        <w:rPr>
          <w:sz w:val="22"/>
          <w:szCs w:val="22"/>
        </w:rPr>
        <w:t>Furthermore, w</w:t>
      </w:r>
      <w:r w:rsidR="00AA40C1">
        <w:rPr>
          <w:sz w:val="22"/>
          <w:szCs w:val="22"/>
        </w:rPr>
        <w:t xml:space="preserve">omen and girls continue to be denied access to means of production like land and capital, yet they take the biggest burden in care and production especially at household level. </w:t>
      </w:r>
      <w:r w:rsidR="00ED7761">
        <w:rPr>
          <w:sz w:val="22"/>
          <w:szCs w:val="22"/>
        </w:rPr>
        <w:t xml:space="preserve">According to </w:t>
      </w:r>
      <w:r w:rsidR="003607F0">
        <w:rPr>
          <w:sz w:val="22"/>
          <w:szCs w:val="22"/>
        </w:rPr>
        <w:t>UNHS 2016/2017, o</w:t>
      </w:r>
      <w:r w:rsidR="0081244E">
        <w:rPr>
          <w:sz w:val="22"/>
          <w:szCs w:val="22"/>
        </w:rPr>
        <w:t>nly 22.4%</w:t>
      </w:r>
      <w:r w:rsidR="00ED7761">
        <w:rPr>
          <w:sz w:val="22"/>
          <w:szCs w:val="22"/>
        </w:rPr>
        <w:t xml:space="preserve"> of women have opportunities in modern wage employment compared to 36.6% of men</w:t>
      </w:r>
      <w:r w:rsidR="003607F0">
        <w:rPr>
          <w:rStyle w:val="FootnoteReference"/>
          <w:sz w:val="22"/>
          <w:szCs w:val="22"/>
        </w:rPr>
        <w:footnoteReference w:id="10"/>
      </w:r>
      <w:r w:rsidR="003607F0">
        <w:rPr>
          <w:sz w:val="22"/>
          <w:szCs w:val="22"/>
        </w:rPr>
        <w:t>.</w:t>
      </w:r>
      <w:r w:rsidR="00ED7761">
        <w:rPr>
          <w:sz w:val="22"/>
          <w:szCs w:val="22"/>
        </w:rPr>
        <w:t xml:space="preserve"> </w:t>
      </w:r>
      <w:r w:rsidR="00221F56">
        <w:rPr>
          <w:sz w:val="22"/>
          <w:szCs w:val="22"/>
        </w:rPr>
        <w:t xml:space="preserve">The </w:t>
      </w:r>
      <w:r w:rsidR="00886B0D">
        <w:rPr>
          <w:sz w:val="22"/>
          <w:szCs w:val="22"/>
        </w:rPr>
        <w:t>COVID</w:t>
      </w:r>
      <w:r w:rsidR="00221F56">
        <w:rPr>
          <w:sz w:val="22"/>
          <w:szCs w:val="22"/>
        </w:rPr>
        <w:t xml:space="preserve">-19 pandemic has seen many vulnerable women </w:t>
      </w:r>
      <w:r w:rsidR="00341C7F">
        <w:rPr>
          <w:sz w:val="22"/>
          <w:szCs w:val="22"/>
        </w:rPr>
        <w:t xml:space="preserve">out of the small options of survival they had to fend for their families. </w:t>
      </w:r>
      <w:r w:rsidR="00816519">
        <w:rPr>
          <w:sz w:val="22"/>
          <w:szCs w:val="22"/>
        </w:rPr>
        <w:t>The specific objectives under this priority are:</w:t>
      </w:r>
    </w:p>
    <w:p w14:paraId="7C5F2816" w14:textId="796256DF" w:rsidR="00CE7A16" w:rsidRDefault="00CE7A16" w:rsidP="001F1013">
      <w:pPr>
        <w:pStyle w:val="Default"/>
        <w:jc w:val="both"/>
        <w:rPr>
          <w:sz w:val="22"/>
          <w:szCs w:val="22"/>
        </w:rPr>
      </w:pPr>
    </w:p>
    <w:p w14:paraId="178C7134" w14:textId="4C403AC8" w:rsidR="000B2808" w:rsidRDefault="000B2808" w:rsidP="00CE7F78">
      <w:pPr>
        <w:pStyle w:val="Default"/>
        <w:numPr>
          <w:ilvl w:val="1"/>
          <w:numId w:val="60"/>
        </w:numPr>
        <w:jc w:val="both"/>
        <w:rPr>
          <w:sz w:val="22"/>
          <w:szCs w:val="22"/>
        </w:rPr>
      </w:pPr>
      <w:r>
        <w:rPr>
          <w:sz w:val="22"/>
          <w:szCs w:val="22"/>
        </w:rPr>
        <w:t>Increased access to education for adolescent girls through scholarships and WASH facilities in schools</w:t>
      </w:r>
    </w:p>
    <w:p w14:paraId="571BF3EE" w14:textId="4D8388AC" w:rsidR="00CE7F78" w:rsidRDefault="00CE7F78" w:rsidP="00CE7F78">
      <w:pPr>
        <w:pStyle w:val="Default"/>
        <w:numPr>
          <w:ilvl w:val="1"/>
          <w:numId w:val="60"/>
        </w:numPr>
        <w:jc w:val="both"/>
        <w:rPr>
          <w:sz w:val="22"/>
          <w:szCs w:val="22"/>
        </w:rPr>
      </w:pPr>
      <w:r>
        <w:rPr>
          <w:sz w:val="22"/>
          <w:szCs w:val="22"/>
        </w:rPr>
        <w:t>Increased access of women to decent work, especially in non-traditional sectors of science, technology and ICT</w:t>
      </w:r>
    </w:p>
    <w:p w14:paraId="4A1F02C7" w14:textId="77777777" w:rsidR="00093E7D" w:rsidRDefault="00093E7D" w:rsidP="000E49BC">
      <w:pPr>
        <w:pStyle w:val="Default"/>
        <w:ind w:left="1080"/>
        <w:jc w:val="both"/>
        <w:rPr>
          <w:sz w:val="22"/>
          <w:szCs w:val="22"/>
        </w:rPr>
      </w:pPr>
    </w:p>
    <w:p w14:paraId="68B35EDB" w14:textId="77777777" w:rsidR="0056070F" w:rsidRPr="009652EE" w:rsidRDefault="0056070F" w:rsidP="009652EE">
      <w:pPr>
        <w:pStyle w:val="Default"/>
        <w:jc w:val="both"/>
        <w:rPr>
          <w:sz w:val="22"/>
          <w:szCs w:val="22"/>
        </w:rPr>
      </w:pPr>
    </w:p>
    <w:p w14:paraId="444AF211" w14:textId="40055A7C" w:rsidR="00966E04" w:rsidRDefault="00C371D6" w:rsidP="004E7D81">
      <w:pPr>
        <w:pStyle w:val="Default"/>
        <w:jc w:val="both"/>
        <w:rPr>
          <w:b/>
          <w:sz w:val="22"/>
          <w:szCs w:val="22"/>
        </w:rPr>
      </w:pPr>
      <w:r w:rsidRPr="00F520B1">
        <w:rPr>
          <w:b/>
          <w:sz w:val="22"/>
          <w:szCs w:val="22"/>
        </w:rPr>
        <w:t xml:space="preserve">Priority area </w:t>
      </w:r>
      <w:r w:rsidR="00F93AC8" w:rsidRPr="004E7D81">
        <w:rPr>
          <w:b/>
          <w:sz w:val="22"/>
          <w:szCs w:val="22"/>
        </w:rPr>
        <w:t>IV- Advancing equal participation and leadership</w:t>
      </w:r>
    </w:p>
    <w:p w14:paraId="6848EB93" w14:textId="18455423" w:rsidR="00DC500C" w:rsidRDefault="00DC500C" w:rsidP="004E7D81">
      <w:pPr>
        <w:pStyle w:val="Default"/>
        <w:jc w:val="both"/>
        <w:rPr>
          <w:sz w:val="22"/>
          <w:szCs w:val="22"/>
        </w:rPr>
      </w:pPr>
      <w:r w:rsidRPr="004E7D81">
        <w:rPr>
          <w:sz w:val="22"/>
          <w:szCs w:val="22"/>
        </w:rPr>
        <w:t xml:space="preserve">Overall objective </w:t>
      </w:r>
      <w:r>
        <w:rPr>
          <w:sz w:val="22"/>
          <w:szCs w:val="22"/>
        </w:rPr>
        <w:t>–</w:t>
      </w:r>
      <w:r w:rsidRPr="004E7D81">
        <w:rPr>
          <w:sz w:val="22"/>
          <w:szCs w:val="22"/>
        </w:rPr>
        <w:t xml:space="preserve"> </w:t>
      </w:r>
      <w:r>
        <w:rPr>
          <w:sz w:val="22"/>
          <w:szCs w:val="22"/>
        </w:rPr>
        <w:t>Women and men participate equally in decision-making process at all levels and</w:t>
      </w:r>
      <w:r w:rsidR="00AD4EA5">
        <w:rPr>
          <w:sz w:val="22"/>
          <w:szCs w:val="22"/>
        </w:rPr>
        <w:t xml:space="preserve"> women</w:t>
      </w:r>
      <w:r>
        <w:rPr>
          <w:sz w:val="22"/>
          <w:szCs w:val="22"/>
        </w:rPr>
        <w:t xml:space="preserve"> take on leadership roles </w:t>
      </w:r>
      <w:r w:rsidR="00253C9C">
        <w:rPr>
          <w:sz w:val="22"/>
          <w:szCs w:val="22"/>
        </w:rPr>
        <w:t>(priorities 3 of the MIP, priorities 3 of the HRDCS</w:t>
      </w:r>
      <w:r w:rsidR="00253C9C">
        <w:rPr>
          <w:rStyle w:val="FootnoteReference"/>
          <w:sz w:val="22"/>
          <w:szCs w:val="22"/>
        </w:rPr>
        <w:footnoteReference w:id="11"/>
      </w:r>
      <w:r w:rsidR="00253C9C">
        <w:rPr>
          <w:sz w:val="22"/>
          <w:szCs w:val="22"/>
        </w:rPr>
        <w:t>)</w:t>
      </w:r>
    </w:p>
    <w:p w14:paraId="4C593988" w14:textId="77777777" w:rsidR="00DC500C" w:rsidRPr="004E7D81" w:rsidRDefault="00DC500C" w:rsidP="004E7D81">
      <w:pPr>
        <w:pStyle w:val="Default"/>
        <w:jc w:val="both"/>
        <w:rPr>
          <w:sz w:val="22"/>
          <w:szCs w:val="22"/>
        </w:rPr>
      </w:pPr>
    </w:p>
    <w:p w14:paraId="67392CA0" w14:textId="461E8E47" w:rsidR="00A76316" w:rsidRDefault="001C6AC0" w:rsidP="004E7D81">
      <w:pPr>
        <w:pStyle w:val="Default"/>
        <w:jc w:val="both"/>
        <w:rPr>
          <w:sz w:val="22"/>
          <w:szCs w:val="22"/>
        </w:rPr>
      </w:pPr>
      <w:r w:rsidRPr="004E7D81">
        <w:rPr>
          <w:sz w:val="22"/>
          <w:szCs w:val="22"/>
        </w:rPr>
        <w:t xml:space="preserve">Uganda has made progress </w:t>
      </w:r>
      <w:r>
        <w:rPr>
          <w:sz w:val="22"/>
          <w:szCs w:val="22"/>
        </w:rPr>
        <w:t>in increasing opportunities for women participation through inclusive policies</w:t>
      </w:r>
      <w:r w:rsidR="005774B9">
        <w:rPr>
          <w:sz w:val="22"/>
          <w:szCs w:val="22"/>
        </w:rPr>
        <w:t xml:space="preserve"> with an</w:t>
      </w:r>
      <w:r w:rsidR="004C032F">
        <w:rPr>
          <w:sz w:val="22"/>
          <w:szCs w:val="22"/>
        </w:rPr>
        <w:t xml:space="preserve"> increase in number of </w:t>
      </w:r>
      <w:r w:rsidR="00253C9C">
        <w:rPr>
          <w:sz w:val="22"/>
          <w:szCs w:val="22"/>
        </w:rPr>
        <w:t xml:space="preserve">women </w:t>
      </w:r>
      <w:r w:rsidR="00754A73">
        <w:rPr>
          <w:sz w:val="22"/>
          <w:szCs w:val="22"/>
        </w:rPr>
        <w:t>in decision-making</w:t>
      </w:r>
      <w:r w:rsidR="00253C9C">
        <w:rPr>
          <w:sz w:val="22"/>
          <w:szCs w:val="22"/>
        </w:rPr>
        <w:t xml:space="preserve"> positions</w:t>
      </w:r>
      <w:r w:rsidR="00754A73">
        <w:rPr>
          <w:sz w:val="22"/>
          <w:szCs w:val="22"/>
        </w:rPr>
        <w:t>. For example, the number of women representation in parliament increased from 131 in the 9</w:t>
      </w:r>
      <w:r w:rsidR="00754A73" w:rsidRPr="004E7D81">
        <w:rPr>
          <w:sz w:val="22"/>
          <w:szCs w:val="22"/>
          <w:vertAlign w:val="superscript"/>
        </w:rPr>
        <w:t>th</w:t>
      </w:r>
      <w:r w:rsidR="00754A73">
        <w:rPr>
          <w:sz w:val="22"/>
          <w:szCs w:val="22"/>
        </w:rPr>
        <w:t xml:space="preserve"> parliament (2011- 2016) to 16</w:t>
      </w:r>
      <w:r w:rsidR="0081244E">
        <w:rPr>
          <w:sz w:val="22"/>
          <w:szCs w:val="22"/>
        </w:rPr>
        <w:t>0</w:t>
      </w:r>
      <w:r w:rsidR="00754A73">
        <w:rPr>
          <w:sz w:val="22"/>
          <w:szCs w:val="22"/>
        </w:rPr>
        <w:t xml:space="preserve"> in the 1</w:t>
      </w:r>
      <w:r w:rsidR="00093E7D">
        <w:rPr>
          <w:sz w:val="22"/>
          <w:szCs w:val="22"/>
        </w:rPr>
        <w:t>1</w:t>
      </w:r>
      <w:r w:rsidR="00754A73" w:rsidRPr="004E7D81">
        <w:rPr>
          <w:sz w:val="22"/>
          <w:szCs w:val="22"/>
          <w:vertAlign w:val="superscript"/>
        </w:rPr>
        <w:t>th</w:t>
      </w:r>
      <w:r w:rsidR="00754A73">
        <w:rPr>
          <w:sz w:val="22"/>
          <w:szCs w:val="22"/>
        </w:rPr>
        <w:t xml:space="preserve"> parliament (2016-2021)</w:t>
      </w:r>
      <w:r w:rsidR="00754A73">
        <w:rPr>
          <w:rStyle w:val="FootnoteReference"/>
          <w:sz w:val="22"/>
          <w:szCs w:val="22"/>
        </w:rPr>
        <w:footnoteReference w:id="12"/>
      </w:r>
      <w:r w:rsidR="00754A73">
        <w:rPr>
          <w:sz w:val="22"/>
          <w:szCs w:val="22"/>
        </w:rPr>
        <w:t xml:space="preserve">. </w:t>
      </w:r>
      <w:r w:rsidR="000917BD">
        <w:rPr>
          <w:sz w:val="22"/>
          <w:szCs w:val="22"/>
        </w:rPr>
        <w:t>Women representation at the various local government levels was reported at 41%</w:t>
      </w:r>
      <w:r w:rsidR="000917BD">
        <w:rPr>
          <w:rStyle w:val="FootnoteReference"/>
          <w:sz w:val="22"/>
          <w:szCs w:val="22"/>
        </w:rPr>
        <w:footnoteReference w:id="13"/>
      </w:r>
      <w:r w:rsidR="000917BD">
        <w:rPr>
          <w:sz w:val="22"/>
          <w:szCs w:val="22"/>
        </w:rPr>
        <w:t xml:space="preserve">. However, </w:t>
      </w:r>
      <w:r w:rsidR="005078DB">
        <w:rPr>
          <w:sz w:val="22"/>
          <w:szCs w:val="22"/>
        </w:rPr>
        <w:t>this progress</w:t>
      </w:r>
      <w:r w:rsidR="00A76316">
        <w:rPr>
          <w:sz w:val="22"/>
          <w:szCs w:val="22"/>
        </w:rPr>
        <w:t xml:space="preserve"> has not translated to improved welfare in the lives of majority women.</w:t>
      </w:r>
      <w:r w:rsidR="000A137D">
        <w:rPr>
          <w:sz w:val="22"/>
          <w:szCs w:val="22"/>
        </w:rPr>
        <w:t xml:space="preserve"> </w:t>
      </w:r>
      <w:r w:rsidR="005078DB">
        <w:rPr>
          <w:sz w:val="22"/>
          <w:szCs w:val="22"/>
        </w:rPr>
        <w:t>The specific objectives under this priority are:</w:t>
      </w:r>
    </w:p>
    <w:p w14:paraId="32E9797C" w14:textId="42C052E6" w:rsidR="00ED7761" w:rsidRDefault="000917BD" w:rsidP="004E7D81">
      <w:pPr>
        <w:pStyle w:val="Default"/>
        <w:jc w:val="both"/>
        <w:rPr>
          <w:sz w:val="22"/>
          <w:szCs w:val="22"/>
        </w:rPr>
      </w:pPr>
      <w:r>
        <w:rPr>
          <w:sz w:val="22"/>
          <w:szCs w:val="22"/>
        </w:rPr>
        <w:t xml:space="preserve"> </w:t>
      </w:r>
    </w:p>
    <w:p w14:paraId="4BF7D707" w14:textId="75316E9F" w:rsidR="001E165A" w:rsidRPr="00A76316" w:rsidRDefault="00382562" w:rsidP="00A76316">
      <w:pPr>
        <w:pStyle w:val="Default"/>
        <w:numPr>
          <w:ilvl w:val="1"/>
          <w:numId w:val="61"/>
        </w:numPr>
        <w:jc w:val="both"/>
        <w:rPr>
          <w:sz w:val="22"/>
          <w:szCs w:val="22"/>
        </w:rPr>
      </w:pPr>
      <w:r w:rsidRPr="00A76316">
        <w:rPr>
          <w:rFonts w:asciiTheme="minorHAnsi" w:hAnsiTheme="minorHAnsi" w:cstheme="minorHAnsi"/>
          <w:sz w:val="22"/>
          <w:szCs w:val="22"/>
        </w:rPr>
        <w:t xml:space="preserve">Support </w:t>
      </w:r>
      <w:r w:rsidR="008121FF">
        <w:rPr>
          <w:rFonts w:asciiTheme="minorHAnsi" w:hAnsiTheme="minorHAnsi" w:cstheme="minorHAnsi"/>
          <w:sz w:val="22"/>
          <w:szCs w:val="22"/>
        </w:rPr>
        <w:t>w</w:t>
      </w:r>
      <w:r w:rsidRPr="00A76316">
        <w:rPr>
          <w:rFonts w:asciiTheme="minorHAnsi" w:hAnsiTheme="minorHAnsi" w:cstheme="minorHAnsi"/>
          <w:sz w:val="22"/>
          <w:szCs w:val="22"/>
        </w:rPr>
        <w:t>omen’s organisations</w:t>
      </w:r>
      <w:r w:rsidR="001E165A" w:rsidRPr="00A76316">
        <w:rPr>
          <w:rFonts w:asciiTheme="minorHAnsi" w:hAnsiTheme="minorHAnsi" w:cstheme="minorHAnsi"/>
          <w:sz w:val="22"/>
          <w:szCs w:val="22"/>
        </w:rPr>
        <w:t xml:space="preserve"> working for gender equality and rights</w:t>
      </w:r>
      <w:r w:rsidR="00FA26FC" w:rsidRPr="00A76316">
        <w:rPr>
          <w:rFonts w:asciiTheme="minorHAnsi" w:hAnsiTheme="minorHAnsi" w:cstheme="minorHAnsi"/>
          <w:sz w:val="22"/>
          <w:szCs w:val="22"/>
        </w:rPr>
        <w:t xml:space="preserve"> </w:t>
      </w:r>
    </w:p>
    <w:p w14:paraId="0DD3E4D0" w14:textId="1D4520E6" w:rsidR="001E165A" w:rsidRPr="00A76316" w:rsidRDefault="00E4545B" w:rsidP="00A76316">
      <w:pPr>
        <w:pStyle w:val="Default"/>
        <w:numPr>
          <w:ilvl w:val="1"/>
          <w:numId w:val="61"/>
        </w:numPr>
        <w:jc w:val="both"/>
        <w:rPr>
          <w:sz w:val="22"/>
          <w:szCs w:val="22"/>
        </w:rPr>
      </w:pPr>
      <w:r>
        <w:rPr>
          <w:rFonts w:asciiTheme="minorHAnsi" w:hAnsiTheme="minorHAnsi" w:cstheme="minorHAnsi"/>
          <w:sz w:val="22"/>
          <w:szCs w:val="22"/>
        </w:rPr>
        <w:t>E</w:t>
      </w:r>
      <w:r w:rsidR="001E165A" w:rsidRPr="00A76316">
        <w:rPr>
          <w:rFonts w:asciiTheme="minorHAnsi" w:hAnsiTheme="minorHAnsi" w:cstheme="minorHAnsi"/>
          <w:sz w:val="22"/>
          <w:szCs w:val="22"/>
        </w:rPr>
        <w:t xml:space="preserve">quitable social norms, attitudes and behaviours promoting equal participation and leadership at </w:t>
      </w:r>
      <w:r w:rsidR="008121FF">
        <w:rPr>
          <w:rFonts w:asciiTheme="minorHAnsi" w:hAnsiTheme="minorHAnsi" w:cstheme="minorHAnsi"/>
          <w:sz w:val="22"/>
          <w:szCs w:val="22"/>
        </w:rPr>
        <w:t>all level</w:t>
      </w:r>
      <w:r w:rsidR="009550BF">
        <w:rPr>
          <w:rFonts w:asciiTheme="minorHAnsi" w:hAnsiTheme="minorHAnsi" w:cstheme="minorHAnsi"/>
          <w:sz w:val="22"/>
          <w:szCs w:val="22"/>
        </w:rPr>
        <w:t>s</w:t>
      </w:r>
      <w:r w:rsidR="001E165A" w:rsidRPr="00A76316">
        <w:rPr>
          <w:rFonts w:asciiTheme="minorHAnsi" w:hAnsiTheme="minorHAnsi" w:cstheme="minorHAnsi"/>
          <w:sz w:val="22"/>
          <w:szCs w:val="22"/>
        </w:rPr>
        <w:t xml:space="preserve"> through civic</w:t>
      </w:r>
      <w:r w:rsidR="00382562" w:rsidRPr="00A76316">
        <w:rPr>
          <w:rFonts w:asciiTheme="minorHAnsi" w:hAnsiTheme="minorHAnsi" w:cstheme="minorHAnsi"/>
          <w:sz w:val="22"/>
          <w:szCs w:val="22"/>
        </w:rPr>
        <w:t xml:space="preserve"> </w:t>
      </w:r>
      <w:r w:rsidR="001E165A" w:rsidRPr="00A76316">
        <w:rPr>
          <w:rFonts w:asciiTheme="minorHAnsi" w:hAnsiTheme="minorHAnsi" w:cstheme="minorHAnsi"/>
          <w:sz w:val="22"/>
          <w:szCs w:val="22"/>
        </w:rPr>
        <w:t>education, media, education and culture</w:t>
      </w:r>
      <w:r w:rsidR="00FA26FC" w:rsidRPr="00A76316">
        <w:rPr>
          <w:rFonts w:asciiTheme="minorHAnsi" w:hAnsiTheme="minorHAnsi" w:cstheme="minorHAnsi"/>
          <w:sz w:val="22"/>
          <w:szCs w:val="22"/>
        </w:rPr>
        <w:t xml:space="preserve"> </w:t>
      </w:r>
    </w:p>
    <w:p w14:paraId="3697663B" w14:textId="69EE2213" w:rsidR="00F93AC8" w:rsidRDefault="00F93AC8" w:rsidP="004E7D81">
      <w:pPr>
        <w:pStyle w:val="Default"/>
        <w:jc w:val="both"/>
        <w:rPr>
          <w:sz w:val="22"/>
          <w:szCs w:val="22"/>
        </w:rPr>
      </w:pPr>
    </w:p>
    <w:p w14:paraId="6F9E27F0" w14:textId="77777777" w:rsidR="00F93AC8" w:rsidRDefault="00F93AC8" w:rsidP="004E7D81">
      <w:pPr>
        <w:pStyle w:val="Default"/>
        <w:jc w:val="both"/>
        <w:rPr>
          <w:sz w:val="22"/>
          <w:szCs w:val="22"/>
        </w:rPr>
      </w:pPr>
    </w:p>
    <w:p w14:paraId="187B44A3" w14:textId="3073DE57" w:rsidR="009024C0" w:rsidRDefault="00C371D6" w:rsidP="004E7D81">
      <w:pPr>
        <w:pStyle w:val="Default"/>
        <w:jc w:val="both"/>
        <w:rPr>
          <w:b/>
          <w:sz w:val="22"/>
          <w:szCs w:val="22"/>
        </w:rPr>
      </w:pPr>
      <w:r w:rsidRPr="00F520B1">
        <w:rPr>
          <w:b/>
          <w:sz w:val="22"/>
          <w:szCs w:val="22"/>
        </w:rPr>
        <w:t xml:space="preserve">Priority area </w:t>
      </w:r>
      <w:r w:rsidR="00F93AC8" w:rsidRPr="004E7D81">
        <w:rPr>
          <w:b/>
          <w:sz w:val="22"/>
          <w:szCs w:val="22"/>
        </w:rPr>
        <w:t xml:space="preserve">V- </w:t>
      </w:r>
      <w:r w:rsidR="009024C0" w:rsidRPr="004E7D81">
        <w:rPr>
          <w:b/>
          <w:sz w:val="22"/>
          <w:szCs w:val="22"/>
        </w:rPr>
        <w:t>Integrating women, peace and security</w:t>
      </w:r>
    </w:p>
    <w:p w14:paraId="3DDF7A27" w14:textId="111ACB72" w:rsidR="004E4216" w:rsidRDefault="00FA26FC" w:rsidP="004E7D81">
      <w:pPr>
        <w:pStyle w:val="Default"/>
        <w:jc w:val="both"/>
        <w:rPr>
          <w:sz w:val="22"/>
          <w:szCs w:val="22"/>
        </w:rPr>
      </w:pPr>
      <w:r w:rsidRPr="004E7D81">
        <w:rPr>
          <w:sz w:val="22"/>
          <w:szCs w:val="22"/>
        </w:rPr>
        <w:t xml:space="preserve">Overall objective </w:t>
      </w:r>
      <w:r w:rsidR="004E4216">
        <w:rPr>
          <w:sz w:val="22"/>
          <w:szCs w:val="22"/>
        </w:rPr>
        <w:t>–</w:t>
      </w:r>
      <w:r w:rsidRPr="004E7D81">
        <w:rPr>
          <w:sz w:val="22"/>
          <w:szCs w:val="22"/>
        </w:rPr>
        <w:t xml:space="preserve"> </w:t>
      </w:r>
      <w:r w:rsidR="004E4216">
        <w:rPr>
          <w:sz w:val="22"/>
          <w:szCs w:val="22"/>
        </w:rPr>
        <w:t>Integrating women, peace and security agenda in conflict prevention and resolution mechanisms</w:t>
      </w:r>
      <w:r w:rsidR="00E4545B">
        <w:rPr>
          <w:sz w:val="22"/>
          <w:szCs w:val="22"/>
        </w:rPr>
        <w:t xml:space="preserve"> (priority 3 of the MIP</w:t>
      </w:r>
      <w:r w:rsidR="00C40EEB">
        <w:rPr>
          <w:sz w:val="22"/>
          <w:szCs w:val="22"/>
        </w:rPr>
        <w:t xml:space="preserve">, </w:t>
      </w:r>
      <w:r w:rsidR="005E7C4A">
        <w:rPr>
          <w:sz w:val="22"/>
          <w:szCs w:val="22"/>
        </w:rPr>
        <w:t xml:space="preserve">ECHO </w:t>
      </w:r>
      <w:r w:rsidR="00C40EEB">
        <w:rPr>
          <w:sz w:val="22"/>
          <w:szCs w:val="22"/>
        </w:rPr>
        <w:t>humanitarian aid</w:t>
      </w:r>
      <w:r w:rsidR="00E4545B">
        <w:rPr>
          <w:sz w:val="22"/>
          <w:szCs w:val="22"/>
        </w:rPr>
        <w:t>)</w:t>
      </w:r>
    </w:p>
    <w:p w14:paraId="3E589535" w14:textId="246E7DDE" w:rsidR="00FA26FC" w:rsidRPr="004E7D81" w:rsidRDefault="004E4216" w:rsidP="004E7D81">
      <w:pPr>
        <w:pStyle w:val="Default"/>
        <w:jc w:val="both"/>
        <w:rPr>
          <w:sz w:val="22"/>
          <w:szCs w:val="22"/>
        </w:rPr>
      </w:pPr>
      <w:r>
        <w:rPr>
          <w:sz w:val="22"/>
          <w:szCs w:val="22"/>
        </w:rPr>
        <w:lastRenderedPageBreak/>
        <w:t xml:space="preserve"> </w:t>
      </w:r>
    </w:p>
    <w:p w14:paraId="2530237B" w14:textId="000BC8A3" w:rsidR="009024C0" w:rsidRDefault="00071F8B" w:rsidP="004E7D81">
      <w:pPr>
        <w:pStyle w:val="Default"/>
        <w:jc w:val="both"/>
        <w:rPr>
          <w:sz w:val="22"/>
          <w:szCs w:val="22"/>
        </w:rPr>
      </w:pPr>
      <w:r>
        <w:rPr>
          <w:sz w:val="22"/>
          <w:szCs w:val="22"/>
        </w:rPr>
        <w:t>Uganda host</w:t>
      </w:r>
      <w:r w:rsidR="009550BF">
        <w:rPr>
          <w:sz w:val="22"/>
          <w:szCs w:val="22"/>
        </w:rPr>
        <w:t>s</w:t>
      </w:r>
      <w:r>
        <w:rPr>
          <w:sz w:val="22"/>
          <w:szCs w:val="22"/>
        </w:rPr>
        <w:t xml:space="preserve"> the highest number of refugees in Africa </w:t>
      </w:r>
      <w:r w:rsidR="009550BF">
        <w:rPr>
          <w:sz w:val="22"/>
          <w:szCs w:val="22"/>
        </w:rPr>
        <w:t xml:space="preserve">and </w:t>
      </w:r>
      <w:r>
        <w:rPr>
          <w:sz w:val="22"/>
          <w:szCs w:val="22"/>
        </w:rPr>
        <w:t>is a signatory to UNSCR 1325 that calls for protection of women and girls from SGBV in emergency and humanitarian situations, and their increased participation</w:t>
      </w:r>
      <w:r w:rsidR="00DB0530">
        <w:rPr>
          <w:sz w:val="22"/>
          <w:szCs w:val="22"/>
        </w:rPr>
        <w:t xml:space="preserve"> at all levels of decision-making.</w:t>
      </w:r>
      <w:r>
        <w:rPr>
          <w:sz w:val="22"/>
          <w:szCs w:val="22"/>
        </w:rPr>
        <w:t xml:space="preserve">  </w:t>
      </w:r>
      <w:r w:rsidR="00370186">
        <w:rPr>
          <w:sz w:val="22"/>
          <w:szCs w:val="22"/>
        </w:rPr>
        <w:t xml:space="preserve">The </w:t>
      </w:r>
      <w:r w:rsidR="00B72EAB">
        <w:rPr>
          <w:sz w:val="22"/>
          <w:szCs w:val="22"/>
        </w:rPr>
        <w:t>3</w:t>
      </w:r>
      <w:r w:rsidR="00B72EAB" w:rsidRPr="00B72EAB">
        <w:rPr>
          <w:sz w:val="22"/>
          <w:szCs w:val="22"/>
          <w:vertAlign w:val="superscript"/>
        </w:rPr>
        <w:t>rd</w:t>
      </w:r>
      <w:r w:rsidR="00B72EAB">
        <w:rPr>
          <w:sz w:val="22"/>
          <w:szCs w:val="22"/>
        </w:rPr>
        <w:t xml:space="preserve"> </w:t>
      </w:r>
      <w:r w:rsidR="00370186">
        <w:rPr>
          <w:sz w:val="22"/>
          <w:szCs w:val="22"/>
        </w:rPr>
        <w:t xml:space="preserve">National Action Plan (NAP) III on Women, Peace and Security (WPS) was adopted by the </w:t>
      </w:r>
      <w:r w:rsidR="009550BF">
        <w:rPr>
          <w:sz w:val="22"/>
          <w:szCs w:val="22"/>
        </w:rPr>
        <w:t xml:space="preserve">government </w:t>
      </w:r>
      <w:r w:rsidR="00370186">
        <w:rPr>
          <w:sz w:val="22"/>
          <w:szCs w:val="22"/>
        </w:rPr>
        <w:t>in M</w:t>
      </w:r>
      <w:r w:rsidR="00382562">
        <w:rPr>
          <w:sz w:val="22"/>
          <w:szCs w:val="22"/>
        </w:rPr>
        <w:t>ar</w:t>
      </w:r>
      <w:r w:rsidR="00370186">
        <w:rPr>
          <w:sz w:val="22"/>
          <w:szCs w:val="22"/>
        </w:rPr>
        <w:t>ch 2021</w:t>
      </w:r>
      <w:r w:rsidR="00B72EAB">
        <w:rPr>
          <w:sz w:val="22"/>
          <w:szCs w:val="22"/>
        </w:rPr>
        <w:t>.</w:t>
      </w:r>
      <w:r w:rsidR="000A137D">
        <w:rPr>
          <w:sz w:val="22"/>
          <w:szCs w:val="22"/>
        </w:rPr>
        <w:t xml:space="preserve"> This priority area is linked to Priority II of the HRDCS, which aims to promote land and environmental rights, areas which often give rise to conflicts which disproportionately impact women. </w:t>
      </w:r>
      <w:r w:rsidR="00370186">
        <w:rPr>
          <w:sz w:val="22"/>
          <w:szCs w:val="22"/>
        </w:rPr>
        <w:t xml:space="preserve"> </w:t>
      </w:r>
      <w:r w:rsidR="00B72EAB">
        <w:rPr>
          <w:sz w:val="22"/>
          <w:szCs w:val="22"/>
        </w:rPr>
        <w:t>The specific objectives under this priority are:</w:t>
      </w:r>
    </w:p>
    <w:p w14:paraId="6A484550" w14:textId="77777777" w:rsidR="00393DEE" w:rsidRDefault="00393DEE" w:rsidP="004E7D81">
      <w:pPr>
        <w:pStyle w:val="Default"/>
        <w:jc w:val="both"/>
        <w:rPr>
          <w:sz w:val="22"/>
          <w:szCs w:val="22"/>
        </w:rPr>
      </w:pPr>
    </w:p>
    <w:p w14:paraId="63E94015" w14:textId="5B1479E7" w:rsidR="004E4216" w:rsidRDefault="00E4545B" w:rsidP="00393DEE">
      <w:pPr>
        <w:pStyle w:val="Default"/>
        <w:numPr>
          <w:ilvl w:val="1"/>
          <w:numId w:val="62"/>
        </w:numPr>
        <w:jc w:val="both"/>
        <w:rPr>
          <w:rFonts w:asciiTheme="minorHAnsi" w:hAnsiTheme="minorHAnsi" w:cstheme="minorHAnsi"/>
          <w:sz w:val="22"/>
          <w:szCs w:val="22"/>
        </w:rPr>
      </w:pPr>
      <w:r>
        <w:rPr>
          <w:rFonts w:asciiTheme="minorHAnsi" w:hAnsiTheme="minorHAnsi" w:cstheme="minorHAnsi"/>
          <w:sz w:val="22"/>
          <w:szCs w:val="22"/>
        </w:rPr>
        <w:t>S</w:t>
      </w:r>
      <w:r w:rsidR="007C2A15">
        <w:rPr>
          <w:rFonts w:asciiTheme="minorHAnsi" w:hAnsiTheme="minorHAnsi" w:cstheme="minorHAnsi"/>
          <w:sz w:val="22"/>
          <w:szCs w:val="22"/>
        </w:rPr>
        <w:t>trengthen</w:t>
      </w:r>
      <w:r w:rsidR="004E4216">
        <w:rPr>
          <w:rFonts w:asciiTheme="minorHAnsi" w:hAnsiTheme="minorHAnsi" w:cstheme="minorHAnsi"/>
          <w:sz w:val="22"/>
          <w:szCs w:val="22"/>
        </w:rPr>
        <w:t xml:space="preserve"> </w:t>
      </w:r>
      <w:r w:rsidR="004E4216" w:rsidRPr="0003788D">
        <w:rPr>
          <w:rFonts w:asciiTheme="minorHAnsi" w:hAnsiTheme="minorHAnsi" w:cstheme="minorHAnsi"/>
          <w:sz w:val="22"/>
          <w:szCs w:val="22"/>
        </w:rPr>
        <w:t>consultative mechanisms on conflict-related issues with grassroots women activists and</w:t>
      </w:r>
      <w:r w:rsidR="004E4216">
        <w:rPr>
          <w:rFonts w:asciiTheme="minorHAnsi" w:hAnsiTheme="minorHAnsi" w:cstheme="minorHAnsi"/>
          <w:sz w:val="22"/>
          <w:szCs w:val="22"/>
        </w:rPr>
        <w:t xml:space="preserve"> CSOs</w:t>
      </w:r>
      <w:r w:rsidR="004E4216" w:rsidRPr="0003788D">
        <w:rPr>
          <w:rFonts w:asciiTheme="minorHAnsi" w:hAnsiTheme="minorHAnsi" w:cstheme="minorHAnsi"/>
          <w:sz w:val="22"/>
          <w:szCs w:val="22"/>
        </w:rPr>
        <w:t xml:space="preserve"> in conflict</w:t>
      </w:r>
      <w:r w:rsidR="004E4216">
        <w:rPr>
          <w:rFonts w:asciiTheme="minorHAnsi" w:hAnsiTheme="minorHAnsi" w:cstheme="minorHAnsi"/>
          <w:sz w:val="22"/>
          <w:szCs w:val="22"/>
        </w:rPr>
        <w:t xml:space="preserve">-related settings </w:t>
      </w:r>
    </w:p>
    <w:p w14:paraId="435C440D" w14:textId="5ED2D384" w:rsidR="004E4216" w:rsidRDefault="004E4216" w:rsidP="00393DEE">
      <w:pPr>
        <w:pStyle w:val="Default"/>
        <w:numPr>
          <w:ilvl w:val="1"/>
          <w:numId w:val="62"/>
        </w:numPr>
        <w:jc w:val="both"/>
        <w:rPr>
          <w:rFonts w:asciiTheme="minorHAnsi" w:hAnsiTheme="minorHAnsi" w:cstheme="minorHAnsi"/>
          <w:sz w:val="22"/>
          <w:szCs w:val="22"/>
        </w:rPr>
      </w:pPr>
      <w:r w:rsidRPr="00393DEE">
        <w:rPr>
          <w:rFonts w:asciiTheme="minorHAnsi" w:hAnsiTheme="minorHAnsi" w:cstheme="minorHAnsi"/>
          <w:sz w:val="22"/>
          <w:szCs w:val="22"/>
        </w:rPr>
        <w:t>P</w:t>
      </w:r>
      <w:r w:rsidR="00393DEE">
        <w:rPr>
          <w:rFonts w:asciiTheme="minorHAnsi" w:hAnsiTheme="minorHAnsi" w:cstheme="minorHAnsi"/>
          <w:sz w:val="22"/>
          <w:szCs w:val="22"/>
        </w:rPr>
        <w:t xml:space="preserve">romote and strengthen the rule of law and </w:t>
      </w:r>
      <w:r w:rsidR="00393DEE" w:rsidRPr="00393DEE">
        <w:rPr>
          <w:rFonts w:asciiTheme="minorHAnsi" w:hAnsiTheme="minorHAnsi" w:cstheme="minorHAnsi"/>
          <w:sz w:val="22"/>
          <w:szCs w:val="22"/>
        </w:rPr>
        <w:t>criminal</w:t>
      </w:r>
      <w:r w:rsidRPr="00393DEE">
        <w:rPr>
          <w:rFonts w:asciiTheme="minorHAnsi" w:hAnsiTheme="minorHAnsi" w:cstheme="minorHAnsi"/>
          <w:sz w:val="22"/>
          <w:szCs w:val="22"/>
        </w:rPr>
        <w:t xml:space="preserve"> justice system through transit</w:t>
      </w:r>
      <w:r w:rsidR="00393DEE">
        <w:rPr>
          <w:rFonts w:asciiTheme="minorHAnsi" w:hAnsiTheme="minorHAnsi" w:cstheme="minorHAnsi"/>
          <w:sz w:val="22"/>
          <w:szCs w:val="22"/>
        </w:rPr>
        <w:t>ional and restorative justice</w:t>
      </w:r>
      <w:r w:rsidRPr="00393DEE">
        <w:rPr>
          <w:rFonts w:asciiTheme="minorHAnsi" w:hAnsiTheme="minorHAnsi" w:cstheme="minorHAnsi"/>
          <w:sz w:val="22"/>
          <w:szCs w:val="22"/>
        </w:rPr>
        <w:t xml:space="preserve"> to end impunity </w:t>
      </w:r>
      <w:r w:rsidR="004A6438" w:rsidRPr="00393DEE">
        <w:rPr>
          <w:rFonts w:asciiTheme="minorHAnsi" w:hAnsiTheme="minorHAnsi" w:cstheme="minorHAnsi"/>
          <w:sz w:val="22"/>
          <w:szCs w:val="22"/>
        </w:rPr>
        <w:t xml:space="preserve">for perpetrators of SGBV crimes. </w:t>
      </w:r>
    </w:p>
    <w:p w14:paraId="4BE88B4E" w14:textId="64577EE6" w:rsidR="00B63F1A" w:rsidRDefault="004E4216" w:rsidP="00A471D8">
      <w:pPr>
        <w:pStyle w:val="Default"/>
        <w:numPr>
          <w:ilvl w:val="1"/>
          <w:numId w:val="62"/>
        </w:numPr>
        <w:jc w:val="both"/>
        <w:rPr>
          <w:rFonts w:asciiTheme="minorHAnsi" w:hAnsiTheme="minorHAnsi" w:cstheme="minorHAnsi"/>
          <w:sz w:val="22"/>
          <w:szCs w:val="22"/>
        </w:rPr>
      </w:pPr>
      <w:r w:rsidRPr="00393DEE">
        <w:rPr>
          <w:rFonts w:asciiTheme="minorHAnsi" w:hAnsiTheme="minorHAnsi" w:cstheme="minorHAnsi"/>
          <w:sz w:val="22"/>
          <w:szCs w:val="22"/>
        </w:rPr>
        <w:t>P</w:t>
      </w:r>
      <w:r w:rsidR="00393DEE">
        <w:rPr>
          <w:rFonts w:asciiTheme="minorHAnsi" w:hAnsiTheme="minorHAnsi" w:cstheme="minorHAnsi"/>
          <w:sz w:val="22"/>
          <w:szCs w:val="22"/>
        </w:rPr>
        <w:t>romote</w:t>
      </w:r>
      <w:r w:rsidRPr="00393DEE">
        <w:rPr>
          <w:rFonts w:asciiTheme="minorHAnsi" w:hAnsiTheme="minorHAnsi" w:cstheme="minorHAnsi"/>
          <w:sz w:val="22"/>
          <w:szCs w:val="22"/>
        </w:rPr>
        <w:t xml:space="preserve"> the provision of medical, psycho-social, legal and safety support to all victims/survivors of conflict-related sexual and/or gender-based violence/SGBV</w:t>
      </w:r>
      <w:r w:rsidR="004A6438" w:rsidRPr="00393DEE">
        <w:rPr>
          <w:rFonts w:asciiTheme="minorHAnsi" w:hAnsiTheme="minorHAnsi" w:cstheme="minorHAnsi"/>
          <w:sz w:val="22"/>
          <w:szCs w:val="22"/>
        </w:rPr>
        <w:t xml:space="preserve">. </w:t>
      </w:r>
    </w:p>
    <w:p w14:paraId="0BAC38D1" w14:textId="77777777" w:rsidR="00C371D6" w:rsidRDefault="00C371D6" w:rsidP="00C371D6">
      <w:pPr>
        <w:pStyle w:val="Default"/>
        <w:ind w:left="1080"/>
        <w:jc w:val="both"/>
        <w:rPr>
          <w:rFonts w:asciiTheme="minorHAnsi" w:hAnsiTheme="minorHAnsi" w:cstheme="minorHAnsi"/>
          <w:sz w:val="22"/>
          <w:szCs w:val="22"/>
        </w:rPr>
      </w:pPr>
    </w:p>
    <w:p w14:paraId="7D426182" w14:textId="49689CA6" w:rsidR="00FE6C7E" w:rsidRDefault="00FE6C7E" w:rsidP="003C1CEF">
      <w:pPr>
        <w:spacing w:after="0" w:line="240" w:lineRule="auto"/>
        <w:jc w:val="both"/>
        <w:rPr>
          <w:rFonts w:ascii="Times New Roman" w:hAnsi="Times New Roman" w:cs="Times New Roman"/>
          <w:sz w:val="24"/>
          <w:szCs w:val="24"/>
        </w:rPr>
      </w:pPr>
    </w:p>
    <w:p w14:paraId="0EDC785E" w14:textId="541392F9" w:rsidR="004B413A" w:rsidRPr="00147EEE" w:rsidRDefault="00EF75E9" w:rsidP="00147EEE">
      <w:pPr>
        <w:pStyle w:val="ListParagraph"/>
        <w:numPr>
          <w:ilvl w:val="0"/>
          <w:numId w:val="15"/>
        </w:numPr>
        <w:ind w:left="426" w:hanging="426"/>
        <w:rPr>
          <w:rFonts w:ascii="Times New Roman" w:hAnsi="Times New Roman" w:cs="Times New Roman"/>
          <w:b/>
          <w:sz w:val="24"/>
          <w:szCs w:val="24"/>
        </w:rPr>
      </w:pPr>
      <w:r>
        <w:rPr>
          <w:rFonts w:ascii="Times New Roman" w:hAnsi="Times New Roman" w:cs="Times New Roman"/>
          <w:b/>
          <w:sz w:val="24"/>
          <w:szCs w:val="24"/>
        </w:rPr>
        <w:t>T</w:t>
      </w:r>
      <w:r w:rsidR="00946FCE" w:rsidRPr="00DD6A6F">
        <w:rPr>
          <w:rFonts w:ascii="Times New Roman" w:hAnsi="Times New Roman" w:cs="Times New Roman"/>
          <w:b/>
          <w:sz w:val="24"/>
          <w:szCs w:val="24"/>
        </w:rPr>
        <w:t>argeted</w:t>
      </w:r>
      <w:r w:rsidR="000B10B9" w:rsidRPr="00DD6A6F">
        <w:rPr>
          <w:rFonts w:ascii="Times New Roman" w:hAnsi="Times New Roman" w:cs="Times New Roman"/>
          <w:b/>
          <w:sz w:val="24"/>
          <w:szCs w:val="24"/>
        </w:rPr>
        <w:t xml:space="preserve"> actions supporting </w:t>
      </w:r>
      <w:r w:rsidR="009656C4">
        <w:rPr>
          <w:rFonts w:ascii="Times New Roman" w:hAnsi="Times New Roman" w:cs="Times New Roman"/>
          <w:b/>
          <w:sz w:val="24"/>
          <w:szCs w:val="24"/>
        </w:rPr>
        <w:t>g</w:t>
      </w:r>
      <w:r w:rsidR="009656C4" w:rsidRPr="00DD6A6F">
        <w:rPr>
          <w:rFonts w:ascii="Times New Roman" w:hAnsi="Times New Roman" w:cs="Times New Roman"/>
          <w:b/>
          <w:sz w:val="24"/>
          <w:szCs w:val="24"/>
        </w:rPr>
        <w:t xml:space="preserve">ender </w:t>
      </w:r>
      <w:r w:rsidR="009656C4">
        <w:rPr>
          <w:rFonts w:ascii="Times New Roman" w:hAnsi="Times New Roman" w:cs="Times New Roman"/>
          <w:b/>
          <w:sz w:val="24"/>
          <w:szCs w:val="24"/>
        </w:rPr>
        <w:t>e</w:t>
      </w:r>
      <w:r w:rsidR="009656C4" w:rsidRPr="00DD6A6F">
        <w:rPr>
          <w:rFonts w:ascii="Times New Roman" w:hAnsi="Times New Roman" w:cs="Times New Roman"/>
          <w:b/>
          <w:sz w:val="24"/>
          <w:szCs w:val="24"/>
        </w:rPr>
        <w:t xml:space="preserve">quality </w:t>
      </w:r>
      <w:r w:rsidR="000B10B9" w:rsidRPr="00DD6A6F">
        <w:rPr>
          <w:rFonts w:ascii="Times New Roman" w:hAnsi="Times New Roman" w:cs="Times New Roman"/>
          <w:b/>
          <w:sz w:val="24"/>
          <w:szCs w:val="24"/>
        </w:rPr>
        <w:t>and women’s empowerment</w:t>
      </w:r>
    </w:p>
    <w:p w14:paraId="09C138BB" w14:textId="258B6D2A" w:rsidR="00137C5D" w:rsidRPr="00393DEE" w:rsidRDefault="00137C5D" w:rsidP="004E7D81">
      <w:pPr>
        <w:jc w:val="both"/>
        <w:rPr>
          <w:rFonts w:cstheme="minorHAnsi"/>
        </w:rPr>
      </w:pPr>
    </w:p>
    <w:tbl>
      <w:tblPr>
        <w:tblStyle w:val="TableGrid"/>
        <w:tblW w:w="0" w:type="auto"/>
        <w:tblLook w:val="04A0" w:firstRow="1" w:lastRow="0" w:firstColumn="1" w:lastColumn="0" w:noHBand="0" w:noVBand="1"/>
      </w:tblPr>
      <w:tblGrid>
        <w:gridCol w:w="1308"/>
        <w:gridCol w:w="2225"/>
        <w:gridCol w:w="1528"/>
        <w:gridCol w:w="1808"/>
        <w:gridCol w:w="2193"/>
      </w:tblGrid>
      <w:tr w:rsidR="00254F12" w:rsidRPr="00393DEE" w14:paraId="3E71964D" w14:textId="77777777" w:rsidTr="001F7EC8">
        <w:tc>
          <w:tcPr>
            <w:tcW w:w="1309" w:type="dxa"/>
          </w:tcPr>
          <w:p w14:paraId="6570A868" w14:textId="77777777" w:rsidR="00137C5D" w:rsidRPr="001F7EC8" w:rsidRDefault="00137C5D" w:rsidP="0059391A">
            <w:pPr>
              <w:jc w:val="both"/>
              <w:rPr>
                <w:rFonts w:cstheme="minorHAnsi"/>
                <w:sz w:val="20"/>
                <w:szCs w:val="20"/>
              </w:rPr>
            </w:pPr>
            <w:r w:rsidRPr="001F7EC8">
              <w:rPr>
                <w:rFonts w:cstheme="minorHAnsi"/>
                <w:sz w:val="20"/>
                <w:szCs w:val="20"/>
              </w:rPr>
              <w:t>Action</w:t>
            </w:r>
          </w:p>
        </w:tc>
        <w:tc>
          <w:tcPr>
            <w:tcW w:w="2230" w:type="dxa"/>
          </w:tcPr>
          <w:p w14:paraId="2DF9912C" w14:textId="0022140F" w:rsidR="00137C5D" w:rsidRPr="001F7EC8" w:rsidRDefault="00C539F8" w:rsidP="005E7C4A">
            <w:pPr>
              <w:jc w:val="both"/>
              <w:rPr>
                <w:rFonts w:cstheme="minorHAnsi"/>
                <w:sz w:val="20"/>
                <w:szCs w:val="20"/>
              </w:rPr>
            </w:pPr>
            <w:r w:rsidRPr="001F7EC8">
              <w:rPr>
                <w:rFonts w:cstheme="minorHAnsi"/>
                <w:sz w:val="20"/>
                <w:szCs w:val="20"/>
              </w:rPr>
              <w:t xml:space="preserve">Link to </w:t>
            </w:r>
            <w:r w:rsidR="005E7C4A" w:rsidRPr="001F7EC8">
              <w:rPr>
                <w:rFonts w:cstheme="minorHAnsi"/>
                <w:sz w:val="20"/>
                <w:szCs w:val="20"/>
              </w:rPr>
              <w:t>MIP and HRDCS priorities</w:t>
            </w:r>
            <w:r w:rsidRPr="001F7EC8">
              <w:rPr>
                <w:rFonts w:cstheme="minorHAnsi"/>
                <w:sz w:val="20"/>
                <w:szCs w:val="20"/>
              </w:rPr>
              <w:t xml:space="preserve"> and to Team Europe Initiatives (TEI)</w:t>
            </w:r>
          </w:p>
        </w:tc>
        <w:tc>
          <w:tcPr>
            <w:tcW w:w="1529" w:type="dxa"/>
          </w:tcPr>
          <w:p w14:paraId="5A431455" w14:textId="77777777" w:rsidR="00137C5D" w:rsidRPr="001F7EC8" w:rsidRDefault="00137C5D" w:rsidP="0059391A">
            <w:pPr>
              <w:jc w:val="both"/>
              <w:rPr>
                <w:rFonts w:cstheme="minorHAnsi"/>
                <w:sz w:val="20"/>
                <w:szCs w:val="20"/>
              </w:rPr>
            </w:pPr>
            <w:r w:rsidRPr="001F7EC8">
              <w:rPr>
                <w:rFonts w:cstheme="minorHAnsi"/>
                <w:sz w:val="20"/>
                <w:szCs w:val="20"/>
              </w:rPr>
              <w:t>GAP III Objective</w:t>
            </w:r>
          </w:p>
        </w:tc>
        <w:tc>
          <w:tcPr>
            <w:tcW w:w="1801" w:type="dxa"/>
          </w:tcPr>
          <w:p w14:paraId="5A6FE86E" w14:textId="36683354" w:rsidR="00137C5D" w:rsidRPr="001F7EC8" w:rsidRDefault="00137C5D" w:rsidP="005E7C4A">
            <w:pPr>
              <w:jc w:val="both"/>
              <w:rPr>
                <w:rFonts w:cstheme="minorHAnsi"/>
                <w:sz w:val="20"/>
                <w:szCs w:val="20"/>
              </w:rPr>
            </w:pPr>
            <w:r w:rsidRPr="001F7EC8">
              <w:rPr>
                <w:rFonts w:cstheme="minorHAnsi"/>
                <w:sz w:val="20"/>
                <w:szCs w:val="20"/>
              </w:rPr>
              <w:t>Rationale</w:t>
            </w:r>
            <w:r w:rsidR="004C1C2F" w:rsidRPr="001F7EC8">
              <w:rPr>
                <w:rFonts w:cstheme="minorHAnsi"/>
                <w:sz w:val="20"/>
                <w:szCs w:val="20"/>
              </w:rPr>
              <w:t>/Expected result</w:t>
            </w:r>
          </w:p>
        </w:tc>
        <w:tc>
          <w:tcPr>
            <w:tcW w:w="2193" w:type="dxa"/>
          </w:tcPr>
          <w:p w14:paraId="12349EDA" w14:textId="77777777" w:rsidR="00137C5D" w:rsidRPr="001F7EC8" w:rsidRDefault="00137C5D" w:rsidP="0059391A">
            <w:pPr>
              <w:jc w:val="both"/>
              <w:rPr>
                <w:rFonts w:cstheme="minorHAnsi"/>
                <w:sz w:val="20"/>
                <w:szCs w:val="20"/>
              </w:rPr>
            </w:pPr>
            <w:r w:rsidRPr="001F7EC8">
              <w:rPr>
                <w:rFonts w:cstheme="minorHAnsi"/>
                <w:sz w:val="20"/>
                <w:szCs w:val="20"/>
              </w:rPr>
              <w:t>Indicators</w:t>
            </w:r>
          </w:p>
        </w:tc>
      </w:tr>
      <w:tr w:rsidR="00254F12" w:rsidRPr="00393DEE" w14:paraId="3DA3A2FF" w14:textId="77777777" w:rsidTr="001F7EC8">
        <w:tc>
          <w:tcPr>
            <w:tcW w:w="1309" w:type="dxa"/>
          </w:tcPr>
          <w:p w14:paraId="269FDB72" w14:textId="5685F9FA" w:rsidR="00982E1E" w:rsidRPr="001F7EC8" w:rsidRDefault="00982E1E" w:rsidP="00C539F8">
            <w:pPr>
              <w:rPr>
                <w:rFonts w:cstheme="minorHAnsi"/>
                <w:sz w:val="20"/>
                <w:szCs w:val="20"/>
              </w:rPr>
            </w:pPr>
            <w:r w:rsidRPr="001F7EC8">
              <w:rPr>
                <w:rFonts w:cstheme="minorHAnsi"/>
                <w:sz w:val="20"/>
                <w:szCs w:val="20"/>
              </w:rPr>
              <w:t xml:space="preserve">SGBV- SRHR </w:t>
            </w:r>
            <w:r w:rsidR="0020501D" w:rsidRPr="001F7EC8">
              <w:rPr>
                <w:rFonts w:cstheme="minorHAnsi"/>
                <w:sz w:val="20"/>
                <w:szCs w:val="20"/>
              </w:rPr>
              <w:t>(</w:t>
            </w:r>
            <w:r w:rsidR="005E7C4A" w:rsidRPr="001F7EC8">
              <w:rPr>
                <w:rFonts w:cstheme="minorHAnsi"/>
                <w:sz w:val="20"/>
                <w:szCs w:val="20"/>
              </w:rPr>
              <w:t>building on</w:t>
            </w:r>
            <w:r w:rsidR="0020501D" w:rsidRPr="001F7EC8">
              <w:rPr>
                <w:rFonts w:cstheme="minorHAnsi"/>
                <w:sz w:val="20"/>
                <w:szCs w:val="20"/>
              </w:rPr>
              <w:t xml:space="preserve"> the EU-UN spotlight)</w:t>
            </w:r>
            <w:r w:rsidR="00C539F8" w:rsidRPr="001F7EC8">
              <w:rPr>
                <w:rFonts w:cstheme="minorHAnsi"/>
                <w:sz w:val="20"/>
                <w:szCs w:val="20"/>
              </w:rPr>
              <w:t xml:space="preserve"> </w:t>
            </w:r>
          </w:p>
        </w:tc>
        <w:tc>
          <w:tcPr>
            <w:tcW w:w="2230" w:type="dxa"/>
          </w:tcPr>
          <w:p w14:paraId="08577B53" w14:textId="77777777" w:rsidR="00982E1E" w:rsidRPr="001F7EC8" w:rsidRDefault="005E7C4A" w:rsidP="00982E1E">
            <w:pPr>
              <w:jc w:val="both"/>
              <w:rPr>
                <w:rFonts w:cstheme="minorHAnsi"/>
                <w:sz w:val="20"/>
                <w:szCs w:val="20"/>
              </w:rPr>
            </w:pPr>
            <w:r w:rsidRPr="001F7EC8">
              <w:rPr>
                <w:rFonts w:cstheme="minorHAnsi"/>
                <w:sz w:val="20"/>
                <w:szCs w:val="20"/>
              </w:rPr>
              <w:t xml:space="preserve">MIP: </w:t>
            </w:r>
            <w:r w:rsidR="00982E1E" w:rsidRPr="001F7EC8">
              <w:rPr>
                <w:rFonts w:cstheme="minorHAnsi"/>
                <w:sz w:val="20"/>
                <w:szCs w:val="20"/>
              </w:rPr>
              <w:t>Democratic governance and social inclusion</w:t>
            </w:r>
          </w:p>
          <w:p w14:paraId="37F3E424" w14:textId="77777777" w:rsidR="005E7C4A" w:rsidRPr="001F7EC8" w:rsidRDefault="005E7C4A" w:rsidP="00982E1E">
            <w:pPr>
              <w:jc w:val="both"/>
              <w:rPr>
                <w:rFonts w:cstheme="minorHAnsi"/>
                <w:sz w:val="20"/>
                <w:szCs w:val="20"/>
              </w:rPr>
            </w:pPr>
          </w:p>
          <w:p w14:paraId="6B8D4779" w14:textId="77777777" w:rsidR="005E7C4A" w:rsidRPr="001F7EC8" w:rsidRDefault="005E7C4A" w:rsidP="004C1C2F">
            <w:pPr>
              <w:jc w:val="both"/>
              <w:rPr>
                <w:rFonts w:cstheme="minorHAnsi"/>
                <w:sz w:val="20"/>
                <w:szCs w:val="20"/>
              </w:rPr>
            </w:pPr>
            <w:r w:rsidRPr="001F7EC8">
              <w:rPr>
                <w:rFonts w:cstheme="minorHAnsi"/>
                <w:sz w:val="20"/>
                <w:szCs w:val="20"/>
              </w:rPr>
              <w:t xml:space="preserve">HRDCS: </w:t>
            </w:r>
            <w:r w:rsidR="0008710E" w:rsidRPr="001F7EC8">
              <w:rPr>
                <w:rFonts w:cstheme="minorHAnsi"/>
                <w:sz w:val="20"/>
                <w:szCs w:val="20"/>
              </w:rPr>
              <w:t xml:space="preserve">SRHR </w:t>
            </w:r>
            <w:r w:rsidR="004C1C2F" w:rsidRPr="001F7EC8">
              <w:rPr>
                <w:rFonts w:cstheme="minorHAnsi"/>
                <w:sz w:val="20"/>
                <w:szCs w:val="20"/>
              </w:rPr>
              <w:t>as part of</w:t>
            </w:r>
            <w:r w:rsidR="0008710E" w:rsidRPr="001F7EC8">
              <w:rPr>
                <w:rFonts w:cstheme="minorHAnsi"/>
                <w:sz w:val="20"/>
                <w:szCs w:val="20"/>
              </w:rPr>
              <w:t xml:space="preserve"> right to education</w:t>
            </w:r>
          </w:p>
          <w:p w14:paraId="7EDFD255" w14:textId="77777777" w:rsidR="001F7EC8" w:rsidRDefault="001F7EC8" w:rsidP="00C539F8">
            <w:pPr>
              <w:rPr>
                <w:rFonts w:cstheme="minorHAnsi"/>
                <w:sz w:val="20"/>
                <w:szCs w:val="20"/>
              </w:rPr>
            </w:pPr>
          </w:p>
          <w:p w14:paraId="5DB2653A" w14:textId="502036B6" w:rsidR="00C539F8" w:rsidRPr="001F7EC8" w:rsidRDefault="00C539F8" w:rsidP="00C539F8">
            <w:pPr>
              <w:rPr>
                <w:rFonts w:cstheme="minorHAnsi"/>
                <w:sz w:val="20"/>
                <w:szCs w:val="20"/>
              </w:rPr>
            </w:pPr>
            <w:r w:rsidRPr="001F7EC8">
              <w:rPr>
                <w:rFonts w:cstheme="minorHAnsi"/>
                <w:sz w:val="20"/>
                <w:szCs w:val="20"/>
              </w:rPr>
              <w:t>TEI on demography and social inclusion (under development)</w:t>
            </w:r>
          </w:p>
        </w:tc>
        <w:tc>
          <w:tcPr>
            <w:tcW w:w="1529" w:type="dxa"/>
          </w:tcPr>
          <w:p w14:paraId="726D69AD" w14:textId="77777777" w:rsidR="00982E1E" w:rsidRPr="001F7EC8" w:rsidRDefault="00982E1E" w:rsidP="00982E1E">
            <w:pPr>
              <w:jc w:val="both"/>
              <w:rPr>
                <w:rFonts w:cstheme="minorHAnsi"/>
                <w:sz w:val="20"/>
                <w:szCs w:val="20"/>
              </w:rPr>
            </w:pPr>
            <w:r w:rsidRPr="001F7EC8">
              <w:rPr>
                <w:rFonts w:cstheme="minorHAnsi"/>
                <w:sz w:val="20"/>
                <w:szCs w:val="20"/>
              </w:rPr>
              <w:t>Ensuring freedom from all forms of GBV</w:t>
            </w:r>
          </w:p>
          <w:p w14:paraId="3D4C31A6" w14:textId="6D553E6B" w:rsidR="00982E1E" w:rsidRPr="001F7EC8" w:rsidRDefault="00982E1E" w:rsidP="00982E1E">
            <w:pPr>
              <w:autoSpaceDE w:val="0"/>
              <w:autoSpaceDN w:val="0"/>
              <w:adjustRightInd w:val="0"/>
              <w:rPr>
                <w:rFonts w:cstheme="minorHAnsi"/>
                <w:sz w:val="20"/>
                <w:szCs w:val="20"/>
              </w:rPr>
            </w:pPr>
          </w:p>
          <w:p w14:paraId="1FE2407B" w14:textId="218444B8" w:rsidR="00F5736D" w:rsidRPr="001F7EC8" w:rsidRDefault="00F5736D" w:rsidP="00982E1E">
            <w:pPr>
              <w:autoSpaceDE w:val="0"/>
              <w:autoSpaceDN w:val="0"/>
              <w:adjustRightInd w:val="0"/>
              <w:rPr>
                <w:rFonts w:cstheme="minorHAnsi"/>
                <w:sz w:val="20"/>
                <w:szCs w:val="20"/>
              </w:rPr>
            </w:pPr>
            <w:r w:rsidRPr="001F7EC8">
              <w:rPr>
                <w:rFonts w:cstheme="minorHAnsi"/>
                <w:sz w:val="20"/>
                <w:szCs w:val="20"/>
              </w:rPr>
              <w:t>Promoting sexual and reproductive health and rights</w:t>
            </w:r>
          </w:p>
        </w:tc>
        <w:tc>
          <w:tcPr>
            <w:tcW w:w="1801" w:type="dxa"/>
          </w:tcPr>
          <w:p w14:paraId="45D0836D" w14:textId="6CD3D996" w:rsidR="00982E1E" w:rsidRPr="001F7EC8" w:rsidRDefault="00982E1E" w:rsidP="00982E1E">
            <w:pPr>
              <w:jc w:val="both"/>
              <w:rPr>
                <w:rFonts w:cstheme="minorHAnsi"/>
                <w:sz w:val="20"/>
                <w:szCs w:val="20"/>
              </w:rPr>
            </w:pPr>
            <w:r w:rsidRPr="001F7EC8">
              <w:rPr>
                <w:rFonts w:cstheme="minorHAnsi"/>
                <w:sz w:val="20"/>
                <w:szCs w:val="20"/>
              </w:rPr>
              <w:t xml:space="preserve">Women and girls continue to face </w:t>
            </w:r>
            <w:r w:rsidR="00C539F8" w:rsidRPr="001F7EC8">
              <w:rPr>
                <w:rFonts w:cstheme="minorHAnsi"/>
                <w:sz w:val="20"/>
                <w:szCs w:val="20"/>
              </w:rPr>
              <w:t>SGBV</w:t>
            </w:r>
            <w:r w:rsidRPr="001F7EC8">
              <w:rPr>
                <w:rFonts w:cstheme="minorHAnsi"/>
                <w:sz w:val="20"/>
                <w:szCs w:val="20"/>
              </w:rPr>
              <w:t xml:space="preserve"> </w:t>
            </w:r>
          </w:p>
          <w:p w14:paraId="5FA6BA08" w14:textId="77777777" w:rsidR="00F5736D" w:rsidRPr="001F7EC8" w:rsidRDefault="00F5736D" w:rsidP="00F5736D">
            <w:pPr>
              <w:autoSpaceDE w:val="0"/>
              <w:autoSpaceDN w:val="0"/>
              <w:adjustRightInd w:val="0"/>
              <w:rPr>
                <w:rFonts w:cstheme="minorHAnsi"/>
                <w:sz w:val="20"/>
                <w:szCs w:val="20"/>
              </w:rPr>
            </w:pPr>
          </w:p>
          <w:p w14:paraId="1CFEBBED" w14:textId="77777777" w:rsidR="0008710E" w:rsidRPr="001F7EC8" w:rsidRDefault="0008710E" w:rsidP="00F5736D">
            <w:pPr>
              <w:autoSpaceDE w:val="0"/>
              <w:autoSpaceDN w:val="0"/>
              <w:adjustRightInd w:val="0"/>
              <w:rPr>
                <w:rFonts w:cstheme="minorHAnsi"/>
                <w:sz w:val="20"/>
                <w:szCs w:val="20"/>
              </w:rPr>
            </w:pPr>
          </w:p>
          <w:p w14:paraId="611F3030" w14:textId="586E5D50" w:rsidR="00F5736D" w:rsidRPr="001F7EC8" w:rsidRDefault="00F5736D" w:rsidP="00F5736D">
            <w:pPr>
              <w:autoSpaceDE w:val="0"/>
              <w:autoSpaceDN w:val="0"/>
              <w:adjustRightInd w:val="0"/>
              <w:rPr>
                <w:rFonts w:cstheme="minorHAnsi"/>
                <w:sz w:val="20"/>
                <w:szCs w:val="20"/>
              </w:rPr>
            </w:pPr>
            <w:r w:rsidRPr="001F7EC8">
              <w:rPr>
                <w:rFonts w:cstheme="minorHAnsi"/>
                <w:sz w:val="20"/>
                <w:szCs w:val="20"/>
              </w:rPr>
              <w:t>Women and girls who experience SGBV have access to essential services and protection</w:t>
            </w:r>
          </w:p>
          <w:p w14:paraId="597F3096" w14:textId="77777777" w:rsidR="00F5736D" w:rsidRPr="001F7EC8" w:rsidRDefault="00F5736D" w:rsidP="00F5736D">
            <w:pPr>
              <w:autoSpaceDE w:val="0"/>
              <w:autoSpaceDN w:val="0"/>
              <w:adjustRightInd w:val="0"/>
              <w:rPr>
                <w:rFonts w:cstheme="minorHAnsi"/>
                <w:sz w:val="20"/>
                <w:szCs w:val="20"/>
              </w:rPr>
            </w:pPr>
          </w:p>
          <w:p w14:paraId="5F9BE1DA" w14:textId="2C5275D7" w:rsidR="00EA2CEF" w:rsidRPr="001F7EC8" w:rsidRDefault="00EA2CEF" w:rsidP="00982E1E">
            <w:pPr>
              <w:jc w:val="both"/>
              <w:rPr>
                <w:rFonts w:cstheme="minorHAnsi"/>
                <w:sz w:val="20"/>
                <w:szCs w:val="20"/>
              </w:rPr>
            </w:pPr>
            <w:r w:rsidRPr="001F7EC8">
              <w:rPr>
                <w:rFonts w:cstheme="minorHAnsi"/>
                <w:sz w:val="20"/>
                <w:szCs w:val="20"/>
              </w:rPr>
              <w:t xml:space="preserve">Women and girls </w:t>
            </w:r>
            <w:r w:rsidR="001A0E7D" w:rsidRPr="001F7EC8">
              <w:rPr>
                <w:rFonts w:cstheme="minorHAnsi"/>
                <w:sz w:val="20"/>
                <w:szCs w:val="20"/>
              </w:rPr>
              <w:t xml:space="preserve"> </w:t>
            </w:r>
            <w:r w:rsidRPr="001F7EC8">
              <w:rPr>
                <w:rFonts w:cstheme="minorHAnsi"/>
                <w:sz w:val="20"/>
                <w:szCs w:val="20"/>
              </w:rPr>
              <w:t>fully enjoy their SRHR</w:t>
            </w:r>
          </w:p>
          <w:p w14:paraId="406DA5E3" w14:textId="77777777" w:rsidR="00EA2CEF" w:rsidRPr="001F7EC8" w:rsidRDefault="00EA2CEF" w:rsidP="00982E1E">
            <w:pPr>
              <w:jc w:val="both"/>
              <w:rPr>
                <w:rFonts w:cstheme="minorHAnsi"/>
                <w:sz w:val="20"/>
                <w:szCs w:val="20"/>
              </w:rPr>
            </w:pPr>
          </w:p>
          <w:p w14:paraId="4AA08B85" w14:textId="1EB75352" w:rsidR="00F9091E" w:rsidRPr="001F7EC8" w:rsidRDefault="00F9091E" w:rsidP="00982E1E">
            <w:pPr>
              <w:jc w:val="both"/>
              <w:rPr>
                <w:rFonts w:cstheme="minorHAnsi"/>
                <w:sz w:val="20"/>
                <w:szCs w:val="20"/>
              </w:rPr>
            </w:pPr>
          </w:p>
        </w:tc>
        <w:tc>
          <w:tcPr>
            <w:tcW w:w="2193" w:type="dxa"/>
          </w:tcPr>
          <w:p w14:paraId="1D8A0BAC" w14:textId="7716F499" w:rsidR="00093E7D" w:rsidRPr="001F7EC8" w:rsidRDefault="001F7EC8" w:rsidP="000E49BC">
            <w:pPr>
              <w:pStyle w:val="ListParagraph"/>
              <w:numPr>
                <w:ilvl w:val="0"/>
                <w:numId w:val="46"/>
              </w:numPr>
              <w:autoSpaceDE w:val="0"/>
              <w:autoSpaceDN w:val="0"/>
              <w:adjustRightInd w:val="0"/>
            </w:pPr>
            <w:r w:rsidRPr="001F7EC8">
              <w:rPr>
                <w:rFonts w:cstheme="minorHAnsi"/>
                <w:sz w:val="20"/>
                <w:szCs w:val="20"/>
              </w:rPr>
              <w:t>Number of individuals benefitting from EU-funded programmes to counter SGBV</w:t>
            </w:r>
          </w:p>
          <w:p w14:paraId="5A2032E9" w14:textId="77777777" w:rsidR="00EF33A7" w:rsidRPr="000E49BC" w:rsidRDefault="00EF33A7" w:rsidP="00EF33A7">
            <w:pPr>
              <w:pStyle w:val="ListParagraph"/>
              <w:rPr>
                <w:rFonts w:cstheme="minorHAnsi"/>
                <w:sz w:val="20"/>
                <w:szCs w:val="20"/>
              </w:rPr>
            </w:pPr>
          </w:p>
          <w:p w14:paraId="651BCD83" w14:textId="749DCB7C" w:rsidR="00EF33A7" w:rsidRPr="000E49BC" w:rsidRDefault="00EF33A7" w:rsidP="00982E1E">
            <w:pPr>
              <w:pStyle w:val="ListParagraph"/>
              <w:numPr>
                <w:ilvl w:val="0"/>
                <w:numId w:val="46"/>
              </w:numPr>
              <w:autoSpaceDE w:val="0"/>
              <w:autoSpaceDN w:val="0"/>
              <w:adjustRightInd w:val="0"/>
              <w:rPr>
                <w:rFonts w:cstheme="minorHAnsi"/>
                <w:sz w:val="20"/>
                <w:szCs w:val="20"/>
              </w:rPr>
            </w:pPr>
            <w:r w:rsidRPr="000E49BC">
              <w:rPr>
                <w:rFonts w:cstheme="minorHAnsi"/>
                <w:sz w:val="20"/>
                <w:szCs w:val="20"/>
              </w:rPr>
              <w:t xml:space="preserve">Extent to which comprehensive sexuality education is integrated in education </w:t>
            </w:r>
            <w:r w:rsidR="00F9091E" w:rsidRPr="000E49BC">
              <w:rPr>
                <w:rFonts w:cstheme="minorHAnsi"/>
                <w:sz w:val="20"/>
                <w:szCs w:val="20"/>
              </w:rPr>
              <w:t>curriculum</w:t>
            </w:r>
            <w:r w:rsidRPr="000E49BC">
              <w:rPr>
                <w:rFonts w:cstheme="minorHAnsi"/>
                <w:sz w:val="20"/>
                <w:szCs w:val="20"/>
              </w:rPr>
              <w:t xml:space="preserve"> </w:t>
            </w:r>
          </w:p>
          <w:p w14:paraId="624C86A9" w14:textId="77777777" w:rsidR="00AC3E94" w:rsidRPr="000E49BC" w:rsidRDefault="00AC3E94" w:rsidP="00AC3E94">
            <w:pPr>
              <w:pStyle w:val="ListParagraph"/>
              <w:rPr>
                <w:rFonts w:cstheme="minorHAnsi"/>
                <w:sz w:val="20"/>
                <w:szCs w:val="20"/>
              </w:rPr>
            </w:pPr>
          </w:p>
          <w:p w14:paraId="649442A4" w14:textId="24C75662" w:rsidR="00AC3E94" w:rsidRPr="000E49BC" w:rsidRDefault="00AC3E94" w:rsidP="00982E1E">
            <w:pPr>
              <w:pStyle w:val="ListParagraph"/>
              <w:numPr>
                <w:ilvl w:val="0"/>
                <w:numId w:val="46"/>
              </w:numPr>
              <w:autoSpaceDE w:val="0"/>
              <w:autoSpaceDN w:val="0"/>
              <w:adjustRightInd w:val="0"/>
              <w:rPr>
                <w:rFonts w:cstheme="minorHAnsi"/>
                <w:sz w:val="20"/>
                <w:szCs w:val="20"/>
              </w:rPr>
            </w:pPr>
            <w:r w:rsidRPr="000E49BC">
              <w:rPr>
                <w:rFonts w:cstheme="minorHAnsi"/>
                <w:sz w:val="20"/>
                <w:szCs w:val="20"/>
              </w:rPr>
              <w:t>Number of women of reproductive age using modern contraction methods with EU support</w:t>
            </w:r>
          </w:p>
          <w:p w14:paraId="278B58E1" w14:textId="1D37CF36" w:rsidR="00982E1E" w:rsidRPr="000E49BC" w:rsidRDefault="00982E1E" w:rsidP="00982E1E">
            <w:pPr>
              <w:pStyle w:val="ListParagraph"/>
              <w:autoSpaceDE w:val="0"/>
              <w:autoSpaceDN w:val="0"/>
              <w:adjustRightInd w:val="0"/>
              <w:rPr>
                <w:rFonts w:cstheme="minorHAnsi"/>
                <w:sz w:val="20"/>
                <w:szCs w:val="20"/>
              </w:rPr>
            </w:pPr>
          </w:p>
        </w:tc>
      </w:tr>
      <w:tr w:rsidR="00254F12" w:rsidRPr="00393DEE" w14:paraId="574C0903" w14:textId="77777777" w:rsidTr="001F7EC8">
        <w:tc>
          <w:tcPr>
            <w:tcW w:w="1309" w:type="dxa"/>
          </w:tcPr>
          <w:p w14:paraId="667CFD7D" w14:textId="1203242A" w:rsidR="00F62D7F" w:rsidRPr="001F7EC8" w:rsidRDefault="00F62D7F" w:rsidP="00F62D7F">
            <w:pPr>
              <w:jc w:val="both"/>
              <w:rPr>
                <w:rFonts w:cstheme="minorHAnsi"/>
                <w:bCs/>
                <w:sz w:val="20"/>
                <w:szCs w:val="20"/>
              </w:rPr>
            </w:pPr>
            <w:r w:rsidRPr="001F7EC8">
              <w:rPr>
                <w:rFonts w:cstheme="minorHAnsi"/>
                <w:bCs/>
                <w:sz w:val="20"/>
                <w:szCs w:val="20"/>
              </w:rPr>
              <w:t xml:space="preserve">Education for adolescent girls </w:t>
            </w:r>
          </w:p>
        </w:tc>
        <w:tc>
          <w:tcPr>
            <w:tcW w:w="2230" w:type="dxa"/>
          </w:tcPr>
          <w:p w14:paraId="7E4EC395" w14:textId="77777777" w:rsidR="00F62D7F" w:rsidRPr="001F7EC8" w:rsidRDefault="00F62D7F" w:rsidP="00F62D7F">
            <w:pPr>
              <w:jc w:val="both"/>
              <w:rPr>
                <w:rFonts w:cstheme="minorHAnsi"/>
                <w:sz w:val="20"/>
                <w:szCs w:val="20"/>
              </w:rPr>
            </w:pPr>
            <w:r w:rsidRPr="001F7EC8">
              <w:rPr>
                <w:rFonts w:cstheme="minorHAnsi"/>
                <w:sz w:val="20"/>
                <w:szCs w:val="20"/>
              </w:rPr>
              <w:t>MIP: Democratic governance and social inclusion</w:t>
            </w:r>
          </w:p>
          <w:p w14:paraId="2EB23945" w14:textId="77777777" w:rsidR="00F62D7F" w:rsidRPr="001F7EC8" w:rsidRDefault="00F62D7F" w:rsidP="00F62D7F">
            <w:pPr>
              <w:jc w:val="both"/>
              <w:rPr>
                <w:rFonts w:cstheme="minorHAnsi"/>
                <w:sz w:val="20"/>
                <w:szCs w:val="20"/>
              </w:rPr>
            </w:pPr>
          </w:p>
          <w:p w14:paraId="064BD593" w14:textId="37DD0AAF" w:rsidR="00F62D7F" w:rsidRPr="001F7EC8" w:rsidRDefault="00F62D7F" w:rsidP="00F62D7F">
            <w:pPr>
              <w:jc w:val="both"/>
              <w:rPr>
                <w:rFonts w:cstheme="minorHAnsi"/>
                <w:sz w:val="20"/>
                <w:szCs w:val="20"/>
              </w:rPr>
            </w:pPr>
            <w:r w:rsidRPr="001F7EC8">
              <w:rPr>
                <w:rFonts w:cstheme="minorHAnsi"/>
                <w:sz w:val="20"/>
                <w:szCs w:val="20"/>
              </w:rPr>
              <w:lastRenderedPageBreak/>
              <w:t>HRDCS: Right to education</w:t>
            </w:r>
          </w:p>
          <w:p w14:paraId="264D2326" w14:textId="77777777" w:rsidR="00F62D7F" w:rsidRPr="001F7EC8" w:rsidRDefault="00F62D7F" w:rsidP="00F62D7F">
            <w:pPr>
              <w:jc w:val="both"/>
              <w:rPr>
                <w:rFonts w:cstheme="minorHAnsi"/>
                <w:sz w:val="20"/>
                <w:szCs w:val="20"/>
              </w:rPr>
            </w:pPr>
          </w:p>
          <w:p w14:paraId="641586CA" w14:textId="07B6AC76" w:rsidR="00F62D7F" w:rsidRPr="001F7EC8" w:rsidRDefault="00F62D7F" w:rsidP="00F62D7F">
            <w:pPr>
              <w:jc w:val="both"/>
              <w:rPr>
                <w:rFonts w:cstheme="minorHAnsi"/>
                <w:bCs/>
                <w:sz w:val="20"/>
                <w:szCs w:val="20"/>
              </w:rPr>
            </w:pPr>
            <w:r w:rsidRPr="001F7EC8">
              <w:rPr>
                <w:rFonts w:cstheme="minorHAnsi"/>
                <w:sz w:val="20"/>
                <w:szCs w:val="20"/>
              </w:rPr>
              <w:t>TEI on demography and social inclusion (under development)</w:t>
            </w:r>
          </w:p>
        </w:tc>
        <w:tc>
          <w:tcPr>
            <w:tcW w:w="1529" w:type="dxa"/>
          </w:tcPr>
          <w:p w14:paraId="28E0E02E" w14:textId="621EDD13" w:rsidR="00F62D7F" w:rsidRPr="001F7EC8" w:rsidRDefault="00F62D7F" w:rsidP="00F62D7F">
            <w:pPr>
              <w:jc w:val="both"/>
              <w:rPr>
                <w:rFonts w:cstheme="minorHAnsi"/>
                <w:sz w:val="20"/>
                <w:szCs w:val="20"/>
              </w:rPr>
            </w:pPr>
            <w:r w:rsidRPr="001F7EC8">
              <w:rPr>
                <w:rFonts w:cstheme="minorHAnsi"/>
                <w:sz w:val="20"/>
                <w:szCs w:val="20"/>
              </w:rPr>
              <w:lastRenderedPageBreak/>
              <w:t xml:space="preserve">Strengthening economic and social rights and empowering </w:t>
            </w:r>
            <w:r w:rsidRPr="001F7EC8">
              <w:rPr>
                <w:rFonts w:cstheme="minorHAnsi"/>
                <w:sz w:val="20"/>
                <w:szCs w:val="20"/>
              </w:rPr>
              <w:lastRenderedPageBreak/>
              <w:t>girls and women</w:t>
            </w:r>
          </w:p>
        </w:tc>
        <w:tc>
          <w:tcPr>
            <w:tcW w:w="1801" w:type="dxa"/>
          </w:tcPr>
          <w:p w14:paraId="1AC18654" w14:textId="2064E969" w:rsidR="00F62D7F" w:rsidRPr="001F7EC8" w:rsidRDefault="00F62D7F" w:rsidP="00F62D7F">
            <w:pPr>
              <w:jc w:val="both"/>
              <w:rPr>
                <w:rFonts w:cstheme="minorHAnsi"/>
                <w:sz w:val="20"/>
                <w:szCs w:val="20"/>
              </w:rPr>
            </w:pPr>
            <w:r w:rsidRPr="001F7EC8">
              <w:rPr>
                <w:rFonts w:cstheme="minorHAnsi"/>
                <w:sz w:val="20"/>
                <w:szCs w:val="20"/>
              </w:rPr>
              <w:lastRenderedPageBreak/>
              <w:t>Reduction in gender disparities in enrolment, progression and retention</w:t>
            </w:r>
            <w:r w:rsidR="001F7EC8">
              <w:rPr>
                <w:rFonts w:cstheme="minorHAnsi"/>
                <w:sz w:val="20"/>
                <w:szCs w:val="20"/>
              </w:rPr>
              <w:t xml:space="preserve"> around </w:t>
            </w:r>
            <w:r w:rsidR="001F7EC8">
              <w:rPr>
                <w:rFonts w:cstheme="minorHAnsi"/>
                <w:sz w:val="20"/>
                <w:szCs w:val="20"/>
              </w:rPr>
              <w:lastRenderedPageBreak/>
              <w:t>the transition between primary and secondary levels</w:t>
            </w:r>
          </w:p>
          <w:p w14:paraId="2367A1F1" w14:textId="77777777" w:rsidR="00F62D7F" w:rsidRPr="001F7EC8" w:rsidRDefault="00F62D7F" w:rsidP="00F62D7F">
            <w:pPr>
              <w:jc w:val="both"/>
              <w:rPr>
                <w:rFonts w:cstheme="minorHAnsi"/>
                <w:sz w:val="20"/>
                <w:szCs w:val="20"/>
              </w:rPr>
            </w:pPr>
          </w:p>
          <w:p w14:paraId="560514A9" w14:textId="116D8ADB" w:rsidR="00F62D7F" w:rsidRPr="001F7EC8" w:rsidRDefault="00F62D7F" w:rsidP="00F62D7F">
            <w:pPr>
              <w:jc w:val="both"/>
              <w:rPr>
                <w:rFonts w:cstheme="minorHAnsi"/>
                <w:sz w:val="20"/>
                <w:szCs w:val="20"/>
              </w:rPr>
            </w:pPr>
          </w:p>
        </w:tc>
        <w:tc>
          <w:tcPr>
            <w:tcW w:w="2193" w:type="dxa"/>
          </w:tcPr>
          <w:p w14:paraId="071F6F74" w14:textId="77777777" w:rsidR="00F62D7F" w:rsidRPr="001F7EC8" w:rsidRDefault="00F62D7F" w:rsidP="00F62D7F">
            <w:pPr>
              <w:pStyle w:val="ListParagraph"/>
              <w:numPr>
                <w:ilvl w:val="0"/>
                <w:numId w:val="46"/>
              </w:numPr>
              <w:jc w:val="both"/>
              <w:rPr>
                <w:rFonts w:cstheme="minorHAnsi"/>
                <w:sz w:val="20"/>
                <w:szCs w:val="20"/>
              </w:rPr>
            </w:pPr>
            <w:r w:rsidRPr="001F7EC8">
              <w:rPr>
                <w:rFonts w:cstheme="minorHAnsi"/>
                <w:sz w:val="20"/>
                <w:szCs w:val="20"/>
              </w:rPr>
              <w:lastRenderedPageBreak/>
              <w:t>Number of adolescent girls enrolled in education with EU support</w:t>
            </w:r>
          </w:p>
          <w:p w14:paraId="1BF669F8" w14:textId="5A5B1F7C" w:rsidR="00F62D7F" w:rsidRPr="001F7EC8" w:rsidRDefault="00F62D7F" w:rsidP="000E49BC">
            <w:pPr>
              <w:pStyle w:val="ListParagraph"/>
              <w:jc w:val="both"/>
              <w:rPr>
                <w:rFonts w:cstheme="minorHAnsi"/>
                <w:sz w:val="20"/>
                <w:szCs w:val="20"/>
              </w:rPr>
            </w:pPr>
          </w:p>
        </w:tc>
      </w:tr>
      <w:tr w:rsidR="00254F12" w:rsidRPr="00393DEE" w14:paraId="079FF6F6" w14:textId="77777777" w:rsidTr="001F7EC8">
        <w:tc>
          <w:tcPr>
            <w:tcW w:w="1309" w:type="dxa"/>
          </w:tcPr>
          <w:p w14:paraId="74A98B81" w14:textId="2F13026F" w:rsidR="00705D38" w:rsidRPr="00AF4178" w:rsidRDefault="00705D38" w:rsidP="00F62D7F">
            <w:pPr>
              <w:jc w:val="both"/>
              <w:rPr>
                <w:rFonts w:cstheme="minorHAnsi"/>
                <w:bCs/>
                <w:sz w:val="20"/>
                <w:szCs w:val="20"/>
              </w:rPr>
            </w:pPr>
            <w:r w:rsidRPr="00254F12">
              <w:rPr>
                <w:rFonts w:cstheme="minorHAnsi"/>
                <w:bCs/>
                <w:sz w:val="20"/>
                <w:szCs w:val="20"/>
              </w:rPr>
              <w:lastRenderedPageBreak/>
              <w:t>Support to civil society</w:t>
            </w:r>
          </w:p>
        </w:tc>
        <w:tc>
          <w:tcPr>
            <w:tcW w:w="2230" w:type="dxa"/>
          </w:tcPr>
          <w:p w14:paraId="7592639A" w14:textId="77777777" w:rsidR="00705D38" w:rsidRPr="0031158D" w:rsidRDefault="00705D38" w:rsidP="00705D38">
            <w:pPr>
              <w:jc w:val="both"/>
              <w:rPr>
                <w:rFonts w:cstheme="minorHAnsi"/>
                <w:sz w:val="20"/>
                <w:szCs w:val="20"/>
              </w:rPr>
            </w:pPr>
            <w:r w:rsidRPr="0031158D">
              <w:rPr>
                <w:rFonts w:cstheme="minorHAnsi"/>
                <w:sz w:val="20"/>
                <w:szCs w:val="20"/>
              </w:rPr>
              <w:t>MIP: Democratic governance and social inclusion</w:t>
            </w:r>
          </w:p>
          <w:p w14:paraId="0C03F75F" w14:textId="77777777" w:rsidR="00705D38" w:rsidRPr="00254F12" w:rsidRDefault="00705D38" w:rsidP="00705D38">
            <w:pPr>
              <w:jc w:val="both"/>
              <w:rPr>
                <w:rFonts w:cstheme="minorHAnsi"/>
                <w:sz w:val="20"/>
                <w:szCs w:val="20"/>
              </w:rPr>
            </w:pPr>
          </w:p>
          <w:p w14:paraId="0F35A4B2" w14:textId="699AD4BB" w:rsidR="00705D38" w:rsidRPr="00254F12" w:rsidRDefault="00705D38" w:rsidP="00705D38">
            <w:pPr>
              <w:jc w:val="both"/>
              <w:rPr>
                <w:rFonts w:cstheme="minorHAnsi"/>
                <w:sz w:val="20"/>
                <w:szCs w:val="20"/>
              </w:rPr>
            </w:pPr>
            <w:r w:rsidRPr="00254F12">
              <w:rPr>
                <w:rFonts w:cstheme="minorHAnsi"/>
                <w:sz w:val="20"/>
                <w:szCs w:val="20"/>
              </w:rPr>
              <w:t>HRDCS: Civic and political space</w:t>
            </w:r>
          </w:p>
          <w:p w14:paraId="2759C2D6" w14:textId="77777777" w:rsidR="00705D38" w:rsidRPr="00254F12" w:rsidRDefault="00705D38" w:rsidP="00F62D7F">
            <w:pPr>
              <w:jc w:val="both"/>
              <w:rPr>
                <w:rFonts w:cstheme="minorHAnsi"/>
                <w:sz w:val="20"/>
                <w:szCs w:val="20"/>
              </w:rPr>
            </w:pPr>
          </w:p>
        </w:tc>
        <w:tc>
          <w:tcPr>
            <w:tcW w:w="1529" w:type="dxa"/>
          </w:tcPr>
          <w:p w14:paraId="39945699" w14:textId="3BDBCB21" w:rsidR="00705D38" w:rsidRPr="00254F12" w:rsidRDefault="00705D38" w:rsidP="00F62D7F">
            <w:pPr>
              <w:jc w:val="both"/>
              <w:rPr>
                <w:rFonts w:cstheme="minorHAnsi"/>
                <w:sz w:val="20"/>
                <w:szCs w:val="20"/>
              </w:rPr>
            </w:pPr>
            <w:r w:rsidRPr="00254F12">
              <w:rPr>
                <w:sz w:val="20"/>
                <w:szCs w:val="20"/>
              </w:rPr>
              <w:t>Women and men participate equally in decision-making process at all levels and women take on leadership roles</w:t>
            </w:r>
          </w:p>
        </w:tc>
        <w:tc>
          <w:tcPr>
            <w:tcW w:w="1801" w:type="dxa"/>
          </w:tcPr>
          <w:p w14:paraId="747B5BDD" w14:textId="31264ABB" w:rsidR="00254F12" w:rsidRPr="00254F12" w:rsidRDefault="00254F12" w:rsidP="00254F12">
            <w:pPr>
              <w:rPr>
                <w:rFonts w:ascii="Calibri" w:hAnsi="Calibri" w:cs="Calibri"/>
                <w:color w:val="000000"/>
                <w:sz w:val="20"/>
                <w:szCs w:val="20"/>
              </w:rPr>
            </w:pPr>
            <w:r w:rsidRPr="00254F12">
              <w:rPr>
                <w:rFonts w:ascii="Calibri" w:hAnsi="Calibri" w:cs="Calibri"/>
                <w:color w:val="000000"/>
                <w:sz w:val="20"/>
                <w:szCs w:val="20"/>
              </w:rPr>
              <w:t>Enhancement, inclusion and contribution of women in development processes and policy dia</w:t>
            </w:r>
            <w:r w:rsidR="00B72A02">
              <w:rPr>
                <w:rFonts w:ascii="Calibri" w:hAnsi="Calibri" w:cs="Calibri"/>
                <w:color w:val="000000"/>
                <w:sz w:val="20"/>
                <w:szCs w:val="20"/>
              </w:rPr>
              <w:t>logues at all governance levels</w:t>
            </w:r>
          </w:p>
          <w:p w14:paraId="5391C72D" w14:textId="77777777" w:rsidR="00254F12" w:rsidRPr="00254F12" w:rsidRDefault="00254F12" w:rsidP="00254F12">
            <w:pPr>
              <w:rPr>
                <w:rFonts w:ascii="Calibri" w:hAnsi="Calibri" w:cs="Calibri"/>
                <w:color w:val="000000"/>
                <w:sz w:val="20"/>
                <w:szCs w:val="20"/>
              </w:rPr>
            </w:pPr>
          </w:p>
          <w:p w14:paraId="5F079712" w14:textId="77777777" w:rsidR="00254F12" w:rsidRPr="00AF4178" w:rsidRDefault="00254F12" w:rsidP="00254F12">
            <w:pPr>
              <w:autoSpaceDE w:val="0"/>
              <w:autoSpaceDN w:val="0"/>
              <w:adjustRightInd w:val="0"/>
              <w:rPr>
                <w:rFonts w:cstheme="minorHAnsi"/>
                <w:sz w:val="20"/>
                <w:szCs w:val="20"/>
              </w:rPr>
            </w:pPr>
            <w:r w:rsidRPr="00254F12">
              <w:rPr>
                <w:rFonts w:cstheme="minorHAnsi"/>
                <w:sz w:val="20"/>
                <w:szCs w:val="20"/>
              </w:rPr>
              <w:t>Women and men are agents of change regarding discriminatory social norms and ge</w:t>
            </w:r>
            <w:r w:rsidRPr="00AF4178">
              <w:rPr>
                <w:rFonts w:cstheme="minorHAnsi"/>
                <w:sz w:val="20"/>
                <w:szCs w:val="20"/>
              </w:rPr>
              <w:t>nder stereo-types</w:t>
            </w:r>
          </w:p>
          <w:p w14:paraId="62A5599B" w14:textId="77777777" w:rsidR="00254F12" w:rsidRPr="00254F12" w:rsidRDefault="00254F12" w:rsidP="00254F12">
            <w:pPr>
              <w:pStyle w:val="ListParagraph"/>
              <w:ind w:left="1080"/>
              <w:rPr>
                <w:rFonts w:ascii="Calibri" w:hAnsi="Calibri" w:cs="Calibri"/>
                <w:color w:val="000000"/>
                <w:sz w:val="20"/>
                <w:szCs w:val="20"/>
              </w:rPr>
            </w:pPr>
          </w:p>
          <w:p w14:paraId="0ACAF0AB" w14:textId="77777777" w:rsidR="00705D38" w:rsidRPr="00254F12" w:rsidRDefault="00705D38" w:rsidP="00F62D7F">
            <w:pPr>
              <w:jc w:val="both"/>
              <w:rPr>
                <w:rFonts w:cstheme="minorHAnsi"/>
                <w:sz w:val="20"/>
                <w:szCs w:val="20"/>
              </w:rPr>
            </w:pPr>
          </w:p>
        </w:tc>
        <w:tc>
          <w:tcPr>
            <w:tcW w:w="2193" w:type="dxa"/>
          </w:tcPr>
          <w:p w14:paraId="267F95BB" w14:textId="3B349F32" w:rsidR="00705D38" w:rsidRPr="00B72A02" w:rsidRDefault="00B72A02" w:rsidP="00F62D7F">
            <w:pPr>
              <w:pStyle w:val="ListParagraph"/>
              <w:numPr>
                <w:ilvl w:val="0"/>
                <w:numId w:val="46"/>
              </w:numPr>
              <w:jc w:val="both"/>
              <w:rPr>
                <w:rFonts w:cstheme="minorHAnsi"/>
                <w:sz w:val="20"/>
                <w:szCs w:val="20"/>
              </w:rPr>
            </w:pPr>
            <w:r>
              <w:rPr>
                <w:rFonts w:cstheme="minorHAnsi"/>
                <w:sz w:val="20"/>
                <w:szCs w:val="20"/>
              </w:rPr>
              <w:t>Number of women’s organisations supported</w:t>
            </w:r>
          </w:p>
        </w:tc>
      </w:tr>
    </w:tbl>
    <w:p w14:paraId="7198E81A" w14:textId="77777777" w:rsidR="0059391A" w:rsidRPr="0059391A" w:rsidRDefault="0059391A" w:rsidP="0059391A">
      <w:pPr>
        <w:jc w:val="both"/>
        <w:rPr>
          <w:rFonts w:ascii="Times New Roman" w:hAnsi="Times New Roman" w:cs="Times New Roman"/>
          <w:sz w:val="24"/>
          <w:szCs w:val="24"/>
        </w:rPr>
      </w:pPr>
    </w:p>
    <w:p w14:paraId="3BB6D580" w14:textId="1588078B" w:rsidR="00C211C9" w:rsidRPr="00C371D6" w:rsidRDefault="008925E3" w:rsidP="00C371D6">
      <w:pPr>
        <w:pStyle w:val="ListParagraph"/>
        <w:numPr>
          <w:ilvl w:val="0"/>
          <w:numId w:val="15"/>
        </w:numPr>
        <w:ind w:left="426" w:hanging="426"/>
        <w:rPr>
          <w:rFonts w:ascii="Times New Roman" w:hAnsi="Times New Roman" w:cs="Times New Roman"/>
          <w:b/>
          <w:sz w:val="24"/>
          <w:szCs w:val="24"/>
        </w:rPr>
      </w:pPr>
      <w:r w:rsidRPr="00DD6A6F">
        <w:rPr>
          <w:rFonts w:ascii="Times New Roman" w:hAnsi="Times New Roman" w:cs="Times New Roman"/>
          <w:b/>
          <w:sz w:val="24"/>
          <w:szCs w:val="24"/>
        </w:rPr>
        <w:t>Engage in dialogue</w:t>
      </w:r>
      <w:r w:rsidR="006D0B62" w:rsidRPr="00DD6A6F">
        <w:rPr>
          <w:rFonts w:ascii="Times New Roman" w:hAnsi="Times New Roman" w:cs="Times New Roman"/>
          <w:b/>
          <w:sz w:val="24"/>
          <w:szCs w:val="24"/>
        </w:rPr>
        <w:t xml:space="preserve"> for g</w:t>
      </w:r>
      <w:r w:rsidR="00687767" w:rsidRPr="00DD6A6F">
        <w:rPr>
          <w:rFonts w:ascii="Times New Roman" w:hAnsi="Times New Roman" w:cs="Times New Roman"/>
          <w:b/>
          <w:sz w:val="24"/>
          <w:szCs w:val="24"/>
        </w:rPr>
        <w:t>ender equality</w:t>
      </w:r>
      <w:r w:rsidR="006D0B62" w:rsidRPr="00DD6A6F">
        <w:rPr>
          <w:rFonts w:ascii="Times New Roman" w:hAnsi="Times New Roman" w:cs="Times New Roman"/>
          <w:b/>
          <w:sz w:val="24"/>
          <w:szCs w:val="24"/>
        </w:rPr>
        <w:t xml:space="preserve"> and women </w:t>
      </w:r>
      <w:r w:rsidR="00DD6A6F" w:rsidRPr="00DD6A6F">
        <w:rPr>
          <w:rFonts w:ascii="Times New Roman" w:hAnsi="Times New Roman" w:cs="Times New Roman"/>
          <w:b/>
          <w:sz w:val="24"/>
          <w:szCs w:val="24"/>
        </w:rPr>
        <w:t>empowerment</w:t>
      </w:r>
    </w:p>
    <w:p w14:paraId="76F763E3" w14:textId="79141ADB" w:rsidR="008B2990" w:rsidRPr="00393DEE" w:rsidRDefault="008B2990" w:rsidP="008925E3">
      <w:pPr>
        <w:spacing w:after="0" w:line="240" w:lineRule="auto"/>
        <w:jc w:val="both"/>
        <w:rPr>
          <w:rFonts w:cstheme="minorHAnsi"/>
        </w:rPr>
      </w:pPr>
      <w:r>
        <w:rPr>
          <w:rFonts w:cstheme="minorHAnsi"/>
        </w:rPr>
        <w:t>The EU Delegation will engage in regular dialogue on the issue of gender equality and women empowerment at policy and political levels. This dialogue will also take place in the context of the implementation of the MIP, the HRDCS and the civil society roadmap.</w:t>
      </w:r>
      <w:r w:rsidR="00E4386F">
        <w:rPr>
          <w:rFonts w:cstheme="minorHAnsi"/>
        </w:rPr>
        <w:t xml:space="preserve"> </w:t>
      </w:r>
      <w:r w:rsidR="00F5573C">
        <w:rPr>
          <w:rFonts w:cstheme="minorHAnsi"/>
        </w:rPr>
        <w:t>I</w:t>
      </w:r>
      <w:r w:rsidR="00E4386F">
        <w:rPr>
          <w:rFonts w:cstheme="minorHAnsi"/>
        </w:rPr>
        <w:t>nterlocutors will include</w:t>
      </w:r>
      <w:r w:rsidR="00E571C7">
        <w:rPr>
          <w:rFonts w:cstheme="minorHAnsi"/>
        </w:rPr>
        <w:t xml:space="preserve"> the government and relevant ministries (</w:t>
      </w:r>
      <w:r w:rsidR="0031158D">
        <w:rPr>
          <w:rFonts w:cstheme="minorHAnsi"/>
        </w:rPr>
        <w:t xml:space="preserve">e.g. </w:t>
      </w:r>
      <w:r w:rsidR="00E571C7">
        <w:rPr>
          <w:rFonts w:cstheme="minorHAnsi"/>
        </w:rPr>
        <w:t>gender, education, finance), civil society organisations</w:t>
      </w:r>
      <w:r w:rsidR="0031158D">
        <w:rPr>
          <w:rFonts w:cstheme="minorHAnsi"/>
        </w:rPr>
        <w:t xml:space="preserve"> (e.g.</w:t>
      </w:r>
      <w:r w:rsidR="00E571C7">
        <w:rPr>
          <w:rFonts w:cstheme="minorHAnsi"/>
        </w:rPr>
        <w:t xml:space="preserve"> </w:t>
      </w:r>
      <w:r w:rsidR="00F5573C">
        <w:rPr>
          <w:rFonts w:cstheme="minorHAnsi"/>
        </w:rPr>
        <w:t xml:space="preserve">human rights defenders, </w:t>
      </w:r>
      <w:r w:rsidR="00E571C7">
        <w:rPr>
          <w:rFonts w:cstheme="minorHAnsi"/>
        </w:rPr>
        <w:t>women’s and faith-based organisations</w:t>
      </w:r>
      <w:r w:rsidR="0031158D">
        <w:rPr>
          <w:rFonts w:cstheme="minorHAnsi"/>
        </w:rPr>
        <w:t>)</w:t>
      </w:r>
      <w:r w:rsidR="00E571C7">
        <w:rPr>
          <w:rFonts w:cstheme="minorHAnsi"/>
        </w:rPr>
        <w:t xml:space="preserve"> and the private sector</w:t>
      </w:r>
      <w:r w:rsidR="0031158D">
        <w:rPr>
          <w:rFonts w:cstheme="minorHAnsi"/>
        </w:rPr>
        <w:t xml:space="preserve"> on women economic empowerment and gender aspects of the human rights and business agenda</w:t>
      </w:r>
      <w:r w:rsidR="00E571C7">
        <w:rPr>
          <w:rFonts w:cstheme="minorHAnsi"/>
        </w:rPr>
        <w:t xml:space="preserve">.  </w:t>
      </w:r>
      <w:r w:rsidR="00F5573C" w:rsidRPr="00F96FCA">
        <w:rPr>
          <w:rFonts w:cstheme="minorHAnsi"/>
        </w:rPr>
        <w:t xml:space="preserve">The EU can also play a convening role by bringing together diverse groups of stakeholders to engage in dialogue on issues falling </w:t>
      </w:r>
      <w:r w:rsidR="00F96FCA">
        <w:rPr>
          <w:rFonts w:cstheme="minorHAnsi"/>
        </w:rPr>
        <w:t xml:space="preserve">under </w:t>
      </w:r>
      <w:r w:rsidR="00F96FCA" w:rsidRPr="00F96FCA">
        <w:rPr>
          <w:rFonts w:cstheme="minorHAnsi"/>
        </w:rPr>
        <w:t>the CLIP</w:t>
      </w:r>
      <w:r w:rsidR="00F5573C" w:rsidRPr="00F96FCA">
        <w:rPr>
          <w:rFonts w:cstheme="minorHAnsi"/>
        </w:rPr>
        <w:t>. Cooperation with the UN agenc</w:t>
      </w:r>
      <w:r w:rsidR="00F96FCA" w:rsidRPr="00F96FCA">
        <w:rPr>
          <w:rFonts w:cstheme="minorHAnsi"/>
        </w:rPr>
        <w:t>ies present in Uganda, in particular in the context of the EU-UN Spotlight initiative</w:t>
      </w:r>
      <w:r w:rsidR="00F96FCA">
        <w:rPr>
          <w:rFonts w:cstheme="minorHAnsi"/>
        </w:rPr>
        <w:t>,</w:t>
      </w:r>
      <w:r w:rsidR="00F96FCA" w:rsidRPr="00F96FCA">
        <w:rPr>
          <w:rFonts w:cstheme="minorHAnsi"/>
        </w:rPr>
        <w:t xml:space="preserve"> will continue</w:t>
      </w:r>
      <w:r w:rsidR="00F5573C" w:rsidRPr="00F96FCA">
        <w:rPr>
          <w:rFonts w:cstheme="minorHAnsi"/>
        </w:rPr>
        <w:t>.</w:t>
      </w:r>
    </w:p>
    <w:p w14:paraId="16AB8C88" w14:textId="77777777" w:rsidR="000E0465" w:rsidRPr="00F45D82" w:rsidRDefault="000E0465" w:rsidP="00B766CA">
      <w:pPr>
        <w:spacing w:after="0" w:line="240" w:lineRule="auto"/>
        <w:jc w:val="both"/>
        <w:rPr>
          <w:rFonts w:cstheme="minorHAnsi"/>
        </w:rPr>
      </w:pPr>
    </w:p>
    <w:p w14:paraId="618FA021" w14:textId="77777777" w:rsidR="00435A4B" w:rsidRDefault="00435A4B" w:rsidP="008925E3">
      <w:pPr>
        <w:spacing w:after="0" w:line="240" w:lineRule="auto"/>
        <w:jc w:val="both"/>
        <w:rPr>
          <w:rFonts w:ascii="Times New Roman" w:hAnsi="Times New Roman" w:cs="Times New Roman"/>
          <w:sz w:val="24"/>
          <w:szCs w:val="24"/>
        </w:rPr>
      </w:pPr>
    </w:p>
    <w:p w14:paraId="5DFEFA23" w14:textId="1E5049FB" w:rsidR="008925E3" w:rsidRPr="00595005" w:rsidRDefault="008925E3" w:rsidP="00C371D6">
      <w:pPr>
        <w:pStyle w:val="ListParagraph"/>
        <w:numPr>
          <w:ilvl w:val="0"/>
          <w:numId w:val="15"/>
        </w:numPr>
        <w:ind w:left="426" w:hanging="426"/>
        <w:rPr>
          <w:rFonts w:ascii="Times New Roman" w:hAnsi="Times New Roman" w:cs="Times New Roman"/>
          <w:b/>
          <w:sz w:val="24"/>
          <w:szCs w:val="24"/>
        </w:rPr>
      </w:pPr>
      <w:r w:rsidRPr="00C371D6">
        <w:rPr>
          <w:rFonts w:ascii="Times New Roman" w:hAnsi="Times New Roman" w:cs="Times New Roman"/>
          <w:b/>
          <w:sz w:val="24"/>
          <w:szCs w:val="24"/>
        </w:rPr>
        <w:t>Outreach and other communication / public diplomacy activities</w:t>
      </w:r>
    </w:p>
    <w:p w14:paraId="62F8145C" w14:textId="77777777" w:rsidR="00DC1435" w:rsidRPr="00F45D82" w:rsidRDefault="00DC1435" w:rsidP="0007283B">
      <w:pPr>
        <w:spacing w:after="0" w:line="240" w:lineRule="auto"/>
        <w:jc w:val="both"/>
        <w:rPr>
          <w:rFonts w:cstheme="minorHAnsi"/>
          <w:i/>
        </w:rPr>
      </w:pPr>
    </w:p>
    <w:p w14:paraId="484E6730" w14:textId="1195C729" w:rsidR="00BA0F19" w:rsidRPr="0031158D" w:rsidRDefault="00DC1435" w:rsidP="0031158D">
      <w:pPr>
        <w:pStyle w:val="ListParagraph"/>
        <w:spacing w:after="0" w:line="240" w:lineRule="auto"/>
        <w:jc w:val="both"/>
        <w:rPr>
          <w:rFonts w:cstheme="minorHAnsi"/>
          <w:lang w:eastAsia="es-ES"/>
        </w:rPr>
      </w:pPr>
      <w:r>
        <w:rPr>
          <w:rFonts w:cstheme="minorHAnsi"/>
          <w:lang w:eastAsia="es-ES"/>
        </w:rPr>
        <w:t>Gender will be mainstreamed in international days falling under the responsibility of the EU Delegation</w:t>
      </w:r>
      <w:r w:rsidR="00DC21DE">
        <w:rPr>
          <w:rFonts w:cstheme="minorHAnsi"/>
          <w:lang w:eastAsia="es-ES"/>
        </w:rPr>
        <w:t xml:space="preserve">. </w:t>
      </w:r>
      <w:r w:rsidR="00B5290F">
        <w:rPr>
          <w:rFonts w:cstheme="minorHAnsi"/>
          <w:lang w:eastAsia="es-ES"/>
        </w:rPr>
        <w:t xml:space="preserve"> Visibility around actions targeting specifically women and girls (</w:t>
      </w:r>
      <w:r w:rsidR="005F4309">
        <w:rPr>
          <w:rFonts w:cstheme="minorHAnsi"/>
          <w:lang w:eastAsia="es-ES"/>
        </w:rPr>
        <w:t xml:space="preserve">e.g. </w:t>
      </w:r>
      <w:r w:rsidR="00B5290F">
        <w:rPr>
          <w:rFonts w:cstheme="minorHAnsi"/>
          <w:lang w:eastAsia="es-ES"/>
        </w:rPr>
        <w:t xml:space="preserve">EU-UN Spotlight initiative, adolescent </w:t>
      </w:r>
      <w:r w:rsidR="00147EEE">
        <w:rPr>
          <w:rFonts w:cstheme="minorHAnsi"/>
          <w:lang w:eastAsia="es-ES"/>
        </w:rPr>
        <w:t>girls’</w:t>
      </w:r>
      <w:r w:rsidR="00B5290F">
        <w:rPr>
          <w:rFonts w:cstheme="minorHAnsi"/>
          <w:lang w:eastAsia="es-ES"/>
        </w:rPr>
        <w:t xml:space="preserve"> education, support to </w:t>
      </w:r>
      <w:r w:rsidR="005F4309">
        <w:rPr>
          <w:rFonts w:cstheme="minorHAnsi"/>
          <w:lang w:eastAsia="es-ES"/>
        </w:rPr>
        <w:t>women’s organisations and civil society organisation</w:t>
      </w:r>
      <w:r w:rsidR="004B0765">
        <w:rPr>
          <w:rFonts w:cstheme="minorHAnsi"/>
          <w:lang w:eastAsia="es-ES"/>
        </w:rPr>
        <w:t>s</w:t>
      </w:r>
      <w:r w:rsidR="005F4309">
        <w:rPr>
          <w:rFonts w:cstheme="minorHAnsi"/>
          <w:lang w:eastAsia="es-ES"/>
        </w:rPr>
        <w:t xml:space="preserve"> with a strong focus on gender) </w:t>
      </w:r>
      <w:r w:rsidR="00B5290F">
        <w:rPr>
          <w:rFonts w:cstheme="minorHAnsi"/>
          <w:lang w:eastAsia="es-ES"/>
        </w:rPr>
        <w:t xml:space="preserve">will be </w:t>
      </w:r>
      <w:r w:rsidR="004B0765">
        <w:rPr>
          <w:rFonts w:cstheme="minorHAnsi"/>
          <w:lang w:eastAsia="es-ES"/>
        </w:rPr>
        <w:t>promoted</w:t>
      </w:r>
      <w:r w:rsidR="005F4309">
        <w:rPr>
          <w:rFonts w:cstheme="minorHAnsi"/>
          <w:lang w:eastAsia="es-ES"/>
        </w:rPr>
        <w:t xml:space="preserve">. </w:t>
      </w:r>
      <w:r w:rsidR="00147EEE">
        <w:rPr>
          <w:rFonts w:cstheme="minorHAnsi"/>
          <w:lang w:eastAsia="es-ES"/>
        </w:rPr>
        <w:t>The annual</w:t>
      </w:r>
      <w:r w:rsidR="00BA0F19">
        <w:rPr>
          <w:rFonts w:cstheme="minorHAnsi"/>
          <w:lang w:eastAsia="es-ES"/>
        </w:rPr>
        <w:t xml:space="preserve"> EU Human Rights Defenders Award is </w:t>
      </w:r>
      <w:r w:rsidR="005F4309">
        <w:rPr>
          <w:rFonts w:cstheme="minorHAnsi"/>
          <w:lang w:eastAsia="es-ES"/>
        </w:rPr>
        <w:t xml:space="preserve">also </w:t>
      </w:r>
      <w:r w:rsidR="00BA0F19">
        <w:rPr>
          <w:rFonts w:cstheme="minorHAnsi"/>
          <w:lang w:eastAsia="es-ES"/>
        </w:rPr>
        <w:t xml:space="preserve">an avenue for </w:t>
      </w:r>
      <w:r w:rsidR="00591067">
        <w:rPr>
          <w:rFonts w:cstheme="minorHAnsi"/>
          <w:lang w:eastAsia="es-ES"/>
        </w:rPr>
        <w:t>recognit</w:t>
      </w:r>
      <w:r w:rsidR="00BA0F19">
        <w:rPr>
          <w:rFonts w:cstheme="minorHAnsi"/>
          <w:lang w:eastAsia="es-ES"/>
        </w:rPr>
        <w:t>i</w:t>
      </w:r>
      <w:r w:rsidR="00591067">
        <w:rPr>
          <w:rFonts w:cstheme="minorHAnsi"/>
          <w:lang w:eastAsia="es-ES"/>
        </w:rPr>
        <w:t>o</w:t>
      </w:r>
      <w:r w:rsidR="00BA0F19">
        <w:rPr>
          <w:rFonts w:cstheme="minorHAnsi"/>
          <w:lang w:eastAsia="es-ES"/>
        </w:rPr>
        <w:t>n of women human rights defenders</w:t>
      </w:r>
      <w:r w:rsidR="005F4309">
        <w:rPr>
          <w:rFonts w:cstheme="minorHAnsi"/>
          <w:lang w:eastAsia="es-ES"/>
        </w:rPr>
        <w:t>.</w:t>
      </w:r>
    </w:p>
    <w:p w14:paraId="6C03F370" w14:textId="7544207D" w:rsidR="00D46F6B" w:rsidRDefault="00D46F6B" w:rsidP="0007283B">
      <w:pPr>
        <w:spacing w:after="0" w:line="240" w:lineRule="auto"/>
        <w:jc w:val="both"/>
        <w:rPr>
          <w:rFonts w:ascii="Times New Roman" w:hAnsi="Times New Roman" w:cs="Times New Roman"/>
          <w:sz w:val="24"/>
          <w:szCs w:val="24"/>
        </w:rPr>
      </w:pPr>
    </w:p>
    <w:p w14:paraId="519F625B" w14:textId="7428898C" w:rsidR="00147EEE" w:rsidRDefault="00147EEE" w:rsidP="0007283B">
      <w:pPr>
        <w:spacing w:after="0" w:line="240" w:lineRule="auto"/>
        <w:jc w:val="both"/>
        <w:rPr>
          <w:rFonts w:ascii="Times New Roman" w:hAnsi="Times New Roman" w:cs="Times New Roman"/>
          <w:sz w:val="24"/>
          <w:szCs w:val="24"/>
        </w:rPr>
      </w:pPr>
    </w:p>
    <w:p w14:paraId="5231BB0A" w14:textId="26837427" w:rsidR="00147EEE" w:rsidRDefault="00147EEE" w:rsidP="0007283B">
      <w:pPr>
        <w:spacing w:after="0" w:line="240" w:lineRule="auto"/>
        <w:jc w:val="both"/>
        <w:rPr>
          <w:rFonts w:ascii="Times New Roman" w:hAnsi="Times New Roman" w:cs="Times New Roman"/>
          <w:sz w:val="24"/>
          <w:szCs w:val="24"/>
        </w:rPr>
      </w:pPr>
    </w:p>
    <w:p w14:paraId="1C0BC454" w14:textId="77777777" w:rsidR="00147EEE" w:rsidRPr="007F2DDC" w:rsidRDefault="00147EEE" w:rsidP="0007283B">
      <w:pPr>
        <w:spacing w:after="0" w:line="240" w:lineRule="auto"/>
        <w:jc w:val="both"/>
        <w:rPr>
          <w:rFonts w:ascii="Times New Roman" w:hAnsi="Times New Roman" w:cs="Times New Roman"/>
          <w:sz w:val="24"/>
          <w:szCs w:val="24"/>
        </w:rPr>
      </w:pPr>
    </w:p>
    <w:p w14:paraId="1A114D79" w14:textId="77777777" w:rsidR="00A96BB8" w:rsidRDefault="00A96BB8" w:rsidP="0007283B">
      <w:pPr>
        <w:spacing w:after="0" w:line="240" w:lineRule="auto"/>
        <w:jc w:val="both"/>
        <w:rPr>
          <w:rFonts w:ascii="Times New Roman" w:hAnsi="Times New Roman" w:cs="Times New Roman"/>
          <w:sz w:val="24"/>
          <w:szCs w:val="24"/>
        </w:rPr>
      </w:pPr>
    </w:p>
    <w:p w14:paraId="351EE463" w14:textId="0C5EB473" w:rsidR="00DC1435" w:rsidRPr="0076611B" w:rsidRDefault="00017F30" w:rsidP="00C371D6">
      <w:pPr>
        <w:pStyle w:val="ListParagraph"/>
        <w:numPr>
          <w:ilvl w:val="0"/>
          <w:numId w:val="15"/>
        </w:numPr>
        <w:ind w:left="426" w:hanging="426"/>
        <w:rPr>
          <w:rFonts w:ascii="Times New Roman" w:hAnsi="Times New Roman" w:cs="Times New Roman"/>
          <w:b/>
          <w:sz w:val="24"/>
          <w:szCs w:val="24"/>
        </w:rPr>
      </w:pPr>
      <w:r w:rsidRPr="0076611B">
        <w:rPr>
          <w:rFonts w:ascii="Times New Roman" w:hAnsi="Times New Roman" w:cs="Times New Roman"/>
          <w:b/>
          <w:sz w:val="24"/>
          <w:szCs w:val="24"/>
        </w:rPr>
        <w:lastRenderedPageBreak/>
        <w:t xml:space="preserve">Technical </w:t>
      </w:r>
      <w:r w:rsidR="001A0FB6" w:rsidRPr="0076611B">
        <w:rPr>
          <w:rFonts w:ascii="Times New Roman" w:hAnsi="Times New Roman" w:cs="Times New Roman"/>
          <w:b/>
          <w:sz w:val="24"/>
          <w:szCs w:val="24"/>
        </w:rPr>
        <w:t xml:space="preserve">Facility and/or </w:t>
      </w:r>
      <w:r w:rsidR="00C83740" w:rsidRPr="0076611B">
        <w:rPr>
          <w:rFonts w:ascii="Times New Roman" w:hAnsi="Times New Roman" w:cs="Times New Roman"/>
          <w:b/>
          <w:sz w:val="24"/>
          <w:szCs w:val="24"/>
        </w:rPr>
        <w:t>f</w:t>
      </w:r>
      <w:r w:rsidR="00775863" w:rsidRPr="0076611B">
        <w:rPr>
          <w:rFonts w:ascii="Times New Roman" w:hAnsi="Times New Roman" w:cs="Times New Roman"/>
          <w:b/>
          <w:sz w:val="24"/>
          <w:szCs w:val="24"/>
        </w:rPr>
        <w:t xml:space="preserve">inancial </w:t>
      </w:r>
      <w:r w:rsidR="00DF23E5" w:rsidRPr="0076611B">
        <w:rPr>
          <w:rFonts w:ascii="Times New Roman" w:hAnsi="Times New Roman" w:cs="Times New Roman"/>
          <w:b/>
          <w:sz w:val="24"/>
          <w:szCs w:val="24"/>
        </w:rPr>
        <w:t>resources</w:t>
      </w:r>
      <w:r w:rsidR="001A0FB6" w:rsidRPr="0076611B">
        <w:rPr>
          <w:rFonts w:ascii="Times New Roman" w:hAnsi="Times New Roman" w:cs="Times New Roman"/>
          <w:b/>
          <w:sz w:val="24"/>
          <w:szCs w:val="24"/>
        </w:rPr>
        <w:t xml:space="preserve"> allocated</w:t>
      </w:r>
      <w:r w:rsidR="00775863" w:rsidRPr="0076611B">
        <w:rPr>
          <w:rFonts w:ascii="Times New Roman" w:hAnsi="Times New Roman" w:cs="Times New Roman"/>
          <w:b/>
          <w:sz w:val="24"/>
          <w:szCs w:val="24"/>
        </w:rPr>
        <w:t xml:space="preserve"> to support GAP III implementation </w:t>
      </w:r>
    </w:p>
    <w:p w14:paraId="4EE8A7AF" w14:textId="77777777" w:rsidR="004A6438" w:rsidRPr="00435A4B" w:rsidRDefault="004A6438" w:rsidP="00435A4B">
      <w:pPr>
        <w:spacing w:after="0" w:line="240" w:lineRule="auto"/>
        <w:jc w:val="both"/>
        <w:rPr>
          <w:rFonts w:ascii="Times New Roman" w:hAnsi="Times New Roman" w:cs="Times New Roman"/>
          <w:b/>
          <w:sz w:val="24"/>
          <w:szCs w:val="24"/>
        </w:rPr>
      </w:pPr>
    </w:p>
    <w:p w14:paraId="492BC8B6" w14:textId="61920978" w:rsidR="007548D0" w:rsidRPr="00F94E74" w:rsidRDefault="007548D0" w:rsidP="008119D6">
      <w:pPr>
        <w:jc w:val="both"/>
        <w:rPr>
          <w:rFonts w:cstheme="minorHAnsi"/>
          <w:lang w:eastAsia="es-ES"/>
        </w:rPr>
      </w:pPr>
      <w:r>
        <w:rPr>
          <w:rFonts w:cstheme="minorHAnsi"/>
          <w:lang w:eastAsia="es-ES"/>
        </w:rPr>
        <w:t xml:space="preserve">Implementation of the GAP III CLIP will be supported by </w:t>
      </w:r>
      <w:r w:rsidR="001E2629">
        <w:rPr>
          <w:rFonts w:cstheme="minorHAnsi"/>
          <w:lang w:eastAsia="es-ES"/>
        </w:rPr>
        <w:t xml:space="preserve">ongoing actions and </w:t>
      </w:r>
      <w:r>
        <w:rPr>
          <w:rFonts w:cstheme="minorHAnsi"/>
          <w:lang w:eastAsia="es-ES"/>
        </w:rPr>
        <w:t xml:space="preserve">the </w:t>
      </w:r>
      <w:r w:rsidR="001E2629">
        <w:rPr>
          <w:rFonts w:cstheme="minorHAnsi"/>
          <w:lang w:eastAsia="es-ES"/>
        </w:rPr>
        <w:t xml:space="preserve">new </w:t>
      </w:r>
      <w:r>
        <w:rPr>
          <w:rFonts w:cstheme="minorHAnsi"/>
          <w:lang w:eastAsia="es-ES"/>
        </w:rPr>
        <w:t>MIP</w:t>
      </w:r>
      <w:r w:rsidR="001E2629">
        <w:rPr>
          <w:rFonts w:cstheme="minorHAnsi"/>
          <w:lang w:eastAsia="es-ES"/>
        </w:rPr>
        <w:t xml:space="preserve">, in particular priority areas </w:t>
      </w:r>
      <w:r w:rsidR="00507253">
        <w:rPr>
          <w:rFonts w:cstheme="minorHAnsi"/>
          <w:lang w:eastAsia="es-ES"/>
        </w:rPr>
        <w:t>2</w:t>
      </w:r>
      <w:r w:rsidR="001E2629">
        <w:rPr>
          <w:rFonts w:cstheme="minorHAnsi"/>
          <w:lang w:eastAsia="es-ES"/>
        </w:rPr>
        <w:t xml:space="preserve"> (sustai</w:t>
      </w:r>
      <w:r w:rsidR="005071C3">
        <w:rPr>
          <w:rFonts w:cstheme="minorHAnsi"/>
          <w:lang w:eastAsia="es-ES"/>
        </w:rPr>
        <w:t>na</w:t>
      </w:r>
      <w:r w:rsidR="001E2629">
        <w:rPr>
          <w:rFonts w:cstheme="minorHAnsi"/>
          <w:lang w:eastAsia="es-ES"/>
        </w:rPr>
        <w:t>ble</w:t>
      </w:r>
      <w:r w:rsidR="005071C3">
        <w:rPr>
          <w:rFonts w:cstheme="minorHAnsi"/>
          <w:lang w:eastAsia="es-ES"/>
        </w:rPr>
        <w:t xml:space="preserve"> and inclusive</w:t>
      </w:r>
      <w:r w:rsidR="001E2629">
        <w:rPr>
          <w:rFonts w:cstheme="minorHAnsi"/>
          <w:lang w:eastAsia="es-ES"/>
        </w:rPr>
        <w:t xml:space="preserve"> growth and jobs) and </w:t>
      </w:r>
      <w:r w:rsidR="00507253">
        <w:rPr>
          <w:rFonts w:cstheme="minorHAnsi"/>
          <w:lang w:eastAsia="es-ES"/>
        </w:rPr>
        <w:t>3</w:t>
      </w:r>
      <w:r w:rsidR="001E2629">
        <w:rPr>
          <w:rFonts w:cstheme="minorHAnsi"/>
          <w:lang w:eastAsia="es-ES"/>
        </w:rPr>
        <w:t xml:space="preserve"> (democratic governance and social inclusion)</w:t>
      </w:r>
      <w:r>
        <w:rPr>
          <w:rFonts w:cstheme="minorHAnsi"/>
          <w:lang w:eastAsia="es-ES"/>
        </w:rPr>
        <w:t>. Notably</w:t>
      </w:r>
      <w:r w:rsidR="006D2F5F">
        <w:rPr>
          <w:rFonts w:cstheme="minorHAnsi"/>
          <w:lang w:eastAsia="es-ES"/>
        </w:rPr>
        <w:t>,</w:t>
      </w:r>
      <w:r>
        <w:rPr>
          <w:rFonts w:cstheme="minorHAnsi"/>
          <w:lang w:eastAsia="es-ES"/>
        </w:rPr>
        <w:t xml:space="preserve"> </w:t>
      </w:r>
      <w:r w:rsidR="00507253">
        <w:rPr>
          <w:rFonts w:cstheme="minorHAnsi"/>
          <w:lang w:eastAsia="es-ES"/>
        </w:rPr>
        <w:t>it is e</w:t>
      </w:r>
      <w:r w:rsidR="00F94E74">
        <w:rPr>
          <w:rFonts w:cstheme="minorHAnsi"/>
          <w:lang w:eastAsia="es-ES"/>
        </w:rPr>
        <w:t>stimated</w:t>
      </w:r>
      <w:r w:rsidR="00507253">
        <w:rPr>
          <w:rFonts w:cstheme="minorHAnsi"/>
          <w:lang w:eastAsia="es-ES"/>
        </w:rPr>
        <w:t xml:space="preserve"> that under priority 3</w:t>
      </w:r>
      <w:r w:rsidR="00F94E74">
        <w:rPr>
          <w:rFonts w:cstheme="minorHAnsi"/>
          <w:lang w:eastAsia="es-ES"/>
        </w:rPr>
        <w:t xml:space="preserve"> of the MIP</w:t>
      </w:r>
      <w:r w:rsidR="00507253">
        <w:rPr>
          <w:rFonts w:cstheme="minorHAnsi"/>
          <w:lang w:eastAsia="es-ES"/>
        </w:rPr>
        <w:t>, 70% of the funding will be allocated to gender, including two G-2 actions</w:t>
      </w:r>
      <w:r w:rsidR="008119D6">
        <w:rPr>
          <w:rFonts w:cstheme="minorHAnsi"/>
          <w:lang w:eastAsia="es-ES"/>
        </w:rPr>
        <w:t>; one</w:t>
      </w:r>
      <w:r w:rsidR="00F94E74">
        <w:rPr>
          <w:rFonts w:cstheme="minorHAnsi"/>
          <w:lang w:eastAsia="es-ES"/>
        </w:rPr>
        <w:t xml:space="preserve"> on GBV/SRHR building on the ongoing EU-UN Spotlight initiative and </w:t>
      </w:r>
      <w:r w:rsidR="008119D6">
        <w:rPr>
          <w:rFonts w:cstheme="minorHAnsi"/>
          <w:lang w:eastAsia="es-ES"/>
        </w:rPr>
        <w:t xml:space="preserve">a new action to support </w:t>
      </w:r>
      <w:r w:rsidR="00F94E74">
        <w:rPr>
          <w:rFonts w:cstheme="minorHAnsi"/>
          <w:lang w:eastAsia="es-ES"/>
        </w:rPr>
        <w:t>adolescent girls education</w:t>
      </w:r>
      <w:r w:rsidR="008119D6">
        <w:rPr>
          <w:rFonts w:cstheme="minorHAnsi"/>
          <w:lang w:eastAsia="es-ES"/>
        </w:rPr>
        <w:t xml:space="preserve">. Both actions </w:t>
      </w:r>
      <w:r w:rsidR="00F94E74">
        <w:rPr>
          <w:rFonts w:cstheme="minorHAnsi"/>
          <w:lang w:eastAsia="es-ES"/>
        </w:rPr>
        <w:t xml:space="preserve">will be part of the TEI </w:t>
      </w:r>
      <w:r w:rsidR="008119D6">
        <w:rPr>
          <w:rFonts w:cstheme="minorHAnsi"/>
          <w:lang w:eastAsia="es-ES"/>
        </w:rPr>
        <w:t>on demography and social inclusion (under development)</w:t>
      </w:r>
      <w:r w:rsidR="00507253">
        <w:rPr>
          <w:rFonts w:cstheme="minorHAnsi"/>
          <w:lang w:eastAsia="es-ES"/>
        </w:rPr>
        <w:t xml:space="preserve">. </w:t>
      </w:r>
      <w:r w:rsidR="00F94E74">
        <w:rPr>
          <w:rFonts w:cstheme="minorHAnsi"/>
          <w:lang w:eastAsia="es-ES"/>
        </w:rPr>
        <w:t xml:space="preserve"> </w:t>
      </w:r>
      <w:r w:rsidR="008119D6">
        <w:rPr>
          <w:rFonts w:cstheme="minorHAnsi"/>
          <w:lang w:eastAsia="es-ES"/>
        </w:rPr>
        <w:t>Furthermore, s</w:t>
      </w:r>
      <w:r w:rsidR="00F94E74">
        <w:rPr>
          <w:rFonts w:cstheme="minorHAnsi"/>
          <w:lang w:eastAsia="es-ES"/>
        </w:rPr>
        <w:t xml:space="preserve">upport to civil society will continue to have a significant component on gender including the </w:t>
      </w:r>
      <w:r w:rsidRPr="00F94E74">
        <w:rPr>
          <w:rFonts w:cstheme="minorHAnsi"/>
          <w:lang w:eastAsia="es-ES"/>
        </w:rPr>
        <w:t xml:space="preserve">Civil Society in Uganda Support Programme and its successor (under </w:t>
      </w:r>
      <w:r w:rsidR="00F94E74">
        <w:rPr>
          <w:rFonts w:cstheme="minorHAnsi"/>
          <w:lang w:eastAsia="es-ES"/>
        </w:rPr>
        <w:t>preparation</w:t>
      </w:r>
      <w:r w:rsidRPr="00F94E74">
        <w:rPr>
          <w:rFonts w:cstheme="minorHAnsi"/>
          <w:lang w:eastAsia="es-ES"/>
        </w:rPr>
        <w:t>), the Democratic Governance Facility</w:t>
      </w:r>
      <w:r w:rsidR="006D1707" w:rsidRPr="00F94E74">
        <w:rPr>
          <w:rFonts w:cstheme="minorHAnsi"/>
          <w:lang w:eastAsia="es-ES"/>
        </w:rPr>
        <w:t xml:space="preserve"> </w:t>
      </w:r>
      <w:r w:rsidR="00F94E74">
        <w:rPr>
          <w:rFonts w:cstheme="minorHAnsi"/>
          <w:lang w:eastAsia="es-ES"/>
        </w:rPr>
        <w:t xml:space="preserve">and its possible successor </w:t>
      </w:r>
      <w:r w:rsidR="006D1707" w:rsidRPr="00F94E74">
        <w:rPr>
          <w:rFonts w:cstheme="minorHAnsi"/>
          <w:lang w:eastAsia="es-ES"/>
        </w:rPr>
        <w:t>and EIDHR grants</w:t>
      </w:r>
      <w:r w:rsidR="00F94E74">
        <w:rPr>
          <w:rFonts w:cstheme="minorHAnsi"/>
          <w:lang w:eastAsia="es-ES"/>
        </w:rPr>
        <w:t>.</w:t>
      </w:r>
    </w:p>
    <w:p w14:paraId="775AB24B" w14:textId="17609BDC" w:rsidR="006D2F5F" w:rsidRPr="00F94E74" w:rsidRDefault="006D2F5F" w:rsidP="008119D6">
      <w:pPr>
        <w:jc w:val="both"/>
        <w:rPr>
          <w:rFonts w:cstheme="minorHAnsi"/>
          <w:lang w:eastAsia="es-ES"/>
        </w:rPr>
      </w:pPr>
      <w:r w:rsidRPr="00F94E74">
        <w:rPr>
          <w:rFonts w:cstheme="minorHAnsi"/>
          <w:lang w:eastAsia="es-ES"/>
        </w:rPr>
        <w:t xml:space="preserve">Thematic expertise may </w:t>
      </w:r>
      <w:r w:rsidR="008119D6">
        <w:rPr>
          <w:rFonts w:cstheme="minorHAnsi"/>
          <w:lang w:eastAsia="es-ES"/>
        </w:rPr>
        <w:t xml:space="preserve">also </w:t>
      </w:r>
      <w:r w:rsidRPr="00F94E74">
        <w:rPr>
          <w:rFonts w:cstheme="minorHAnsi"/>
          <w:lang w:eastAsia="es-ES"/>
        </w:rPr>
        <w:t>be mobilised through the technical facility to conduct analyses and /or mainstream gender in new actions</w:t>
      </w:r>
    </w:p>
    <w:p w14:paraId="56E85A68" w14:textId="39FA7642" w:rsidR="00AA550E" w:rsidRPr="00AA550E" w:rsidRDefault="00AA550E" w:rsidP="0076611B">
      <w:pPr>
        <w:rPr>
          <w:rFonts w:cstheme="minorHAnsi"/>
          <w:lang w:eastAsia="es-ES"/>
        </w:rPr>
      </w:pPr>
    </w:p>
    <w:p w14:paraId="1E0F51AE" w14:textId="77777777" w:rsidR="00AA550E" w:rsidRPr="00AA550E" w:rsidRDefault="00AA550E" w:rsidP="0076611B">
      <w:pPr>
        <w:rPr>
          <w:rFonts w:cstheme="minorHAnsi"/>
          <w:lang w:eastAsia="es-ES"/>
        </w:rPr>
      </w:pPr>
    </w:p>
    <w:p w14:paraId="412C4ED2" w14:textId="77777777" w:rsidR="00AA550E" w:rsidRDefault="00AA550E" w:rsidP="00AA55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Date:</w:t>
      </w:r>
      <w:r w:rsidRPr="007F0FE0">
        <w:rPr>
          <w:rFonts w:ascii="Times New Roman" w:hAnsi="Times New Roman" w:cs="Times New Roman"/>
          <w:i/>
          <w:sz w:val="24"/>
          <w:szCs w:val="24"/>
        </w:rPr>
        <w:t xml:space="preserve"> </w:t>
      </w:r>
      <w:r>
        <w:rPr>
          <w:rFonts w:ascii="Times New Roman" w:hAnsi="Times New Roman" w:cs="Times New Roman"/>
          <w:i/>
          <w:sz w:val="24"/>
          <w:szCs w:val="24"/>
        </w:rPr>
        <w:t>…………………………………………………………………………………….</w:t>
      </w:r>
    </w:p>
    <w:p w14:paraId="5BD8ABF3" w14:textId="77777777" w:rsidR="00AA550E" w:rsidRDefault="00AA550E" w:rsidP="00AA550E">
      <w:pPr>
        <w:spacing w:after="0" w:line="240" w:lineRule="auto"/>
        <w:jc w:val="both"/>
        <w:rPr>
          <w:rFonts w:ascii="Times New Roman" w:hAnsi="Times New Roman" w:cs="Times New Roman"/>
          <w:i/>
          <w:sz w:val="24"/>
          <w:szCs w:val="24"/>
        </w:rPr>
      </w:pPr>
    </w:p>
    <w:p w14:paraId="22496511" w14:textId="77777777" w:rsidR="00AA550E" w:rsidRDefault="00AA550E" w:rsidP="00AA550E">
      <w:pPr>
        <w:spacing w:after="0" w:line="240" w:lineRule="auto"/>
        <w:jc w:val="both"/>
        <w:rPr>
          <w:rFonts w:ascii="Times New Roman" w:hAnsi="Times New Roman" w:cs="Times New Roman"/>
          <w:i/>
          <w:sz w:val="24"/>
          <w:szCs w:val="24"/>
        </w:rPr>
      </w:pPr>
    </w:p>
    <w:p w14:paraId="74B70434" w14:textId="77777777" w:rsidR="00AA550E" w:rsidRPr="0007283B" w:rsidRDefault="00AA550E" w:rsidP="00AA55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Signature by </w:t>
      </w:r>
      <w:r w:rsidRPr="0007283B">
        <w:rPr>
          <w:rFonts w:ascii="Times New Roman" w:hAnsi="Times New Roman" w:cs="Times New Roman"/>
          <w:i/>
          <w:sz w:val="24"/>
          <w:szCs w:val="24"/>
        </w:rPr>
        <w:t>H</w:t>
      </w:r>
      <w:r>
        <w:rPr>
          <w:rFonts w:ascii="Times New Roman" w:hAnsi="Times New Roman" w:cs="Times New Roman"/>
          <w:i/>
          <w:sz w:val="24"/>
          <w:szCs w:val="24"/>
        </w:rPr>
        <w:t xml:space="preserve">ead </w:t>
      </w:r>
      <w:r w:rsidRPr="0007283B">
        <w:rPr>
          <w:rFonts w:ascii="Times New Roman" w:hAnsi="Times New Roman" w:cs="Times New Roman"/>
          <w:i/>
          <w:sz w:val="24"/>
          <w:szCs w:val="24"/>
        </w:rPr>
        <w:t>o</w:t>
      </w:r>
      <w:r>
        <w:rPr>
          <w:rFonts w:ascii="Times New Roman" w:hAnsi="Times New Roman" w:cs="Times New Roman"/>
          <w:i/>
          <w:sz w:val="24"/>
          <w:szCs w:val="24"/>
        </w:rPr>
        <w:t xml:space="preserve">f </w:t>
      </w:r>
      <w:r w:rsidRPr="0007283B">
        <w:rPr>
          <w:rFonts w:ascii="Times New Roman" w:hAnsi="Times New Roman" w:cs="Times New Roman"/>
          <w:i/>
          <w:sz w:val="24"/>
          <w:szCs w:val="24"/>
        </w:rPr>
        <w:t>D</w:t>
      </w:r>
      <w:r>
        <w:rPr>
          <w:rFonts w:ascii="Times New Roman" w:hAnsi="Times New Roman" w:cs="Times New Roman"/>
          <w:i/>
          <w:sz w:val="24"/>
          <w:szCs w:val="24"/>
        </w:rPr>
        <w:t>elegation</w:t>
      </w:r>
      <w:r w:rsidRPr="0007283B">
        <w:rPr>
          <w:rFonts w:ascii="Times New Roman" w:hAnsi="Times New Roman" w:cs="Times New Roman"/>
          <w:i/>
          <w:sz w:val="24"/>
          <w:szCs w:val="24"/>
        </w:rPr>
        <w:t xml:space="preserve">: </w:t>
      </w:r>
      <w:r>
        <w:rPr>
          <w:rFonts w:ascii="Times New Roman" w:hAnsi="Times New Roman" w:cs="Times New Roman"/>
          <w:i/>
          <w:sz w:val="24"/>
          <w:szCs w:val="24"/>
        </w:rPr>
        <w:t>……………………………………………………………………</w:t>
      </w:r>
    </w:p>
    <w:p w14:paraId="2C294696" w14:textId="77777777" w:rsidR="00AA550E" w:rsidRDefault="00AA550E" w:rsidP="00AA550E">
      <w:pPr>
        <w:spacing w:after="0" w:line="240" w:lineRule="auto"/>
        <w:jc w:val="both"/>
        <w:rPr>
          <w:rFonts w:ascii="Times New Roman" w:hAnsi="Times New Roman" w:cs="Times New Roman"/>
          <w:sz w:val="24"/>
          <w:szCs w:val="24"/>
        </w:rPr>
      </w:pPr>
    </w:p>
    <w:p w14:paraId="4685C088" w14:textId="77777777" w:rsidR="00AA550E" w:rsidRDefault="00AA550E" w:rsidP="00AA550E">
      <w:pPr>
        <w:spacing w:after="0" w:line="240" w:lineRule="auto"/>
        <w:jc w:val="both"/>
        <w:rPr>
          <w:rFonts w:ascii="Times New Roman" w:hAnsi="Times New Roman" w:cs="Times New Roman"/>
          <w:sz w:val="24"/>
          <w:szCs w:val="24"/>
        </w:rPr>
      </w:pPr>
    </w:p>
    <w:p w14:paraId="14380BA8" w14:textId="77777777" w:rsidR="00AA550E" w:rsidRDefault="00AA550E" w:rsidP="00AA550E">
      <w:pPr>
        <w:spacing w:after="0" w:line="240" w:lineRule="auto"/>
        <w:jc w:val="both"/>
        <w:rPr>
          <w:rFonts w:ascii="Times New Roman" w:hAnsi="Times New Roman" w:cs="Times New Roman"/>
          <w:sz w:val="24"/>
          <w:szCs w:val="24"/>
        </w:rPr>
      </w:pPr>
    </w:p>
    <w:p w14:paraId="4523F53C" w14:textId="77777777" w:rsidR="00AA550E" w:rsidRDefault="00AA550E" w:rsidP="00AA550E">
      <w:pPr>
        <w:spacing w:after="0" w:line="240" w:lineRule="auto"/>
        <w:jc w:val="both"/>
        <w:rPr>
          <w:rFonts w:ascii="Times New Roman" w:hAnsi="Times New Roman" w:cs="Times New Roman"/>
          <w:sz w:val="24"/>
          <w:szCs w:val="24"/>
        </w:rPr>
      </w:pPr>
    </w:p>
    <w:p w14:paraId="14463827" w14:textId="77777777" w:rsidR="00AA550E" w:rsidRPr="00AA550E" w:rsidRDefault="00AA550E" w:rsidP="0076611B">
      <w:pPr>
        <w:rPr>
          <w:rFonts w:cstheme="minorHAnsi"/>
          <w:lang w:eastAsia="es-ES"/>
        </w:rPr>
      </w:pPr>
    </w:p>
    <w:p w14:paraId="3C2360EF" w14:textId="77777777" w:rsidR="00AA550E" w:rsidRPr="00AA550E" w:rsidRDefault="00AA550E" w:rsidP="0076611B">
      <w:pPr>
        <w:rPr>
          <w:rFonts w:cstheme="minorHAnsi"/>
          <w:lang w:eastAsia="es-ES"/>
        </w:rPr>
      </w:pPr>
    </w:p>
    <w:p w14:paraId="285DA876" w14:textId="77777777" w:rsidR="00AA550E" w:rsidRPr="00AA550E" w:rsidRDefault="00AA550E" w:rsidP="0076611B">
      <w:pPr>
        <w:rPr>
          <w:rFonts w:cstheme="minorHAnsi"/>
          <w:lang w:eastAsia="es-ES"/>
        </w:rPr>
      </w:pPr>
    </w:p>
    <w:p w14:paraId="28C7468B" w14:textId="77777777" w:rsidR="00AA550E" w:rsidRPr="00AA550E" w:rsidRDefault="00AA550E" w:rsidP="0076611B">
      <w:pPr>
        <w:rPr>
          <w:rFonts w:cstheme="minorHAnsi"/>
          <w:lang w:eastAsia="es-ES"/>
        </w:rPr>
      </w:pPr>
    </w:p>
    <w:p w14:paraId="52428CF1" w14:textId="77777777" w:rsidR="00AA550E" w:rsidRPr="00AA550E" w:rsidRDefault="00AA550E" w:rsidP="0076611B">
      <w:pPr>
        <w:rPr>
          <w:rFonts w:cstheme="minorHAnsi"/>
          <w:lang w:eastAsia="es-ES"/>
        </w:rPr>
      </w:pPr>
    </w:p>
    <w:p w14:paraId="04815A9B" w14:textId="680A4F05" w:rsidR="00AA550E" w:rsidRPr="00AA550E" w:rsidRDefault="00AA550E" w:rsidP="0076611B">
      <w:pPr>
        <w:rPr>
          <w:rFonts w:cstheme="minorHAnsi"/>
          <w:lang w:eastAsia="es-ES"/>
        </w:rPr>
      </w:pPr>
    </w:p>
    <w:sectPr w:rsidR="00AA550E" w:rsidRPr="00AA550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7C6BC" w14:textId="77777777" w:rsidR="00F96FCA" w:rsidRDefault="00F96FCA" w:rsidP="00DD19D8">
      <w:pPr>
        <w:spacing w:after="0" w:line="240" w:lineRule="auto"/>
      </w:pPr>
      <w:r>
        <w:separator/>
      </w:r>
    </w:p>
  </w:endnote>
  <w:endnote w:type="continuationSeparator" w:id="0">
    <w:p w14:paraId="77FCEB29" w14:textId="77777777" w:rsidR="00F96FCA" w:rsidRDefault="00F96FCA" w:rsidP="00D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noProof/>
      </w:rPr>
    </w:sdtEndPr>
    <w:sdtContent>
      <w:p w14:paraId="500CDEDA" w14:textId="20C36823" w:rsidR="00F96FCA" w:rsidRDefault="00F96FCA">
        <w:pPr>
          <w:pStyle w:val="Footer"/>
          <w:jc w:val="right"/>
        </w:pPr>
        <w:r>
          <w:fldChar w:fldCharType="begin"/>
        </w:r>
        <w:r>
          <w:instrText xml:space="preserve"> PAGE   \* MERGEFORMAT </w:instrText>
        </w:r>
        <w:r>
          <w:fldChar w:fldCharType="separate"/>
        </w:r>
        <w:r w:rsidR="00EC285B">
          <w:rPr>
            <w:noProof/>
          </w:rPr>
          <w:t>1</w:t>
        </w:r>
        <w:r>
          <w:rPr>
            <w:noProof/>
          </w:rPr>
          <w:fldChar w:fldCharType="end"/>
        </w:r>
      </w:p>
    </w:sdtContent>
  </w:sdt>
  <w:p w14:paraId="18CE2CC3" w14:textId="77777777" w:rsidR="00F96FCA" w:rsidRDefault="00F9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9ACA7" w14:textId="77777777" w:rsidR="00F96FCA" w:rsidRDefault="00F96FCA" w:rsidP="00DD19D8">
      <w:pPr>
        <w:spacing w:after="0" w:line="240" w:lineRule="auto"/>
      </w:pPr>
      <w:r>
        <w:separator/>
      </w:r>
    </w:p>
  </w:footnote>
  <w:footnote w:type="continuationSeparator" w:id="0">
    <w:p w14:paraId="2B9C06AA" w14:textId="77777777" w:rsidR="00F96FCA" w:rsidRDefault="00F96FCA" w:rsidP="00DD19D8">
      <w:pPr>
        <w:spacing w:after="0" w:line="240" w:lineRule="auto"/>
      </w:pPr>
      <w:r>
        <w:continuationSeparator/>
      </w:r>
    </w:p>
  </w:footnote>
  <w:footnote w:id="1">
    <w:p w14:paraId="5A3B3ADC" w14:textId="2438FBDA" w:rsidR="00F96FCA" w:rsidRDefault="00F96FCA">
      <w:pPr>
        <w:pStyle w:val="FootnoteText"/>
      </w:pPr>
      <w:r>
        <w:rPr>
          <w:rStyle w:val="FootnoteReference"/>
        </w:rPr>
        <w:footnoteRef/>
      </w:r>
      <w:r>
        <w:t xml:space="preserve"> Public Finance Management Act (2015)</w:t>
      </w:r>
    </w:p>
  </w:footnote>
  <w:footnote w:id="2">
    <w:p w14:paraId="3FB9A459" w14:textId="2A2FD8AB" w:rsidR="00F96FCA" w:rsidRDefault="00F96FCA">
      <w:pPr>
        <w:pStyle w:val="FootnoteText"/>
      </w:pPr>
      <w:r>
        <w:rPr>
          <w:rStyle w:val="FootnoteReference"/>
        </w:rPr>
        <w:footnoteRef/>
      </w:r>
      <w:r>
        <w:t xml:space="preserve"> The Sexual Offences Bill (2019)- Uganda Women Parliamentary Association (UWOPA) Policy brief </w:t>
      </w:r>
    </w:p>
  </w:footnote>
  <w:footnote w:id="3">
    <w:p w14:paraId="0E390F02" w14:textId="77777777" w:rsidR="00F96FCA" w:rsidRDefault="00F96FCA">
      <w:pPr>
        <w:pStyle w:val="FootnoteText"/>
      </w:pPr>
      <w:r>
        <w:rPr>
          <w:rStyle w:val="FootnoteReference"/>
        </w:rPr>
        <w:footnoteRef/>
      </w:r>
      <w:r>
        <w:t xml:space="preserve"> National report on the implementation of the Beijing Declaration and Platform of Action for Uganda, June 2019 </w:t>
      </w:r>
    </w:p>
  </w:footnote>
  <w:footnote w:id="4">
    <w:p w14:paraId="3E017BAB" w14:textId="77777777" w:rsidR="00F96FCA" w:rsidRDefault="00F96FCA">
      <w:pPr>
        <w:pStyle w:val="FootnoteText"/>
      </w:pPr>
      <w:r>
        <w:rPr>
          <w:rStyle w:val="FootnoteReference"/>
        </w:rPr>
        <w:footnoteRef/>
      </w:r>
      <w:r>
        <w:t xml:space="preserve"> Uganda Country Gender Analysis Report (2016- 2020)</w:t>
      </w:r>
    </w:p>
  </w:footnote>
  <w:footnote w:id="5">
    <w:p w14:paraId="4633FB20" w14:textId="1D7D1B30" w:rsidR="00F96FCA" w:rsidRDefault="00F96FCA">
      <w:pPr>
        <w:pStyle w:val="FootnoteText"/>
      </w:pPr>
      <w:r>
        <w:rPr>
          <w:rStyle w:val="FootnoteReference"/>
        </w:rPr>
        <w:footnoteRef/>
      </w:r>
      <w:r>
        <w:t xml:space="preserve"> Uganda Demographic and Household Survey (UDHS) 2016 </w:t>
      </w:r>
    </w:p>
  </w:footnote>
  <w:footnote w:id="6">
    <w:p w14:paraId="5F071315" w14:textId="77777777" w:rsidR="00F96FCA" w:rsidRDefault="00F96FCA" w:rsidP="005B618D">
      <w:pPr>
        <w:pStyle w:val="FootnoteText"/>
      </w:pPr>
      <w:r>
        <w:rPr>
          <w:rStyle w:val="FootnoteReference"/>
        </w:rPr>
        <w:footnoteRef/>
      </w:r>
      <w:r>
        <w:t xml:space="preserve"> Police annual crime report 2019</w:t>
      </w:r>
    </w:p>
  </w:footnote>
  <w:footnote w:id="7">
    <w:p w14:paraId="0A52B090" w14:textId="5ACD84E3" w:rsidR="00F96FCA" w:rsidRDefault="00F96FCA">
      <w:pPr>
        <w:pStyle w:val="FootnoteText"/>
      </w:pPr>
      <w:r>
        <w:rPr>
          <w:rStyle w:val="FootnoteReference"/>
        </w:rPr>
        <w:footnoteRef/>
      </w:r>
      <w:r>
        <w:t xml:space="preserve"> </w:t>
      </w:r>
      <w:r>
        <w:rPr>
          <w:rFonts w:eastAsia="ArialMT" w:cstheme="minorHAnsi"/>
          <w:color w:val="0D0D0D"/>
        </w:rPr>
        <w:t>Voluntary national report on the implementation of the 2030 agenda for sustainable development- June 2020</w:t>
      </w:r>
    </w:p>
  </w:footnote>
  <w:footnote w:id="8">
    <w:p w14:paraId="69BB0C4D" w14:textId="297254D0" w:rsidR="00F96FCA" w:rsidRDefault="00F96FCA">
      <w:pPr>
        <w:pStyle w:val="FootnoteText"/>
      </w:pPr>
      <w:r>
        <w:rPr>
          <w:rStyle w:val="FootnoteReference"/>
        </w:rPr>
        <w:footnoteRef/>
      </w:r>
      <w:r>
        <w:t xml:space="preserve"> Under this objective, the CLIP will align with the EU’s support to civil society under the Civil Society Roadmap, and the EU’s efforts to safeguard civic space under Priority 3 of the HRDCS. The EU will also pay specific attention to protecting and raising the profile of women human rights defenders (WHRD). </w:t>
      </w:r>
    </w:p>
  </w:footnote>
  <w:footnote w:id="9">
    <w:p w14:paraId="1096104E" w14:textId="77A794DC" w:rsidR="00F96FCA" w:rsidRPr="00C5385A" w:rsidRDefault="00F96FCA">
      <w:pPr>
        <w:pStyle w:val="FootnoteText"/>
      </w:pPr>
      <w:r>
        <w:rPr>
          <w:rStyle w:val="FootnoteReference"/>
        </w:rPr>
        <w:footnoteRef/>
      </w:r>
      <w:r>
        <w:t xml:space="preserve"> Right to education and </w:t>
      </w:r>
      <w:r>
        <w:rPr>
          <w:sz w:val="22"/>
          <w:szCs w:val="22"/>
        </w:rPr>
        <w:t>greater human rights compliance by businesses in Uganda, including through raising the voices of women in dialogue on business and human rights</w:t>
      </w:r>
    </w:p>
  </w:footnote>
  <w:footnote w:id="10">
    <w:p w14:paraId="34AEF06B" w14:textId="6F76F7AD" w:rsidR="00F96FCA" w:rsidRDefault="00F96FCA">
      <w:pPr>
        <w:pStyle w:val="FootnoteText"/>
      </w:pPr>
      <w:r>
        <w:rPr>
          <w:rStyle w:val="FootnoteReference"/>
        </w:rPr>
        <w:footnoteRef/>
      </w:r>
      <w:r>
        <w:t xml:space="preserve"> A matrix and analysis of gender equality laws and policies in Uganda</w:t>
      </w:r>
      <w:r w:rsidR="00CA2FF5">
        <w:t>, published by Makerere University Gender Equality Project in partnership with University Forum on Governance with support from Democratic Governance Facility (DGF)</w:t>
      </w:r>
      <w:r>
        <w:t xml:space="preserve"> – 2019 P.10 </w:t>
      </w:r>
    </w:p>
  </w:footnote>
  <w:footnote w:id="11">
    <w:p w14:paraId="2E794F24" w14:textId="7087CD60" w:rsidR="00F96FCA" w:rsidRPr="00C5385A" w:rsidRDefault="00F96FCA" w:rsidP="00253C9C">
      <w:pPr>
        <w:pStyle w:val="FootnoteText"/>
      </w:pPr>
      <w:r>
        <w:rPr>
          <w:rStyle w:val="FootnoteReference"/>
        </w:rPr>
        <w:footnoteRef/>
      </w:r>
      <w:r>
        <w:t xml:space="preserve"> Civic and political space</w:t>
      </w:r>
    </w:p>
  </w:footnote>
  <w:footnote w:id="12">
    <w:p w14:paraId="368DA6EC" w14:textId="4E97F4B2" w:rsidR="00F96FCA" w:rsidRDefault="00F96FCA">
      <w:pPr>
        <w:pStyle w:val="FootnoteText"/>
      </w:pPr>
      <w:r>
        <w:rPr>
          <w:rStyle w:val="FootnoteReference"/>
        </w:rPr>
        <w:footnoteRef/>
      </w:r>
      <w:r>
        <w:t xml:space="preserve"> National report on the implementation of the Beijing declaration and platform for action - 2019 </w:t>
      </w:r>
    </w:p>
  </w:footnote>
  <w:footnote w:id="13">
    <w:p w14:paraId="5FDECD3E" w14:textId="6619FF92" w:rsidR="00F96FCA" w:rsidRDefault="00F96FCA">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5EE"/>
    <w:multiLevelType w:val="hybridMultilevel"/>
    <w:tmpl w:val="0FEC184E"/>
    <w:lvl w:ilvl="0" w:tplc="285819B8">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2C563AF"/>
    <w:multiLevelType w:val="hybridMultilevel"/>
    <w:tmpl w:val="0318E7D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4584382"/>
    <w:multiLevelType w:val="hybridMultilevel"/>
    <w:tmpl w:val="19B2298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4625D0B"/>
    <w:multiLevelType w:val="hybridMultilevel"/>
    <w:tmpl w:val="6922A0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83B95"/>
    <w:multiLevelType w:val="hybridMultilevel"/>
    <w:tmpl w:val="170E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F60EEA"/>
    <w:multiLevelType w:val="hybridMultilevel"/>
    <w:tmpl w:val="8F401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1924C4"/>
    <w:multiLevelType w:val="multilevel"/>
    <w:tmpl w:val="1AEC43E8"/>
    <w:lvl w:ilvl="0">
      <w:start w:val="1"/>
      <w:numFmt w:val="decimal"/>
      <w:lvlText w:val="%1."/>
      <w:lvlJc w:val="left"/>
      <w:pPr>
        <w:ind w:left="720" w:hanging="360"/>
      </w:p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7" w15:restartNumberingAfterBreak="0">
    <w:nsid w:val="0C4A1E99"/>
    <w:multiLevelType w:val="multilevel"/>
    <w:tmpl w:val="2C3092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CC9323A"/>
    <w:multiLevelType w:val="hybridMultilevel"/>
    <w:tmpl w:val="C8EA772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53047D"/>
    <w:multiLevelType w:val="hybridMultilevel"/>
    <w:tmpl w:val="AB905A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9681A"/>
    <w:multiLevelType w:val="hybridMultilevel"/>
    <w:tmpl w:val="FDEC1408"/>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1940C86"/>
    <w:multiLevelType w:val="hybridMultilevel"/>
    <w:tmpl w:val="FB64B57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C66C5"/>
    <w:multiLevelType w:val="hybridMultilevel"/>
    <w:tmpl w:val="6420BD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970DB3"/>
    <w:multiLevelType w:val="hybridMultilevel"/>
    <w:tmpl w:val="899A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A08B3"/>
    <w:multiLevelType w:val="multilevel"/>
    <w:tmpl w:val="B0DA12C4"/>
    <w:lvl w:ilvl="0">
      <w:start w:val="1"/>
      <w:numFmt w:val="decimal"/>
      <w:lvlText w:val="%1."/>
      <w:lvlJc w:val="left"/>
      <w:pPr>
        <w:ind w:left="720"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06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675" w:hanging="1440"/>
      </w:pPr>
      <w:rPr>
        <w:rFonts w:hint="default"/>
      </w:rPr>
    </w:lvl>
    <w:lvl w:ilvl="8">
      <w:start w:val="1"/>
      <w:numFmt w:val="decimal"/>
      <w:isLgl/>
      <w:lvlText w:val="%1.%2.%3.%4.%5.%6.%7.%8.%9"/>
      <w:lvlJc w:val="left"/>
      <w:pPr>
        <w:ind w:left="10800" w:hanging="1440"/>
      </w:pPr>
      <w:rPr>
        <w:rFonts w:hint="default"/>
      </w:rPr>
    </w:lvl>
  </w:abstractNum>
  <w:abstractNum w:abstractNumId="15" w15:restartNumberingAfterBreak="0">
    <w:nsid w:val="1E2E0C6D"/>
    <w:multiLevelType w:val="hybridMultilevel"/>
    <w:tmpl w:val="E106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634D1"/>
    <w:multiLevelType w:val="hybridMultilevel"/>
    <w:tmpl w:val="CD6EB3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B71245"/>
    <w:multiLevelType w:val="hybridMultilevel"/>
    <w:tmpl w:val="6394AB0A"/>
    <w:lvl w:ilvl="0" w:tplc="6082CCC0">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8A28FB"/>
    <w:multiLevelType w:val="multilevel"/>
    <w:tmpl w:val="1A429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0F228A1"/>
    <w:multiLevelType w:val="hybridMultilevel"/>
    <w:tmpl w:val="E8E65B0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23E5C9D"/>
    <w:multiLevelType w:val="hybridMultilevel"/>
    <w:tmpl w:val="B85AD3A0"/>
    <w:lvl w:ilvl="0" w:tplc="AD7E66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5757B3"/>
    <w:multiLevelType w:val="hybridMultilevel"/>
    <w:tmpl w:val="5C1E57CA"/>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25072A0D"/>
    <w:multiLevelType w:val="hybridMultilevel"/>
    <w:tmpl w:val="51CC5088"/>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27812797"/>
    <w:multiLevelType w:val="multilevel"/>
    <w:tmpl w:val="1536172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2BAB0A6A"/>
    <w:multiLevelType w:val="hybridMultilevel"/>
    <w:tmpl w:val="0ED8EF72"/>
    <w:lvl w:ilvl="0" w:tplc="0C3222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0A0157D"/>
    <w:multiLevelType w:val="hybridMultilevel"/>
    <w:tmpl w:val="3DA432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55D7C"/>
    <w:multiLevelType w:val="hybridMultilevel"/>
    <w:tmpl w:val="5D2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35A4B"/>
    <w:multiLevelType w:val="hybridMultilevel"/>
    <w:tmpl w:val="705862D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EF5436"/>
    <w:multiLevelType w:val="hybridMultilevel"/>
    <w:tmpl w:val="A33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332127"/>
    <w:multiLevelType w:val="multilevel"/>
    <w:tmpl w:val="8A787EF4"/>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472648BB"/>
    <w:multiLevelType w:val="hybridMultilevel"/>
    <w:tmpl w:val="50CAB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A77D2D"/>
    <w:multiLevelType w:val="hybridMultilevel"/>
    <w:tmpl w:val="F1FA9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310644A"/>
    <w:multiLevelType w:val="hybridMultilevel"/>
    <w:tmpl w:val="733AF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5D6BCE"/>
    <w:multiLevelType w:val="hybridMultilevel"/>
    <w:tmpl w:val="0FC419CA"/>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43A6C1A"/>
    <w:multiLevelType w:val="hybridMultilevel"/>
    <w:tmpl w:val="D8FE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8049C"/>
    <w:multiLevelType w:val="hybridMultilevel"/>
    <w:tmpl w:val="2AFC5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BC27F9"/>
    <w:multiLevelType w:val="hybridMultilevel"/>
    <w:tmpl w:val="23E42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E106AE"/>
    <w:multiLevelType w:val="hybridMultilevel"/>
    <w:tmpl w:val="76566126"/>
    <w:lvl w:ilvl="0" w:tplc="4EEC05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EE1956"/>
    <w:multiLevelType w:val="hybridMultilevel"/>
    <w:tmpl w:val="63D670E2"/>
    <w:lvl w:ilvl="0" w:tplc="881E679E">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CB309F"/>
    <w:multiLevelType w:val="hybridMultilevel"/>
    <w:tmpl w:val="1B5C1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613306"/>
    <w:multiLevelType w:val="hybridMultilevel"/>
    <w:tmpl w:val="75EAEF9C"/>
    <w:lvl w:ilvl="0" w:tplc="0C0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57C175F"/>
    <w:multiLevelType w:val="hybridMultilevel"/>
    <w:tmpl w:val="8B5E4022"/>
    <w:lvl w:ilvl="0" w:tplc="0C0A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4" w15:restartNumberingAfterBreak="0">
    <w:nsid w:val="660D403E"/>
    <w:multiLevelType w:val="hybridMultilevel"/>
    <w:tmpl w:val="112E60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6E6848"/>
    <w:multiLevelType w:val="hybridMultilevel"/>
    <w:tmpl w:val="CC7667F2"/>
    <w:lvl w:ilvl="0" w:tplc="285819B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093191"/>
    <w:multiLevelType w:val="hybridMultilevel"/>
    <w:tmpl w:val="67EC452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6AA51562"/>
    <w:multiLevelType w:val="hybridMultilevel"/>
    <w:tmpl w:val="6898F022"/>
    <w:lvl w:ilvl="0" w:tplc="C38EC3F0">
      <w:start w:val="1"/>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0D6CBA"/>
    <w:multiLevelType w:val="hybridMultilevel"/>
    <w:tmpl w:val="BDC82BC8"/>
    <w:lvl w:ilvl="0" w:tplc="285819B8">
      <w:start w:val="3"/>
      <w:numFmt w:val="bullet"/>
      <w:lvlText w:val="-"/>
      <w:lvlJc w:val="left"/>
      <w:pPr>
        <w:ind w:left="360" w:hanging="360"/>
      </w:pPr>
      <w:rPr>
        <w:rFonts w:ascii="Calibri" w:eastAsia="Calibri" w:hAnsi="Calibri" w:cs="Calibr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703B9E"/>
    <w:multiLevelType w:val="hybridMultilevel"/>
    <w:tmpl w:val="CC94D2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7D2704"/>
    <w:multiLevelType w:val="hybridMultilevel"/>
    <w:tmpl w:val="D7C89C48"/>
    <w:lvl w:ilvl="0" w:tplc="0809000D">
      <w:start w:val="1"/>
      <w:numFmt w:val="bullet"/>
      <w:lvlText w:val=""/>
      <w:lvlJc w:val="left"/>
      <w:pPr>
        <w:ind w:left="2214" w:hanging="360"/>
      </w:pPr>
      <w:rPr>
        <w:rFonts w:ascii="Wingdings" w:hAnsi="Wingding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51" w15:restartNumberingAfterBreak="0">
    <w:nsid w:val="6F072CAC"/>
    <w:multiLevelType w:val="hybridMultilevel"/>
    <w:tmpl w:val="38765A3C"/>
    <w:lvl w:ilvl="0" w:tplc="D766EEF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F2E0FEE"/>
    <w:multiLevelType w:val="hybridMultilevel"/>
    <w:tmpl w:val="9DF2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5D23A3"/>
    <w:multiLevelType w:val="multilevel"/>
    <w:tmpl w:val="D130B0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6FAA224A"/>
    <w:multiLevelType w:val="hybridMultilevel"/>
    <w:tmpl w:val="6BE83D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5" w15:restartNumberingAfterBreak="0">
    <w:nsid w:val="71F35236"/>
    <w:multiLevelType w:val="multilevel"/>
    <w:tmpl w:val="58B8F3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72F20C41"/>
    <w:multiLevelType w:val="hybridMultilevel"/>
    <w:tmpl w:val="94F4F518"/>
    <w:lvl w:ilvl="0" w:tplc="0809000D">
      <w:start w:val="1"/>
      <w:numFmt w:val="bullet"/>
      <w:lvlText w:val=""/>
      <w:lvlJc w:val="left"/>
      <w:pPr>
        <w:ind w:left="1919" w:hanging="360"/>
      </w:pPr>
      <w:rPr>
        <w:rFonts w:ascii="Wingdings" w:hAnsi="Wingdings"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57" w15:restartNumberingAfterBreak="0">
    <w:nsid w:val="75004388"/>
    <w:multiLevelType w:val="hybridMultilevel"/>
    <w:tmpl w:val="DBBEB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D31E97"/>
    <w:multiLevelType w:val="hybridMultilevel"/>
    <w:tmpl w:val="6F3E33E4"/>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506CA7"/>
    <w:multiLevelType w:val="hybridMultilevel"/>
    <w:tmpl w:val="E88CD3C8"/>
    <w:lvl w:ilvl="0" w:tplc="AB6E4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0A30CA"/>
    <w:multiLevelType w:val="hybridMultilevel"/>
    <w:tmpl w:val="D930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190B60"/>
    <w:multiLevelType w:val="hybridMultilevel"/>
    <w:tmpl w:val="217AD20C"/>
    <w:lvl w:ilvl="0" w:tplc="0C0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FAB17CD"/>
    <w:multiLevelType w:val="hybridMultilevel"/>
    <w:tmpl w:val="AA38A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52"/>
  </w:num>
  <w:num w:numId="3">
    <w:abstractNumId w:val="32"/>
  </w:num>
  <w:num w:numId="4">
    <w:abstractNumId w:val="12"/>
  </w:num>
  <w:num w:numId="5">
    <w:abstractNumId w:val="44"/>
  </w:num>
  <w:num w:numId="6">
    <w:abstractNumId w:val="36"/>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13"/>
  </w:num>
  <w:num w:numId="11">
    <w:abstractNumId w:val="48"/>
  </w:num>
  <w:num w:numId="12">
    <w:abstractNumId w:val="0"/>
  </w:num>
  <w:num w:numId="13">
    <w:abstractNumId w:val="45"/>
  </w:num>
  <w:num w:numId="14">
    <w:abstractNumId w:val="27"/>
  </w:num>
  <w:num w:numId="15">
    <w:abstractNumId w:val="6"/>
  </w:num>
  <w:num w:numId="16">
    <w:abstractNumId w:val="25"/>
  </w:num>
  <w:num w:numId="17">
    <w:abstractNumId w:val="4"/>
  </w:num>
  <w:num w:numId="18">
    <w:abstractNumId w:val="51"/>
  </w:num>
  <w:num w:numId="19">
    <w:abstractNumId w:val="33"/>
  </w:num>
  <w:num w:numId="20">
    <w:abstractNumId w:val="59"/>
  </w:num>
  <w:num w:numId="21">
    <w:abstractNumId w:val="30"/>
  </w:num>
  <w:num w:numId="22">
    <w:abstractNumId w:val="31"/>
  </w:num>
  <w:num w:numId="23">
    <w:abstractNumId w:val="29"/>
  </w:num>
  <w:num w:numId="24">
    <w:abstractNumId w:val="26"/>
  </w:num>
  <w:num w:numId="25">
    <w:abstractNumId w:val="16"/>
  </w:num>
  <w:num w:numId="26">
    <w:abstractNumId w:val="58"/>
  </w:num>
  <w:num w:numId="27">
    <w:abstractNumId w:val="18"/>
  </w:num>
  <w:num w:numId="28">
    <w:abstractNumId w:val="8"/>
  </w:num>
  <w:num w:numId="29">
    <w:abstractNumId w:val="43"/>
  </w:num>
  <w:num w:numId="30">
    <w:abstractNumId w:val="61"/>
  </w:num>
  <w:num w:numId="31">
    <w:abstractNumId w:val="42"/>
  </w:num>
  <w:num w:numId="32">
    <w:abstractNumId w:val="38"/>
  </w:num>
  <w:num w:numId="33">
    <w:abstractNumId w:val="50"/>
  </w:num>
  <w:num w:numId="34">
    <w:abstractNumId w:val="46"/>
  </w:num>
  <w:num w:numId="35">
    <w:abstractNumId w:val="28"/>
  </w:num>
  <w:num w:numId="36">
    <w:abstractNumId w:val="49"/>
  </w:num>
  <w:num w:numId="37">
    <w:abstractNumId w:val="10"/>
  </w:num>
  <w:num w:numId="38">
    <w:abstractNumId w:val="35"/>
  </w:num>
  <w:num w:numId="39">
    <w:abstractNumId w:val="1"/>
  </w:num>
  <w:num w:numId="40">
    <w:abstractNumId w:val="19"/>
  </w:num>
  <w:num w:numId="41">
    <w:abstractNumId w:val="21"/>
  </w:num>
  <w:num w:numId="42">
    <w:abstractNumId w:val="56"/>
  </w:num>
  <w:num w:numId="43">
    <w:abstractNumId w:val="20"/>
  </w:num>
  <w:num w:numId="44">
    <w:abstractNumId w:val="24"/>
  </w:num>
  <w:num w:numId="45">
    <w:abstractNumId w:val="47"/>
  </w:num>
  <w:num w:numId="46">
    <w:abstractNumId w:val="39"/>
  </w:num>
  <w:num w:numId="47">
    <w:abstractNumId w:val="17"/>
  </w:num>
  <w:num w:numId="48">
    <w:abstractNumId w:val="41"/>
  </w:num>
  <w:num w:numId="49">
    <w:abstractNumId w:val="3"/>
  </w:num>
  <w:num w:numId="50">
    <w:abstractNumId w:val="34"/>
  </w:num>
  <w:num w:numId="51">
    <w:abstractNumId w:val="9"/>
  </w:num>
  <w:num w:numId="52">
    <w:abstractNumId w:val="2"/>
  </w:num>
  <w:num w:numId="53">
    <w:abstractNumId w:val="62"/>
  </w:num>
  <w:num w:numId="54">
    <w:abstractNumId w:val="37"/>
  </w:num>
  <w:num w:numId="55">
    <w:abstractNumId w:val="14"/>
  </w:num>
  <w:num w:numId="56">
    <w:abstractNumId w:val="22"/>
  </w:num>
  <w:num w:numId="57">
    <w:abstractNumId w:val="5"/>
  </w:num>
  <w:num w:numId="58">
    <w:abstractNumId w:val="57"/>
  </w:num>
  <w:num w:numId="59">
    <w:abstractNumId w:val="7"/>
  </w:num>
  <w:num w:numId="60">
    <w:abstractNumId w:val="23"/>
  </w:num>
  <w:num w:numId="61">
    <w:abstractNumId w:val="53"/>
  </w:num>
  <w:num w:numId="62">
    <w:abstractNumId w:val="55"/>
  </w:num>
  <w:num w:numId="63">
    <w:abstractNumId w:val="60"/>
  </w:num>
  <w:num w:numId="64">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5941"/>
    <w:rsid w:val="00005D51"/>
    <w:rsid w:val="0000647E"/>
    <w:rsid w:val="000072DD"/>
    <w:rsid w:val="00007343"/>
    <w:rsid w:val="00007432"/>
    <w:rsid w:val="00007850"/>
    <w:rsid w:val="000078A3"/>
    <w:rsid w:val="0001146A"/>
    <w:rsid w:val="00012509"/>
    <w:rsid w:val="0001370A"/>
    <w:rsid w:val="00014EA1"/>
    <w:rsid w:val="00016546"/>
    <w:rsid w:val="00017F30"/>
    <w:rsid w:val="00021F07"/>
    <w:rsid w:val="0002334F"/>
    <w:rsid w:val="00024D03"/>
    <w:rsid w:val="00025616"/>
    <w:rsid w:val="00025A4F"/>
    <w:rsid w:val="00026291"/>
    <w:rsid w:val="00031768"/>
    <w:rsid w:val="00034285"/>
    <w:rsid w:val="00036CE5"/>
    <w:rsid w:val="00037049"/>
    <w:rsid w:val="0003758E"/>
    <w:rsid w:val="0003788D"/>
    <w:rsid w:val="000421F3"/>
    <w:rsid w:val="000442C1"/>
    <w:rsid w:val="00046C77"/>
    <w:rsid w:val="00047A72"/>
    <w:rsid w:val="000500EF"/>
    <w:rsid w:val="00051F8F"/>
    <w:rsid w:val="0005344D"/>
    <w:rsid w:val="000559DF"/>
    <w:rsid w:val="000622CE"/>
    <w:rsid w:val="00067A1C"/>
    <w:rsid w:val="0007043C"/>
    <w:rsid w:val="00071F8B"/>
    <w:rsid w:val="0007283B"/>
    <w:rsid w:val="00075638"/>
    <w:rsid w:val="000776E5"/>
    <w:rsid w:val="000829DE"/>
    <w:rsid w:val="00082EC8"/>
    <w:rsid w:val="00086218"/>
    <w:rsid w:val="0008710E"/>
    <w:rsid w:val="000917BD"/>
    <w:rsid w:val="00092E41"/>
    <w:rsid w:val="00093E7D"/>
    <w:rsid w:val="00094995"/>
    <w:rsid w:val="00096B2A"/>
    <w:rsid w:val="0009758D"/>
    <w:rsid w:val="000A1379"/>
    <w:rsid w:val="000A137D"/>
    <w:rsid w:val="000A364F"/>
    <w:rsid w:val="000A43BF"/>
    <w:rsid w:val="000A4B80"/>
    <w:rsid w:val="000A56A7"/>
    <w:rsid w:val="000B10B9"/>
    <w:rsid w:val="000B1308"/>
    <w:rsid w:val="000B2808"/>
    <w:rsid w:val="000B2F92"/>
    <w:rsid w:val="000B59A6"/>
    <w:rsid w:val="000B7F47"/>
    <w:rsid w:val="000C1F82"/>
    <w:rsid w:val="000C448B"/>
    <w:rsid w:val="000C493A"/>
    <w:rsid w:val="000C4DFF"/>
    <w:rsid w:val="000C70C6"/>
    <w:rsid w:val="000D22AD"/>
    <w:rsid w:val="000D2834"/>
    <w:rsid w:val="000D28C0"/>
    <w:rsid w:val="000D4168"/>
    <w:rsid w:val="000D58FF"/>
    <w:rsid w:val="000D7187"/>
    <w:rsid w:val="000D7542"/>
    <w:rsid w:val="000D7B12"/>
    <w:rsid w:val="000E0465"/>
    <w:rsid w:val="000E3002"/>
    <w:rsid w:val="000E49BC"/>
    <w:rsid w:val="000F1F52"/>
    <w:rsid w:val="000F6021"/>
    <w:rsid w:val="000F6A31"/>
    <w:rsid w:val="00100BAC"/>
    <w:rsid w:val="00101F9B"/>
    <w:rsid w:val="001041A7"/>
    <w:rsid w:val="00105CAC"/>
    <w:rsid w:val="001070CE"/>
    <w:rsid w:val="00110BA2"/>
    <w:rsid w:val="00113A2E"/>
    <w:rsid w:val="00114FC2"/>
    <w:rsid w:val="00123F98"/>
    <w:rsid w:val="00125EB0"/>
    <w:rsid w:val="001264D7"/>
    <w:rsid w:val="001318B6"/>
    <w:rsid w:val="00132AEC"/>
    <w:rsid w:val="0013353A"/>
    <w:rsid w:val="001345A6"/>
    <w:rsid w:val="001356ED"/>
    <w:rsid w:val="00137897"/>
    <w:rsid w:val="00137C5D"/>
    <w:rsid w:val="00141DDB"/>
    <w:rsid w:val="00145C45"/>
    <w:rsid w:val="00145F8E"/>
    <w:rsid w:val="00147EEE"/>
    <w:rsid w:val="001513E7"/>
    <w:rsid w:val="001518D3"/>
    <w:rsid w:val="00153508"/>
    <w:rsid w:val="001538F2"/>
    <w:rsid w:val="0016246C"/>
    <w:rsid w:val="00163F14"/>
    <w:rsid w:val="001663D7"/>
    <w:rsid w:val="00171813"/>
    <w:rsid w:val="00175CAF"/>
    <w:rsid w:val="00181DDB"/>
    <w:rsid w:val="0019564B"/>
    <w:rsid w:val="00197516"/>
    <w:rsid w:val="001A0E7D"/>
    <w:rsid w:val="001A0FB6"/>
    <w:rsid w:val="001A15DF"/>
    <w:rsid w:val="001A2910"/>
    <w:rsid w:val="001A3859"/>
    <w:rsid w:val="001A426F"/>
    <w:rsid w:val="001A42CC"/>
    <w:rsid w:val="001A4582"/>
    <w:rsid w:val="001A6E17"/>
    <w:rsid w:val="001B31A8"/>
    <w:rsid w:val="001C1135"/>
    <w:rsid w:val="001C6966"/>
    <w:rsid w:val="001C6AC0"/>
    <w:rsid w:val="001D00AA"/>
    <w:rsid w:val="001D0CAA"/>
    <w:rsid w:val="001D178D"/>
    <w:rsid w:val="001D1D34"/>
    <w:rsid w:val="001D4950"/>
    <w:rsid w:val="001D7214"/>
    <w:rsid w:val="001E165A"/>
    <w:rsid w:val="001E2519"/>
    <w:rsid w:val="001E2629"/>
    <w:rsid w:val="001E7EA2"/>
    <w:rsid w:val="001F065A"/>
    <w:rsid w:val="001F0FA1"/>
    <w:rsid w:val="001F1013"/>
    <w:rsid w:val="001F486F"/>
    <w:rsid w:val="001F5292"/>
    <w:rsid w:val="001F7795"/>
    <w:rsid w:val="001F7EC8"/>
    <w:rsid w:val="00200053"/>
    <w:rsid w:val="00200A9E"/>
    <w:rsid w:val="00201348"/>
    <w:rsid w:val="0020501D"/>
    <w:rsid w:val="00205ABC"/>
    <w:rsid w:val="00210691"/>
    <w:rsid w:val="002213D9"/>
    <w:rsid w:val="00221F56"/>
    <w:rsid w:val="00233036"/>
    <w:rsid w:val="00234FD3"/>
    <w:rsid w:val="00235987"/>
    <w:rsid w:val="00235E44"/>
    <w:rsid w:val="0024274F"/>
    <w:rsid w:val="002436E5"/>
    <w:rsid w:val="002459B3"/>
    <w:rsid w:val="00245D6D"/>
    <w:rsid w:val="00250526"/>
    <w:rsid w:val="00253C9C"/>
    <w:rsid w:val="00254F12"/>
    <w:rsid w:val="0025623D"/>
    <w:rsid w:val="00262822"/>
    <w:rsid w:val="00262BD5"/>
    <w:rsid w:val="0026302B"/>
    <w:rsid w:val="00267C33"/>
    <w:rsid w:val="00267FAE"/>
    <w:rsid w:val="002705AA"/>
    <w:rsid w:val="0027271F"/>
    <w:rsid w:val="0027575F"/>
    <w:rsid w:val="0027660A"/>
    <w:rsid w:val="00277815"/>
    <w:rsid w:val="00281A3E"/>
    <w:rsid w:val="002845CD"/>
    <w:rsid w:val="0028482C"/>
    <w:rsid w:val="00284B21"/>
    <w:rsid w:val="002871E3"/>
    <w:rsid w:val="00287AD9"/>
    <w:rsid w:val="00290D9C"/>
    <w:rsid w:val="002918BB"/>
    <w:rsid w:val="002919DC"/>
    <w:rsid w:val="00297206"/>
    <w:rsid w:val="00297617"/>
    <w:rsid w:val="002A6308"/>
    <w:rsid w:val="002A762F"/>
    <w:rsid w:val="002A779C"/>
    <w:rsid w:val="002B1CAD"/>
    <w:rsid w:val="002B287C"/>
    <w:rsid w:val="002B2F12"/>
    <w:rsid w:val="002B371F"/>
    <w:rsid w:val="002B583E"/>
    <w:rsid w:val="002B7F23"/>
    <w:rsid w:val="002C0E50"/>
    <w:rsid w:val="002C2D3F"/>
    <w:rsid w:val="002C2F85"/>
    <w:rsid w:val="002C6EBB"/>
    <w:rsid w:val="002D0220"/>
    <w:rsid w:val="002D0759"/>
    <w:rsid w:val="002D3AF6"/>
    <w:rsid w:val="002D3BC0"/>
    <w:rsid w:val="002D3CD8"/>
    <w:rsid w:val="002D5ED5"/>
    <w:rsid w:val="002E0BD3"/>
    <w:rsid w:val="002E1AA2"/>
    <w:rsid w:val="002E45D1"/>
    <w:rsid w:val="002E574B"/>
    <w:rsid w:val="002E696C"/>
    <w:rsid w:val="002E7D75"/>
    <w:rsid w:val="002F1BF8"/>
    <w:rsid w:val="002F38E7"/>
    <w:rsid w:val="002F7DD7"/>
    <w:rsid w:val="003017D3"/>
    <w:rsid w:val="00302474"/>
    <w:rsid w:val="00304AFE"/>
    <w:rsid w:val="00304FF5"/>
    <w:rsid w:val="003104AF"/>
    <w:rsid w:val="003110B9"/>
    <w:rsid w:val="0031123A"/>
    <w:rsid w:val="00311267"/>
    <w:rsid w:val="0031158D"/>
    <w:rsid w:val="00311B68"/>
    <w:rsid w:val="00311CA3"/>
    <w:rsid w:val="003135E3"/>
    <w:rsid w:val="00315751"/>
    <w:rsid w:val="00320E9F"/>
    <w:rsid w:val="00324E34"/>
    <w:rsid w:val="00325242"/>
    <w:rsid w:val="00325F12"/>
    <w:rsid w:val="0032740D"/>
    <w:rsid w:val="003305A0"/>
    <w:rsid w:val="00331332"/>
    <w:rsid w:val="003342D0"/>
    <w:rsid w:val="0033452D"/>
    <w:rsid w:val="0033622E"/>
    <w:rsid w:val="003373C6"/>
    <w:rsid w:val="00340A29"/>
    <w:rsid w:val="00341C7F"/>
    <w:rsid w:val="003420D8"/>
    <w:rsid w:val="00342B6E"/>
    <w:rsid w:val="0034474C"/>
    <w:rsid w:val="00347C31"/>
    <w:rsid w:val="00351E5B"/>
    <w:rsid w:val="00352F12"/>
    <w:rsid w:val="0035644F"/>
    <w:rsid w:val="0036063F"/>
    <w:rsid w:val="003607F0"/>
    <w:rsid w:val="00363987"/>
    <w:rsid w:val="00367B01"/>
    <w:rsid w:val="00370186"/>
    <w:rsid w:val="00371934"/>
    <w:rsid w:val="003732FD"/>
    <w:rsid w:val="003747F3"/>
    <w:rsid w:val="00374C97"/>
    <w:rsid w:val="0037625C"/>
    <w:rsid w:val="00380202"/>
    <w:rsid w:val="0038069C"/>
    <w:rsid w:val="00381992"/>
    <w:rsid w:val="00382562"/>
    <w:rsid w:val="003827FE"/>
    <w:rsid w:val="00383D3B"/>
    <w:rsid w:val="00384B70"/>
    <w:rsid w:val="003852AC"/>
    <w:rsid w:val="00385458"/>
    <w:rsid w:val="003878A3"/>
    <w:rsid w:val="00390C6B"/>
    <w:rsid w:val="0039361F"/>
    <w:rsid w:val="00393DEE"/>
    <w:rsid w:val="003A055C"/>
    <w:rsid w:val="003A3C64"/>
    <w:rsid w:val="003A452E"/>
    <w:rsid w:val="003A48A8"/>
    <w:rsid w:val="003A542E"/>
    <w:rsid w:val="003A6348"/>
    <w:rsid w:val="003A7A70"/>
    <w:rsid w:val="003B2B48"/>
    <w:rsid w:val="003B4739"/>
    <w:rsid w:val="003B4B22"/>
    <w:rsid w:val="003B6C1B"/>
    <w:rsid w:val="003C1CEF"/>
    <w:rsid w:val="003C3AD6"/>
    <w:rsid w:val="003C3F8E"/>
    <w:rsid w:val="003C7987"/>
    <w:rsid w:val="003D0703"/>
    <w:rsid w:val="003D18D7"/>
    <w:rsid w:val="003D2558"/>
    <w:rsid w:val="003D299B"/>
    <w:rsid w:val="003D29C1"/>
    <w:rsid w:val="003E0A48"/>
    <w:rsid w:val="003E1654"/>
    <w:rsid w:val="003E519F"/>
    <w:rsid w:val="003E5599"/>
    <w:rsid w:val="003E562A"/>
    <w:rsid w:val="003E729B"/>
    <w:rsid w:val="003F60D6"/>
    <w:rsid w:val="003F7098"/>
    <w:rsid w:val="00400E57"/>
    <w:rsid w:val="004077BB"/>
    <w:rsid w:val="00407B92"/>
    <w:rsid w:val="0043228D"/>
    <w:rsid w:val="00433032"/>
    <w:rsid w:val="00435A4B"/>
    <w:rsid w:val="00437471"/>
    <w:rsid w:val="00443570"/>
    <w:rsid w:val="004437E8"/>
    <w:rsid w:val="004443ED"/>
    <w:rsid w:val="00446FF9"/>
    <w:rsid w:val="004477A2"/>
    <w:rsid w:val="004501AE"/>
    <w:rsid w:val="004535D1"/>
    <w:rsid w:val="0045414D"/>
    <w:rsid w:val="00457241"/>
    <w:rsid w:val="00457DFA"/>
    <w:rsid w:val="00457F04"/>
    <w:rsid w:val="00461B00"/>
    <w:rsid w:val="00466480"/>
    <w:rsid w:val="004749A3"/>
    <w:rsid w:val="0047600B"/>
    <w:rsid w:val="00480B6F"/>
    <w:rsid w:val="004810A9"/>
    <w:rsid w:val="00481699"/>
    <w:rsid w:val="00481701"/>
    <w:rsid w:val="00481CF3"/>
    <w:rsid w:val="00483732"/>
    <w:rsid w:val="00484695"/>
    <w:rsid w:val="00486971"/>
    <w:rsid w:val="00487457"/>
    <w:rsid w:val="00492E39"/>
    <w:rsid w:val="00493C86"/>
    <w:rsid w:val="0049696C"/>
    <w:rsid w:val="004A0308"/>
    <w:rsid w:val="004A29A5"/>
    <w:rsid w:val="004A4092"/>
    <w:rsid w:val="004A4BEB"/>
    <w:rsid w:val="004A6438"/>
    <w:rsid w:val="004A6CEF"/>
    <w:rsid w:val="004B068A"/>
    <w:rsid w:val="004B0765"/>
    <w:rsid w:val="004B2B4D"/>
    <w:rsid w:val="004B2DFE"/>
    <w:rsid w:val="004B413A"/>
    <w:rsid w:val="004B50DE"/>
    <w:rsid w:val="004B61D4"/>
    <w:rsid w:val="004B63E3"/>
    <w:rsid w:val="004C032F"/>
    <w:rsid w:val="004C053B"/>
    <w:rsid w:val="004C0643"/>
    <w:rsid w:val="004C0752"/>
    <w:rsid w:val="004C12AA"/>
    <w:rsid w:val="004C1C2F"/>
    <w:rsid w:val="004C7E2E"/>
    <w:rsid w:val="004D3EFE"/>
    <w:rsid w:val="004D732E"/>
    <w:rsid w:val="004E4216"/>
    <w:rsid w:val="004E7D81"/>
    <w:rsid w:val="004F04D6"/>
    <w:rsid w:val="004F308E"/>
    <w:rsid w:val="004F3450"/>
    <w:rsid w:val="004F64B3"/>
    <w:rsid w:val="004F7C62"/>
    <w:rsid w:val="005015CC"/>
    <w:rsid w:val="00501CF3"/>
    <w:rsid w:val="005026A7"/>
    <w:rsid w:val="005071C3"/>
    <w:rsid w:val="00507253"/>
    <w:rsid w:val="005078DB"/>
    <w:rsid w:val="00513EDA"/>
    <w:rsid w:val="0051704F"/>
    <w:rsid w:val="00520385"/>
    <w:rsid w:val="00520DCE"/>
    <w:rsid w:val="00521585"/>
    <w:rsid w:val="0052680B"/>
    <w:rsid w:val="0053054B"/>
    <w:rsid w:val="0053238D"/>
    <w:rsid w:val="00535F1B"/>
    <w:rsid w:val="005447E4"/>
    <w:rsid w:val="0054537C"/>
    <w:rsid w:val="0054556A"/>
    <w:rsid w:val="005471C8"/>
    <w:rsid w:val="00547B44"/>
    <w:rsid w:val="005506B3"/>
    <w:rsid w:val="00550CB6"/>
    <w:rsid w:val="00552FA0"/>
    <w:rsid w:val="005532F8"/>
    <w:rsid w:val="00553B07"/>
    <w:rsid w:val="0055497F"/>
    <w:rsid w:val="005554F1"/>
    <w:rsid w:val="0056070F"/>
    <w:rsid w:val="00562B64"/>
    <w:rsid w:val="005739ED"/>
    <w:rsid w:val="005774B9"/>
    <w:rsid w:val="00577CBC"/>
    <w:rsid w:val="00583747"/>
    <w:rsid w:val="005846B9"/>
    <w:rsid w:val="00586BC6"/>
    <w:rsid w:val="00586CE0"/>
    <w:rsid w:val="00587993"/>
    <w:rsid w:val="00587EBC"/>
    <w:rsid w:val="00591067"/>
    <w:rsid w:val="00591E4D"/>
    <w:rsid w:val="005927D0"/>
    <w:rsid w:val="0059389F"/>
    <w:rsid w:val="0059391A"/>
    <w:rsid w:val="00595005"/>
    <w:rsid w:val="00597C20"/>
    <w:rsid w:val="00597C2A"/>
    <w:rsid w:val="005A2132"/>
    <w:rsid w:val="005A4DEB"/>
    <w:rsid w:val="005A6B43"/>
    <w:rsid w:val="005B2700"/>
    <w:rsid w:val="005B618D"/>
    <w:rsid w:val="005C0467"/>
    <w:rsid w:val="005C470A"/>
    <w:rsid w:val="005D161B"/>
    <w:rsid w:val="005D185F"/>
    <w:rsid w:val="005D2155"/>
    <w:rsid w:val="005D2C6C"/>
    <w:rsid w:val="005D4194"/>
    <w:rsid w:val="005D58D0"/>
    <w:rsid w:val="005E182B"/>
    <w:rsid w:val="005E1F89"/>
    <w:rsid w:val="005E36EA"/>
    <w:rsid w:val="005E3823"/>
    <w:rsid w:val="005E6B12"/>
    <w:rsid w:val="005E6B13"/>
    <w:rsid w:val="005E6FE7"/>
    <w:rsid w:val="005E7458"/>
    <w:rsid w:val="005E7C4A"/>
    <w:rsid w:val="005F3379"/>
    <w:rsid w:val="005F4309"/>
    <w:rsid w:val="005F7E00"/>
    <w:rsid w:val="00600BD9"/>
    <w:rsid w:val="00602487"/>
    <w:rsid w:val="00604F66"/>
    <w:rsid w:val="00604FB1"/>
    <w:rsid w:val="0061465F"/>
    <w:rsid w:val="006152A5"/>
    <w:rsid w:val="00616066"/>
    <w:rsid w:val="00621544"/>
    <w:rsid w:val="0062221C"/>
    <w:rsid w:val="006228FA"/>
    <w:rsid w:val="00627146"/>
    <w:rsid w:val="00627F60"/>
    <w:rsid w:val="00632736"/>
    <w:rsid w:val="0063479A"/>
    <w:rsid w:val="00637FED"/>
    <w:rsid w:val="006427ED"/>
    <w:rsid w:val="0064390F"/>
    <w:rsid w:val="006440EE"/>
    <w:rsid w:val="006510D0"/>
    <w:rsid w:val="00651AAE"/>
    <w:rsid w:val="00651D8C"/>
    <w:rsid w:val="00652D20"/>
    <w:rsid w:val="006535E2"/>
    <w:rsid w:val="0065377D"/>
    <w:rsid w:val="00657C56"/>
    <w:rsid w:val="00661DB2"/>
    <w:rsid w:val="006623E3"/>
    <w:rsid w:val="00665E7D"/>
    <w:rsid w:val="00666CC8"/>
    <w:rsid w:val="00672EF4"/>
    <w:rsid w:val="00677007"/>
    <w:rsid w:val="00687767"/>
    <w:rsid w:val="00693D59"/>
    <w:rsid w:val="00694190"/>
    <w:rsid w:val="006957F6"/>
    <w:rsid w:val="006962FB"/>
    <w:rsid w:val="006A78A8"/>
    <w:rsid w:val="006A7A7E"/>
    <w:rsid w:val="006B2533"/>
    <w:rsid w:val="006B3F39"/>
    <w:rsid w:val="006B6E57"/>
    <w:rsid w:val="006C0A54"/>
    <w:rsid w:val="006C4C49"/>
    <w:rsid w:val="006C5D13"/>
    <w:rsid w:val="006D0B62"/>
    <w:rsid w:val="006D126E"/>
    <w:rsid w:val="006D1707"/>
    <w:rsid w:val="006D254D"/>
    <w:rsid w:val="006D2AB9"/>
    <w:rsid w:val="006D2F5F"/>
    <w:rsid w:val="006D3B4B"/>
    <w:rsid w:val="006D611C"/>
    <w:rsid w:val="006D6693"/>
    <w:rsid w:val="006D7AEA"/>
    <w:rsid w:val="006E514B"/>
    <w:rsid w:val="006F10BB"/>
    <w:rsid w:val="006F1813"/>
    <w:rsid w:val="006F1BCB"/>
    <w:rsid w:val="006F3494"/>
    <w:rsid w:val="006F47C1"/>
    <w:rsid w:val="006F520A"/>
    <w:rsid w:val="00703D75"/>
    <w:rsid w:val="00703EC7"/>
    <w:rsid w:val="00705D38"/>
    <w:rsid w:val="007076ED"/>
    <w:rsid w:val="007113F9"/>
    <w:rsid w:val="00714E0D"/>
    <w:rsid w:val="00716A5E"/>
    <w:rsid w:val="007174A0"/>
    <w:rsid w:val="0072029F"/>
    <w:rsid w:val="00721F82"/>
    <w:rsid w:val="00722FE6"/>
    <w:rsid w:val="00723238"/>
    <w:rsid w:val="007303D4"/>
    <w:rsid w:val="007378C8"/>
    <w:rsid w:val="007410C3"/>
    <w:rsid w:val="007412F2"/>
    <w:rsid w:val="00743423"/>
    <w:rsid w:val="00745850"/>
    <w:rsid w:val="0074714A"/>
    <w:rsid w:val="00747D60"/>
    <w:rsid w:val="007548D0"/>
    <w:rsid w:val="00754A73"/>
    <w:rsid w:val="007555B2"/>
    <w:rsid w:val="00762887"/>
    <w:rsid w:val="00763F5B"/>
    <w:rsid w:val="00763FAA"/>
    <w:rsid w:val="0076611B"/>
    <w:rsid w:val="007700BA"/>
    <w:rsid w:val="007700C0"/>
    <w:rsid w:val="0077056E"/>
    <w:rsid w:val="00773F15"/>
    <w:rsid w:val="00774696"/>
    <w:rsid w:val="00775863"/>
    <w:rsid w:val="007811A3"/>
    <w:rsid w:val="00785FAA"/>
    <w:rsid w:val="00791796"/>
    <w:rsid w:val="007933EC"/>
    <w:rsid w:val="00794D38"/>
    <w:rsid w:val="007950DD"/>
    <w:rsid w:val="007957D4"/>
    <w:rsid w:val="007959C2"/>
    <w:rsid w:val="00796D05"/>
    <w:rsid w:val="007A10BA"/>
    <w:rsid w:val="007A23AC"/>
    <w:rsid w:val="007A3A78"/>
    <w:rsid w:val="007B156F"/>
    <w:rsid w:val="007B1BE3"/>
    <w:rsid w:val="007B6336"/>
    <w:rsid w:val="007C1E7A"/>
    <w:rsid w:val="007C2A15"/>
    <w:rsid w:val="007C42EC"/>
    <w:rsid w:val="007C6252"/>
    <w:rsid w:val="007D15D1"/>
    <w:rsid w:val="007D426C"/>
    <w:rsid w:val="007D4327"/>
    <w:rsid w:val="007D497A"/>
    <w:rsid w:val="007D70EF"/>
    <w:rsid w:val="007D7376"/>
    <w:rsid w:val="007E1B8D"/>
    <w:rsid w:val="007E237F"/>
    <w:rsid w:val="007E32F9"/>
    <w:rsid w:val="007E6047"/>
    <w:rsid w:val="007E723E"/>
    <w:rsid w:val="007F042D"/>
    <w:rsid w:val="007F097F"/>
    <w:rsid w:val="007F0FE0"/>
    <w:rsid w:val="007F2BEA"/>
    <w:rsid w:val="007F2DDC"/>
    <w:rsid w:val="007F3C25"/>
    <w:rsid w:val="007F6CBE"/>
    <w:rsid w:val="008009CC"/>
    <w:rsid w:val="008010E6"/>
    <w:rsid w:val="00804AF1"/>
    <w:rsid w:val="0080667B"/>
    <w:rsid w:val="0080717D"/>
    <w:rsid w:val="00807DF9"/>
    <w:rsid w:val="00811033"/>
    <w:rsid w:val="00811206"/>
    <w:rsid w:val="008119D6"/>
    <w:rsid w:val="008121FF"/>
    <w:rsid w:val="0081244E"/>
    <w:rsid w:val="00812BE0"/>
    <w:rsid w:val="00812C98"/>
    <w:rsid w:val="00813006"/>
    <w:rsid w:val="00815AC4"/>
    <w:rsid w:val="00816519"/>
    <w:rsid w:val="00823D94"/>
    <w:rsid w:val="0082463E"/>
    <w:rsid w:val="00825D24"/>
    <w:rsid w:val="00827803"/>
    <w:rsid w:val="0082787A"/>
    <w:rsid w:val="00832510"/>
    <w:rsid w:val="00833486"/>
    <w:rsid w:val="00833A75"/>
    <w:rsid w:val="0083520B"/>
    <w:rsid w:val="0084179C"/>
    <w:rsid w:val="00842149"/>
    <w:rsid w:val="008446E8"/>
    <w:rsid w:val="008454D9"/>
    <w:rsid w:val="00845A69"/>
    <w:rsid w:val="00846A82"/>
    <w:rsid w:val="00846D44"/>
    <w:rsid w:val="008511A1"/>
    <w:rsid w:val="00855CBD"/>
    <w:rsid w:val="00856ED5"/>
    <w:rsid w:val="00860BEB"/>
    <w:rsid w:val="00863D76"/>
    <w:rsid w:val="0086411F"/>
    <w:rsid w:val="00872F76"/>
    <w:rsid w:val="008742AD"/>
    <w:rsid w:val="0088133F"/>
    <w:rsid w:val="00881567"/>
    <w:rsid w:val="00883455"/>
    <w:rsid w:val="00884DF6"/>
    <w:rsid w:val="00885A08"/>
    <w:rsid w:val="00886B0D"/>
    <w:rsid w:val="008906E5"/>
    <w:rsid w:val="00890C52"/>
    <w:rsid w:val="00890EE6"/>
    <w:rsid w:val="00891B47"/>
    <w:rsid w:val="008925E3"/>
    <w:rsid w:val="00893F63"/>
    <w:rsid w:val="008961AD"/>
    <w:rsid w:val="00896702"/>
    <w:rsid w:val="008A2036"/>
    <w:rsid w:val="008A6099"/>
    <w:rsid w:val="008A741F"/>
    <w:rsid w:val="008B1549"/>
    <w:rsid w:val="008B23BB"/>
    <w:rsid w:val="008B2990"/>
    <w:rsid w:val="008B5046"/>
    <w:rsid w:val="008C04A2"/>
    <w:rsid w:val="008C0A4F"/>
    <w:rsid w:val="008C0F32"/>
    <w:rsid w:val="008C2645"/>
    <w:rsid w:val="008C278D"/>
    <w:rsid w:val="008C3FE3"/>
    <w:rsid w:val="008C442E"/>
    <w:rsid w:val="008C5282"/>
    <w:rsid w:val="008C552E"/>
    <w:rsid w:val="008D01F2"/>
    <w:rsid w:val="008D0394"/>
    <w:rsid w:val="008D08A8"/>
    <w:rsid w:val="008D34CB"/>
    <w:rsid w:val="008D4C7C"/>
    <w:rsid w:val="008D591B"/>
    <w:rsid w:val="008E01B5"/>
    <w:rsid w:val="008E30A3"/>
    <w:rsid w:val="008E4EC6"/>
    <w:rsid w:val="008E7506"/>
    <w:rsid w:val="008E7DF5"/>
    <w:rsid w:val="008F24BE"/>
    <w:rsid w:val="008F26E4"/>
    <w:rsid w:val="008F6C2E"/>
    <w:rsid w:val="00900BBB"/>
    <w:rsid w:val="009024C0"/>
    <w:rsid w:val="00902952"/>
    <w:rsid w:val="00905251"/>
    <w:rsid w:val="00911D34"/>
    <w:rsid w:val="00914091"/>
    <w:rsid w:val="00915664"/>
    <w:rsid w:val="00920395"/>
    <w:rsid w:val="00923E85"/>
    <w:rsid w:val="00925737"/>
    <w:rsid w:val="009260DA"/>
    <w:rsid w:val="00931A0B"/>
    <w:rsid w:val="00931BDE"/>
    <w:rsid w:val="00932F7F"/>
    <w:rsid w:val="00935D35"/>
    <w:rsid w:val="00936B97"/>
    <w:rsid w:val="009378F8"/>
    <w:rsid w:val="00937DEC"/>
    <w:rsid w:val="00941145"/>
    <w:rsid w:val="0094167B"/>
    <w:rsid w:val="00942D43"/>
    <w:rsid w:val="00944CD3"/>
    <w:rsid w:val="00946FCE"/>
    <w:rsid w:val="009505A7"/>
    <w:rsid w:val="009550BF"/>
    <w:rsid w:val="00960B71"/>
    <w:rsid w:val="00961205"/>
    <w:rsid w:val="00963B73"/>
    <w:rsid w:val="009652EE"/>
    <w:rsid w:val="00965444"/>
    <w:rsid w:val="009656C4"/>
    <w:rsid w:val="009662C0"/>
    <w:rsid w:val="009662FA"/>
    <w:rsid w:val="00966E04"/>
    <w:rsid w:val="009673A3"/>
    <w:rsid w:val="00971310"/>
    <w:rsid w:val="00971B18"/>
    <w:rsid w:val="00973CC5"/>
    <w:rsid w:val="009820B8"/>
    <w:rsid w:val="00982E1E"/>
    <w:rsid w:val="00984D81"/>
    <w:rsid w:val="00992566"/>
    <w:rsid w:val="0099256E"/>
    <w:rsid w:val="00997B8A"/>
    <w:rsid w:val="009A265F"/>
    <w:rsid w:val="009A32DD"/>
    <w:rsid w:val="009A6D4C"/>
    <w:rsid w:val="009A7263"/>
    <w:rsid w:val="009B0CC7"/>
    <w:rsid w:val="009B1365"/>
    <w:rsid w:val="009B2056"/>
    <w:rsid w:val="009B43E2"/>
    <w:rsid w:val="009B6888"/>
    <w:rsid w:val="009B6E87"/>
    <w:rsid w:val="009C1585"/>
    <w:rsid w:val="009C3354"/>
    <w:rsid w:val="009C4159"/>
    <w:rsid w:val="009C4177"/>
    <w:rsid w:val="009C54C3"/>
    <w:rsid w:val="009D037E"/>
    <w:rsid w:val="009D2717"/>
    <w:rsid w:val="009D6621"/>
    <w:rsid w:val="009E1B3E"/>
    <w:rsid w:val="009E36E5"/>
    <w:rsid w:val="009E656B"/>
    <w:rsid w:val="009F1127"/>
    <w:rsid w:val="009F16DB"/>
    <w:rsid w:val="009F1CE7"/>
    <w:rsid w:val="009F5853"/>
    <w:rsid w:val="009F6CB4"/>
    <w:rsid w:val="00A00A05"/>
    <w:rsid w:val="00A01395"/>
    <w:rsid w:val="00A01BE0"/>
    <w:rsid w:val="00A03CF2"/>
    <w:rsid w:val="00A0525F"/>
    <w:rsid w:val="00A10313"/>
    <w:rsid w:val="00A10FBE"/>
    <w:rsid w:val="00A16778"/>
    <w:rsid w:val="00A17A21"/>
    <w:rsid w:val="00A216EC"/>
    <w:rsid w:val="00A21938"/>
    <w:rsid w:val="00A236AC"/>
    <w:rsid w:val="00A31740"/>
    <w:rsid w:val="00A31FAC"/>
    <w:rsid w:val="00A3217D"/>
    <w:rsid w:val="00A32492"/>
    <w:rsid w:val="00A346AD"/>
    <w:rsid w:val="00A40743"/>
    <w:rsid w:val="00A421DB"/>
    <w:rsid w:val="00A42532"/>
    <w:rsid w:val="00A44B83"/>
    <w:rsid w:val="00A471D8"/>
    <w:rsid w:val="00A47AC6"/>
    <w:rsid w:val="00A53BC5"/>
    <w:rsid w:val="00A542DF"/>
    <w:rsid w:val="00A5653B"/>
    <w:rsid w:val="00A60607"/>
    <w:rsid w:val="00A63E24"/>
    <w:rsid w:val="00A677D7"/>
    <w:rsid w:val="00A67B43"/>
    <w:rsid w:val="00A71D03"/>
    <w:rsid w:val="00A72D51"/>
    <w:rsid w:val="00A75918"/>
    <w:rsid w:val="00A76316"/>
    <w:rsid w:val="00A76698"/>
    <w:rsid w:val="00A87900"/>
    <w:rsid w:val="00A90B63"/>
    <w:rsid w:val="00A91D81"/>
    <w:rsid w:val="00A920B3"/>
    <w:rsid w:val="00A96BB8"/>
    <w:rsid w:val="00AA1842"/>
    <w:rsid w:val="00AA40C1"/>
    <w:rsid w:val="00AA550E"/>
    <w:rsid w:val="00AB2123"/>
    <w:rsid w:val="00AB32EB"/>
    <w:rsid w:val="00AB3D7F"/>
    <w:rsid w:val="00AB46E7"/>
    <w:rsid w:val="00AB7EA2"/>
    <w:rsid w:val="00AC1228"/>
    <w:rsid w:val="00AC2182"/>
    <w:rsid w:val="00AC3E94"/>
    <w:rsid w:val="00AC5B1F"/>
    <w:rsid w:val="00AC5E2E"/>
    <w:rsid w:val="00AD4EA5"/>
    <w:rsid w:val="00AE71A9"/>
    <w:rsid w:val="00AF4178"/>
    <w:rsid w:val="00AF4857"/>
    <w:rsid w:val="00AF56A1"/>
    <w:rsid w:val="00AF5A23"/>
    <w:rsid w:val="00AF5E87"/>
    <w:rsid w:val="00B013F1"/>
    <w:rsid w:val="00B030DF"/>
    <w:rsid w:val="00B117CA"/>
    <w:rsid w:val="00B157D9"/>
    <w:rsid w:val="00B16A94"/>
    <w:rsid w:val="00B21BD3"/>
    <w:rsid w:val="00B245B5"/>
    <w:rsid w:val="00B300BE"/>
    <w:rsid w:val="00B30B86"/>
    <w:rsid w:val="00B31819"/>
    <w:rsid w:val="00B31DDA"/>
    <w:rsid w:val="00B32163"/>
    <w:rsid w:val="00B338C9"/>
    <w:rsid w:val="00B37DD8"/>
    <w:rsid w:val="00B402B3"/>
    <w:rsid w:val="00B42237"/>
    <w:rsid w:val="00B4482C"/>
    <w:rsid w:val="00B45D4C"/>
    <w:rsid w:val="00B516CE"/>
    <w:rsid w:val="00B5290F"/>
    <w:rsid w:val="00B53FEA"/>
    <w:rsid w:val="00B61AEB"/>
    <w:rsid w:val="00B63F1A"/>
    <w:rsid w:val="00B714AD"/>
    <w:rsid w:val="00B718E1"/>
    <w:rsid w:val="00B71D8D"/>
    <w:rsid w:val="00B72A02"/>
    <w:rsid w:val="00B72EAB"/>
    <w:rsid w:val="00B766CA"/>
    <w:rsid w:val="00B77342"/>
    <w:rsid w:val="00B80181"/>
    <w:rsid w:val="00B80341"/>
    <w:rsid w:val="00B816BE"/>
    <w:rsid w:val="00B8583F"/>
    <w:rsid w:val="00B9267C"/>
    <w:rsid w:val="00B92C1F"/>
    <w:rsid w:val="00B93528"/>
    <w:rsid w:val="00B94A77"/>
    <w:rsid w:val="00B97024"/>
    <w:rsid w:val="00BA0948"/>
    <w:rsid w:val="00BA0B54"/>
    <w:rsid w:val="00BA0F19"/>
    <w:rsid w:val="00BA15B1"/>
    <w:rsid w:val="00BA2EFF"/>
    <w:rsid w:val="00BA4A6A"/>
    <w:rsid w:val="00BA619C"/>
    <w:rsid w:val="00BB0D64"/>
    <w:rsid w:val="00BB177E"/>
    <w:rsid w:val="00BB230B"/>
    <w:rsid w:val="00BB23B6"/>
    <w:rsid w:val="00BB3F83"/>
    <w:rsid w:val="00BB64C1"/>
    <w:rsid w:val="00BC0BC2"/>
    <w:rsid w:val="00BC2A99"/>
    <w:rsid w:val="00BC5172"/>
    <w:rsid w:val="00BC537B"/>
    <w:rsid w:val="00BC7743"/>
    <w:rsid w:val="00BD2C1B"/>
    <w:rsid w:val="00BE0C64"/>
    <w:rsid w:val="00BE2A17"/>
    <w:rsid w:val="00BE5C20"/>
    <w:rsid w:val="00BE6D50"/>
    <w:rsid w:val="00BF04B8"/>
    <w:rsid w:val="00BF11FA"/>
    <w:rsid w:val="00BF17D2"/>
    <w:rsid w:val="00BF73DA"/>
    <w:rsid w:val="00C047BF"/>
    <w:rsid w:val="00C05C48"/>
    <w:rsid w:val="00C1191B"/>
    <w:rsid w:val="00C1447D"/>
    <w:rsid w:val="00C15787"/>
    <w:rsid w:val="00C17C08"/>
    <w:rsid w:val="00C20F20"/>
    <w:rsid w:val="00C211C9"/>
    <w:rsid w:val="00C21E15"/>
    <w:rsid w:val="00C22F04"/>
    <w:rsid w:val="00C232B9"/>
    <w:rsid w:val="00C30BF7"/>
    <w:rsid w:val="00C3147B"/>
    <w:rsid w:val="00C371D6"/>
    <w:rsid w:val="00C40EEB"/>
    <w:rsid w:val="00C43119"/>
    <w:rsid w:val="00C43D89"/>
    <w:rsid w:val="00C45D64"/>
    <w:rsid w:val="00C46F55"/>
    <w:rsid w:val="00C53249"/>
    <w:rsid w:val="00C5365C"/>
    <w:rsid w:val="00C5385A"/>
    <w:rsid w:val="00C539F8"/>
    <w:rsid w:val="00C54470"/>
    <w:rsid w:val="00C549AC"/>
    <w:rsid w:val="00C6450C"/>
    <w:rsid w:val="00C677F4"/>
    <w:rsid w:val="00C719A2"/>
    <w:rsid w:val="00C7250D"/>
    <w:rsid w:val="00C762DB"/>
    <w:rsid w:val="00C76A6D"/>
    <w:rsid w:val="00C810EE"/>
    <w:rsid w:val="00C82D43"/>
    <w:rsid w:val="00C83421"/>
    <w:rsid w:val="00C83740"/>
    <w:rsid w:val="00C87A96"/>
    <w:rsid w:val="00C9211B"/>
    <w:rsid w:val="00C93B86"/>
    <w:rsid w:val="00CA012E"/>
    <w:rsid w:val="00CA05E0"/>
    <w:rsid w:val="00CA066F"/>
    <w:rsid w:val="00CA2FF5"/>
    <w:rsid w:val="00CA6701"/>
    <w:rsid w:val="00CA6F07"/>
    <w:rsid w:val="00CB1DA0"/>
    <w:rsid w:val="00CB2E23"/>
    <w:rsid w:val="00CB421C"/>
    <w:rsid w:val="00CB57A1"/>
    <w:rsid w:val="00CB730B"/>
    <w:rsid w:val="00CB73F5"/>
    <w:rsid w:val="00CC632E"/>
    <w:rsid w:val="00CD0044"/>
    <w:rsid w:val="00CD1F56"/>
    <w:rsid w:val="00CD3932"/>
    <w:rsid w:val="00CD599E"/>
    <w:rsid w:val="00CD5F82"/>
    <w:rsid w:val="00CE0ED5"/>
    <w:rsid w:val="00CE2FB1"/>
    <w:rsid w:val="00CE4690"/>
    <w:rsid w:val="00CE69AA"/>
    <w:rsid w:val="00CE7A16"/>
    <w:rsid w:val="00CE7F78"/>
    <w:rsid w:val="00CF2527"/>
    <w:rsid w:val="00CF390A"/>
    <w:rsid w:val="00CF4F29"/>
    <w:rsid w:val="00CF6B78"/>
    <w:rsid w:val="00D01725"/>
    <w:rsid w:val="00D030CE"/>
    <w:rsid w:val="00D059F8"/>
    <w:rsid w:val="00D07989"/>
    <w:rsid w:val="00D1117E"/>
    <w:rsid w:val="00D12CDE"/>
    <w:rsid w:val="00D1715D"/>
    <w:rsid w:val="00D17238"/>
    <w:rsid w:val="00D21218"/>
    <w:rsid w:val="00D227F1"/>
    <w:rsid w:val="00D22CDB"/>
    <w:rsid w:val="00D23EC3"/>
    <w:rsid w:val="00D267FF"/>
    <w:rsid w:val="00D273D9"/>
    <w:rsid w:val="00D30BCB"/>
    <w:rsid w:val="00D33508"/>
    <w:rsid w:val="00D339C1"/>
    <w:rsid w:val="00D41B97"/>
    <w:rsid w:val="00D46F6B"/>
    <w:rsid w:val="00D526E2"/>
    <w:rsid w:val="00D55AA9"/>
    <w:rsid w:val="00D62727"/>
    <w:rsid w:val="00D66842"/>
    <w:rsid w:val="00D66851"/>
    <w:rsid w:val="00D7323D"/>
    <w:rsid w:val="00D75001"/>
    <w:rsid w:val="00D76775"/>
    <w:rsid w:val="00D77346"/>
    <w:rsid w:val="00D77409"/>
    <w:rsid w:val="00D8100F"/>
    <w:rsid w:val="00D835D9"/>
    <w:rsid w:val="00D8394B"/>
    <w:rsid w:val="00D84D23"/>
    <w:rsid w:val="00D9019C"/>
    <w:rsid w:val="00D91249"/>
    <w:rsid w:val="00DA0C12"/>
    <w:rsid w:val="00DA0F98"/>
    <w:rsid w:val="00DA27B3"/>
    <w:rsid w:val="00DA2B64"/>
    <w:rsid w:val="00DA6BA6"/>
    <w:rsid w:val="00DA76AE"/>
    <w:rsid w:val="00DB00A4"/>
    <w:rsid w:val="00DB0530"/>
    <w:rsid w:val="00DB3AF4"/>
    <w:rsid w:val="00DB4072"/>
    <w:rsid w:val="00DB5B59"/>
    <w:rsid w:val="00DB6D1A"/>
    <w:rsid w:val="00DB771D"/>
    <w:rsid w:val="00DC1435"/>
    <w:rsid w:val="00DC198C"/>
    <w:rsid w:val="00DC21DE"/>
    <w:rsid w:val="00DC4B15"/>
    <w:rsid w:val="00DC500C"/>
    <w:rsid w:val="00DC53D9"/>
    <w:rsid w:val="00DC6DD5"/>
    <w:rsid w:val="00DD19D8"/>
    <w:rsid w:val="00DD1E81"/>
    <w:rsid w:val="00DD2F44"/>
    <w:rsid w:val="00DD3BC5"/>
    <w:rsid w:val="00DD4DB5"/>
    <w:rsid w:val="00DD5357"/>
    <w:rsid w:val="00DD5BE1"/>
    <w:rsid w:val="00DD66DF"/>
    <w:rsid w:val="00DD6A6F"/>
    <w:rsid w:val="00DD7222"/>
    <w:rsid w:val="00DD7F9F"/>
    <w:rsid w:val="00DE0F48"/>
    <w:rsid w:val="00DE2C88"/>
    <w:rsid w:val="00DE3DE0"/>
    <w:rsid w:val="00DE44B8"/>
    <w:rsid w:val="00DE4EAA"/>
    <w:rsid w:val="00DE66BD"/>
    <w:rsid w:val="00DE66ED"/>
    <w:rsid w:val="00DE787D"/>
    <w:rsid w:val="00DE7FE3"/>
    <w:rsid w:val="00DF1593"/>
    <w:rsid w:val="00DF23E5"/>
    <w:rsid w:val="00DF47A9"/>
    <w:rsid w:val="00DF6075"/>
    <w:rsid w:val="00DF6D37"/>
    <w:rsid w:val="00E01CC5"/>
    <w:rsid w:val="00E03819"/>
    <w:rsid w:val="00E03B34"/>
    <w:rsid w:val="00E03C57"/>
    <w:rsid w:val="00E049E6"/>
    <w:rsid w:val="00E07A75"/>
    <w:rsid w:val="00E16E92"/>
    <w:rsid w:val="00E215FA"/>
    <w:rsid w:val="00E217B8"/>
    <w:rsid w:val="00E239A5"/>
    <w:rsid w:val="00E24BCF"/>
    <w:rsid w:val="00E24CBC"/>
    <w:rsid w:val="00E2573D"/>
    <w:rsid w:val="00E26F02"/>
    <w:rsid w:val="00E31A8D"/>
    <w:rsid w:val="00E31C42"/>
    <w:rsid w:val="00E34DBF"/>
    <w:rsid w:val="00E35431"/>
    <w:rsid w:val="00E36315"/>
    <w:rsid w:val="00E36C6A"/>
    <w:rsid w:val="00E4125B"/>
    <w:rsid w:val="00E431CA"/>
    <w:rsid w:val="00E4386F"/>
    <w:rsid w:val="00E43FB3"/>
    <w:rsid w:val="00E4545B"/>
    <w:rsid w:val="00E46E45"/>
    <w:rsid w:val="00E4775E"/>
    <w:rsid w:val="00E50F2E"/>
    <w:rsid w:val="00E51B2E"/>
    <w:rsid w:val="00E53B35"/>
    <w:rsid w:val="00E564D3"/>
    <w:rsid w:val="00E56985"/>
    <w:rsid w:val="00E571C7"/>
    <w:rsid w:val="00E643C1"/>
    <w:rsid w:val="00E64BCE"/>
    <w:rsid w:val="00E65A9E"/>
    <w:rsid w:val="00E670CE"/>
    <w:rsid w:val="00E73CB4"/>
    <w:rsid w:val="00E75E65"/>
    <w:rsid w:val="00E7782D"/>
    <w:rsid w:val="00E81D69"/>
    <w:rsid w:val="00E84A95"/>
    <w:rsid w:val="00E8779E"/>
    <w:rsid w:val="00EA0035"/>
    <w:rsid w:val="00EA0FF5"/>
    <w:rsid w:val="00EA192D"/>
    <w:rsid w:val="00EA198A"/>
    <w:rsid w:val="00EA2CEF"/>
    <w:rsid w:val="00EA423A"/>
    <w:rsid w:val="00EA6100"/>
    <w:rsid w:val="00EB0142"/>
    <w:rsid w:val="00EB050D"/>
    <w:rsid w:val="00EB1E41"/>
    <w:rsid w:val="00EB5779"/>
    <w:rsid w:val="00EC08BB"/>
    <w:rsid w:val="00EC185F"/>
    <w:rsid w:val="00EC20EF"/>
    <w:rsid w:val="00EC285B"/>
    <w:rsid w:val="00ED0608"/>
    <w:rsid w:val="00ED32AD"/>
    <w:rsid w:val="00ED537A"/>
    <w:rsid w:val="00ED61E1"/>
    <w:rsid w:val="00ED7761"/>
    <w:rsid w:val="00EE18E6"/>
    <w:rsid w:val="00EE51DC"/>
    <w:rsid w:val="00EE5E4A"/>
    <w:rsid w:val="00EE7F4E"/>
    <w:rsid w:val="00EF0156"/>
    <w:rsid w:val="00EF33A7"/>
    <w:rsid w:val="00EF75E9"/>
    <w:rsid w:val="00F03895"/>
    <w:rsid w:val="00F048C9"/>
    <w:rsid w:val="00F04B51"/>
    <w:rsid w:val="00F04FAE"/>
    <w:rsid w:val="00F07FBC"/>
    <w:rsid w:val="00F10308"/>
    <w:rsid w:val="00F12B6A"/>
    <w:rsid w:val="00F13441"/>
    <w:rsid w:val="00F13B8C"/>
    <w:rsid w:val="00F13CCE"/>
    <w:rsid w:val="00F15337"/>
    <w:rsid w:val="00F1776A"/>
    <w:rsid w:val="00F2124E"/>
    <w:rsid w:val="00F26477"/>
    <w:rsid w:val="00F30DFF"/>
    <w:rsid w:val="00F3459A"/>
    <w:rsid w:val="00F3499C"/>
    <w:rsid w:val="00F35445"/>
    <w:rsid w:val="00F36E73"/>
    <w:rsid w:val="00F42D05"/>
    <w:rsid w:val="00F45033"/>
    <w:rsid w:val="00F45D82"/>
    <w:rsid w:val="00F478FA"/>
    <w:rsid w:val="00F520B1"/>
    <w:rsid w:val="00F5476B"/>
    <w:rsid w:val="00F5573C"/>
    <w:rsid w:val="00F55D07"/>
    <w:rsid w:val="00F5736D"/>
    <w:rsid w:val="00F5751F"/>
    <w:rsid w:val="00F60C08"/>
    <w:rsid w:val="00F61AD6"/>
    <w:rsid w:val="00F61B15"/>
    <w:rsid w:val="00F62558"/>
    <w:rsid w:val="00F62D7F"/>
    <w:rsid w:val="00F65321"/>
    <w:rsid w:val="00F670B7"/>
    <w:rsid w:val="00F7087A"/>
    <w:rsid w:val="00F70D3E"/>
    <w:rsid w:val="00F7545B"/>
    <w:rsid w:val="00F80B16"/>
    <w:rsid w:val="00F82B6E"/>
    <w:rsid w:val="00F83200"/>
    <w:rsid w:val="00F9091E"/>
    <w:rsid w:val="00F924AD"/>
    <w:rsid w:val="00F9330E"/>
    <w:rsid w:val="00F93AC8"/>
    <w:rsid w:val="00F94E74"/>
    <w:rsid w:val="00F960B0"/>
    <w:rsid w:val="00F96FCA"/>
    <w:rsid w:val="00F975B6"/>
    <w:rsid w:val="00FA26FC"/>
    <w:rsid w:val="00FA3A22"/>
    <w:rsid w:val="00FA5D44"/>
    <w:rsid w:val="00FA6EAC"/>
    <w:rsid w:val="00FA7654"/>
    <w:rsid w:val="00FB5E81"/>
    <w:rsid w:val="00FB67EB"/>
    <w:rsid w:val="00FB7BBC"/>
    <w:rsid w:val="00FC2F5D"/>
    <w:rsid w:val="00FC335E"/>
    <w:rsid w:val="00FC3380"/>
    <w:rsid w:val="00FC54DD"/>
    <w:rsid w:val="00FC665D"/>
    <w:rsid w:val="00FD14F3"/>
    <w:rsid w:val="00FD1DE6"/>
    <w:rsid w:val="00FD4030"/>
    <w:rsid w:val="00FD471B"/>
    <w:rsid w:val="00FD5C57"/>
    <w:rsid w:val="00FD637F"/>
    <w:rsid w:val="00FE6C7E"/>
    <w:rsid w:val="00FE6D6A"/>
    <w:rsid w:val="00FF0F05"/>
    <w:rsid w:val="00FF23EA"/>
    <w:rsid w:val="00FF282F"/>
    <w:rsid w:val="00FF40D8"/>
    <w:rsid w:val="00FF5127"/>
    <w:rsid w:val="00FF5F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F47953"/>
  <w15:docId w15:val="{801F47BF-72C5-40F1-A019-80D67AD8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paragraph" w:styleId="Heading1">
    <w:name w:val="heading 1"/>
    <w:basedOn w:val="Normal"/>
    <w:next w:val="Normal"/>
    <w:link w:val="Heading1Char"/>
    <w:uiPriority w:val="9"/>
    <w:qFormat/>
    <w:rsid w:val="00B63F1A"/>
    <w:pPr>
      <w:keepNext/>
      <w:keepLines/>
      <w:spacing w:before="240" w:after="240" w:line="240" w:lineRule="auto"/>
      <w:jc w:val="both"/>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B63F1A"/>
    <w:pPr>
      <w:keepNext/>
      <w:keepLines/>
      <w:spacing w:before="360" w:after="0" w:line="240" w:lineRule="auto"/>
      <w:jc w:val="both"/>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82"/>
    <w:pPr>
      <w:ind w:left="720"/>
      <w:contextualSpacing/>
    </w:pPr>
  </w:style>
  <w:style w:type="character" w:styleId="CommentReference">
    <w:name w:val="annotation reference"/>
    <w:basedOn w:val="DefaultParagraphFont"/>
    <w:uiPriority w:val="99"/>
    <w:unhideWhenUsed/>
    <w:rsid w:val="00846A82"/>
    <w:rPr>
      <w:sz w:val="16"/>
      <w:szCs w:val="16"/>
    </w:rPr>
  </w:style>
  <w:style w:type="paragraph" w:styleId="CommentText">
    <w:name w:val="annotation text"/>
    <w:basedOn w:val="Normal"/>
    <w:link w:val="CommentTextChar"/>
    <w:uiPriority w:val="99"/>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5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S,fn,single space,Footnote Text1,Fodnotetekst Tegn,footnote text Char,Fodnotetekst Tegn Char,single space Char,footnote text Char Char Char,Fodnotetekst Tegn Char1,footnote text Char Char1,f,Geneva 9,Char,Texto nota pie Car Car Ca"/>
    <w:basedOn w:val="Normal"/>
    <w:link w:val="FootnoteTextChar"/>
    <w:unhideWhenUsed/>
    <w:qFormat/>
    <w:rsid w:val="00DD19D8"/>
    <w:pPr>
      <w:spacing w:after="0" w:line="240" w:lineRule="auto"/>
    </w:pPr>
    <w:rPr>
      <w:sz w:val="20"/>
      <w:szCs w:val="20"/>
    </w:rPr>
  </w:style>
  <w:style w:type="character" w:customStyle="1" w:styleId="FootnoteTextChar">
    <w:name w:val="Footnote Text Char"/>
    <w:aliases w:val="FOOTNOTES Char,fn Char,single space Char1,Footnote Text1 Char,Fodnotetekst Tegn Char2,footnote text Char Char,Fodnotetekst Tegn Char Char,single space Char Char,footnote text Char Char Char Char,Fodnotetekst Tegn Char1 Char,f Char"/>
    <w:basedOn w:val="DefaultParagraphFont"/>
    <w:link w:val="FootnoteText"/>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Default">
    <w:name w:val="Default"/>
    <w:rsid w:val="00A01BE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63F1A"/>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B63F1A"/>
    <w:rPr>
      <w:rFonts w:asciiTheme="majorHAnsi" w:eastAsiaTheme="majorEastAsia" w:hAnsiTheme="majorHAnsi" w:cstheme="majorBidi"/>
      <w:color w:val="365F91" w:themeColor="accent1" w:themeShade="BF"/>
      <w:sz w:val="26"/>
      <w:szCs w:val="26"/>
      <w:lang w:val="en-US"/>
    </w:rPr>
  </w:style>
  <w:style w:type="paragraph" w:styleId="Caption">
    <w:name w:val="caption"/>
    <w:basedOn w:val="Normal"/>
    <w:next w:val="Normal"/>
    <w:uiPriority w:val="35"/>
    <w:unhideWhenUsed/>
    <w:qFormat/>
    <w:rsid w:val="00B63F1A"/>
    <w:pPr>
      <w:spacing w:before="120" w:line="240" w:lineRule="auto"/>
      <w:jc w:val="both"/>
    </w:pPr>
    <w:rPr>
      <w:i/>
      <w:iCs/>
      <w:color w:val="1F497D" w:themeColor="text2"/>
      <w:sz w:val="18"/>
      <w:szCs w:val="18"/>
      <w:lang w:val="en-US"/>
    </w:rPr>
  </w:style>
  <w:style w:type="paragraph" w:customStyle="1" w:styleId="Char2">
    <w:name w:val="Char2"/>
    <w:basedOn w:val="Normal"/>
    <w:uiPriority w:val="99"/>
    <w:rsid w:val="004F64B3"/>
    <w:pPr>
      <w:widowControl w:val="0"/>
      <w:spacing w:before="120" w:after="0" w:line="240" w:lineRule="exact"/>
      <w:jc w:val="both"/>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759191-DF73-449B-A028-52C6404A15C9}">
  <ds:schemaRefs>
    <ds:schemaRef ds:uri="http://schemas.microsoft.com/sharepoint/v3/contenttype/forms"/>
  </ds:schemaRefs>
</ds:datastoreItem>
</file>

<file path=customXml/itemProps2.xml><?xml version="1.0" encoding="utf-8"?>
<ds:datastoreItem xmlns:ds="http://schemas.openxmlformats.org/officeDocument/2006/customXml" ds:itemID="{34D7AEC5-7B06-4D05-A3D7-27361E0CC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9b3a82-106d-4dfc-8b5c-c32b856c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7B713-DD50-498E-9F5B-72130AC9C633}">
  <ds:schemaRefs>
    <ds:schemaRef ds:uri="http://schemas.microsoft.com/sharepoint/v3/field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0e9b3a82-106d-4dfc-8b5c-c32b856c7021"/>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8AEFF42E-2578-405C-8B5A-CB0F22D6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14114</Characters>
  <Application>Microsoft Office Word</Application>
  <DocSecurity>0</DocSecurity>
  <Lines>392</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BASSE Dior (INTPA-EXT)</cp:lastModifiedBy>
  <cp:revision>2</cp:revision>
  <dcterms:created xsi:type="dcterms:W3CDTF">2022-06-21T14:56:00Z</dcterms:created>
  <dcterms:modified xsi:type="dcterms:W3CDTF">2022-06-21T14:56:00Z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