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A15EA" w14:textId="5D2FBC1D" w:rsidR="004B15B8" w:rsidRDefault="00040845"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bookmarkStart w:id="0" w:name="_top"/>
      <w:bookmarkEnd w:id="0"/>
      <w:r>
        <w:rPr>
          <w:noProof/>
          <w:lang w:val="es-ES" w:eastAsia="es-ES"/>
        </w:rPr>
        <w:drawing>
          <wp:anchor distT="0" distB="0" distL="114300" distR="114300" simplePos="0" relativeHeight="251739136" behindDoc="1" locked="0" layoutInCell="1" allowOverlap="1" wp14:anchorId="2273C3B3" wp14:editId="6AD24AD9">
            <wp:simplePos x="0" y="0"/>
            <wp:positionH relativeFrom="column">
              <wp:posOffset>-1143000</wp:posOffset>
            </wp:positionH>
            <wp:positionV relativeFrom="paragraph">
              <wp:posOffset>-914400</wp:posOffset>
            </wp:positionV>
            <wp:extent cx="7657872" cy="10744200"/>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2-01.png"/>
                    <pic:cNvPicPr/>
                  </pic:nvPicPr>
                  <pic:blipFill>
                    <a:blip r:embed="rId10">
                      <a:extLst>
                        <a:ext uri="{28A0092B-C50C-407E-A947-70E740481C1C}">
                          <a14:useLocalDpi xmlns:a14="http://schemas.microsoft.com/office/drawing/2010/main" val="0"/>
                        </a:ext>
                      </a:extLst>
                    </a:blip>
                    <a:stretch>
                      <a:fillRect/>
                    </a:stretch>
                  </pic:blipFill>
                  <pic:spPr>
                    <a:xfrm>
                      <a:off x="0" y="0"/>
                      <a:ext cx="7658100" cy="10744520"/>
                    </a:xfrm>
                    <a:prstGeom prst="rect">
                      <a:avLst/>
                    </a:prstGeom>
                  </pic:spPr>
                </pic:pic>
              </a:graphicData>
            </a:graphic>
            <wp14:sizeRelH relativeFrom="page">
              <wp14:pctWidth>0</wp14:pctWidth>
            </wp14:sizeRelH>
            <wp14:sizeRelV relativeFrom="page">
              <wp14:pctHeight>0</wp14:pctHeight>
            </wp14:sizeRelV>
          </wp:anchor>
        </w:drawing>
      </w:r>
      <w:r w:rsidR="0089786B">
        <w:rPr>
          <w:noProof/>
          <w:lang w:val="es-ES" w:eastAsia="es-ES"/>
        </w:rPr>
        <mc:AlternateContent>
          <mc:Choice Requires="wps">
            <w:drawing>
              <wp:anchor distT="0" distB="0" distL="114300" distR="114300" simplePos="0" relativeHeight="251727872" behindDoc="0" locked="0" layoutInCell="1" allowOverlap="1" wp14:anchorId="411AFB09" wp14:editId="243A6B5F">
                <wp:simplePos x="0" y="0"/>
                <wp:positionH relativeFrom="page">
                  <wp:posOffset>309880</wp:posOffset>
                </wp:positionH>
                <wp:positionV relativeFrom="page">
                  <wp:posOffset>4930775</wp:posOffset>
                </wp:positionV>
                <wp:extent cx="3644900" cy="509270"/>
                <wp:effectExtent l="0" t="0" r="0" b="6985"/>
                <wp:wrapNone/>
                <wp:docPr id="346" name="Cuadro de texto 346"/>
                <wp:cNvGraphicFramePr/>
                <a:graphic xmlns:a="http://schemas.openxmlformats.org/drawingml/2006/main">
                  <a:graphicData uri="http://schemas.microsoft.com/office/word/2010/wordprocessingShape">
                    <wps:wsp>
                      <wps:cNvSpPr txBox="1"/>
                      <wps:spPr>
                        <a:xfrm>
                          <a:off x="0" y="0"/>
                          <a:ext cx="3644900" cy="509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AF62C" w14:textId="1182C23F" w:rsidR="00D2173C" w:rsidRPr="004912A9" w:rsidRDefault="00D2173C" w:rsidP="0089786B">
                            <w:pPr>
                              <w:pStyle w:val="Sinespaciado"/>
                              <w:jc w:val="right"/>
                              <w:rPr>
                                <w:rFonts w:ascii="Corbel" w:eastAsiaTheme="majorEastAsia" w:hAnsi="Corbel" w:cstheme="majorBidi"/>
                                <w:b/>
                                <w:bCs/>
                                <w:color w:val="FFFFFF" w:themeColor="background1"/>
                                <w:sz w:val="48"/>
                                <w:szCs w:val="48"/>
                              </w:rPr>
                            </w:pPr>
                            <w:r>
                              <w:rPr>
                                <w:rFonts w:ascii="Corbel" w:eastAsiaTheme="majorEastAsia" w:hAnsi="Corbel" w:cstheme="majorBidi"/>
                                <w:b/>
                                <w:bCs/>
                                <w:color w:val="FFFFFF" w:themeColor="background1"/>
                                <w:sz w:val="48"/>
                                <w:szCs w:val="48"/>
                              </w:rPr>
                              <w:t>Perfil de género Colombia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346" o:spid="_x0000_s1026" type="#_x0000_t202" style="position:absolute;margin-left:24.4pt;margin-top:388.25pt;width:287pt;height:40.1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" filled="f" stroked="f" strokeweight=".5pt">
                <v:textbox style="mso-fit-shape-to-text:t" inset="0,0,0,0">
                  <w:txbxContent>
                    <w:p w14:paraId="64EAF62C" w14:textId="1182C23F" w:rsidR="00D2173C" w:rsidRPr="004912A9" w:rsidRDefault="00D2173C" w:rsidP="0089786B">
                      <w:pPr>
                        <w:pStyle w:val="Sinespaciado"/>
                        <w:jc w:val="right"/>
                        <w:rPr>
                          <w:rFonts w:ascii="Corbel" w:eastAsiaTheme="majorEastAsia" w:hAnsi="Corbel" w:cstheme="majorBidi"/>
                          <w:b/>
                          <w:bCs/>
                          <w:color w:val="FFFFFF" w:themeColor="background1"/>
                          <w:sz w:val="48"/>
                          <w:szCs w:val="48"/>
                        </w:rPr>
                      </w:pPr>
                      <w:r>
                        <w:rPr>
                          <w:rFonts w:ascii="Corbel" w:eastAsiaTheme="majorEastAsia" w:hAnsi="Corbel" w:cstheme="majorBidi"/>
                          <w:b/>
                          <w:bCs/>
                          <w:color w:val="FFFFFF" w:themeColor="background1"/>
                          <w:sz w:val="48"/>
                          <w:szCs w:val="48"/>
                        </w:rPr>
                        <w:t>Perfil de género Colombia</w:t>
                      </w:r>
                    </w:p>
                  </w:txbxContent>
                </v:textbox>
                <w10:wrap anchorx="page" anchory="page"/>
              </v:shape>
            </w:pict>
          </mc:Fallback>
        </mc:AlternateContent>
      </w:r>
      <w:r w:rsidR="0089786B">
        <w:rPr>
          <w:noProof/>
          <w:lang w:val="es-ES" w:eastAsia="es-ES"/>
        </w:rPr>
        <mc:AlternateContent>
          <mc:Choice Requires="wps">
            <w:drawing>
              <wp:anchor distT="0" distB="0" distL="114300" distR="114300" simplePos="0" relativeHeight="251728896" behindDoc="0" locked="0" layoutInCell="1" allowOverlap="1" wp14:anchorId="579D681D" wp14:editId="5AC41827">
                <wp:simplePos x="0" y="0"/>
                <wp:positionH relativeFrom="page">
                  <wp:posOffset>391795</wp:posOffset>
                </wp:positionH>
                <wp:positionV relativeFrom="page">
                  <wp:posOffset>6342380</wp:posOffset>
                </wp:positionV>
                <wp:extent cx="3563620" cy="3275330"/>
                <wp:effectExtent l="0" t="0" r="5080" b="4445"/>
                <wp:wrapNone/>
                <wp:docPr id="347" name="Cuadro de texto 347"/>
                <wp:cNvGraphicFramePr/>
                <a:graphic xmlns:a="http://schemas.openxmlformats.org/drawingml/2006/main">
                  <a:graphicData uri="http://schemas.microsoft.com/office/word/2010/wordprocessingShape">
                    <wps:wsp>
                      <wps:cNvSpPr txBox="1"/>
                      <wps:spPr>
                        <a:xfrm>
                          <a:off x="0" y="0"/>
                          <a:ext cx="3563620" cy="3275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2F19E" w14:textId="77777777" w:rsidR="00D2173C" w:rsidRPr="004912A9" w:rsidRDefault="00D2173C" w:rsidP="0089786B">
                            <w:pPr>
                              <w:spacing w:before="120"/>
                              <w:jc w:val="right"/>
                              <w:rPr>
                                <w:rFonts w:ascii="Century Gothic" w:hAnsi="Century Gothic"/>
                                <w:color w:val="FFFFFF" w:themeColor="background1"/>
                                <w:sz w:val="32"/>
                                <w:szCs w:val="32"/>
                                <w:lang w:val="en-US"/>
                              </w:rPr>
                            </w:pPr>
                            <w:r w:rsidRPr="004912A9">
                              <w:rPr>
                                <w:rFonts w:ascii="Century Gothic" w:hAnsi="Century Gothic"/>
                                <w:color w:val="FFFFFF" w:themeColor="background1"/>
                                <w:sz w:val="32"/>
                                <w:szCs w:val="32"/>
                                <w:lang w:val="en-US"/>
                              </w:rPr>
                              <w:t xml:space="preserve">III Country Level Implementation Program ·  CLIP                                                                      </w:t>
                            </w:r>
                          </w:p>
                          <w:p w14:paraId="172C0900" w14:textId="77777777" w:rsidR="00D2173C" w:rsidRDefault="00D2173C" w:rsidP="0089786B">
                            <w:pPr>
                              <w:spacing w:before="120"/>
                              <w:jc w:val="right"/>
                              <w:rPr>
                                <w:rFonts w:ascii="Corbel" w:hAnsi="Corbel"/>
                                <w:b/>
                                <w:bCs/>
                                <w:color w:val="FFFFFF" w:themeColor="background1"/>
                                <w:sz w:val="32"/>
                                <w:szCs w:val="32"/>
                                <w:lang w:val="en-US"/>
                              </w:rPr>
                            </w:pPr>
                          </w:p>
                          <w:p w14:paraId="0F620D3C" w14:textId="77777777" w:rsidR="00D2173C" w:rsidRDefault="00D2173C" w:rsidP="0089786B">
                            <w:pPr>
                              <w:spacing w:before="120"/>
                              <w:jc w:val="right"/>
                              <w:rPr>
                                <w:rFonts w:ascii="Corbel" w:hAnsi="Corbel"/>
                                <w:b/>
                                <w:bCs/>
                                <w:color w:val="FFFFFF" w:themeColor="background1"/>
                                <w:sz w:val="32"/>
                                <w:szCs w:val="32"/>
                                <w:lang w:val="en-US"/>
                              </w:rPr>
                            </w:pPr>
                          </w:p>
                          <w:p w14:paraId="3FA26E2B" w14:textId="77777777" w:rsidR="00D2173C" w:rsidRPr="004912A9" w:rsidRDefault="00D2173C" w:rsidP="0089786B">
                            <w:pPr>
                              <w:spacing w:before="120"/>
                              <w:jc w:val="right"/>
                              <w:rPr>
                                <w:rFonts w:ascii="Century Gothic" w:hAnsi="Century Gothic"/>
                                <w:color w:val="FFFFFF" w:themeColor="background1"/>
                                <w:sz w:val="44"/>
                                <w:szCs w:val="44"/>
                                <w:lang w:val="en-US"/>
                              </w:rPr>
                            </w:pPr>
                            <w:r w:rsidRPr="004912A9">
                              <w:rPr>
                                <w:rFonts w:ascii="Century Gothic" w:hAnsi="Century Gothic"/>
                                <w:b/>
                                <w:bCs/>
                                <w:color w:val="FFFFFF" w:themeColor="background1"/>
                                <w:sz w:val="40"/>
                                <w:szCs w:val="40"/>
                                <w:lang w:val="en-US"/>
                              </w:rPr>
                              <w:t xml:space="preserve">2021 </w:t>
                            </w:r>
                            <w:r>
                              <w:rPr>
                                <w:rFonts w:ascii="Century Gothic" w:hAnsi="Century Gothic"/>
                                <w:b/>
                                <w:bCs/>
                                <w:color w:val="FFFFFF" w:themeColor="background1"/>
                                <w:sz w:val="40"/>
                                <w:szCs w:val="40"/>
                                <w:lang w:val="en-US"/>
                              </w:rPr>
                              <w:t xml:space="preserve">· </w:t>
                            </w:r>
                            <w:r w:rsidRPr="004912A9">
                              <w:rPr>
                                <w:rFonts w:ascii="Century Gothic" w:hAnsi="Century Gothic"/>
                                <w:b/>
                                <w:bCs/>
                                <w:color w:val="FFFFFF" w:themeColor="background1"/>
                                <w:sz w:val="40"/>
                                <w:szCs w:val="40"/>
                                <w:lang w:val="en-US"/>
                              </w:rPr>
                              <w:t xml:space="preserve"> 2024</w:t>
                            </w:r>
                            <w:r w:rsidRPr="004912A9">
                              <w:rPr>
                                <w:rFonts w:ascii="Corbel" w:hAnsi="Corbel"/>
                                <w:b/>
                                <w:bCs/>
                                <w:color w:val="FFFFFF" w:themeColor="background1"/>
                                <w:sz w:val="40"/>
                                <w:szCs w:val="40"/>
                                <w:lang w:val="en-US"/>
                              </w:rPr>
                              <w:t xml:space="preserve">                                                      </w:t>
                            </w:r>
                            <w:r w:rsidRPr="00694604">
                              <w:rPr>
                                <w:rFonts w:ascii="Century Gothic" w:hAnsi="Century Gothic"/>
                                <w:color w:val="FFFFFF" w:themeColor="background1"/>
                                <w:sz w:val="40"/>
                                <w:szCs w:val="40"/>
                                <w:lang w:val="en-US"/>
                              </w:rPr>
                              <w:t>Colombia</w:t>
                            </w:r>
                          </w:p>
                          <w:p w14:paraId="55694A60" w14:textId="77777777" w:rsidR="00D2173C" w:rsidRPr="004912A9" w:rsidRDefault="00D2173C" w:rsidP="0089786B">
                            <w:pPr>
                              <w:spacing w:before="120"/>
                              <w:jc w:val="right"/>
                              <w:rPr>
                                <w:rFonts w:ascii="Century Gothic" w:hAnsi="Century Gothic"/>
                                <w:color w:val="FFFFFF" w:themeColor="background1"/>
                                <w:sz w:val="44"/>
                                <w:szCs w:val="44"/>
                                <w:lang w:val="en-US"/>
                              </w:rPr>
                            </w:pPr>
                          </w:p>
                          <w:p w14:paraId="43572E26" w14:textId="77777777" w:rsidR="00D2173C" w:rsidRPr="004912A9" w:rsidRDefault="00D2173C" w:rsidP="0089786B">
                            <w:pPr>
                              <w:pStyle w:val="Prrafodelista"/>
                              <w:jc w:val="right"/>
                              <w:rPr>
                                <w:rFonts w:ascii="Corbel" w:eastAsiaTheme="majorEastAsia" w:hAnsi="Corbel" w:cstheme="majorBidi"/>
                                <w:b/>
                                <w:bCs/>
                                <w:color w:val="FFFFFF" w:themeColor="background1"/>
                                <w:sz w:val="56"/>
                                <w:szCs w:val="21"/>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Cuadro de texto 347" o:spid="_x0000_s1027" type="#_x0000_t202" style="position:absolute;margin-left:30.85pt;margin-top:499.4pt;width:280.6pt;height:257.9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" filled="f" stroked="f" strokeweight=".5pt">
                <v:textbox style="mso-fit-shape-to-text:t" inset="0,0,0,0">
                  <w:txbxContent>
                    <w:p w14:paraId="24F2F19E" w14:textId="77777777" w:rsidR="00D2173C" w:rsidRPr="004912A9" w:rsidRDefault="00D2173C" w:rsidP="0089786B">
                      <w:pPr>
                        <w:spacing w:before="120"/>
                        <w:jc w:val="right"/>
                        <w:rPr>
                          <w:rFonts w:ascii="Century Gothic" w:hAnsi="Century Gothic"/>
                          <w:color w:val="FFFFFF" w:themeColor="background1"/>
                          <w:sz w:val="32"/>
                          <w:szCs w:val="32"/>
                          <w:lang w:val="en-US"/>
                        </w:rPr>
                      </w:pPr>
                      <w:r w:rsidRPr="004912A9">
                        <w:rPr>
                          <w:rFonts w:ascii="Century Gothic" w:hAnsi="Century Gothic"/>
                          <w:color w:val="FFFFFF" w:themeColor="background1"/>
                          <w:sz w:val="32"/>
                          <w:szCs w:val="32"/>
                          <w:lang w:val="en-US"/>
                        </w:rPr>
                        <w:t xml:space="preserve">III Country Level Implementation Program ·  CLIP                                                                      </w:t>
                      </w:r>
                    </w:p>
                    <w:p w14:paraId="172C0900" w14:textId="77777777" w:rsidR="00D2173C" w:rsidRDefault="00D2173C" w:rsidP="0089786B">
                      <w:pPr>
                        <w:spacing w:before="120"/>
                        <w:jc w:val="right"/>
                        <w:rPr>
                          <w:rFonts w:ascii="Corbel" w:hAnsi="Corbel"/>
                          <w:b/>
                          <w:bCs/>
                          <w:color w:val="FFFFFF" w:themeColor="background1"/>
                          <w:sz w:val="32"/>
                          <w:szCs w:val="32"/>
                          <w:lang w:val="en-US"/>
                        </w:rPr>
                      </w:pPr>
                    </w:p>
                    <w:p w14:paraId="0F620D3C" w14:textId="77777777" w:rsidR="00D2173C" w:rsidRDefault="00D2173C" w:rsidP="0089786B">
                      <w:pPr>
                        <w:spacing w:before="120"/>
                        <w:jc w:val="right"/>
                        <w:rPr>
                          <w:rFonts w:ascii="Corbel" w:hAnsi="Corbel"/>
                          <w:b/>
                          <w:bCs/>
                          <w:color w:val="FFFFFF" w:themeColor="background1"/>
                          <w:sz w:val="32"/>
                          <w:szCs w:val="32"/>
                          <w:lang w:val="en-US"/>
                        </w:rPr>
                      </w:pPr>
                    </w:p>
                    <w:p w14:paraId="3FA26E2B" w14:textId="77777777" w:rsidR="00D2173C" w:rsidRPr="004912A9" w:rsidRDefault="00D2173C" w:rsidP="0089786B">
                      <w:pPr>
                        <w:spacing w:before="120"/>
                        <w:jc w:val="right"/>
                        <w:rPr>
                          <w:rFonts w:ascii="Century Gothic" w:hAnsi="Century Gothic"/>
                          <w:color w:val="FFFFFF" w:themeColor="background1"/>
                          <w:sz w:val="44"/>
                          <w:szCs w:val="44"/>
                          <w:lang w:val="en-US"/>
                        </w:rPr>
                      </w:pPr>
                      <w:r w:rsidRPr="004912A9">
                        <w:rPr>
                          <w:rFonts w:ascii="Century Gothic" w:hAnsi="Century Gothic"/>
                          <w:b/>
                          <w:bCs/>
                          <w:color w:val="FFFFFF" w:themeColor="background1"/>
                          <w:sz w:val="40"/>
                          <w:szCs w:val="40"/>
                          <w:lang w:val="en-US"/>
                        </w:rPr>
                        <w:t xml:space="preserve">2021 </w:t>
                      </w:r>
                      <w:r>
                        <w:rPr>
                          <w:rFonts w:ascii="Century Gothic" w:hAnsi="Century Gothic"/>
                          <w:b/>
                          <w:bCs/>
                          <w:color w:val="FFFFFF" w:themeColor="background1"/>
                          <w:sz w:val="40"/>
                          <w:szCs w:val="40"/>
                          <w:lang w:val="en-US"/>
                        </w:rPr>
                        <w:t xml:space="preserve">· </w:t>
                      </w:r>
                      <w:r w:rsidRPr="004912A9">
                        <w:rPr>
                          <w:rFonts w:ascii="Century Gothic" w:hAnsi="Century Gothic"/>
                          <w:b/>
                          <w:bCs/>
                          <w:color w:val="FFFFFF" w:themeColor="background1"/>
                          <w:sz w:val="40"/>
                          <w:szCs w:val="40"/>
                          <w:lang w:val="en-US"/>
                        </w:rPr>
                        <w:t xml:space="preserve"> 2024</w:t>
                      </w:r>
                      <w:r w:rsidRPr="004912A9">
                        <w:rPr>
                          <w:rFonts w:ascii="Corbel" w:hAnsi="Corbel"/>
                          <w:b/>
                          <w:bCs/>
                          <w:color w:val="FFFFFF" w:themeColor="background1"/>
                          <w:sz w:val="40"/>
                          <w:szCs w:val="40"/>
                          <w:lang w:val="en-US"/>
                        </w:rPr>
                        <w:t xml:space="preserve">                                                      </w:t>
                      </w:r>
                      <w:r w:rsidRPr="00694604">
                        <w:rPr>
                          <w:rFonts w:ascii="Century Gothic" w:hAnsi="Century Gothic"/>
                          <w:color w:val="FFFFFF" w:themeColor="background1"/>
                          <w:sz w:val="40"/>
                          <w:szCs w:val="40"/>
                          <w:lang w:val="en-US"/>
                        </w:rPr>
                        <w:t>Colombia</w:t>
                      </w:r>
                    </w:p>
                    <w:p w14:paraId="55694A60" w14:textId="77777777" w:rsidR="00D2173C" w:rsidRPr="004912A9" w:rsidRDefault="00D2173C" w:rsidP="0089786B">
                      <w:pPr>
                        <w:spacing w:before="120"/>
                        <w:jc w:val="right"/>
                        <w:rPr>
                          <w:rFonts w:ascii="Century Gothic" w:hAnsi="Century Gothic"/>
                          <w:color w:val="FFFFFF" w:themeColor="background1"/>
                          <w:sz w:val="44"/>
                          <w:szCs w:val="44"/>
                          <w:lang w:val="en-US"/>
                        </w:rPr>
                      </w:pPr>
                    </w:p>
                    <w:p w14:paraId="43572E26" w14:textId="77777777" w:rsidR="00D2173C" w:rsidRPr="004912A9" w:rsidRDefault="00D2173C" w:rsidP="0089786B">
                      <w:pPr>
                        <w:pStyle w:val="Prrafodelista"/>
                        <w:jc w:val="right"/>
                        <w:rPr>
                          <w:rFonts w:ascii="Corbel" w:eastAsiaTheme="majorEastAsia" w:hAnsi="Corbel" w:cstheme="majorBidi"/>
                          <w:b/>
                          <w:bCs/>
                          <w:color w:val="FFFFFF" w:themeColor="background1"/>
                          <w:sz w:val="56"/>
                          <w:szCs w:val="21"/>
                          <w:lang w:val="en-US"/>
                        </w:rPr>
                      </w:pPr>
                    </w:p>
                  </w:txbxContent>
                </v:textbox>
                <w10:wrap anchorx="page" anchory="page"/>
              </v:shape>
            </w:pict>
          </mc:Fallback>
        </mc:AlternateContent>
      </w:r>
    </w:p>
    <w:p w14:paraId="3387ADA4"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771D3B53"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3779DBAF"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58ED9E37"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2EDB956C"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39002A39"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21661EE3"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65BBB744"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6D728C82"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5E854B24"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3AA07DEB"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6422E962"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2A604931"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5660AC51"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55BF7092" w14:textId="77777777"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2C4E8661" w14:textId="649A7A63" w:rsidR="004B15B8" w:rsidRDefault="004B15B8" w:rsidP="000E5AC0">
      <w:pPr>
        <w:keepNext/>
        <w:keepLines/>
        <w:pBdr>
          <w:top w:val="nil"/>
          <w:left w:val="nil"/>
          <w:bottom w:val="nil"/>
          <w:right w:val="nil"/>
          <w:between w:val="nil"/>
        </w:pBdr>
        <w:spacing w:before="480" w:after="0" w:line="276" w:lineRule="auto"/>
        <w:rPr>
          <w:rFonts w:ascii="Century Gothic" w:hAnsi="Century Gothic"/>
          <w:b/>
          <w:color w:val="000000"/>
          <w:sz w:val="24"/>
          <w:szCs w:val="24"/>
        </w:rPr>
      </w:pPr>
    </w:p>
    <w:p w14:paraId="5C429F5C" w14:textId="759BDD61" w:rsidR="00672D10" w:rsidRPr="00830DBC" w:rsidRDefault="0036411F" w:rsidP="00830DBC">
      <w:pPr>
        <w:pStyle w:val="Ttulo1"/>
        <w:jc w:val="left"/>
        <w:rPr>
          <w:rFonts w:ascii="Century Gothic" w:hAnsi="Century Gothic"/>
          <w:b/>
        </w:rPr>
      </w:pPr>
      <w:bookmarkStart w:id="1" w:name="_Tabla_de_contenido"/>
      <w:bookmarkEnd w:id="1"/>
      <w:r w:rsidRPr="00830DBC">
        <w:rPr>
          <w:rFonts w:ascii="Century Gothic" w:hAnsi="Century Gothic"/>
          <w:b/>
        </w:rPr>
        <w:lastRenderedPageBreak/>
        <w:t>Tabla de contenido</w:t>
      </w:r>
    </w:p>
    <w:sdt>
      <w:sdtPr>
        <w:rPr>
          <w:rFonts w:ascii="Century Gothic" w:hAnsi="Century Gothic"/>
          <w:b w:val="0"/>
          <w:sz w:val="22"/>
          <w:szCs w:val="22"/>
        </w:rPr>
        <w:id w:val="1751302694"/>
        <w:docPartObj>
          <w:docPartGallery w:val="Table of Contents"/>
          <w:docPartUnique/>
        </w:docPartObj>
      </w:sdtPr>
      <w:sdtContent>
        <w:p w14:paraId="449A3CAB" w14:textId="77777777" w:rsidR="00783481" w:rsidRPr="00783481" w:rsidRDefault="00672D10">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sz w:val="22"/>
              <w:szCs w:val="22"/>
            </w:rPr>
            <w:fldChar w:fldCharType="begin"/>
          </w:r>
          <w:r w:rsidRPr="00783481">
            <w:rPr>
              <w:rFonts w:ascii="Century Gothic" w:hAnsi="Century Gothic"/>
              <w:sz w:val="22"/>
              <w:szCs w:val="22"/>
            </w:rPr>
            <w:instrText xml:space="preserve"> TOC \h \u \z </w:instrText>
          </w:r>
          <w:r w:rsidRPr="00783481">
            <w:rPr>
              <w:rFonts w:ascii="Century Gothic" w:hAnsi="Century Gothic"/>
              <w:sz w:val="22"/>
              <w:szCs w:val="22"/>
            </w:rPr>
            <w:fldChar w:fldCharType="separate"/>
          </w:r>
          <w:r w:rsidR="00783481" w:rsidRPr="00783481">
            <w:rPr>
              <w:rFonts w:ascii="Century Gothic" w:hAnsi="Century Gothic"/>
              <w:noProof/>
            </w:rPr>
            <w:t>Introducción</w:t>
          </w:r>
          <w:r w:rsidR="00783481" w:rsidRPr="00783481">
            <w:rPr>
              <w:rFonts w:ascii="Century Gothic" w:hAnsi="Century Gothic"/>
              <w:noProof/>
            </w:rPr>
            <w:tab/>
          </w:r>
          <w:r w:rsidR="00783481" w:rsidRPr="00783481">
            <w:rPr>
              <w:rFonts w:ascii="Century Gothic" w:hAnsi="Century Gothic"/>
              <w:noProof/>
            </w:rPr>
            <w:fldChar w:fldCharType="begin"/>
          </w:r>
          <w:r w:rsidR="00783481" w:rsidRPr="00783481">
            <w:rPr>
              <w:rFonts w:ascii="Century Gothic" w:hAnsi="Century Gothic"/>
              <w:noProof/>
            </w:rPr>
            <w:instrText xml:space="preserve"> PAGEREF _Toc488624221 \h </w:instrText>
          </w:r>
          <w:r w:rsidR="00783481" w:rsidRPr="00783481">
            <w:rPr>
              <w:rFonts w:ascii="Century Gothic" w:hAnsi="Century Gothic"/>
              <w:noProof/>
            </w:rPr>
          </w:r>
          <w:r w:rsidR="00783481" w:rsidRPr="00783481">
            <w:rPr>
              <w:rFonts w:ascii="Century Gothic" w:hAnsi="Century Gothic"/>
              <w:noProof/>
            </w:rPr>
            <w:fldChar w:fldCharType="separate"/>
          </w:r>
          <w:r w:rsidR="00783481" w:rsidRPr="00783481">
            <w:rPr>
              <w:rFonts w:ascii="Century Gothic" w:hAnsi="Century Gothic"/>
              <w:noProof/>
            </w:rPr>
            <w:t>6</w:t>
          </w:r>
          <w:r w:rsidR="00783481" w:rsidRPr="00783481">
            <w:rPr>
              <w:rFonts w:ascii="Century Gothic" w:hAnsi="Century Gothic"/>
              <w:noProof/>
            </w:rPr>
            <w:fldChar w:fldCharType="end"/>
          </w:r>
        </w:p>
        <w:p w14:paraId="6C164A01"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eastAsia="Cambria" w:hAnsi="Century Gothic"/>
              <w:noProof/>
            </w:rPr>
            <w:t>I-Caracteristicas sociodemográficas de Colombia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w:t>
          </w:r>
          <w:r w:rsidRPr="00783481">
            <w:rPr>
              <w:rFonts w:ascii="Century Gothic" w:hAnsi="Century Gothic"/>
              <w:noProof/>
            </w:rPr>
            <w:fldChar w:fldCharType="end"/>
          </w:r>
        </w:p>
        <w:p w14:paraId="2E21F90F"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Población Colombiana desagregada por sexo y grupos de edad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w:t>
          </w:r>
          <w:r w:rsidRPr="00783481">
            <w:rPr>
              <w:rFonts w:ascii="Century Gothic" w:hAnsi="Century Gothic"/>
              <w:noProof/>
            </w:rPr>
            <w:fldChar w:fldCharType="end"/>
          </w:r>
        </w:p>
        <w:p w14:paraId="685C6F1E"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II-Arquitectura del estado colombiano para la garantía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w:t>
          </w:r>
          <w:r w:rsidRPr="00783481">
            <w:rPr>
              <w:rFonts w:ascii="Century Gothic" w:hAnsi="Century Gothic"/>
              <w:noProof/>
            </w:rPr>
            <w:fldChar w:fldCharType="end"/>
          </w:r>
        </w:p>
        <w:p w14:paraId="3D1FB45B"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Del derecho a la igualdad de género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w:t>
          </w:r>
          <w:r w:rsidRPr="00783481">
            <w:rPr>
              <w:rFonts w:ascii="Century Gothic" w:hAnsi="Century Gothic"/>
              <w:noProof/>
            </w:rPr>
            <w:fldChar w:fldCharType="end"/>
          </w:r>
        </w:p>
        <w:p w14:paraId="0456D477"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Mecanismos para la garantía de los derechos de las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w:t>
          </w:r>
          <w:r w:rsidRPr="00783481">
            <w:rPr>
              <w:rFonts w:ascii="Century Gothic" w:hAnsi="Century Gothic"/>
              <w:noProof/>
            </w:rPr>
            <w:fldChar w:fldCharType="end"/>
          </w:r>
        </w:p>
        <w:p w14:paraId="12217EB3"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1.1 Consejería Presidencial para la Equidad de las Mujeres (2014 –hasta la fecha)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w:t>
          </w:r>
          <w:r w:rsidRPr="00783481">
            <w:rPr>
              <w:rFonts w:ascii="Century Gothic" w:hAnsi="Century Gothic"/>
              <w:noProof/>
            </w:rPr>
            <w:fldChar w:fldCharType="end"/>
          </w:r>
        </w:p>
        <w:p w14:paraId="2A06459D"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1.2 Mecanismos de Equidad de Género a Nivel Departamental y Municipal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11</w:t>
          </w:r>
          <w:r w:rsidRPr="00783481">
            <w:rPr>
              <w:rFonts w:ascii="Century Gothic" w:hAnsi="Century Gothic"/>
              <w:noProof/>
            </w:rPr>
            <w:fldChar w:fldCharType="end"/>
          </w:r>
        </w:p>
        <w:p w14:paraId="4DA94E6F"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1.3. Bancadas de mujeres en el congreso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_Toc488624229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11</w:t>
          </w:r>
          <w:r w:rsidRPr="00783481">
            <w:rPr>
              <w:rFonts w:ascii="Century Gothic" w:hAnsi="Century Gothic"/>
              <w:noProof/>
            </w:rPr>
            <w:fldChar w:fldCharType="end"/>
          </w:r>
        </w:p>
        <w:p w14:paraId="7332CD37"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1.4. Estructura de los lineamientos de la Política Pública para la Equidad de Género (2012-2022)</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12</w:t>
          </w:r>
          <w:r w:rsidRPr="00783481">
            <w:rPr>
              <w:rFonts w:ascii="Century Gothic" w:hAnsi="Century Gothic"/>
              <w:noProof/>
            </w:rPr>
            <w:fldChar w:fldCharType="end"/>
          </w:r>
        </w:p>
        <w:p w14:paraId="7EF7AF76"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2. Seguimiento y monitore a las políticas públicas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12</w:t>
          </w:r>
          <w:r w:rsidRPr="00783481">
            <w:rPr>
              <w:rFonts w:ascii="Century Gothic" w:hAnsi="Century Gothic"/>
              <w:noProof/>
            </w:rPr>
            <w:fldChar w:fldCharType="end"/>
          </w:r>
        </w:p>
        <w:p w14:paraId="7F13451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2.1. Comisión Intersectorial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12</w:t>
          </w:r>
          <w:r w:rsidRPr="00783481">
            <w:rPr>
              <w:rFonts w:ascii="Century Gothic" w:hAnsi="Century Gothic"/>
              <w:noProof/>
            </w:rPr>
            <w:fldChar w:fldCharType="end"/>
          </w:r>
        </w:p>
        <w:p w14:paraId="214D791D"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2.2. Sistema de Vigilancia en Género-SIVIGE y otros sistemas de información u observatorios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13</w:t>
          </w:r>
          <w:r w:rsidRPr="00783481">
            <w:rPr>
              <w:rFonts w:ascii="Century Gothic" w:hAnsi="Century Gothic"/>
              <w:noProof/>
            </w:rPr>
            <w:fldChar w:fldCharType="end"/>
          </w:r>
        </w:p>
        <w:p w14:paraId="342C2294"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bCs/>
              <w:noProof/>
            </w:rPr>
            <w:t>2.3. Proyecto de decreto del Sistema Nacional de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13</w:t>
          </w:r>
          <w:r w:rsidRPr="00783481">
            <w:rPr>
              <w:rFonts w:ascii="Century Gothic" w:hAnsi="Century Gothic"/>
              <w:noProof/>
            </w:rPr>
            <w:fldChar w:fldCharType="end"/>
          </w:r>
        </w:p>
        <w:p w14:paraId="1C3767D4"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bCs/>
              <w:noProof/>
            </w:rPr>
            <w:t>2.4. Creación y puesta en marcha de la Alta Instancia de Género del gobierno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14</w:t>
          </w:r>
          <w:r w:rsidRPr="00783481">
            <w:rPr>
              <w:rFonts w:ascii="Century Gothic" w:hAnsi="Century Gothic"/>
              <w:noProof/>
            </w:rPr>
            <w:fldChar w:fldCharType="end"/>
          </w:r>
        </w:p>
        <w:p w14:paraId="1496DE4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Times New Roman" w:hAnsi="Century Gothic"/>
              <w:bCs/>
              <w:noProof/>
            </w:rPr>
            <w:t>2.5. Comisión Legal para la Equidad de la Mujer</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14</w:t>
          </w:r>
          <w:r w:rsidRPr="00783481">
            <w:rPr>
              <w:rFonts w:ascii="Century Gothic" w:hAnsi="Century Gothic"/>
              <w:noProof/>
            </w:rPr>
            <w:fldChar w:fldCharType="end"/>
          </w:r>
        </w:p>
        <w:p w14:paraId="7AD8F37F"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Times New Roman" w:hAnsi="Century Gothic"/>
              <w:bCs/>
              <w:noProof/>
            </w:rPr>
            <w:t>2.6. Comisión Nacional de Género Rama Judicial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15</w:t>
          </w:r>
          <w:r w:rsidRPr="00783481">
            <w:rPr>
              <w:rFonts w:ascii="Century Gothic" w:hAnsi="Century Gothic"/>
              <w:noProof/>
            </w:rPr>
            <w:fldChar w:fldCharType="end"/>
          </w:r>
        </w:p>
        <w:p w14:paraId="70023C74"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3. Moviemiento social de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16</w:t>
          </w:r>
          <w:r w:rsidRPr="00783481">
            <w:rPr>
              <w:rFonts w:ascii="Century Gothic" w:hAnsi="Century Gothic"/>
              <w:noProof/>
            </w:rPr>
            <w:fldChar w:fldCharType="end"/>
          </w:r>
        </w:p>
        <w:p w14:paraId="20D62EF2"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3.1. Organizaciones de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_Toc488624239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16</w:t>
          </w:r>
          <w:r w:rsidRPr="00783481">
            <w:rPr>
              <w:rFonts w:ascii="Century Gothic" w:hAnsi="Century Gothic"/>
              <w:noProof/>
            </w:rPr>
            <w:fldChar w:fldCharType="end"/>
          </w:r>
        </w:p>
        <w:p w14:paraId="53D3B6AE"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4. Colectivos de nuevas masculinidades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17</w:t>
          </w:r>
          <w:r w:rsidRPr="00783481">
            <w:rPr>
              <w:rFonts w:ascii="Century Gothic" w:hAnsi="Century Gothic"/>
              <w:noProof/>
            </w:rPr>
            <w:fldChar w:fldCharType="end"/>
          </w:r>
        </w:p>
        <w:p w14:paraId="7C1416F6"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5. Personas con orientación sexual e identidad de género diversa (LGBT)</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17</w:t>
          </w:r>
          <w:r w:rsidRPr="00783481">
            <w:rPr>
              <w:rFonts w:ascii="Century Gothic" w:hAnsi="Century Gothic"/>
              <w:noProof/>
            </w:rPr>
            <w:fldChar w:fldCharType="end"/>
          </w:r>
        </w:p>
        <w:p w14:paraId="0B2897C6" w14:textId="2A303BD9"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III- Garantizar la ausencia de toda forma</w:t>
          </w:r>
          <w:r>
            <w:rPr>
              <w:rFonts w:ascii="Century Gothic" w:hAnsi="Century Gothic"/>
              <w:noProof/>
            </w:rPr>
            <w:t xml:space="preserve"> </w:t>
          </w:r>
          <w:r w:rsidRPr="00783481">
            <w:rPr>
              <w:rFonts w:ascii="Century Gothic" w:hAnsi="Century Gothic"/>
              <w:noProof/>
            </w:rPr>
            <w:t>de violencia de género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19</w:t>
          </w:r>
          <w:r w:rsidRPr="00783481">
            <w:rPr>
              <w:rFonts w:ascii="Century Gothic" w:hAnsi="Century Gothic"/>
              <w:noProof/>
            </w:rPr>
            <w:fldChar w:fldCharType="end"/>
          </w:r>
        </w:p>
        <w:p w14:paraId="2F534AF7"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Violencias contra las mujeres y las niñas en Colombia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19</w:t>
          </w:r>
          <w:r w:rsidRPr="00783481">
            <w:rPr>
              <w:rFonts w:ascii="Century Gothic" w:hAnsi="Century Gothic"/>
              <w:noProof/>
            </w:rPr>
            <w:fldChar w:fldCharType="end"/>
          </w:r>
        </w:p>
        <w:p w14:paraId="296FBCE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bCs/>
              <w:noProof/>
            </w:rPr>
            <w:t>1. 1 Violencia física, económica, sexual y obstétrica contra las mujeres y niñas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19</w:t>
          </w:r>
          <w:r w:rsidRPr="00783481">
            <w:rPr>
              <w:rFonts w:ascii="Century Gothic" w:hAnsi="Century Gothic"/>
              <w:noProof/>
            </w:rPr>
            <w:fldChar w:fldCharType="end"/>
          </w:r>
        </w:p>
        <w:p w14:paraId="3EAD9A5E" w14:textId="77777777" w:rsidR="00783481" w:rsidRPr="00783481" w:rsidRDefault="00783481" w:rsidP="00783481">
          <w:pPr>
            <w:pStyle w:val="TDC4"/>
            <w:tabs>
              <w:tab w:val="right" w:pos="8488"/>
            </w:tabs>
            <w:ind w:left="1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1.1.1 Violencia física de pareja (o ex pareja)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19</w:t>
          </w:r>
          <w:r w:rsidRPr="00783481">
            <w:rPr>
              <w:rFonts w:ascii="Century Gothic" w:hAnsi="Century Gothic"/>
              <w:noProof/>
            </w:rPr>
            <w:fldChar w:fldCharType="end"/>
          </w:r>
        </w:p>
        <w:p w14:paraId="2507DC72" w14:textId="77777777" w:rsidR="00783481" w:rsidRPr="00783481" w:rsidRDefault="00783481" w:rsidP="00783481">
          <w:pPr>
            <w:pStyle w:val="TDC4"/>
            <w:tabs>
              <w:tab w:val="right" w:pos="8488"/>
            </w:tabs>
            <w:ind w:left="1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1.1.2 Violencia física contra niñas, niños y adolescentes (NNA)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21</w:t>
          </w:r>
          <w:r w:rsidRPr="00783481">
            <w:rPr>
              <w:rFonts w:ascii="Century Gothic" w:hAnsi="Century Gothic"/>
              <w:noProof/>
            </w:rPr>
            <w:fldChar w:fldCharType="end"/>
          </w:r>
        </w:p>
        <w:p w14:paraId="39A0C227" w14:textId="77777777" w:rsidR="00783481" w:rsidRPr="00783481" w:rsidRDefault="00783481" w:rsidP="00783481">
          <w:pPr>
            <w:pStyle w:val="TDC4"/>
            <w:tabs>
              <w:tab w:val="right" w:pos="8488"/>
            </w:tabs>
            <w:ind w:left="1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1.1.3 Violencia Económica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22</w:t>
          </w:r>
          <w:r w:rsidRPr="00783481">
            <w:rPr>
              <w:rFonts w:ascii="Century Gothic" w:hAnsi="Century Gothic"/>
              <w:noProof/>
            </w:rPr>
            <w:fldChar w:fldCharType="end"/>
          </w:r>
        </w:p>
        <w:p w14:paraId="6745299B" w14:textId="77777777" w:rsidR="00783481" w:rsidRPr="00783481" w:rsidRDefault="00783481" w:rsidP="00783481">
          <w:pPr>
            <w:pStyle w:val="TDC4"/>
            <w:tabs>
              <w:tab w:val="right" w:pos="8488"/>
            </w:tabs>
            <w:ind w:left="1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1.1.4 Violencias Sexuales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_Toc488624249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23</w:t>
          </w:r>
          <w:r w:rsidRPr="00783481">
            <w:rPr>
              <w:rFonts w:ascii="Century Gothic" w:hAnsi="Century Gothic"/>
              <w:noProof/>
            </w:rPr>
            <w:fldChar w:fldCharType="end"/>
          </w:r>
        </w:p>
        <w:p w14:paraId="635A1E89" w14:textId="77777777" w:rsidR="00783481" w:rsidRPr="00783481" w:rsidRDefault="00783481" w:rsidP="00783481">
          <w:pPr>
            <w:pStyle w:val="TDC4"/>
            <w:tabs>
              <w:tab w:val="right" w:pos="8488"/>
            </w:tabs>
            <w:ind w:left="1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1.1.5 Violencia Obstétrica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25</w:t>
          </w:r>
          <w:r w:rsidRPr="00783481">
            <w:rPr>
              <w:rFonts w:ascii="Century Gothic" w:hAnsi="Century Gothic"/>
              <w:noProof/>
            </w:rPr>
            <w:fldChar w:fldCharType="end"/>
          </w:r>
        </w:p>
        <w:p w14:paraId="135257F2"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1.2 Explotación sexual comercial de niñas, niños y adolescentes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29</w:t>
          </w:r>
          <w:r w:rsidRPr="00783481">
            <w:rPr>
              <w:rFonts w:ascii="Century Gothic" w:hAnsi="Century Gothic"/>
              <w:noProof/>
            </w:rPr>
            <w:fldChar w:fldCharType="end"/>
          </w:r>
        </w:p>
        <w:p w14:paraId="5904A126"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1.3 Trata de personas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32</w:t>
          </w:r>
          <w:r w:rsidRPr="00783481">
            <w:rPr>
              <w:rFonts w:ascii="Century Gothic" w:hAnsi="Century Gothic"/>
              <w:noProof/>
            </w:rPr>
            <w:fldChar w:fldCharType="end"/>
          </w:r>
        </w:p>
        <w:p w14:paraId="21A71E86"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1.4 Mutilación y ablación genital femenina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34</w:t>
          </w:r>
          <w:r w:rsidRPr="00783481">
            <w:rPr>
              <w:rFonts w:ascii="Century Gothic" w:hAnsi="Century Gothic"/>
              <w:noProof/>
            </w:rPr>
            <w:fldChar w:fldCharType="end"/>
          </w:r>
        </w:p>
        <w:p w14:paraId="234ACDDA"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1.5 Violencia por Agentes Químicos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35</w:t>
          </w:r>
          <w:r w:rsidRPr="00783481">
            <w:rPr>
              <w:rFonts w:ascii="Century Gothic" w:hAnsi="Century Gothic"/>
              <w:noProof/>
            </w:rPr>
            <w:fldChar w:fldCharType="end"/>
          </w:r>
        </w:p>
        <w:p w14:paraId="07C7EF81"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1.6 Feminicidio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36</w:t>
          </w:r>
          <w:r w:rsidRPr="00783481">
            <w:rPr>
              <w:rFonts w:ascii="Century Gothic" w:hAnsi="Century Gothic"/>
              <w:noProof/>
            </w:rPr>
            <w:fldChar w:fldCharType="end"/>
          </w:r>
        </w:p>
        <w:p w14:paraId="1C3BCA08" w14:textId="77777777" w:rsidR="00783481" w:rsidRPr="00783481" w:rsidRDefault="00783481" w:rsidP="00783481">
          <w:pPr>
            <w:pStyle w:val="TDC2"/>
            <w:tabs>
              <w:tab w:val="right" w:pos="8488"/>
            </w:tabs>
            <w:ind w:left="660"/>
            <w:rPr>
              <w:rFonts w:ascii="Century Gothic" w:eastAsiaTheme="minorEastAsia" w:hAnsi="Century Gothic" w:cstheme="minorBidi"/>
              <w:b w:val="0"/>
              <w:noProof/>
              <w:sz w:val="24"/>
              <w:szCs w:val="24"/>
              <w:lang w:val="es-ES_tradnl" w:eastAsia="ja-JP"/>
            </w:rPr>
          </w:pPr>
          <w:r w:rsidRPr="00783481">
            <w:rPr>
              <w:rFonts w:ascii="Century Gothic" w:hAnsi="Century Gothic"/>
              <w:b w:val="0"/>
              <w:noProof/>
            </w:rPr>
            <w:t>1.7 Situación de las mujeres privadas de la libertad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38</w:t>
          </w:r>
          <w:r w:rsidRPr="00783481">
            <w:rPr>
              <w:rFonts w:ascii="Century Gothic" w:hAnsi="Century Gothic"/>
              <w:noProof/>
            </w:rPr>
            <w:fldChar w:fldCharType="end"/>
          </w:r>
        </w:p>
        <w:p w14:paraId="3CC26827"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bCs/>
              <w:noProof/>
            </w:rPr>
            <w:t xml:space="preserve">IV. Integrar la agenda de las mujeres, la paz </w:t>
          </w:r>
          <w:r w:rsidRPr="00783481">
            <w:rPr>
              <w:rFonts w:ascii="Century Gothic" w:hAnsi="Century Gothic"/>
              <w:noProof/>
            </w:rPr>
            <w:t>y la seguridad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39</w:t>
          </w:r>
          <w:r w:rsidRPr="00783481">
            <w:rPr>
              <w:rFonts w:ascii="Century Gothic" w:hAnsi="Century Gothic"/>
              <w:noProof/>
            </w:rPr>
            <w:fldChar w:fldCharType="end"/>
          </w:r>
        </w:p>
        <w:p w14:paraId="09227271"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Violencia contra las mujeres y las niñas en el conflicto armado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39</w:t>
          </w:r>
          <w:r w:rsidRPr="00783481">
            <w:rPr>
              <w:rFonts w:ascii="Century Gothic" w:hAnsi="Century Gothic"/>
              <w:noProof/>
            </w:rPr>
            <w:fldChar w:fldCharType="end"/>
          </w:r>
        </w:p>
        <w:p w14:paraId="098D1D77"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1.1 Afectaciones por causa del conflicto armado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_Toc488624259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40</w:t>
          </w:r>
          <w:r w:rsidRPr="00783481">
            <w:rPr>
              <w:rFonts w:ascii="Century Gothic" w:hAnsi="Century Gothic"/>
              <w:noProof/>
            </w:rPr>
            <w:fldChar w:fldCharType="end"/>
          </w:r>
        </w:p>
        <w:p w14:paraId="05B00B7E"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lastRenderedPageBreak/>
            <w:t>1.2. Zonas afectadas por el conflicto armado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40</w:t>
          </w:r>
          <w:r w:rsidRPr="00783481">
            <w:rPr>
              <w:rFonts w:ascii="Century Gothic" w:hAnsi="Century Gothic"/>
              <w:noProof/>
            </w:rPr>
            <w:fldChar w:fldCharType="end"/>
          </w:r>
        </w:p>
        <w:p w14:paraId="4DB58929"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1.3 Número de muertes violentas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41</w:t>
          </w:r>
          <w:r w:rsidRPr="00783481">
            <w:rPr>
              <w:rFonts w:ascii="Century Gothic" w:hAnsi="Century Gothic"/>
              <w:noProof/>
            </w:rPr>
            <w:fldChar w:fldCharType="end"/>
          </w:r>
        </w:p>
        <w:p w14:paraId="485BC01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1.4 Número de personas desplazadas (ODS 16.89)</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42</w:t>
          </w:r>
          <w:r w:rsidRPr="00783481">
            <w:rPr>
              <w:rFonts w:ascii="Century Gothic" w:hAnsi="Century Gothic"/>
              <w:noProof/>
            </w:rPr>
            <w:fldChar w:fldCharType="end"/>
          </w:r>
        </w:p>
        <w:p w14:paraId="02E3FB4F"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1.5. Número de desapariciones forzadas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45</w:t>
          </w:r>
          <w:r w:rsidRPr="00783481">
            <w:rPr>
              <w:rFonts w:ascii="Century Gothic" w:hAnsi="Century Gothic"/>
              <w:noProof/>
            </w:rPr>
            <w:fldChar w:fldCharType="end"/>
          </w:r>
        </w:p>
        <w:p w14:paraId="7F2CC2D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1.6 Número de niños y niñas víctimas del reclutamiento forzado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46</w:t>
          </w:r>
          <w:r w:rsidRPr="00783481">
            <w:rPr>
              <w:rFonts w:ascii="Century Gothic" w:hAnsi="Century Gothic"/>
              <w:noProof/>
            </w:rPr>
            <w:fldChar w:fldCharType="end"/>
          </w:r>
        </w:p>
        <w:p w14:paraId="733B945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1.7 Número de excombatientes en proceso de reincorporación</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47</w:t>
          </w:r>
          <w:r w:rsidRPr="00783481">
            <w:rPr>
              <w:rFonts w:ascii="Century Gothic" w:hAnsi="Century Gothic"/>
              <w:noProof/>
            </w:rPr>
            <w:fldChar w:fldCharType="end"/>
          </w:r>
        </w:p>
        <w:p w14:paraId="4FB69D1B"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1.8 Violencia contra Defensores/as de Derechos Humanos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47</w:t>
          </w:r>
          <w:r w:rsidRPr="00783481">
            <w:rPr>
              <w:rFonts w:ascii="Century Gothic" w:hAnsi="Century Gothic"/>
              <w:noProof/>
            </w:rPr>
            <w:fldChar w:fldCharType="end"/>
          </w:r>
        </w:p>
        <w:p w14:paraId="2BB5E402"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1.9 Violencias sexuales contra las mujeres y niñas en el marco de conflicto armado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53</w:t>
          </w:r>
          <w:r w:rsidRPr="00783481">
            <w:rPr>
              <w:rFonts w:ascii="Century Gothic" w:hAnsi="Century Gothic"/>
              <w:noProof/>
            </w:rPr>
            <w:fldChar w:fldCharType="end"/>
          </w:r>
        </w:p>
        <w:p w14:paraId="7BF8FA5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1.10 Violencia sexual contra niños y niñas en el conflicto armado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53</w:t>
          </w:r>
          <w:r w:rsidRPr="00783481">
            <w:rPr>
              <w:rFonts w:ascii="Century Gothic" w:hAnsi="Century Gothic"/>
              <w:noProof/>
            </w:rPr>
            <w:fldChar w:fldCharType="end"/>
          </w:r>
        </w:p>
        <w:p w14:paraId="19A8BEBD"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bCs/>
              <w:noProof/>
            </w:rPr>
            <w:t>V. Promover la salud y los derechos sexuales y reproductivos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_Toc488624269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57</w:t>
          </w:r>
          <w:r w:rsidRPr="00783481">
            <w:rPr>
              <w:rFonts w:ascii="Century Gothic" w:hAnsi="Century Gothic"/>
              <w:noProof/>
            </w:rPr>
            <w:fldChar w:fldCharType="end"/>
          </w:r>
        </w:p>
        <w:p w14:paraId="79AA181F"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Cobertura en seguridad social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57</w:t>
          </w:r>
          <w:r w:rsidRPr="00783481">
            <w:rPr>
              <w:rFonts w:ascii="Century Gothic" w:hAnsi="Century Gothic"/>
              <w:noProof/>
            </w:rPr>
            <w:fldChar w:fldCharType="end"/>
          </w:r>
        </w:p>
        <w:p w14:paraId="0D6C57B3" w14:textId="3C1A0D85"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2. Inmunizaciones desagregadas por sexo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58</w:t>
          </w:r>
          <w:r w:rsidRPr="00783481">
            <w:rPr>
              <w:rFonts w:ascii="Century Gothic" w:hAnsi="Century Gothic"/>
              <w:noProof/>
            </w:rPr>
            <w:fldChar w:fldCharType="end"/>
          </w:r>
        </w:p>
        <w:p w14:paraId="106D1A03"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3. Enfermedades transmitidas por vectores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59</w:t>
          </w:r>
          <w:r w:rsidRPr="00783481">
            <w:rPr>
              <w:rFonts w:ascii="Century Gothic" w:hAnsi="Century Gothic"/>
              <w:noProof/>
            </w:rPr>
            <w:fldChar w:fldCharType="end"/>
          </w:r>
        </w:p>
        <w:p w14:paraId="448BB078" w14:textId="77777777" w:rsidR="00783481" w:rsidRPr="00783481" w:rsidRDefault="00783481" w:rsidP="00783481">
          <w:pPr>
            <w:pStyle w:val="TDC3"/>
            <w:tabs>
              <w:tab w:val="right" w:pos="8488"/>
            </w:tabs>
            <w:rPr>
              <w:rFonts w:ascii="Century Gothic" w:hAnsi="Century Gothic"/>
              <w:noProof/>
            </w:rPr>
          </w:pPr>
          <w:r w:rsidRPr="00783481">
            <w:rPr>
              <w:rFonts w:ascii="Century Gothic" w:hAnsi="Century Gothic"/>
              <w:noProof/>
            </w:rPr>
            <w:t>3.1 Personas de zonas endémicas de malaria desagregada por sexo que duermen bajo mosquiteras tratadas con insecticidas (ODS 3.11).</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59</w:t>
          </w:r>
          <w:r w:rsidRPr="00783481">
            <w:rPr>
              <w:rFonts w:ascii="Century Gothic" w:hAnsi="Century Gothic"/>
              <w:noProof/>
            </w:rPr>
            <w:fldChar w:fldCharType="end"/>
          </w:r>
        </w:p>
        <w:p w14:paraId="3DFDBB18" w14:textId="77777777" w:rsidR="00783481" w:rsidRPr="00783481" w:rsidRDefault="00783481" w:rsidP="00783481">
          <w:pPr>
            <w:pStyle w:val="TDC3"/>
            <w:tabs>
              <w:tab w:val="right" w:pos="8488"/>
            </w:tabs>
            <w:rPr>
              <w:rFonts w:ascii="Century Gothic" w:hAnsi="Century Gothic"/>
              <w:noProof/>
            </w:rPr>
          </w:pPr>
          <w:r w:rsidRPr="00783481">
            <w:rPr>
              <w:rFonts w:ascii="Century Gothic" w:hAnsi="Century Gothic"/>
              <w:noProof/>
            </w:rPr>
            <w:t>3.2 Zika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60</w:t>
          </w:r>
          <w:r w:rsidRPr="00783481">
            <w:rPr>
              <w:rFonts w:ascii="Century Gothic" w:hAnsi="Century Gothic"/>
              <w:noProof/>
            </w:rPr>
            <w:fldChar w:fldCharType="end"/>
          </w:r>
        </w:p>
        <w:p w14:paraId="49FF56D8" w14:textId="77777777" w:rsidR="00783481" w:rsidRPr="00783481" w:rsidRDefault="00783481" w:rsidP="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3.3. COVID-19</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61</w:t>
          </w:r>
          <w:r w:rsidRPr="00783481">
            <w:rPr>
              <w:rFonts w:ascii="Century Gothic" w:hAnsi="Century Gothic"/>
              <w:noProof/>
            </w:rPr>
            <w:fldChar w:fldCharType="end"/>
          </w:r>
        </w:p>
        <w:p w14:paraId="63B36F1D"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4. Salud mental de niñas y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62</w:t>
          </w:r>
          <w:r w:rsidRPr="00783481">
            <w:rPr>
              <w:rFonts w:ascii="Century Gothic" w:hAnsi="Century Gothic"/>
              <w:noProof/>
            </w:rPr>
            <w:fldChar w:fldCharType="end"/>
          </w:r>
        </w:p>
        <w:p w14:paraId="75BA92C9"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4.1. Personas con un trastorno mental grave (psicosis, trastorno bipolar o depresión moderada-grave) desagregadas por sexo acceden a servicios (ODS 3.28)</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62</w:t>
          </w:r>
          <w:r w:rsidRPr="00783481">
            <w:rPr>
              <w:rFonts w:ascii="Century Gothic" w:hAnsi="Century Gothic"/>
              <w:noProof/>
            </w:rPr>
            <w:fldChar w:fldCharType="end"/>
          </w:r>
        </w:p>
        <w:p w14:paraId="119E0E67"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5. Adicciones a sustancias psicoactivas desagregadas por sexo y edad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63</w:t>
          </w:r>
          <w:r w:rsidRPr="00783481">
            <w:rPr>
              <w:rFonts w:ascii="Century Gothic" w:hAnsi="Century Gothic"/>
              <w:noProof/>
            </w:rPr>
            <w:fldChar w:fldCharType="end"/>
          </w:r>
        </w:p>
        <w:p w14:paraId="779B2FC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5.1. Consumo de sustancias legales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_Toc488624279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63</w:t>
          </w:r>
          <w:r w:rsidRPr="00783481">
            <w:rPr>
              <w:rFonts w:ascii="Century Gothic" w:hAnsi="Century Gothic"/>
              <w:noProof/>
            </w:rPr>
            <w:fldChar w:fldCharType="end"/>
          </w:r>
        </w:p>
        <w:p w14:paraId="1783CAA5"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5.2. Consumo de sustancias psicoactivas ilegales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64</w:t>
          </w:r>
          <w:r w:rsidRPr="00783481">
            <w:rPr>
              <w:rFonts w:ascii="Century Gothic" w:hAnsi="Century Gothic"/>
              <w:noProof/>
            </w:rPr>
            <w:fldChar w:fldCharType="end"/>
          </w:r>
        </w:p>
        <w:p w14:paraId="3601D304"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6. Salud sexual y salud reproductiva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65</w:t>
          </w:r>
          <w:r w:rsidRPr="00783481">
            <w:rPr>
              <w:rFonts w:ascii="Century Gothic" w:hAnsi="Century Gothic"/>
              <w:noProof/>
            </w:rPr>
            <w:fldChar w:fldCharType="end"/>
          </w:r>
        </w:p>
        <w:p w14:paraId="7F090755"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6.1 Tasa de mortalidad materna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65</w:t>
          </w:r>
          <w:r w:rsidRPr="00783481">
            <w:rPr>
              <w:rFonts w:ascii="Century Gothic" w:hAnsi="Century Gothic"/>
              <w:noProof/>
            </w:rPr>
            <w:fldChar w:fldCharType="end"/>
          </w:r>
        </w:p>
        <w:p w14:paraId="186B41A4" w14:textId="77777777"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sz w:val="22"/>
              <w:szCs w:val="22"/>
            </w:rPr>
            <w:t>6.2 Cobertura de los servicios de asistencia prenatal (al menos una visita y al menos cuatro visitas) (ODS 3.2).</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66</w:t>
          </w:r>
          <w:r w:rsidRPr="00783481">
            <w:rPr>
              <w:rFonts w:ascii="Century Gothic" w:hAnsi="Century Gothic"/>
              <w:noProof/>
            </w:rPr>
            <w:fldChar w:fldCharType="end"/>
          </w:r>
        </w:p>
        <w:p w14:paraId="65C1EA7F"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6.3. Partos atendidos por personal cualificado de salud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66</w:t>
          </w:r>
          <w:r w:rsidRPr="00783481">
            <w:rPr>
              <w:rFonts w:ascii="Century Gothic" w:hAnsi="Century Gothic"/>
              <w:noProof/>
            </w:rPr>
            <w:fldChar w:fldCharType="end"/>
          </w:r>
        </w:p>
        <w:p w14:paraId="5B4DF3A2" w14:textId="77777777"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hAnsi="Century Gothic"/>
              <w:noProof/>
              <w:lang w:val="es-ES_tradnl" w:eastAsia="es-ES"/>
            </w:rPr>
            <w:t>6.4. Mujeres con detección de cáncer cervical (ODS 3.17)</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67</w:t>
          </w:r>
          <w:r w:rsidRPr="00783481">
            <w:rPr>
              <w:rFonts w:ascii="Century Gothic" w:hAnsi="Century Gothic"/>
              <w:noProof/>
            </w:rPr>
            <w:fldChar w:fldCharType="end"/>
          </w:r>
        </w:p>
        <w:p w14:paraId="5888847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t>6.5. Número de mujeres que acceden y usan algún método anticonceptivo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67</w:t>
          </w:r>
          <w:r w:rsidRPr="00783481">
            <w:rPr>
              <w:rFonts w:ascii="Century Gothic" w:hAnsi="Century Gothic"/>
              <w:noProof/>
            </w:rPr>
            <w:fldChar w:fldCharType="end"/>
          </w:r>
        </w:p>
        <w:p w14:paraId="084E9151" w14:textId="4313DD1B"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hAnsi="Century Gothic"/>
              <w:noProof/>
              <w:lang w:val="es-ES_tradnl" w:eastAsia="es-ES"/>
            </w:rPr>
            <w:t xml:space="preserve"> 6.6. Embarazo en adolescentes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68</w:t>
          </w:r>
          <w:r w:rsidRPr="00783481">
            <w:rPr>
              <w:rFonts w:ascii="Century Gothic" w:hAnsi="Century Gothic"/>
              <w:noProof/>
            </w:rPr>
            <w:fldChar w:fldCharType="end"/>
          </w:r>
        </w:p>
        <w:p w14:paraId="492979DC" w14:textId="77777777"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hAnsi="Century Gothic"/>
              <w:noProof/>
              <w:lang w:val="es-ES_tradnl" w:eastAsia="es-ES"/>
            </w:rPr>
            <w:t>6.7. Jóvenes que reciben educación integral sobre la sexualidad (ODS 5.5)</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68</w:t>
          </w:r>
          <w:r w:rsidRPr="00783481">
            <w:rPr>
              <w:rFonts w:ascii="Century Gothic" w:hAnsi="Century Gothic"/>
              <w:noProof/>
            </w:rPr>
            <w:fldChar w:fldCharType="end"/>
          </w:r>
        </w:p>
        <w:p w14:paraId="5734D7EB" w14:textId="77777777"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hAnsi="Century Gothic"/>
              <w:noProof/>
              <w:lang w:val="es-ES_tradnl" w:eastAsia="es-ES"/>
            </w:rPr>
            <w:t>6.8. Número de personas infectadas con VIH desagregadas por sexo, edades y regiones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_Toc488624289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69</w:t>
          </w:r>
          <w:r w:rsidRPr="00783481">
            <w:rPr>
              <w:rFonts w:ascii="Century Gothic" w:hAnsi="Century Gothic"/>
              <w:noProof/>
            </w:rPr>
            <w:fldChar w:fldCharType="end"/>
          </w:r>
        </w:p>
        <w:p w14:paraId="214C3AE6"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7. Seguridad alimentaria y nutricional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73</w:t>
          </w:r>
          <w:r w:rsidRPr="00783481">
            <w:rPr>
              <w:rFonts w:ascii="Century Gothic" w:hAnsi="Century Gothic"/>
              <w:noProof/>
            </w:rPr>
            <w:fldChar w:fldCharType="end"/>
          </w:r>
        </w:p>
        <w:p w14:paraId="047C4BF2" w14:textId="580B78C4" w:rsidR="00783481" w:rsidRPr="00783481" w:rsidRDefault="00783481" w:rsidP="00783481">
          <w:pPr>
            <w:pStyle w:val="TDC4"/>
            <w:tabs>
              <w:tab w:val="right" w:pos="8488"/>
            </w:tabs>
            <w:ind w:left="440"/>
            <w:rPr>
              <w:rFonts w:ascii="Century Gothic" w:eastAsiaTheme="minorEastAsia" w:hAnsi="Century Gothic" w:cstheme="minorBidi"/>
              <w:noProof/>
              <w:sz w:val="24"/>
              <w:szCs w:val="24"/>
              <w:lang w:val="es-ES_tradnl" w:eastAsia="ja-JP"/>
            </w:rPr>
          </w:pPr>
          <w:r w:rsidRPr="00783481">
            <w:rPr>
              <w:rFonts w:ascii="Century Gothic" w:hAnsi="Century Gothic"/>
              <w:noProof/>
              <w:lang w:val="es-ES_tradnl" w:eastAsia="es-ES"/>
            </w:rPr>
            <w:t xml:space="preserve"> 7.1 Niños y niñas nacidas con bajo peso (ODS 2.3)</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73</w:t>
          </w:r>
          <w:r w:rsidRPr="00783481">
            <w:rPr>
              <w:rFonts w:ascii="Century Gothic" w:hAnsi="Century Gothic"/>
              <w:noProof/>
            </w:rPr>
            <w:fldChar w:fldCharType="end"/>
          </w:r>
        </w:p>
        <w:p w14:paraId="2F7A33D8"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7.2 Mujeres en edad reproductiva con anemia (ODS2)</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74</w:t>
          </w:r>
          <w:r w:rsidRPr="00783481">
            <w:rPr>
              <w:rFonts w:ascii="Century Gothic" w:hAnsi="Century Gothic"/>
              <w:noProof/>
            </w:rPr>
            <w:fldChar w:fldCharType="end"/>
          </w:r>
        </w:p>
        <w:p w14:paraId="7E23B065"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VI-Reforzar los derechos económicos y sociales y</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75</w:t>
          </w:r>
          <w:r w:rsidRPr="00783481">
            <w:rPr>
              <w:rFonts w:ascii="Century Gothic" w:hAnsi="Century Gothic"/>
              <w:noProof/>
            </w:rPr>
            <w:fldChar w:fldCharType="end"/>
          </w:r>
        </w:p>
        <w:p w14:paraId="3A33051C"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empoderar a las niñas y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75</w:t>
          </w:r>
          <w:r w:rsidRPr="00783481">
            <w:rPr>
              <w:rFonts w:ascii="Century Gothic" w:hAnsi="Century Gothic"/>
              <w:noProof/>
            </w:rPr>
            <w:fldChar w:fldCharType="end"/>
          </w:r>
        </w:p>
        <w:p w14:paraId="5257C4BC"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Acceso de las mujeres y las niñas a la educación</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75</w:t>
          </w:r>
          <w:r w:rsidRPr="00783481">
            <w:rPr>
              <w:rFonts w:ascii="Century Gothic" w:hAnsi="Century Gothic"/>
              <w:noProof/>
            </w:rPr>
            <w:fldChar w:fldCharType="end"/>
          </w:r>
        </w:p>
        <w:p w14:paraId="0C2337AB"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1.1 Tasa de alfabetismo de mujeres y hombres de entre 15 y 24 años (ODS 4.5)</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76</w:t>
          </w:r>
          <w:r w:rsidRPr="00783481">
            <w:rPr>
              <w:rFonts w:ascii="Century Gothic" w:hAnsi="Century Gothic"/>
              <w:noProof/>
            </w:rPr>
            <w:fldChar w:fldCharType="end"/>
          </w:r>
        </w:p>
        <w:p w14:paraId="3E1B46A8"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1.2 Educación básica primaria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76</w:t>
          </w:r>
          <w:r w:rsidRPr="00783481">
            <w:rPr>
              <w:rFonts w:ascii="Century Gothic" w:hAnsi="Century Gothic"/>
              <w:noProof/>
            </w:rPr>
            <w:fldChar w:fldCharType="end"/>
          </w:r>
        </w:p>
        <w:p w14:paraId="377262F7"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1.2.1 Acceso: Número de niñas y niños matriculados en enseñanza primaria.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76</w:t>
          </w:r>
          <w:r w:rsidRPr="00783481">
            <w:rPr>
              <w:rFonts w:ascii="Century Gothic" w:hAnsi="Century Gothic"/>
              <w:noProof/>
            </w:rPr>
            <w:fldChar w:fldCharType="end"/>
          </w:r>
        </w:p>
        <w:p w14:paraId="3A4B5F98"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rPr>
            <w:lastRenderedPageBreak/>
            <w:t>1.2.2 Calidad: Número de docentes formados desagregado por sexo.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_Toc488624299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77</w:t>
          </w:r>
          <w:r w:rsidRPr="00783481">
            <w:rPr>
              <w:rFonts w:ascii="Century Gothic" w:hAnsi="Century Gothic"/>
              <w:noProof/>
            </w:rPr>
            <w:fldChar w:fldCharType="end"/>
          </w:r>
        </w:p>
        <w:p w14:paraId="789F1718"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1.2.3 Tasa de finalización de enseñanza primaria de niñas y niños (ODS 4.33)</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77</w:t>
          </w:r>
          <w:r w:rsidRPr="00783481">
            <w:rPr>
              <w:rFonts w:ascii="Century Gothic" w:hAnsi="Century Gothic"/>
              <w:noProof/>
            </w:rPr>
            <w:fldChar w:fldCharType="end"/>
          </w:r>
        </w:p>
        <w:p w14:paraId="0A45DB7F"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1.2.4 Deserción escolar</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78</w:t>
          </w:r>
          <w:r w:rsidRPr="00783481">
            <w:rPr>
              <w:rFonts w:ascii="Century Gothic" w:hAnsi="Century Gothic"/>
              <w:noProof/>
            </w:rPr>
            <w:fldChar w:fldCharType="end"/>
          </w:r>
        </w:p>
        <w:p w14:paraId="350260A4"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1.3 Educación media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78</w:t>
          </w:r>
          <w:r w:rsidRPr="00783481">
            <w:rPr>
              <w:rFonts w:ascii="Century Gothic" w:hAnsi="Century Gothic"/>
              <w:noProof/>
            </w:rPr>
            <w:fldChar w:fldCharType="end"/>
          </w:r>
        </w:p>
        <w:p w14:paraId="374254B0"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1.3.1 Acceso: niños y niñas matriculadas en enseñanza secundaria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78</w:t>
          </w:r>
          <w:r w:rsidRPr="00783481">
            <w:rPr>
              <w:rFonts w:ascii="Century Gothic" w:hAnsi="Century Gothic"/>
              <w:noProof/>
            </w:rPr>
            <w:fldChar w:fldCharType="end"/>
          </w:r>
        </w:p>
        <w:p w14:paraId="06B7A701"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1.3.2 Calidad: Número de docentes formados desagregado por sexo.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79</w:t>
          </w:r>
          <w:r w:rsidRPr="00783481">
            <w:rPr>
              <w:rFonts w:ascii="Century Gothic" w:hAnsi="Century Gothic"/>
              <w:noProof/>
            </w:rPr>
            <w:fldChar w:fldCharType="end"/>
          </w:r>
        </w:p>
        <w:p w14:paraId="4E8E7448"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1.3.3 Tasa de finalización de enseñanza secundaria de niñas y niños (ODS 4.35)</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79</w:t>
          </w:r>
          <w:r w:rsidRPr="00783481">
            <w:rPr>
              <w:rFonts w:ascii="Century Gothic" w:hAnsi="Century Gothic"/>
              <w:noProof/>
            </w:rPr>
            <w:fldChar w:fldCharType="end"/>
          </w:r>
        </w:p>
        <w:p w14:paraId="4A0FBA5C"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1.3.4 Deserción escolar</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80</w:t>
          </w:r>
          <w:r w:rsidRPr="00783481">
            <w:rPr>
              <w:rFonts w:ascii="Century Gothic" w:hAnsi="Century Gothic"/>
              <w:noProof/>
            </w:rPr>
            <w:fldChar w:fldCharType="end"/>
          </w:r>
        </w:p>
        <w:p w14:paraId="586D2AD8"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1.4 Educación superior</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80</w:t>
          </w:r>
          <w:r w:rsidRPr="00783481">
            <w:rPr>
              <w:rFonts w:ascii="Century Gothic" w:hAnsi="Century Gothic"/>
              <w:noProof/>
            </w:rPr>
            <w:fldChar w:fldCharType="end"/>
          </w:r>
        </w:p>
        <w:p w14:paraId="6F118EFC" w14:textId="77777777" w:rsidR="00783481" w:rsidRPr="00783481" w:rsidRDefault="00783481">
          <w:pPr>
            <w:pStyle w:val="TDC4"/>
            <w:tabs>
              <w:tab w:val="right" w:pos="8488"/>
            </w:tabs>
            <w:rPr>
              <w:rFonts w:ascii="Century Gothic" w:eastAsiaTheme="minorEastAsia" w:hAnsi="Century Gothic" w:cstheme="minorBidi"/>
              <w:noProof/>
              <w:sz w:val="24"/>
              <w:szCs w:val="24"/>
              <w:lang w:val="es-ES_tradnl" w:eastAsia="ja-JP"/>
            </w:rPr>
          </w:pPr>
          <w:r w:rsidRPr="00783481">
            <w:rPr>
              <w:rFonts w:ascii="Century Gothic" w:eastAsia="Cambria" w:hAnsi="Century Gothic"/>
              <w:noProof/>
              <w:u w:val="single"/>
            </w:rPr>
            <w:t>1.4.1 Tasas de matriculación en enseñanza superior de mujeres y hombres (ODS 4.37)</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80</w:t>
          </w:r>
          <w:r w:rsidRPr="00783481">
            <w:rPr>
              <w:rFonts w:ascii="Century Gothic" w:hAnsi="Century Gothic"/>
              <w:noProof/>
            </w:rPr>
            <w:fldChar w:fldCharType="end"/>
          </w:r>
        </w:p>
        <w:p w14:paraId="0FA756AE"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1.6 Proporción de mujeres con respecto a hombres que se han beneficiado del desarrollo de competencias/formación profesional y otros programas activos del mercado de trabajo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_Toc488624309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81</w:t>
          </w:r>
          <w:r w:rsidRPr="00783481">
            <w:rPr>
              <w:rFonts w:ascii="Century Gothic" w:hAnsi="Century Gothic"/>
              <w:noProof/>
            </w:rPr>
            <w:fldChar w:fldCharType="end"/>
          </w:r>
        </w:p>
        <w:p w14:paraId="21B511E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1.7 Acceso de las mujeres a las TIC.</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81</w:t>
          </w:r>
          <w:r w:rsidRPr="00783481">
            <w:rPr>
              <w:rFonts w:ascii="Century Gothic" w:hAnsi="Century Gothic"/>
              <w:noProof/>
            </w:rPr>
            <w:fldChar w:fldCharType="end"/>
          </w:r>
        </w:p>
        <w:p w14:paraId="3A7B8ED9"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2. Acceso de las mujeres a la generación de ingresos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83</w:t>
          </w:r>
          <w:r w:rsidRPr="00783481">
            <w:rPr>
              <w:rFonts w:ascii="Century Gothic" w:hAnsi="Century Gothic"/>
              <w:noProof/>
            </w:rPr>
            <w:fldChar w:fldCharType="end"/>
          </w:r>
        </w:p>
        <w:p w14:paraId="3123F7D2"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2.1 Participación de las mujeres en los ingresos nacionales de Colombia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83</w:t>
          </w:r>
          <w:r w:rsidRPr="00783481">
            <w:rPr>
              <w:rFonts w:ascii="Century Gothic" w:hAnsi="Century Gothic"/>
              <w:noProof/>
            </w:rPr>
            <w:fldChar w:fldCharType="end"/>
          </w:r>
        </w:p>
        <w:p w14:paraId="4BE6F6B9"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2.2 Número medio de horas empleadas en trabajos remunerados y no remunerados combinados (carga laboral total) por sexo (ODS 5.42)</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84</w:t>
          </w:r>
          <w:r w:rsidRPr="00783481">
            <w:rPr>
              <w:rFonts w:ascii="Century Gothic" w:hAnsi="Century Gothic"/>
              <w:noProof/>
            </w:rPr>
            <w:fldChar w:fldCharType="end"/>
          </w:r>
        </w:p>
        <w:p w14:paraId="76940353"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2.3. Proporción de mujeres ocupadas en los sectores más vulnerables en la coyuntura generada por el COVID-19</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84</w:t>
          </w:r>
          <w:r w:rsidRPr="00783481">
            <w:rPr>
              <w:rFonts w:ascii="Century Gothic" w:hAnsi="Century Gothic"/>
              <w:noProof/>
            </w:rPr>
            <w:fldChar w:fldCharType="end"/>
          </w:r>
        </w:p>
        <w:p w14:paraId="27508B7A"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2.4. Mujeres y desempleo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84</w:t>
          </w:r>
          <w:r w:rsidRPr="00783481">
            <w:rPr>
              <w:rFonts w:ascii="Century Gothic" w:hAnsi="Century Gothic"/>
              <w:noProof/>
            </w:rPr>
            <w:fldChar w:fldCharType="end"/>
          </w:r>
        </w:p>
        <w:p w14:paraId="580398C4"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2.5. Empleo informal como porcentaje del empleo no agrícola total, por sexo (Ecosoc, conjunto mínimo de indicadores de género, por dominio I.9; medida realizada por la OIT).</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85</w:t>
          </w:r>
          <w:r w:rsidRPr="00783481">
            <w:rPr>
              <w:rFonts w:ascii="Century Gothic" w:hAnsi="Century Gothic"/>
              <w:noProof/>
            </w:rPr>
            <w:fldChar w:fldCharType="end"/>
          </w:r>
        </w:p>
        <w:p w14:paraId="1D08820E"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2.6. Trabajo doméstico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85</w:t>
          </w:r>
          <w:r w:rsidRPr="00783481">
            <w:rPr>
              <w:rFonts w:ascii="Century Gothic" w:hAnsi="Century Gothic"/>
              <w:noProof/>
            </w:rPr>
            <w:fldChar w:fldCharType="end"/>
          </w:r>
        </w:p>
        <w:p w14:paraId="6A72074F"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2.7. Brecha salarial entre hombres y mujeres, por sectores, en la actividad económica (ODS 5) RNB per cápita (PPA, método Atlas en dólares estadounidenses) (ODS 8.54).</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85</w:t>
          </w:r>
          <w:r w:rsidRPr="00783481">
            <w:rPr>
              <w:rFonts w:ascii="Century Gothic" w:hAnsi="Century Gothic"/>
              <w:noProof/>
            </w:rPr>
            <w:fldChar w:fldCharType="end"/>
          </w:r>
        </w:p>
        <w:p w14:paraId="338F52B1"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2.8. Número de mujeres que acceden a servicios (micro) financieros a nivel comunitario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_Toc488624319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86</w:t>
          </w:r>
          <w:r w:rsidRPr="00783481">
            <w:rPr>
              <w:rFonts w:ascii="Century Gothic" w:hAnsi="Century Gothic"/>
              <w:noProof/>
            </w:rPr>
            <w:fldChar w:fldCharType="end"/>
          </w:r>
        </w:p>
        <w:p w14:paraId="1C6426D8"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3. Acceso de las mujeres a la tierra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88</w:t>
          </w:r>
          <w:r w:rsidRPr="00783481">
            <w:rPr>
              <w:rFonts w:ascii="Century Gothic" w:hAnsi="Century Gothic"/>
              <w:noProof/>
            </w:rPr>
            <w:fldChar w:fldCharType="end"/>
          </w:r>
        </w:p>
        <w:p w14:paraId="4932FE71"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3.1 Mujeres, hombres e indígenas, afro y campesinas con pruebas de titularidad de la tierra documentadas o reconocidas (ODS 1.5)</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88</w:t>
          </w:r>
          <w:r w:rsidRPr="00783481">
            <w:rPr>
              <w:rFonts w:ascii="Century Gothic" w:hAnsi="Century Gothic"/>
              <w:noProof/>
            </w:rPr>
            <w:fldChar w:fldCharType="end"/>
          </w:r>
        </w:p>
        <w:p w14:paraId="445803F3"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3.2. Tenencia de la tierra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89</w:t>
          </w:r>
          <w:r w:rsidRPr="00783481">
            <w:rPr>
              <w:rFonts w:ascii="Century Gothic" w:hAnsi="Century Gothic"/>
              <w:noProof/>
            </w:rPr>
            <w:fldChar w:fldCharType="end"/>
          </w:r>
        </w:p>
        <w:p w14:paraId="7F9C6561"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3.3. Acceso a asistencia técnica, créditos y maquinaria en las UPA de mujeres productoras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89</w:t>
          </w:r>
          <w:r w:rsidRPr="00783481">
            <w:rPr>
              <w:rFonts w:ascii="Century Gothic" w:hAnsi="Century Gothic"/>
              <w:noProof/>
            </w:rPr>
            <w:fldChar w:fldCharType="end"/>
          </w:r>
        </w:p>
        <w:p w14:paraId="2DEA2DDB"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3.4. Características de unidades productivas en las manos de las mujeres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90</w:t>
          </w:r>
          <w:r w:rsidRPr="00783481">
            <w:rPr>
              <w:rFonts w:ascii="Century Gothic" w:hAnsi="Century Gothic"/>
              <w:noProof/>
            </w:rPr>
            <w:fldChar w:fldCharType="end"/>
          </w:r>
        </w:p>
        <w:p w14:paraId="0BEDE887"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4. Acceso a servicios públicos y domiciliarios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92</w:t>
          </w:r>
          <w:r w:rsidRPr="00783481">
            <w:rPr>
              <w:rFonts w:ascii="Century Gothic" w:hAnsi="Century Gothic"/>
              <w:noProof/>
            </w:rPr>
            <w:fldChar w:fldCharType="end"/>
          </w:r>
        </w:p>
        <w:p w14:paraId="40FE3ED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4.1. Proporción de la población que utiliza una fuente de agua potable de mayor calidad</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92</w:t>
          </w:r>
          <w:r w:rsidRPr="00783481">
            <w:rPr>
              <w:rFonts w:ascii="Century Gothic" w:hAnsi="Century Gothic"/>
              <w:noProof/>
            </w:rPr>
            <w:fldChar w:fldCharType="end"/>
          </w:r>
        </w:p>
        <w:p w14:paraId="74BD6FA1"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4.2. Población que usa servicios hídricos gestionados de manera segura, por zona urbana/rural (ODS 6.45)</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92</w:t>
          </w:r>
          <w:r w:rsidRPr="00783481">
            <w:rPr>
              <w:rFonts w:ascii="Century Gothic" w:hAnsi="Century Gothic"/>
              <w:noProof/>
            </w:rPr>
            <w:fldChar w:fldCharType="end"/>
          </w:r>
        </w:p>
        <w:p w14:paraId="2270762A"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4.3. Población que usa servicios de saneamiento gestionados de manera segura, por zona urbana/rural (ODS 6.46)</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93</w:t>
          </w:r>
          <w:r w:rsidRPr="00783481">
            <w:rPr>
              <w:rFonts w:ascii="Century Gothic" w:hAnsi="Century Gothic"/>
              <w:noProof/>
            </w:rPr>
            <w:fldChar w:fldCharType="end"/>
          </w:r>
        </w:p>
        <w:p w14:paraId="4F71FAB4"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4.4. Acceso de los hogares a servicios públicos, privados o comunales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_Toc488624329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93</w:t>
          </w:r>
          <w:r w:rsidRPr="00783481">
            <w:rPr>
              <w:rFonts w:ascii="Century Gothic" w:hAnsi="Century Gothic"/>
              <w:noProof/>
            </w:rPr>
            <w:fldChar w:fldCharType="end"/>
          </w:r>
        </w:p>
        <w:p w14:paraId="62ABB63D"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VII. Fomentar la participación y el liderazgo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95</w:t>
          </w:r>
          <w:r w:rsidRPr="00783481">
            <w:rPr>
              <w:rFonts w:ascii="Century Gothic" w:hAnsi="Century Gothic"/>
              <w:noProof/>
            </w:rPr>
            <w:fldChar w:fldCharType="end"/>
          </w:r>
        </w:p>
        <w:p w14:paraId="707B1CBF"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lastRenderedPageBreak/>
            <w:t>en igualdad de condiciones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95</w:t>
          </w:r>
          <w:r w:rsidRPr="00783481">
            <w:rPr>
              <w:rFonts w:ascii="Century Gothic" w:hAnsi="Century Gothic"/>
              <w:noProof/>
            </w:rPr>
            <w:fldChar w:fldCharType="end"/>
          </w:r>
        </w:p>
        <w:p w14:paraId="3E0ABC61"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Acceso a la participación política de las mujeres y las niñas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95</w:t>
          </w:r>
          <w:r w:rsidRPr="00783481">
            <w:rPr>
              <w:rFonts w:ascii="Century Gothic" w:hAnsi="Century Gothic"/>
              <w:noProof/>
            </w:rPr>
            <w:fldChar w:fldCharType="end"/>
          </w:r>
        </w:p>
        <w:p w14:paraId="3CE9ABC8" w14:textId="77777777" w:rsidR="00783481" w:rsidRPr="00783481" w:rsidRDefault="00783481">
          <w:pPr>
            <w:pStyle w:val="TDC3"/>
            <w:tabs>
              <w:tab w:val="left" w:pos="985"/>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1.1</w:t>
          </w:r>
          <w:r w:rsidRPr="00783481">
            <w:rPr>
              <w:rFonts w:ascii="Century Gothic" w:eastAsiaTheme="minorEastAsia" w:hAnsi="Century Gothic" w:cstheme="minorBidi"/>
              <w:noProof/>
              <w:sz w:val="24"/>
              <w:szCs w:val="24"/>
              <w:lang w:val="es-ES_tradnl" w:eastAsia="ja-JP"/>
            </w:rPr>
            <w:tab/>
          </w:r>
          <w:r w:rsidRPr="00783481">
            <w:rPr>
              <w:rFonts w:ascii="Century Gothic" w:hAnsi="Century Gothic"/>
              <w:noProof/>
            </w:rPr>
            <w:t>Participación en cargos de elección popular: mujeres candidatas a la presidencia de la república</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95</w:t>
          </w:r>
          <w:r w:rsidRPr="00783481">
            <w:rPr>
              <w:rFonts w:ascii="Century Gothic" w:hAnsi="Century Gothic"/>
              <w:noProof/>
            </w:rPr>
            <w:fldChar w:fldCharType="end"/>
          </w:r>
        </w:p>
        <w:p w14:paraId="6B6FE9A0"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1.2 Proporción de escaños ocupados por mujeres en el Congreso.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95</w:t>
          </w:r>
          <w:r w:rsidRPr="00783481">
            <w:rPr>
              <w:rFonts w:ascii="Century Gothic" w:hAnsi="Century Gothic"/>
              <w:noProof/>
            </w:rPr>
            <w:fldChar w:fldCharType="end"/>
          </w:r>
        </w:p>
        <w:p w14:paraId="3F629463"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1.3. Proporción de mujeres en Concejos Municipales, Asambleas Departamentales, Alcaldías y Gobernaciones.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96</w:t>
          </w:r>
          <w:r w:rsidRPr="00783481">
            <w:rPr>
              <w:rFonts w:ascii="Century Gothic" w:hAnsi="Century Gothic"/>
              <w:noProof/>
            </w:rPr>
            <w:fldChar w:fldCharType="end"/>
          </w:r>
        </w:p>
        <w:p w14:paraId="43E37E25"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1.4.  Implementación de la ley de cuotas: Mujeres en cargos de nivel decisorio a nivel nacional y otro nivel decisorio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_Toc488624336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96</w:t>
          </w:r>
          <w:r w:rsidRPr="00783481">
            <w:rPr>
              <w:rFonts w:ascii="Century Gothic" w:hAnsi="Century Gothic"/>
              <w:noProof/>
            </w:rPr>
            <w:fldChar w:fldCharType="end"/>
          </w:r>
        </w:p>
        <w:p w14:paraId="096B25AA"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1.5. Proporción de mujeres que forman parte de organismos corporativos de empresas nacionales/multinacionales (ODS 5.2)</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_Toc488624337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97</w:t>
          </w:r>
          <w:r w:rsidRPr="00783481">
            <w:rPr>
              <w:rFonts w:ascii="Century Gothic" w:hAnsi="Century Gothic"/>
              <w:noProof/>
            </w:rPr>
            <w:fldChar w:fldCharType="end"/>
          </w:r>
        </w:p>
        <w:p w14:paraId="6E90A486"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1.6. Porcentaje de escaños que ocupan las mujeres y las minorías en los parlamentos nacionales o en cargos subnacionales electos, en función del porcentaje de población correspondiente (ODS 5.43)</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_Toc488624338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97</w:t>
          </w:r>
          <w:r w:rsidRPr="00783481">
            <w:rPr>
              <w:rFonts w:ascii="Century Gothic" w:hAnsi="Century Gothic"/>
              <w:noProof/>
            </w:rPr>
            <w:fldChar w:fldCharType="end"/>
          </w:r>
        </w:p>
        <w:p w14:paraId="3E04AA9B"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1.7. Representación de las mujeres como mediadoras, negociadoras y expertas técnicas en las negociaciones formales a favor de la paz (ODS 16.8)</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_Toc488624339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97</w:t>
          </w:r>
          <w:r w:rsidRPr="00783481">
            <w:rPr>
              <w:rFonts w:ascii="Century Gothic" w:hAnsi="Century Gothic"/>
              <w:noProof/>
            </w:rPr>
            <w:fldChar w:fldCharType="end"/>
          </w:r>
        </w:p>
        <w:p w14:paraId="5411D4F3"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1.8. Participación de mujeres en escenarios de planeación territorial y nacional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_Toc488624340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98</w:t>
          </w:r>
          <w:r w:rsidRPr="00783481">
            <w:rPr>
              <w:rFonts w:ascii="Century Gothic" w:hAnsi="Century Gothic"/>
              <w:noProof/>
            </w:rPr>
            <w:fldChar w:fldCharType="end"/>
          </w:r>
        </w:p>
        <w:p w14:paraId="4B23438C" w14:textId="77777777" w:rsidR="00783481" w:rsidRPr="00783481" w:rsidRDefault="00783481">
          <w:pPr>
            <w:pStyle w:val="TDC3"/>
            <w:tabs>
              <w:tab w:val="right" w:pos="8488"/>
            </w:tabs>
            <w:rPr>
              <w:rFonts w:ascii="Century Gothic" w:eastAsiaTheme="minorEastAsia" w:hAnsi="Century Gothic" w:cstheme="minorBidi"/>
              <w:noProof/>
              <w:sz w:val="24"/>
              <w:szCs w:val="24"/>
              <w:lang w:val="es-ES_tradnl" w:eastAsia="ja-JP"/>
            </w:rPr>
          </w:pPr>
          <w:r w:rsidRPr="00783481">
            <w:rPr>
              <w:rFonts w:ascii="Century Gothic" w:hAnsi="Century Gothic"/>
              <w:noProof/>
            </w:rPr>
            <w:t>1.9. Ámbitos favorables en las instituciones sociales en la clasificación conforme al índice de instituciones sociales e índice de género (SIGI) de la OCDE.</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_Toc488624341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98</w:t>
          </w:r>
          <w:r w:rsidRPr="00783481">
            <w:rPr>
              <w:rFonts w:ascii="Century Gothic" w:hAnsi="Century Gothic"/>
              <w:noProof/>
            </w:rPr>
            <w:fldChar w:fldCharType="end"/>
          </w:r>
        </w:p>
        <w:p w14:paraId="22E32076" w14:textId="77777777" w:rsidR="00783481" w:rsidRPr="00783481" w:rsidRDefault="00783481">
          <w:pPr>
            <w:pStyle w:val="TDC1"/>
            <w:tabs>
              <w:tab w:val="right" w:pos="8488"/>
            </w:tabs>
            <w:rPr>
              <w:rFonts w:ascii="Century Gothic" w:eastAsiaTheme="minorEastAsia" w:hAnsi="Century Gothic" w:cstheme="minorBidi"/>
              <w:b w:val="0"/>
              <w:noProof/>
              <w:lang w:val="es-ES_tradnl" w:eastAsia="ja-JP"/>
            </w:rPr>
          </w:pPr>
          <w:r w:rsidRPr="00783481">
            <w:rPr>
              <w:rFonts w:ascii="Century Gothic" w:hAnsi="Century Gothic"/>
              <w:noProof/>
            </w:rPr>
            <w:t>VIII.  Retos y oportunidades de la transición ecológica y la transformación digital</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_Toc488624342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100</w:t>
          </w:r>
          <w:r w:rsidRPr="00783481">
            <w:rPr>
              <w:rFonts w:ascii="Century Gothic" w:hAnsi="Century Gothic"/>
              <w:noProof/>
            </w:rPr>
            <w:fldChar w:fldCharType="end"/>
          </w:r>
        </w:p>
        <w:p w14:paraId="7E611718"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1. Incidencia de las mujeres en el afrontamiento de temas ambientales</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_Toc488624343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100</w:t>
          </w:r>
          <w:r w:rsidRPr="00783481">
            <w:rPr>
              <w:rFonts w:ascii="Century Gothic" w:hAnsi="Century Gothic"/>
              <w:noProof/>
            </w:rPr>
            <w:fldChar w:fldCharType="end"/>
          </w:r>
        </w:p>
        <w:p w14:paraId="6DBFF7D1"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2. Avances en la integración de enfoque de género en las políticas e instrumentos de implementación para la gestión del cambio climático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_Toc488624344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101</w:t>
          </w:r>
          <w:r w:rsidRPr="00783481">
            <w:rPr>
              <w:rFonts w:ascii="Century Gothic" w:hAnsi="Century Gothic"/>
              <w:noProof/>
            </w:rPr>
            <w:fldChar w:fldCharType="end"/>
          </w:r>
        </w:p>
        <w:p w14:paraId="7892EFC1" w14:textId="77777777" w:rsidR="00783481" w:rsidRPr="00783481" w:rsidRDefault="00783481">
          <w:pPr>
            <w:pStyle w:val="TDC2"/>
            <w:tabs>
              <w:tab w:val="right" w:pos="8488"/>
            </w:tabs>
            <w:rPr>
              <w:rFonts w:ascii="Century Gothic" w:eastAsiaTheme="minorEastAsia" w:hAnsi="Century Gothic" w:cstheme="minorBidi"/>
              <w:b w:val="0"/>
              <w:noProof/>
              <w:sz w:val="24"/>
              <w:szCs w:val="24"/>
              <w:lang w:val="es-ES_tradnl" w:eastAsia="ja-JP"/>
            </w:rPr>
          </w:pPr>
          <w:r w:rsidRPr="00783481">
            <w:rPr>
              <w:rFonts w:ascii="Century Gothic" w:hAnsi="Century Gothic"/>
              <w:noProof/>
            </w:rPr>
            <w:t>3. Consideraciones de género de los efectos del cambio climático</w:t>
          </w:r>
          <w:r w:rsidRPr="00783481">
            <w:rPr>
              <w:rFonts w:ascii="Century Gothic" w:hAnsi="Century Gothic"/>
              <w:noProof/>
            </w:rPr>
            <w:tab/>
          </w:r>
          <w:r w:rsidRPr="00783481">
            <w:rPr>
              <w:rFonts w:ascii="Century Gothic" w:hAnsi="Century Gothic"/>
              <w:noProof/>
            </w:rPr>
            <w:fldChar w:fldCharType="begin"/>
          </w:r>
          <w:r w:rsidRPr="00783481">
            <w:rPr>
              <w:rFonts w:ascii="Century Gothic" w:hAnsi="Century Gothic"/>
              <w:noProof/>
            </w:rPr>
            <w:instrText xml:space="preserve"> PAGEREF _Toc488624345 \h </w:instrText>
          </w:r>
          <w:r w:rsidRPr="00783481">
            <w:rPr>
              <w:rFonts w:ascii="Century Gothic" w:hAnsi="Century Gothic"/>
              <w:noProof/>
            </w:rPr>
          </w:r>
          <w:r w:rsidRPr="00783481">
            <w:rPr>
              <w:rFonts w:ascii="Century Gothic" w:hAnsi="Century Gothic"/>
              <w:noProof/>
            </w:rPr>
            <w:fldChar w:fldCharType="separate"/>
          </w:r>
          <w:r w:rsidRPr="00783481">
            <w:rPr>
              <w:rFonts w:ascii="Century Gothic" w:hAnsi="Century Gothic"/>
              <w:noProof/>
            </w:rPr>
            <w:t>102</w:t>
          </w:r>
          <w:r w:rsidRPr="00783481">
            <w:rPr>
              <w:rFonts w:ascii="Century Gothic" w:hAnsi="Century Gothic"/>
              <w:noProof/>
            </w:rPr>
            <w:fldChar w:fldCharType="end"/>
          </w:r>
        </w:p>
        <w:p w14:paraId="2F8098D4" w14:textId="732ADE07" w:rsidR="00D56468" w:rsidRPr="00114E9E" w:rsidRDefault="00672D10" w:rsidP="00D56468">
          <w:pPr>
            <w:rPr>
              <w:rFonts w:ascii="Century Gothic" w:hAnsi="Century Gothic"/>
            </w:rPr>
            <w:sectPr w:rsidR="00D56468" w:rsidRPr="00114E9E" w:rsidSect="00426A44">
              <w:headerReference w:type="default" r:id="rId11"/>
              <w:footerReference w:type="even" r:id="rId12"/>
              <w:footerReference w:type="default" r:id="rId13"/>
              <w:headerReference w:type="first" r:id="rId14"/>
              <w:footerReference w:type="first" r:id="rId15"/>
              <w:pgSz w:w="11900" w:h="16820"/>
              <w:pgMar w:top="1417" w:right="1701" w:bottom="1417" w:left="1701" w:header="708" w:footer="708" w:gutter="0"/>
              <w:cols w:space="720"/>
            </w:sectPr>
          </w:pPr>
          <w:r w:rsidRPr="00783481">
            <w:rPr>
              <w:rFonts w:ascii="Century Gothic" w:hAnsi="Century Gothic"/>
            </w:rPr>
            <w:fldChar w:fldCharType="end"/>
          </w:r>
        </w:p>
      </w:sdtContent>
    </w:sdt>
    <w:p w14:paraId="473FB366" w14:textId="3B41E11C" w:rsidR="00D56468" w:rsidRDefault="00830DBC" w:rsidP="000B53F9">
      <w:pPr>
        <w:pStyle w:val="Ttulo1"/>
        <w:jc w:val="left"/>
        <w:rPr>
          <w:rFonts w:ascii="Century Gothic" w:hAnsi="Century Gothic"/>
          <w:b/>
          <w:szCs w:val="24"/>
        </w:rPr>
      </w:pPr>
      <w:bookmarkStart w:id="2" w:name="_Toc488624221"/>
      <w:r>
        <w:rPr>
          <w:rFonts w:ascii="Century Gothic" w:hAnsi="Century Gothic"/>
          <w:b/>
          <w:noProof/>
          <w:szCs w:val="24"/>
          <w:lang w:val="es-ES"/>
        </w:rPr>
        <w:lastRenderedPageBreak/>
        <w:drawing>
          <wp:anchor distT="0" distB="0" distL="114300" distR="114300" simplePos="0" relativeHeight="251743232" behindDoc="0" locked="0" layoutInCell="1" allowOverlap="1" wp14:anchorId="7539EC5D" wp14:editId="6965D406">
            <wp:simplePos x="0" y="0"/>
            <wp:positionH relativeFrom="column">
              <wp:posOffset>-1143000</wp:posOffset>
            </wp:positionH>
            <wp:positionV relativeFrom="paragraph">
              <wp:posOffset>-914400</wp:posOffset>
            </wp:positionV>
            <wp:extent cx="965835" cy="708660"/>
            <wp:effectExtent l="0" t="0" r="0" b="0"/>
            <wp:wrapSquare wrapText="bothSides"/>
            <wp:docPr id="40" name="Imagen 4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426A44">
        <w:rPr>
          <w:rFonts w:ascii="Century Gothic" w:hAnsi="Century Gothic"/>
          <w:b/>
          <w:szCs w:val="24"/>
        </w:rPr>
        <w:t>I</w:t>
      </w:r>
      <w:r w:rsidR="00426A44">
        <w:rPr>
          <w:rFonts w:ascii="Century Gothic" w:hAnsi="Century Gothic"/>
          <w:b/>
          <w:szCs w:val="24"/>
        </w:rPr>
        <w:t>ntroducción</w:t>
      </w:r>
      <w:bookmarkEnd w:id="2"/>
    </w:p>
    <w:p w14:paraId="784C58A0" w14:textId="77777777" w:rsidR="00426A44" w:rsidRPr="00426A44" w:rsidRDefault="00426A44" w:rsidP="00426A44"/>
    <w:p w14:paraId="44140FBC" w14:textId="75ACAEAC" w:rsidR="001238D7" w:rsidRPr="00E94619" w:rsidRDefault="00830DBC" w:rsidP="000E5AC0">
      <w:pPr>
        <w:spacing w:after="0" w:line="240" w:lineRule="auto"/>
        <w:jc w:val="both"/>
        <w:rPr>
          <w:rFonts w:ascii="Century Gothic" w:hAnsi="Century Gothic"/>
        </w:rPr>
      </w:pPr>
      <w:sdt>
        <w:sdtPr>
          <w:rPr>
            <w:rFonts w:ascii="Century Gothic" w:hAnsi="Century Gothic"/>
          </w:rPr>
          <w:tag w:val="goog_rdk_0"/>
          <w:id w:val="856000962"/>
          <w:showingPlcHdr/>
        </w:sdtPr>
        <w:sdtContent>
          <w:r w:rsidR="001F2624">
            <w:rPr>
              <w:rFonts w:ascii="Century Gothic" w:hAnsi="Century Gothic"/>
            </w:rPr>
            <w:t xml:space="preserve">     </w:t>
          </w:r>
        </w:sdtContent>
      </w:sdt>
      <w:r w:rsidR="0036411F" w:rsidRPr="00E94619">
        <w:rPr>
          <w:rFonts w:ascii="Century Gothic" w:hAnsi="Century Gothic"/>
        </w:rPr>
        <w:t>La Unión Europea (UE), como parte de su compromiso con la Igualdad de género, cuenta con el Plan de Acción</w:t>
      </w:r>
      <w:r w:rsidR="00016534" w:rsidRPr="00E94619">
        <w:rPr>
          <w:rFonts w:ascii="Century Gothic" w:hAnsi="Century Gothic"/>
        </w:rPr>
        <w:t xml:space="preserve"> de Género – GAP III</w:t>
      </w:r>
      <w:r w:rsidR="00E17DC9" w:rsidRPr="00E94619">
        <w:rPr>
          <w:rFonts w:ascii="Century Gothic" w:hAnsi="Century Gothic"/>
        </w:rPr>
        <w:t xml:space="preserve"> “</w:t>
      </w:r>
      <w:r w:rsidR="00A46ECB" w:rsidRPr="00E94619">
        <w:rPr>
          <w:rFonts w:ascii="Century Gothic" w:hAnsi="Century Gothic"/>
          <w:i/>
          <w:iCs/>
        </w:rPr>
        <w:t xml:space="preserve">Una visión ambiciosa de la igualdad de género y la capacitación de las mujeres para la acción exterior de la </w:t>
      </w:r>
      <w:r w:rsidR="00E17DC9" w:rsidRPr="00E94619">
        <w:rPr>
          <w:rFonts w:ascii="Century Gothic" w:hAnsi="Century Gothic"/>
          <w:i/>
          <w:iCs/>
        </w:rPr>
        <w:t>UE</w:t>
      </w:r>
      <w:r w:rsidR="00106323" w:rsidRPr="00E94619">
        <w:rPr>
          <w:rFonts w:ascii="Century Gothic" w:hAnsi="Century Gothic"/>
          <w:i/>
          <w:iCs/>
        </w:rPr>
        <w:t xml:space="preserve">” </w:t>
      </w:r>
      <w:r w:rsidR="0036411F" w:rsidRPr="00E94619">
        <w:rPr>
          <w:rFonts w:ascii="Century Gothic" w:hAnsi="Century Gothic"/>
          <w:i/>
          <w:iCs/>
        </w:rPr>
        <w:t>(20</w:t>
      </w:r>
      <w:r w:rsidR="00106323" w:rsidRPr="00E94619">
        <w:rPr>
          <w:rFonts w:ascii="Century Gothic" w:hAnsi="Century Gothic"/>
          <w:i/>
          <w:iCs/>
        </w:rPr>
        <w:t>21</w:t>
      </w:r>
      <w:r w:rsidR="0036411F" w:rsidRPr="00E94619">
        <w:rPr>
          <w:rFonts w:ascii="Century Gothic" w:hAnsi="Century Gothic"/>
          <w:i/>
          <w:iCs/>
        </w:rPr>
        <w:t>-202</w:t>
      </w:r>
      <w:r w:rsidR="00106323" w:rsidRPr="00E94619">
        <w:rPr>
          <w:rFonts w:ascii="Century Gothic" w:hAnsi="Century Gothic"/>
          <w:i/>
          <w:iCs/>
        </w:rPr>
        <w:t>5</w:t>
      </w:r>
      <w:r w:rsidR="0036411F" w:rsidRPr="00E94619">
        <w:rPr>
          <w:rFonts w:ascii="Century Gothic" w:hAnsi="Century Gothic"/>
          <w:i/>
          <w:iCs/>
        </w:rPr>
        <w:t>)</w:t>
      </w:r>
      <w:r w:rsidR="0036411F" w:rsidRPr="00E94619">
        <w:rPr>
          <w:rFonts w:ascii="Century Gothic" w:hAnsi="Century Gothic"/>
        </w:rPr>
        <w:t xml:space="preserve">”. Este plan tiene como </w:t>
      </w:r>
      <w:r w:rsidR="00BF0113" w:rsidRPr="00E94619">
        <w:rPr>
          <w:rFonts w:ascii="Century Gothic" w:hAnsi="Century Gothic"/>
        </w:rPr>
        <w:t xml:space="preserve">objetivo acelerar el progreso en el empoderamiento de las mujeres y las niñas, </w:t>
      </w:r>
      <w:r w:rsidR="00016534" w:rsidRPr="00E94619">
        <w:rPr>
          <w:rFonts w:ascii="Century Gothic" w:hAnsi="Century Gothic"/>
        </w:rPr>
        <w:t xml:space="preserve">así como </w:t>
      </w:r>
      <w:r w:rsidR="00BF0113" w:rsidRPr="00E94619">
        <w:rPr>
          <w:rFonts w:ascii="Century Gothic" w:hAnsi="Century Gothic"/>
        </w:rPr>
        <w:t xml:space="preserve">preservar los avances alcanzados en esta dirección a lo largo de </w:t>
      </w:r>
      <w:r w:rsidR="00016534" w:rsidRPr="00E94619">
        <w:rPr>
          <w:rFonts w:ascii="Century Gothic" w:hAnsi="Century Gothic"/>
        </w:rPr>
        <w:t xml:space="preserve">los </w:t>
      </w:r>
      <w:r w:rsidR="00BF0113" w:rsidRPr="00E94619">
        <w:rPr>
          <w:rFonts w:ascii="Century Gothic" w:hAnsi="Century Gothic"/>
        </w:rPr>
        <w:t xml:space="preserve">últimos 25 años desde la adopción de la Declaración </w:t>
      </w:r>
      <w:r w:rsidR="00016534" w:rsidRPr="00E94619">
        <w:rPr>
          <w:rFonts w:ascii="Century Gothic" w:hAnsi="Century Gothic"/>
        </w:rPr>
        <w:t xml:space="preserve">y Plataforma de Acción </w:t>
      </w:r>
      <w:r w:rsidR="00BF0113" w:rsidRPr="00E94619">
        <w:rPr>
          <w:rFonts w:ascii="Century Gothic" w:hAnsi="Century Gothic"/>
        </w:rPr>
        <w:t>de Beijing</w:t>
      </w:r>
      <w:r w:rsidR="00016534" w:rsidRPr="00E94619">
        <w:rPr>
          <w:rFonts w:ascii="Century Gothic" w:hAnsi="Century Gothic"/>
        </w:rPr>
        <w:t xml:space="preserve">. Para ello se centra en </w:t>
      </w:r>
      <w:r w:rsidR="0036411F" w:rsidRPr="00E94619">
        <w:rPr>
          <w:rFonts w:ascii="Century Gothic" w:hAnsi="Century Gothic"/>
        </w:rPr>
        <w:t xml:space="preserve">en </w:t>
      </w:r>
      <w:r w:rsidR="00B72372" w:rsidRPr="00E94619">
        <w:rPr>
          <w:rFonts w:ascii="Century Gothic" w:hAnsi="Century Gothic"/>
        </w:rPr>
        <w:t xml:space="preserve">seis áreas </w:t>
      </w:r>
      <w:r w:rsidR="0036411F" w:rsidRPr="00E94619">
        <w:rPr>
          <w:rFonts w:ascii="Century Gothic" w:hAnsi="Century Gothic"/>
        </w:rPr>
        <w:t>clave</w:t>
      </w:r>
      <w:r w:rsidR="00016534" w:rsidRPr="00E94619">
        <w:rPr>
          <w:rFonts w:ascii="Century Gothic" w:hAnsi="Century Gothic"/>
        </w:rPr>
        <w:t xml:space="preserve"> de compromiso</w:t>
      </w:r>
      <w:r w:rsidR="00B72372" w:rsidRPr="00E94619">
        <w:rPr>
          <w:rFonts w:ascii="Century Gothic" w:hAnsi="Century Gothic"/>
        </w:rPr>
        <w:t xml:space="preserve"> y un eje </w:t>
      </w:r>
      <w:r w:rsidR="0036411F" w:rsidRPr="00E94619">
        <w:rPr>
          <w:rFonts w:ascii="Century Gothic" w:hAnsi="Century Gothic"/>
        </w:rPr>
        <w:t>horizontal. L</w:t>
      </w:r>
      <w:r w:rsidR="00B72372" w:rsidRPr="00E94619">
        <w:rPr>
          <w:rFonts w:ascii="Century Gothic" w:hAnsi="Century Gothic"/>
        </w:rPr>
        <w:t xml:space="preserve">as áreas clave </w:t>
      </w:r>
      <w:r w:rsidR="0036411F" w:rsidRPr="00E94619">
        <w:rPr>
          <w:rFonts w:ascii="Century Gothic" w:hAnsi="Century Gothic"/>
        </w:rPr>
        <w:t xml:space="preserve">son: (i) </w:t>
      </w:r>
      <w:r w:rsidR="00F42B30" w:rsidRPr="00E94619">
        <w:rPr>
          <w:rFonts w:ascii="Century Gothic" w:hAnsi="Century Gothic"/>
        </w:rPr>
        <w:t>g</w:t>
      </w:r>
      <w:r w:rsidR="006C6AE4" w:rsidRPr="00E94619">
        <w:rPr>
          <w:rFonts w:ascii="Century Gothic" w:hAnsi="Century Gothic"/>
        </w:rPr>
        <w:t xml:space="preserve">arantizar la ausencia de toda forma de violencia de </w:t>
      </w:r>
      <w:r w:rsidR="00462C35" w:rsidRPr="00E94619">
        <w:rPr>
          <w:rFonts w:ascii="Century Gothic" w:hAnsi="Century Gothic"/>
        </w:rPr>
        <w:t>g</w:t>
      </w:r>
      <w:r w:rsidR="006C6AE4" w:rsidRPr="00E94619">
        <w:rPr>
          <w:rFonts w:ascii="Century Gothic" w:hAnsi="Century Gothic"/>
        </w:rPr>
        <w:t>énero</w:t>
      </w:r>
      <w:r w:rsidR="0036411F" w:rsidRPr="00E94619">
        <w:rPr>
          <w:rFonts w:ascii="Century Gothic" w:hAnsi="Century Gothic"/>
        </w:rPr>
        <w:t xml:space="preserve">, (ii) </w:t>
      </w:r>
      <w:r w:rsidR="00F42B30" w:rsidRPr="00E94619">
        <w:rPr>
          <w:rFonts w:ascii="Century Gothic" w:hAnsi="Century Gothic"/>
        </w:rPr>
        <w:t>p</w:t>
      </w:r>
      <w:r w:rsidR="009067F8" w:rsidRPr="00E94619">
        <w:rPr>
          <w:rFonts w:ascii="Century Gothic" w:hAnsi="Century Gothic"/>
        </w:rPr>
        <w:t>romover la salud y los derechos sexuales y reproductivos</w:t>
      </w:r>
      <w:r w:rsidR="0036411F" w:rsidRPr="00E94619">
        <w:rPr>
          <w:rFonts w:ascii="Century Gothic" w:hAnsi="Century Gothic"/>
        </w:rPr>
        <w:t xml:space="preserve">, (iii) </w:t>
      </w:r>
      <w:r w:rsidR="00F42B30" w:rsidRPr="00E94619">
        <w:rPr>
          <w:rFonts w:ascii="Century Gothic" w:hAnsi="Century Gothic"/>
        </w:rPr>
        <w:t>r</w:t>
      </w:r>
      <w:r w:rsidR="00641D57" w:rsidRPr="00E94619">
        <w:rPr>
          <w:rFonts w:ascii="Century Gothic" w:hAnsi="Century Gothic"/>
        </w:rPr>
        <w:t xml:space="preserve">eforzar los derechos económicos y sociales, y empoderar a las niñas y mujeres, (iv) </w:t>
      </w:r>
      <w:r w:rsidR="00240158" w:rsidRPr="00E94619">
        <w:rPr>
          <w:rFonts w:ascii="Century Gothic" w:hAnsi="Century Gothic"/>
        </w:rPr>
        <w:t>f</w:t>
      </w:r>
      <w:r w:rsidR="00487C50" w:rsidRPr="00E94619">
        <w:rPr>
          <w:rFonts w:ascii="Century Gothic" w:hAnsi="Century Gothic"/>
        </w:rPr>
        <w:t>omentar la participación y el liderazgo en igualdad de condiciones, (v)</w:t>
      </w:r>
      <w:r w:rsidR="00462C35" w:rsidRPr="00E94619">
        <w:rPr>
          <w:rFonts w:ascii="Century Gothic" w:hAnsi="Century Gothic"/>
        </w:rPr>
        <w:t xml:space="preserve"> </w:t>
      </w:r>
      <w:r w:rsidR="00240158" w:rsidRPr="00E94619">
        <w:rPr>
          <w:rFonts w:ascii="Century Gothic" w:hAnsi="Century Gothic"/>
        </w:rPr>
        <w:t>i</w:t>
      </w:r>
      <w:r w:rsidR="00462C35" w:rsidRPr="00E94619">
        <w:rPr>
          <w:rFonts w:ascii="Century Gothic" w:hAnsi="Century Gothic"/>
        </w:rPr>
        <w:t xml:space="preserve">ntegrar la agenda de las mujeres, de la paz y la seguridad y (vi) </w:t>
      </w:r>
      <w:r w:rsidR="00240158" w:rsidRPr="00E94619">
        <w:rPr>
          <w:rFonts w:ascii="Century Gothic" w:hAnsi="Century Gothic"/>
        </w:rPr>
        <w:t>r</w:t>
      </w:r>
      <w:r w:rsidR="00462C35" w:rsidRPr="00E94619">
        <w:rPr>
          <w:rFonts w:ascii="Century Gothic" w:hAnsi="Century Gothic"/>
        </w:rPr>
        <w:t xml:space="preserve">etos y oportunidades de la transición ecológica y la transformación digital. </w:t>
      </w:r>
      <w:r w:rsidR="0036411F" w:rsidRPr="00E94619">
        <w:rPr>
          <w:rFonts w:ascii="Century Gothic" w:hAnsi="Century Gothic"/>
        </w:rPr>
        <w:t xml:space="preserve">El </w:t>
      </w:r>
      <w:r w:rsidR="00016534" w:rsidRPr="00E94619">
        <w:rPr>
          <w:rFonts w:ascii="Century Gothic" w:hAnsi="Century Gothic"/>
        </w:rPr>
        <w:t xml:space="preserve">eje </w:t>
      </w:r>
      <w:r w:rsidR="0036411F" w:rsidRPr="00E94619">
        <w:rPr>
          <w:rFonts w:ascii="Century Gothic" w:hAnsi="Century Gothic"/>
        </w:rPr>
        <w:t xml:space="preserve">horizontal es: </w:t>
      </w:r>
      <w:r w:rsidR="00F42B30" w:rsidRPr="00E94619">
        <w:rPr>
          <w:rFonts w:ascii="Century Gothic" w:hAnsi="Century Gothic"/>
        </w:rPr>
        <w:t>(</w:t>
      </w:r>
      <w:r w:rsidR="0036411F" w:rsidRPr="00E94619">
        <w:rPr>
          <w:rFonts w:ascii="Century Gothic" w:hAnsi="Century Gothic"/>
        </w:rPr>
        <w:t>v</w:t>
      </w:r>
      <w:r w:rsidR="00F42B30" w:rsidRPr="00E94619">
        <w:rPr>
          <w:rFonts w:ascii="Century Gothic" w:hAnsi="Century Gothic"/>
        </w:rPr>
        <w:t>ii</w:t>
      </w:r>
      <w:r w:rsidR="0036411F" w:rsidRPr="00E94619">
        <w:rPr>
          <w:rFonts w:ascii="Century Gothic" w:hAnsi="Century Gothic"/>
        </w:rPr>
        <w:t>) cambiar la cultura institucional de los servicios de la Comisión y del Servicio Europeo de Acción Exterior (SEAE) para cumplir los compromisos de la UE en igualdad de género con mayor eficacia.</w:t>
      </w:r>
      <w:r w:rsidR="00240158" w:rsidRPr="00E94619">
        <w:rPr>
          <w:rFonts w:ascii="Century Gothic" w:hAnsi="Century Gothic"/>
        </w:rPr>
        <w:t xml:space="preserve"> </w:t>
      </w:r>
      <w:r w:rsidR="0036411F" w:rsidRPr="00E94619">
        <w:rPr>
          <w:rFonts w:ascii="Century Gothic" w:hAnsi="Century Gothic"/>
        </w:rPr>
        <w:t>El GAP II (20</w:t>
      </w:r>
      <w:r w:rsidR="00B72372" w:rsidRPr="00E94619">
        <w:rPr>
          <w:rFonts w:ascii="Century Gothic" w:hAnsi="Century Gothic"/>
        </w:rPr>
        <w:t>21</w:t>
      </w:r>
      <w:r w:rsidR="0036411F" w:rsidRPr="00E94619">
        <w:rPr>
          <w:rFonts w:ascii="Century Gothic" w:hAnsi="Century Gothic"/>
        </w:rPr>
        <w:t>-202</w:t>
      </w:r>
      <w:r w:rsidR="00B72372" w:rsidRPr="00E94619">
        <w:rPr>
          <w:rFonts w:ascii="Century Gothic" w:hAnsi="Century Gothic"/>
        </w:rPr>
        <w:t>5</w:t>
      </w:r>
      <w:r w:rsidR="0036411F" w:rsidRPr="00E94619">
        <w:rPr>
          <w:rFonts w:ascii="Century Gothic" w:hAnsi="Century Gothic"/>
        </w:rPr>
        <w:t xml:space="preserve">) está estructurado a partir de los Objetivos de Desarrollo Sostenible (ODS) 2015-2030, y recoge en sus ámbitos diferentes objetivos que aportan a la igualdad de género. </w:t>
      </w:r>
    </w:p>
    <w:p w14:paraId="50AC6C19" w14:textId="77777777" w:rsidR="001238D7" w:rsidRPr="00E94619" w:rsidRDefault="001238D7" w:rsidP="000E5AC0">
      <w:pPr>
        <w:spacing w:after="0" w:line="240" w:lineRule="auto"/>
        <w:jc w:val="both"/>
        <w:rPr>
          <w:rFonts w:ascii="Century Gothic" w:hAnsi="Century Gothic"/>
        </w:rPr>
      </w:pPr>
    </w:p>
    <w:p w14:paraId="01BBDBE5" w14:textId="77777777" w:rsidR="001238D7" w:rsidRPr="00E94619" w:rsidRDefault="0036411F" w:rsidP="000E5AC0">
      <w:pPr>
        <w:spacing w:after="0"/>
        <w:jc w:val="both"/>
        <w:rPr>
          <w:rFonts w:ascii="Century Gothic" w:hAnsi="Century Gothic"/>
        </w:rPr>
      </w:pPr>
      <w:r w:rsidRPr="00E94619">
        <w:rPr>
          <w:rFonts w:ascii="Century Gothic" w:hAnsi="Century Gothic"/>
        </w:rPr>
        <w:t>Para implementar el Plan de Acción “</w:t>
      </w:r>
      <w:r w:rsidR="005B2502" w:rsidRPr="00E94619">
        <w:rPr>
          <w:rFonts w:ascii="Century Gothic" w:hAnsi="Century Gothic"/>
          <w:i/>
          <w:iCs/>
        </w:rPr>
        <w:t>Una visión ambiciosa de la igualdad de género y la capacitación de las mujeres para la acción exterior de la UE” (2021-2025)</w:t>
      </w:r>
      <w:r w:rsidR="005B2502" w:rsidRPr="00E94619">
        <w:rPr>
          <w:rFonts w:ascii="Century Gothic" w:hAnsi="Century Gothic"/>
        </w:rPr>
        <w:t>”</w:t>
      </w:r>
      <w:r w:rsidRPr="00E94619">
        <w:rPr>
          <w:rFonts w:ascii="Century Gothic" w:hAnsi="Century Gothic"/>
        </w:rPr>
        <w:t xml:space="preserve"> en Colombia, es necesario reconocer y responder a las condiciones específicas de desigualdad y violencia en que viven las mujeres y niñas de este país. Es por lo anterior que se construyó el presente documento con el “</w:t>
      </w:r>
      <w:r w:rsidRPr="00E94619">
        <w:rPr>
          <w:rFonts w:ascii="Century Gothic" w:hAnsi="Century Gothic"/>
          <w:i/>
        </w:rPr>
        <w:t>perfil de género de Colombia”</w:t>
      </w:r>
      <w:r w:rsidR="00016534" w:rsidRPr="00E94619">
        <w:rPr>
          <w:rFonts w:ascii="Century Gothic" w:hAnsi="Century Gothic"/>
        </w:rPr>
        <w:t>, que</w:t>
      </w:r>
      <w:r w:rsidRPr="00E94619">
        <w:rPr>
          <w:rFonts w:ascii="Century Gothic" w:hAnsi="Century Gothic"/>
        </w:rPr>
        <w:t xml:space="preserve"> contiene un análisis sistémico de género que da cuenta de manera amplia y detallada de la situación actual de las mujeres y las respuestas del Estado, de las organizaciones de la sociedad civil y de la cooperación internacional a sus problemáticas. En particular, este perfil profundiza y se estructura sobre los temas relacionados con l</w:t>
      </w:r>
      <w:r w:rsidR="00CF35B4" w:rsidRPr="00E94619">
        <w:rPr>
          <w:rFonts w:ascii="Century Gothic" w:hAnsi="Century Gothic"/>
        </w:rPr>
        <w:t xml:space="preserve">as seis áreas clave </w:t>
      </w:r>
      <w:r w:rsidR="00016534" w:rsidRPr="00E94619">
        <w:rPr>
          <w:rFonts w:ascii="Century Gothic" w:hAnsi="Century Gothic"/>
        </w:rPr>
        <w:t xml:space="preserve">de compromiso </w:t>
      </w:r>
      <w:r w:rsidRPr="00E94619">
        <w:rPr>
          <w:rFonts w:ascii="Century Gothic" w:hAnsi="Century Gothic"/>
        </w:rPr>
        <w:t>priorizad</w:t>
      </w:r>
      <w:r w:rsidR="00CF35B4" w:rsidRPr="00E94619">
        <w:rPr>
          <w:rFonts w:ascii="Century Gothic" w:hAnsi="Century Gothic"/>
        </w:rPr>
        <w:t>a</w:t>
      </w:r>
      <w:r w:rsidRPr="00E94619">
        <w:rPr>
          <w:rFonts w:ascii="Century Gothic" w:hAnsi="Century Gothic"/>
        </w:rPr>
        <w:t>s por la UE en el GAP II</w:t>
      </w:r>
      <w:r w:rsidR="00CF35B4" w:rsidRPr="00E94619">
        <w:rPr>
          <w:rFonts w:ascii="Century Gothic" w:hAnsi="Century Gothic"/>
        </w:rPr>
        <w:t>I</w:t>
      </w:r>
      <w:r w:rsidRPr="00E94619">
        <w:rPr>
          <w:rFonts w:ascii="Century Gothic" w:hAnsi="Century Gothic"/>
        </w:rPr>
        <w:t xml:space="preserve">. </w:t>
      </w:r>
    </w:p>
    <w:p w14:paraId="1EEF8762" w14:textId="77777777" w:rsidR="001238D7" w:rsidRPr="00E94619" w:rsidRDefault="001238D7" w:rsidP="000E5AC0">
      <w:pPr>
        <w:spacing w:after="0"/>
        <w:jc w:val="both"/>
        <w:rPr>
          <w:rFonts w:ascii="Century Gothic" w:hAnsi="Century Gothic"/>
        </w:rPr>
      </w:pPr>
    </w:p>
    <w:p w14:paraId="66296E01" w14:textId="77777777" w:rsidR="001238D7" w:rsidRPr="00E94619" w:rsidRDefault="0036411F" w:rsidP="000E5AC0">
      <w:pPr>
        <w:spacing w:after="0"/>
        <w:jc w:val="both"/>
        <w:rPr>
          <w:rFonts w:ascii="Century Gothic" w:hAnsi="Century Gothic"/>
        </w:rPr>
      </w:pPr>
      <w:r w:rsidRPr="00E94619">
        <w:rPr>
          <w:rFonts w:ascii="Century Gothic" w:hAnsi="Century Gothic"/>
        </w:rPr>
        <w:t xml:space="preserve">Para elaborar este </w:t>
      </w:r>
      <w:r w:rsidRPr="00E94619">
        <w:rPr>
          <w:rFonts w:ascii="Century Gothic" w:hAnsi="Century Gothic"/>
          <w:i/>
        </w:rPr>
        <w:t>Perfil de Género de Colombia</w:t>
      </w:r>
      <w:r w:rsidRPr="00E94619">
        <w:rPr>
          <w:rFonts w:ascii="Century Gothic" w:hAnsi="Century Gothic"/>
        </w:rPr>
        <w:t xml:space="preserve"> se tomaron los indicadores del GAP II</w:t>
      </w:r>
      <w:r w:rsidR="00CF35B4" w:rsidRPr="00E94619">
        <w:rPr>
          <w:rFonts w:ascii="Century Gothic" w:hAnsi="Century Gothic"/>
        </w:rPr>
        <w:t>I</w:t>
      </w:r>
      <w:r w:rsidRPr="00E94619">
        <w:rPr>
          <w:rFonts w:ascii="Century Gothic" w:hAnsi="Century Gothic"/>
        </w:rPr>
        <w:t xml:space="preserve"> de la Unión Europea que tienen aplicación de acuerdo a las condiciones del contexto colombiano, y se recaudó la información cuantitativa de fuentes oficiales que permitió identificar las brechas de género en relación a cada indicador. Además, se hizo un análisis de género con uso de información cualitativa (informes y estudios de diferentes organizaciones, marco jurídico y político) sobre cada tema y se buscaron datos que dieran cuenta de la situación de las mujeres por ciclo vital, grupo étnico y con orientaciones o identidades de género diversas. También, se identificaron las respuestas del Estado y la sociedad civil (organizaciones de mujeres y cooperación internacional) frente a cada uno de los indicadores, lo cual permitió tener una mirada integral sobre el estado de cada tema en el país. La </w:t>
      </w:r>
      <w:r w:rsidRPr="00E94619">
        <w:rPr>
          <w:rFonts w:ascii="Century Gothic" w:hAnsi="Century Gothic"/>
        </w:rPr>
        <w:lastRenderedPageBreak/>
        <w:t>información estadística fue presentada de manera gráfica de tal forma que facilite a la UE el uso de los datos durante los próximos cinco años.</w:t>
      </w:r>
    </w:p>
    <w:p w14:paraId="5E6DFE11" w14:textId="75CB5B2A" w:rsidR="001238D7" w:rsidRPr="00E94619" w:rsidRDefault="00830DBC" w:rsidP="000E5AC0">
      <w:pPr>
        <w:spacing w:after="0"/>
        <w:jc w:val="both"/>
        <w:rPr>
          <w:rFonts w:ascii="Century Gothic" w:hAnsi="Century Gothic"/>
        </w:rPr>
      </w:pPr>
      <w:r>
        <w:rPr>
          <w:rFonts w:ascii="Century Gothic" w:hAnsi="Century Gothic"/>
          <w:b/>
          <w:noProof/>
          <w:szCs w:val="24"/>
          <w:lang w:val="es-ES"/>
        </w:rPr>
        <w:drawing>
          <wp:anchor distT="0" distB="0" distL="114300" distR="114300" simplePos="0" relativeHeight="251745280" behindDoc="0" locked="0" layoutInCell="1" allowOverlap="1" wp14:anchorId="16D26529" wp14:editId="4F72F157">
            <wp:simplePos x="0" y="0"/>
            <wp:positionH relativeFrom="column">
              <wp:posOffset>-1028700</wp:posOffset>
            </wp:positionH>
            <wp:positionV relativeFrom="paragraph">
              <wp:posOffset>-1283970</wp:posOffset>
            </wp:positionV>
            <wp:extent cx="965835" cy="708660"/>
            <wp:effectExtent l="0" t="0" r="0" b="0"/>
            <wp:wrapSquare wrapText="bothSides"/>
            <wp:docPr id="322" name="Imagen 32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CB8CCFC" w14:textId="0E64E962" w:rsidR="001238D7" w:rsidRPr="00E94619" w:rsidRDefault="0036411F" w:rsidP="000E5AC0">
      <w:pPr>
        <w:spacing w:after="0"/>
        <w:jc w:val="both"/>
        <w:rPr>
          <w:rFonts w:ascii="Century Gothic" w:hAnsi="Century Gothic"/>
        </w:rPr>
      </w:pPr>
      <w:r w:rsidRPr="00E94619">
        <w:rPr>
          <w:rFonts w:ascii="Century Gothic" w:hAnsi="Century Gothic"/>
        </w:rPr>
        <w:t xml:space="preserve">Se espera que la información aportada por este </w:t>
      </w:r>
      <w:r w:rsidRPr="00E94619">
        <w:rPr>
          <w:rFonts w:ascii="Century Gothic" w:hAnsi="Century Gothic"/>
          <w:i/>
        </w:rPr>
        <w:t>Perfil de Género de Colombia</w:t>
      </w:r>
      <w:r w:rsidRPr="00E94619">
        <w:rPr>
          <w:rFonts w:ascii="Century Gothic" w:hAnsi="Century Gothic"/>
        </w:rPr>
        <w:t xml:space="preserve"> facilite a los </w:t>
      </w:r>
      <w:r w:rsidR="00353460" w:rsidRPr="00E94619">
        <w:rPr>
          <w:rFonts w:ascii="Century Gothic" w:hAnsi="Century Gothic"/>
        </w:rPr>
        <w:t xml:space="preserve">equipos </w:t>
      </w:r>
      <w:r w:rsidRPr="00E94619">
        <w:rPr>
          <w:rFonts w:ascii="Century Gothic" w:hAnsi="Century Gothic"/>
        </w:rPr>
        <w:t xml:space="preserve">de la Unión Europea y </w:t>
      </w:r>
      <w:r w:rsidR="00353460" w:rsidRPr="00E94619">
        <w:rPr>
          <w:rFonts w:ascii="Century Gothic" w:hAnsi="Century Gothic"/>
        </w:rPr>
        <w:t>sus Estados Miembros</w:t>
      </w:r>
      <w:r w:rsidR="00404C35" w:rsidRPr="00E94619">
        <w:rPr>
          <w:rFonts w:ascii="Century Gothic" w:hAnsi="Century Gothic"/>
        </w:rPr>
        <w:t xml:space="preserve"> </w:t>
      </w:r>
      <w:r w:rsidRPr="00E94619">
        <w:rPr>
          <w:rFonts w:ascii="Century Gothic" w:hAnsi="Century Gothic"/>
        </w:rPr>
        <w:t xml:space="preserve">con presencia en </w:t>
      </w:r>
      <w:r w:rsidR="00404C35" w:rsidRPr="00E94619">
        <w:rPr>
          <w:rFonts w:ascii="Century Gothic" w:hAnsi="Century Gothic"/>
        </w:rPr>
        <w:t>Colombia</w:t>
      </w:r>
      <w:r w:rsidRPr="00E94619">
        <w:rPr>
          <w:rFonts w:ascii="Century Gothic" w:hAnsi="Century Gothic"/>
        </w:rPr>
        <w:t xml:space="preserve">, </w:t>
      </w:r>
      <w:r w:rsidR="00404C35" w:rsidRPr="00E94619">
        <w:rPr>
          <w:rFonts w:ascii="Century Gothic" w:hAnsi="Century Gothic"/>
        </w:rPr>
        <w:t xml:space="preserve">diseñar e implementar iniciativas para el cierre de brechas de género, en diálogo con instituciones del Estado colombiano, las organizaciones de la sociedad civil, del movimiento de mujeres, organizaciones LGBTIQ+ y del sector privado.  </w:t>
      </w:r>
    </w:p>
    <w:p w14:paraId="189CAE39" w14:textId="77777777" w:rsidR="001238D7" w:rsidRPr="00E94619" w:rsidRDefault="001238D7" w:rsidP="000E5AC0">
      <w:pPr>
        <w:spacing w:after="0"/>
        <w:jc w:val="both"/>
        <w:rPr>
          <w:rFonts w:ascii="Century Gothic" w:hAnsi="Century Gothic"/>
        </w:rPr>
      </w:pPr>
    </w:p>
    <w:p w14:paraId="4DD48FE8" w14:textId="77777777" w:rsidR="001238D7" w:rsidRDefault="0036411F" w:rsidP="000E5AC0">
      <w:pPr>
        <w:spacing w:after="0"/>
        <w:jc w:val="both"/>
        <w:rPr>
          <w:rFonts w:ascii="Century Gothic" w:hAnsi="Century Gothic"/>
        </w:rPr>
      </w:pPr>
      <w:r w:rsidRPr="00E94619">
        <w:rPr>
          <w:rFonts w:ascii="Century Gothic" w:hAnsi="Century Gothic"/>
        </w:rPr>
        <w:t xml:space="preserve">Este documento está estructurado en </w:t>
      </w:r>
      <w:r w:rsidR="00E14F1C" w:rsidRPr="00E94619">
        <w:rPr>
          <w:rFonts w:ascii="Century Gothic" w:hAnsi="Century Gothic"/>
        </w:rPr>
        <w:t xml:space="preserve">ocho </w:t>
      </w:r>
      <w:r w:rsidRPr="00E94619">
        <w:rPr>
          <w:rFonts w:ascii="Century Gothic" w:hAnsi="Century Gothic"/>
        </w:rPr>
        <w:t xml:space="preserve">capítulos. Los dos primeros brindan elementos del contexto general del país con datos demográficos y la arquitectura del estado para la garantía de los derechos de las mujeres y las niñas. Los </w:t>
      </w:r>
      <w:r w:rsidR="001B2B8B" w:rsidRPr="00E94619">
        <w:rPr>
          <w:rFonts w:ascii="Century Gothic" w:hAnsi="Century Gothic"/>
        </w:rPr>
        <w:t>seis</w:t>
      </w:r>
      <w:r w:rsidRPr="00E94619">
        <w:rPr>
          <w:rFonts w:ascii="Century Gothic" w:hAnsi="Century Gothic"/>
        </w:rPr>
        <w:t xml:space="preserve"> capítulos siguientes responden a los indicadores de l</w:t>
      </w:r>
      <w:r w:rsidR="00E14F1C" w:rsidRPr="00E94619">
        <w:rPr>
          <w:rFonts w:ascii="Century Gothic" w:hAnsi="Century Gothic"/>
        </w:rPr>
        <w:t xml:space="preserve">as seis áreas claves del </w:t>
      </w:r>
      <w:r w:rsidRPr="00E94619">
        <w:rPr>
          <w:rFonts w:ascii="Century Gothic" w:hAnsi="Century Gothic"/>
        </w:rPr>
        <w:t>GAP II</w:t>
      </w:r>
      <w:r w:rsidR="00E14F1C" w:rsidRPr="00E94619">
        <w:rPr>
          <w:rFonts w:ascii="Century Gothic" w:hAnsi="Century Gothic"/>
        </w:rPr>
        <w:t>I</w:t>
      </w:r>
      <w:r w:rsidRPr="00E94619">
        <w:rPr>
          <w:rFonts w:ascii="Century Gothic" w:hAnsi="Century Gothic"/>
        </w:rPr>
        <w:t xml:space="preserve"> y muestran las brechas de género en cada uno de ellos. También, aportan información sobre los avances del estado en los diferentes temas y las respuestas de la sociedad civil. Finalmente, se presenta un análisis de los retos que tiene el país para alcanzar la igualdad de género en los diferentes indicadores.  </w:t>
      </w:r>
    </w:p>
    <w:p w14:paraId="23F0FAB9" w14:textId="77777777" w:rsidR="00426A44" w:rsidRDefault="00426A44" w:rsidP="000E5AC0">
      <w:pPr>
        <w:spacing w:after="0"/>
        <w:jc w:val="both"/>
        <w:rPr>
          <w:rFonts w:ascii="Century Gothic" w:hAnsi="Century Gothic"/>
        </w:rPr>
      </w:pPr>
    </w:p>
    <w:p w14:paraId="6ECF43C6" w14:textId="77777777" w:rsidR="00426A44" w:rsidRDefault="00426A44" w:rsidP="000E5AC0">
      <w:pPr>
        <w:spacing w:after="0"/>
        <w:jc w:val="both"/>
        <w:rPr>
          <w:rFonts w:ascii="Century Gothic" w:hAnsi="Century Gothic"/>
        </w:rPr>
      </w:pPr>
    </w:p>
    <w:p w14:paraId="20680874" w14:textId="77777777" w:rsidR="00426A44" w:rsidRDefault="00426A44" w:rsidP="000E5AC0">
      <w:pPr>
        <w:spacing w:after="0"/>
        <w:jc w:val="both"/>
        <w:rPr>
          <w:rFonts w:ascii="Century Gothic" w:hAnsi="Century Gothic"/>
        </w:rPr>
      </w:pPr>
    </w:p>
    <w:p w14:paraId="521917FE" w14:textId="77777777" w:rsidR="00426A44" w:rsidRDefault="00426A44" w:rsidP="000E5AC0">
      <w:pPr>
        <w:spacing w:after="0"/>
        <w:jc w:val="both"/>
        <w:rPr>
          <w:rFonts w:ascii="Century Gothic" w:hAnsi="Century Gothic"/>
        </w:rPr>
      </w:pPr>
    </w:p>
    <w:p w14:paraId="27BA3A8D" w14:textId="77777777" w:rsidR="00426A44" w:rsidRDefault="00426A44" w:rsidP="000E5AC0">
      <w:pPr>
        <w:spacing w:after="0"/>
        <w:jc w:val="both"/>
        <w:rPr>
          <w:rFonts w:ascii="Century Gothic" w:hAnsi="Century Gothic"/>
        </w:rPr>
      </w:pPr>
    </w:p>
    <w:p w14:paraId="2E64ED71" w14:textId="77777777" w:rsidR="00426A44" w:rsidRDefault="00426A44" w:rsidP="000E5AC0">
      <w:pPr>
        <w:spacing w:after="0"/>
        <w:jc w:val="both"/>
        <w:rPr>
          <w:rFonts w:ascii="Century Gothic" w:hAnsi="Century Gothic"/>
        </w:rPr>
      </w:pPr>
    </w:p>
    <w:p w14:paraId="70F5E70F" w14:textId="77777777" w:rsidR="00426A44" w:rsidRDefault="00426A44" w:rsidP="000E5AC0">
      <w:pPr>
        <w:spacing w:after="0"/>
        <w:jc w:val="both"/>
        <w:rPr>
          <w:rFonts w:ascii="Century Gothic" w:hAnsi="Century Gothic"/>
        </w:rPr>
      </w:pPr>
    </w:p>
    <w:p w14:paraId="24AE1094" w14:textId="77777777" w:rsidR="00426A44" w:rsidRDefault="00426A44" w:rsidP="000E5AC0">
      <w:pPr>
        <w:spacing w:after="0"/>
        <w:jc w:val="both"/>
        <w:rPr>
          <w:rFonts w:ascii="Century Gothic" w:hAnsi="Century Gothic"/>
        </w:rPr>
      </w:pPr>
    </w:p>
    <w:p w14:paraId="44BEC76C" w14:textId="77777777" w:rsidR="00426A44" w:rsidRDefault="00426A44" w:rsidP="000E5AC0">
      <w:pPr>
        <w:spacing w:after="0"/>
        <w:jc w:val="both"/>
        <w:rPr>
          <w:rFonts w:ascii="Century Gothic" w:hAnsi="Century Gothic"/>
        </w:rPr>
      </w:pPr>
    </w:p>
    <w:p w14:paraId="65F542EA" w14:textId="77777777" w:rsidR="00426A44" w:rsidRDefault="00426A44" w:rsidP="000E5AC0">
      <w:pPr>
        <w:spacing w:after="0"/>
        <w:jc w:val="both"/>
        <w:rPr>
          <w:rFonts w:ascii="Century Gothic" w:hAnsi="Century Gothic"/>
        </w:rPr>
      </w:pPr>
    </w:p>
    <w:p w14:paraId="0D14EC31" w14:textId="77777777" w:rsidR="00426A44" w:rsidRDefault="00426A44" w:rsidP="000E5AC0">
      <w:pPr>
        <w:spacing w:after="0"/>
        <w:jc w:val="both"/>
        <w:rPr>
          <w:rFonts w:ascii="Century Gothic" w:hAnsi="Century Gothic"/>
        </w:rPr>
      </w:pPr>
    </w:p>
    <w:p w14:paraId="76B5DDD4" w14:textId="77777777" w:rsidR="00426A44" w:rsidRDefault="00426A44" w:rsidP="000E5AC0">
      <w:pPr>
        <w:spacing w:after="0"/>
        <w:jc w:val="both"/>
        <w:rPr>
          <w:rFonts w:ascii="Century Gothic" w:hAnsi="Century Gothic"/>
        </w:rPr>
      </w:pPr>
    </w:p>
    <w:p w14:paraId="3A0BF98A" w14:textId="77777777" w:rsidR="00426A44" w:rsidRDefault="00426A44" w:rsidP="000E5AC0">
      <w:pPr>
        <w:spacing w:after="0"/>
        <w:jc w:val="both"/>
        <w:rPr>
          <w:rFonts w:ascii="Century Gothic" w:hAnsi="Century Gothic"/>
        </w:rPr>
      </w:pPr>
    </w:p>
    <w:p w14:paraId="7870EFC8" w14:textId="77777777" w:rsidR="00426A44" w:rsidRDefault="00426A44" w:rsidP="000E5AC0">
      <w:pPr>
        <w:spacing w:after="0"/>
        <w:jc w:val="both"/>
        <w:rPr>
          <w:rFonts w:ascii="Century Gothic" w:hAnsi="Century Gothic"/>
        </w:rPr>
      </w:pPr>
    </w:p>
    <w:p w14:paraId="1FABC4E4" w14:textId="77777777" w:rsidR="00426A44" w:rsidRDefault="00426A44" w:rsidP="000E5AC0">
      <w:pPr>
        <w:spacing w:after="0"/>
        <w:jc w:val="both"/>
        <w:rPr>
          <w:rFonts w:ascii="Century Gothic" w:hAnsi="Century Gothic"/>
        </w:rPr>
      </w:pPr>
    </w:p>
    <w:p w14:paraId="1BAD34C6" w14:textId="77777777" w:rsidR="00426A44" w:rsidRDefault="00426A44" w:rsidP="000E5AC0">
      <w:pPr>
        <w:spacing w:after="0"/>
        <w:jc w:val="both"/>
        <w:rPr>
          <w:rFonts w:ascii="Century Gothic" w:hAnsi="Century Gothic"/>
        </w:rPr>
      </w:pPr>
    </w:p>
    <w:p w14:paraId="5ECE5084" w14:textId="77777777" w:rsidR="00426A44" w:rsidRDefault="00426A44" w:rsidP="000E5AC0">
      <w:pPr>
        <w:spacing w:after="0"/>
        <w:jc w:val="both"/>
        <w:rPr>
          <w:rFonts w:ascii="Century Gothic" w:hAnsi="Century Gothic"/>
        </w:rPr>
      </w:pPr>
    </w:p>
    <w:p w14:paraId="2BF3C7D3" w14:textId="77777777" w:rsidR="00426A44" w:rsidRDefault="00426A44" w:rsidP="000E5AC0">
      <w:pPr>
        <w:spacing w:after="0"/>
        <w:jc w:val="both"/>
        <w:rPr>
          <w:rFonts w:ascii="Century Gothic" w:hAnsi="Century Gothic"/>
        </w:rPr>
      </w:pPr>
    </w:p>
    <w:p w14:paraId="4245A465" w14:textId="77777777" w:rsidR="00426A44" w:rsidRDefault="00426A44" w:rsidP="000E5AC0">
      <w:pPr>
        <w:spacing w:after="0"/>
        <w:jc w:val="both"/>
        <w:rPr>
          <w:rFonts w:ascii="Century Gothic" w:hAnsi="Century Gothic"/>
        </w:rPr>
      </w:pPr>
    </w:p>
    <w:p w14:paraId="04C0A01F" w14:textId="77777777" w:rsidR="00426A44" w:rsidRDefault="00426A44" w:rsidP="000E5AC0">
      <w:pPr>
        <w:spacing w:after="0"/>
        <w:jc w:val="both"/>
        <w:rPr>
          <w:rFonts w:ascii="Century Gothic" w:hAnsi="Century Gothic"/>
        </w:rPr>
      </w:pPr>
    </w:p>
    <w:p w14:paraId="6CCB682D" w14:textId="77777777" w:rsidR="00426A44" w:rsidRDefault="00426A44" w:rsidP="000E5AC0">
      <w:pPr>
        <w:spacing w:after="0"/>
        <w:jc w:val="both"/>
        <w:rPr>
          <w:rFonts w:ascii="Century Gothic" w:hAnsi="Century Gothic"/>
        </w:rPr>
      </w:pPr>
    </w:p>
    <w:p w14:paraId="526878EA" w14:textId="77777777" w:rsidR="00426A44" w:rsidRDefault="00426A44" w:rsidP="000E5AC0">
      <w:pPr>
        <w:spacing w:after="0"/>
        <w:jc w:val="both"/>
        <w:rPr>
          <w:rFonts w:ascii="Century Gothic" w:hAnsi="Century Gothic"/>
        </w:rPr>
      </w:pPr>
    </w:p>
    <w:p w14:paraId="0CF37883" w14:textId="77777777" w:rsidR="00426A44" w:rsidRDefault="00426A44" w:rsidP="000E5AC0">
      <w:pPr>
        <w:spacing w:after="0"/>
        <w:jc w:val="both"/>
        <w:rPr>
          <w:rFonts w:ascii="Century Gothic" w:hAnsi="Century Gothic"/>
        </w:rPr>
      </w:pPr>
    </w:p>
    <w:p w14:paraId="7362E259" w14:textId="77777777" w:rsidR="00426A44" w:rsidRDefault="00426A44" w:rsidP="000E5AC0">
      <w:pPr>
        <w:spacing w:after="0"/>
        <w:jc w:val="both"/>
        <w:rPr>
          <w:rFonts w:ascii="Century Gothic" w:hAnsi="Century Gothic"/>
        </w:rPr>
      </w:pPr>
    </w:p>
    <w:p w14:paraId="33926958" w14:textId="77777777" w:rsidR="00426A44" w:rsidRDefault="00426A44" w:rsidP="000E5AC0">
      <w:pPr>
        <w:spacing w:after="0"/>
        <w:jc w:val="both"/>
        <w:rPr>
          <w:rFonts w:ascii="Century Gothic" w:hAnsi="Century Gothic"/>
        </w:rPr>
      </w:pPr>
    </w:p>
    <w:p w14:paraId="12E015EF" w14:textId="77777777" w:rsidR="00426A44" w:rsidRDefault="00426A44" w:rsidP="000E5AC0">
      <w:pPr>
        <w:spacing w:after="0"/>
        <w:jc w:val="both"/>
        <w:rPr>
          <w:rFonts w:ascii="Century Gothic" w:hAnsi="Century Gothic"/>
        </w:rPr>
      </w:pPr>
    </w:p>
    <w:p w14:paraId="39B637CF" w14:textId="77777777" w:rsidR="00426A44" w:rsidRDefault="00426A44" w:rsidP="000E5AC0">
      <w:pPr>
        <w:spacing w:after="0"/>
        <w:jc w:val="both"/>
        <w:rPr>
          <w:rFonts w:ascii="Century Gothic" w:hAnsi="Century Gothic"/>
        </w:rPr>
      </w:pPr>
    </w:p>
    <w:p w14:paraId="1E87CCB4" w14:textId="77777777" w:rsidR="00426A44" w:rsidRDefault="00426A44" w:rsidP="000E5AC0">
      <w:pPr>
        <w:spacing w:after="0"/>
        <w:jc w:val="both"/>
        <w:rPr>
          <w:rFonts w:ascii="Century Gothic" w:hAnsi="Century Gothic"/>
        </w:rPr>
      </w:pPr>
    </w:p>
    <w:p w14:paraId="5AC4DA53" w14:textId="77777777" w:rsidR="00426A44" w:rsidRPr="00E94619" w:rsidRDefault="00426A44" w:rsidP="000E5AC0">
      <w:pPr>
        <w:spacing w:after="0"/>
        <w:jc w:val="both"/>
        <w:rPr>
          <w:rFonts w:ascii="Century Gothic" w:hAnsi="Century Gothic"/>
        </w:rPr>
      </w:pPr>
    </w:p>
    <w:p w14:paraId="3EB4120E" w14:textId="157548B4" w:rsidR="00426A44" w:rsidRDefault="00830DBC" w:rsidP="00426A44">
      <w:pPr>
        <w:pStyle w:val="Ttulo1"/>
        <w:rPr>
          <w:rFonts w:ascii="Century Gothic" w:eastAsia="Cambria" w:hAnsi="Century Gothic" w:cs="Cambria"/>
          <w:b/>
          <w:szCs w:val="24"/>
        </w:rPr>
      </w:pPr>
      <w:r>
        <w:rPr>
          <w:rFonts w:ascii="Century Gothic" w:hAnsi="Century Gothic"/>
          <w:b/>
          <w:noProof/>
          <w:szCs w:val="24"/>
          <w:lang w:val="es-ES"/>
        </w:rPr>
        <w:lastRenderedPageBreak/>
        <w:drawing>
          <wp:anchor distT="0" distB="0" distL="114300" distR="114300" simplePos="0" relativeHeight="251747328" behindDoc="0" locked="0" layoutInCell="1" allowOverlap="1" wp14:anchorId="4EA37251" wp14:editId="6684C131">
            <wp:simplePos x="0" y="0"/>
            <wp:positionH relativeFrom="column">
              <wp:posOffset>-1143000</wp:posOffset>
            </wp:positionH>
            <wp:positionV relativeFrom="paragraph">
              <wp:posOffset>-914400</wp:posOffset>
            </wp:positionV>
            <wp:extent cx="965835" cy="708660"/>
            <wp:effectExtent l="0" t="0" r="0" b="0"/>
            <wp:wrapSquare wrapText="bothSides"/>
            <wp:docPr id="327" name="Imagen 32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426A44">
        <w:rPr>
          <w:rFonts w:ascii="Century Gothic" w:eastAsia="Cambria" w:hAnsi="Century Gothic" w:cs="Cambria"/>
          <w:b/>
          <w:noProof/>
          <w:szCs w:val="24"/>
          <w:lang w:val="es-ES"/>
        </w:rPr>
        <w:drawing>
          <wp:anchor distT="0" distB="0" distL="114300" distR="114300" simplePos="0" relativeHeight="251659264" behindDoc="1" locked="0" layoutInCell="1" allowOverlap="1" wp14:anchorId="23BE53CE" wp14:editId="33F904FB">
            <wp:simplePos x="0" y="0"/>
            <wp:positionH relativeFrom="column">
              <wp:posOffset>-114300</wp:posOffset>
            </wp:positionH>
            <wp:positionV relativeFrom="paragraph">
              <wp:posOffset>4445</wp:posOffset>
            </wp:positionV>
            <wp:extent cx="5396230" cy="567055"/>
            <wp:effectExtent l="0" t="0" r="0" b="0"/>
            <wp:wrapNone/>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p>
    <w:p w14:paraId="6EA190E5" w14:textId="55D18EA2" w:rsidR="001238D7" w:rsidRPr="00426A44" w:rsidRDefault="0036411F" w:rsidP="00426A44">
      <w:pPr>
        <w:pStyle w:val="Ttulo1"/>
        <w:rPr>
          <w:rFonts w:ascii="Century Gothic" w:eastAsia="Cambria" w:hAnsi="Century Gothic" w:cs="Cambria"/>
          <w:b/>
          <w:szCs w:val="24"/>
        </w:rPr>
      </w:pPr>
      <w:bookmarkStart w:id="3" w:name="_Toc488624222"/>
      <w:r w:rsidRPr="00426A44">
        <w:rPr>
          <w:rFonts w:ascii="Century Gothic" w:eastAsia="Cambria" w:hAnsi="Century Gothic" w:cs="Cambria"/>
          <w:b/>
          <w:szCs w:val="24"/>
        </w:rPr>
        <w:t>I-C</w:t>
      </w:r>
      <w:r w:rsidR="00426A44">
        <w:rPr>
          <w:rFonts w:ascii="Century Gothic" w:eastAsia="Cambria" w:hAnsi="Century Gothic" w:cs="Cambria"/>
          <w:b/>
          <w:szCs w:val="24"/>
        </w:rPr>
        <w:t>aracteristicas sociodemográficas de Colombia</w:t>
      </w:r>
      <w:bookmarkEnd w:id="3"/>
    </w:p>
    <w:p w14:paraId="47408452" w14:textId="77777777" w:rsidR="001238D7" w:rsidRPr="00E94619" w:rsidRDefault="001238D7" w:rsidP="000E5AC0">
      <w:pPr>
        <w:spacing w:after="0" w:line="240" w:lineRule="auto"/>
        <w:jc w:val="center"/>
        <w:rPr>
          <w:rFonts w:ascii="Century Gothic" w:hAnsi="Century Gothic"/>
          <w:b/>
        </w:rPr>
      </w:pPr>
    </w:p>
    <w:p w14:paraId="1121239F" w14:textId="14719DF2" w:rsidR="001238D7" w:rsidRPr="00426A44" w:rsidRDefault="0036411F" w:rsidP="000E5AC0">
      <w:pPr>
        <w:pStyle w:val="Ttulo2"/>
        <w:rPr>
          <w:rFonts w:ascii="Century Gothic" w:hAnsi="Century Gothic"/>
          <w:color w:val="CC0066"/>
        </w:rPr>
      </w:pPr>
      <w:bookmarkStart w:id="4" w:name="_Toc488624223"/>
      <w:r w:rsidRPr="00426A44">
        <w:rPr>
          <w:rFonts w:ascii="Century Gothic" w:hAnsi="Century Gothic"/>
          <w:color w:val="CC0066"/>
        </w:rPr>
        <w:t>1. P</w:t>
      </w:r>
      <w:r w:rsidR="00426A44" w:rsidRPr="00426A44">
        <w:rPr>
          <w:rFonts w:ascii="Century Gothic" w:hAnsi="Century Gothic"/>
          <w:color w:val="CC0066"/>
        </w:rPr>
        <w:t>oblación Colombiana desagregada por sexo y grupos de edad</w:t>
      </w:r>
      <w:bookmarkEnd w:id="4"/>
    </w:p>
    <w:p w14:paraId="3F603878" w14:textId="77777777" w:rsidR="001238D7" w:rsidRPr="00E94619" w:rsidRDefault="001238D7" w:rsidP="000E5AC0">
      <w:pPr>
        <w:spacing w:after="0" w:line="240" w:lineRule="auto"/>
        <w:jc w:val="both"/>
        <w:rPr>
          <w:rFonts w:ascii="Century Gothic" w:hAnsi="Century Gothic"/>
          <w:b/>
        </w:rPr>
      </w:pPr>
    </w:p>
    <w:p w14:paraId="696325CA" w14:textId="77777777" w:rsidR="001238D7" w:rsidRPr="00E94619" w:rsidRDefault="00220AC6" w:rsidP="000E5AC0">
      <w:pPr>
        <w:spacing w:after="0" w:line="240" w:lineRule="auto"/>
        <w:jc w:val="both"/>
        <w:rPr>
          <w:rFonts w:ascii="Century Gothic" w:hAnsi="Century Gothic"/>
        </w:rPr>
      </w:pPr>
      <w:r w:rsidRPr="00E94619">
        <w:rPr>
          <w:rFonts w:ascii="Century Gothic" w:hAnsi="Century Gothic"/>
        </w:rPr>
        <w:t>De acuerdo con el</w:t>
      </w:r>
      <w:r w:rsidR="0036411F" w:rsidRPr="00E94619">
        <w:rPr>
          <w:rFonts w:ascii="Century Gothic" w:hAnsi="Century Gothic"/>
        </w:rPr>
        <w:t xml:space="preserve"> Departamento Administrativo Nacional de Estadísticas (DANE), </w:t>
      </w:r>
      <w:r w:rsidR="00016534" w:rsidRPr="00E94619">
        <w:rPr>
          <w:rFonts w:ascii="Century Gothic" w:hAnsi="Century Gothic"/>
        </w:rPr>
        <w:t>en 2021</w:t>
      </w:r>
      <w:r w:rsidR="0036411F" w:rsidRPr="00E94619">
        <w:rPr>
          <w:rFonts w:ascii="Century Gothic" w:hAnsi="Century Gothic"/>
        </w:rPr>
        <w:t xml:space="preserve"> Colombia tenía una población proyectada de </w:t>
      </w:r>
      <w:r w:rsidR="00016534" w:rsidRPr="00E94619">
        <w:rPr>
          <w:rFonts w:ascii="Century Gothic" w:hAnsi="Century Gothic"/>
        </w:rPr>
        <w:t>51.049.498</w:t>
      </w:r>
      <w:r w:rsidR="0036411F" w:rsidRPr="00E94619">
        <w:rPr>
          <w:rFonts w:ascii="Century Gothic" w:hAnsi="Century Gothic"/>
        </w:rPr>
        <w:t xml:space="preserve"> de personas, de las cuales el 48,8% eran hombres y el 51,2% mujeres. En las zonas rurales habitaba el 22.9% y en las zonas urbanas el 77.1%. Según el Censo Nacional de Población y Vivienda (2018)</w:t>
      </w:r>
      <w:r w:rsidRPr="00E94619">
        <w:rPr>
          <w:rStyle w:val="Refdenotaalpie"/>
          <w:rFonts w:ascii="Century Gothic" w:hAnsi="Century Gothic"/>
        </w:rPr>
        <w:footnoteReference w:id="1"/>
      </w:r>
      <w:r w:rsidR="0036411F" w:rsidRPr="00E94619">
        <w:rPr>
          <w:rFonts w:ascii="Century Gothic" w:hAnsi="Century Gothic"/>
        </w:rPr>
        <w:t xml:space="preserve">, el 14.34% de la población colombiana se identificó como parte de un pueblo indígena o afrodescendiente. </w:t>
      </w:r>
    </w:p>
    <w:p w14:paraId="36B0E216" w14:textId="77777777" w:rsidR="001238D7" w:rsidRPr="00E94619" w:rsidRDefault="001238D7" w:rsidP="000E5AC0">
      <w:pPr>
        <w:spacing w:after="0" w:line="240" w:lineRule="auto"/>
        <w:jc w:val="both"/>
        <w:rPr>
          <w:rFonts w:ascii="Century Gothic" w:hAnsi="Century Gothic"/>
        </w:rPr>
      </w:pPr>
    </w:p>
    <w:p w14:paraId="3ADE3FD5"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Al revisar los datos del DANE de población por grupos de edad, se encuentra que el  68.2% de la población colombiana está en los rangos de edad de 15 a 39 años, y por sexo que el 41,7% de los hombres se ubica en ese rango de edad y el 40,1% de las mujeres. Esto evidencia que Colombia es un país de población joven, especialmente la masculina. </w:t>
      </w:r>
    </w:p>
    <w:p w14:paraId="7B43A00C" w14:textId="77777777" w:rsidR="001238D7" w:rsidRPr="00E94619" w:rsidRDefault="001238D7" w:rsidP="000E5AC0">
      <w:pPr>
        <w:spacing w:after="0" w:line="240" w:lineRule="auto"/>
        <w:jc w:val="both"/>
        <w:rPr>
          <w:rFonts w:ascii="Century Gothic" w:hAnsi="Century Gothic"/>
          <w:sz w:val="16"/>
          <w:szCs w:val="16"/>
        </w:rPr>
      </w:pPr>
    </w:p>
    <w:p w14:paraId="6C5FEC1C" w14:textId="66781DB0" w:rsidR="001238D7" w:rsidRPr="00426A44" w:rsidRDefault="0036411F" w:rsidP="000E5AC0">
      <w:pPr>
        <w:spacing w:after="0" w:line="240" w:lineRule="auto"/>
        <w:jc w:val="both"/>
        <w:rPr>
          <w:rFonts w:ascii="Century Gothic" w:hAnsi="Century Gothic"/>
          <w:b/>
          <w:color w:val="CC0066"/>
        </w:rPr>
      </w:pPr>
      <w:r w:rsidRPr="00426A44">
        <w:rPr>
          <w:rFonts w:ascii="Century Gothic" w:hAnsi="Century Gothic"/>
          <w:b/>
          <w:color w:val="CC0066"/>
        </w:rPr>
        <w:t>2</w:t>
      </w:r>
      <w:r w:rsidRPr="00426A44">
        <w:rPr>
          <w:rStyle w:val="Ttulo2Car"/>
          <w:rFonts w:ascii="Century Gothic" w:hAnsi="Century Gothic"/>
          <w:color w:val="CC0066"/>
        </w:rPr>
        <w:t xml:space="preserve">. </w:t>
      </w:r>
      <w:r w:rsidRPr="00426A44">
        <w:rPr>
          <w:rStyle w:val="Ttulo2Car"/>
          <w:rFonts w:ascii="Century Gothic" w:hAnsi="Century Gothic"/>
          <w:color w:val="CC0066"/>
          <w:lang w:val="es-ES_tradnl" w:eastAsia="es-ES"/>
        </w:rPr>
        <w:t>T</w:t>
      </w:r>
      <w:r w:rsidR="00426A44" w:rsidRPr="00426A44">
        <w:rPr>
          <w:rStyle w:val="Ttulo2Car"/>
          <w:rFonts w:ascii="Century Gothic" w:hAnsi="Century Gothic"/>
          <w:color w:val="CC0066"/>
          <w:lang w:val="es-ES_tradnl" w:eastAsia="es-ES"/>
        </w:rPr>
        <w:t xml:space="preserve">ransformaciones en la composición demográfica de Colombia </w:t>
      </w:r>
    </w:p>
    <w:p w14:paraId="36F1E2D6" w14:textId="77777777" w:rsidR="001238D7" w:rsidRPr="00E94619" w:rsidRDefault="001238D7" w:rsidP="000E5AC0">
      <w:pPr>
        <w:spacing w:after="0" w:line="240" w:lineRule="auto"/>
        <w:jc w:val="both"/>
        <w:rPr>
          <w:rFonts w:ascii="Century Gothic" w:hAnsi="Century Gothic"/>
        </w:rPr>
      </w:pPr>
    </w:p>
    <w:p w14:paraId="7897FE89"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Colombia, como todos los países de América Latina, ha tenido transformaciones en su comportamiento demográfico en los últimos sesenta años. Estos cambios están relacionados con el proceso de urbanización derivado del crecimiento de la población que habita en las ciudades, debido al fuerte éxodo de lo rural a lo urbano, entre otras razones, por la presencia del conflicto armado.</w:t>
      </w:r>
    </w:p>
    <w:p w14:paraId="7A0CC2F4" w14:textId="77777777" w:rsidR="001238D7" w:rsidRPr="00E94619" w:rsidRDefault="001238D7" w:rsidP="000E5AC0">
      <w:pPr>
        <w:spacing w:after="0" w:line="240" w:lineRule="auto"/>
        <w:jc w:val="both"/>
        <w:rPr>
          <w:rFonts w:ascii="Century Gothic" w:hAnsi="Century Gothic"/>
        </w:rPr>
      </w:pPr>
    </w:p>
    <w:p w14:paraId="56A00E24"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De acuerdo con los análisis del Centro Latinoamericano y Caribeño de Demografía (CELADE), hubo una expulsión selectiva del campo a la ciudad, representada en población en edad de trabajar y especialmente mujeres, lo que fue afectando las estructuras por sexo y edad en la población urbana y rural en la región y llevó a que el índice de masculinidad (hombres por cada 100 mujeres) para Colombia hay 104,7 mujeres por cada 100 hombres</w:t>
      </w:r>
      <w:r w:rsidR="00220AC6" w:rsidRPr="00E94619">
        <w:rPr>
          <w:rFonts w:ascii="Century Gothic" w:hAnsi="Century Gothic"/>
        </w:rPr>
        <w:t xml:space="preserve"> </w:t>
      </w:r>
      <w:sdt>
        <w:sdtPr>
          <w:rPr>
            <w:rFonts w:ascii="Century Gothic" w:hAnsi="Century Gothic"/>
          </w:rPr>
          <w:id w:val="63616853"/>
          <w:citation/>
        </w:sdtPr>
        <w:sdtContent>
          <w:r w:rsidR="00220AC6" w:rsidRPr="00E94619">
            <w:rPr>
              <w:rFonts w:ascii="Century Gothic" w:hAnsi="Century Gothic"/>
            </w:rPr>
            <w:fldChar w:fldCharType="begin"/>
          </w:r>
          <w:r w:rsidR="00220AC6" w:rsidRPr="00E94619">
            <w:rPr>
              <w:rFonts w:ascii="Century Gothic" w:hAnsi="Century Gothic"/>
              <w:lang w:val="es-MX"/>
            </w:rPr>
            <w:instrText xml:space="preserve"> CITATION ONU18 \l 2058 </w:instrText>
          </w:r>
          <w:r w:rsidR="00220AC6" w:rsidRPr="00E94619">
            <w:rPr>
              <w:rFonts w:ascii="Century Gothic" w:hAnsi="Century Gothic"/>
            </w:rPr>
            <w:fldChar w:fldCharType="separate"/>
          </w:r>
          <w:r w:rsidR="00220AC6" w:rsidRPr="00E94619">
            <w:rPr>
              <w:rFonts w:ascii="Century Gothic" w:hAnsi="Century Gothic"/>
              <w:noProof/>
              <w:lang w:val="es-MX"/>
            </w:rPr>
            <w:t>(ONU Mujeres, 2018)</w:t>
          </w:r>
          <w:r w:rsidR="00220AC6" w:rsidRPr="00E94619">
            <w:rPr>
              <w:rFonts w:ascii="Century Gothic" w:hAnsi="Century Gothic"/>
            </w:rPr>
            <w:fldChar w:fldCharType="end"/>
          </w:r>
        </w:sdtContent>
      </w:sdt>
      <w:r w:rsidR="00220AC6" w:rsidRPr="00E94619">
        <w:rPr>
          <w:rStyle w:val="Refdenotaalpie"/>
          <w:rFonts w:ascii="Century Gothic" w:hAnsi="Century Gothic"/>
        </w:rPr>
        <w:footnoteReference w:id="2"/>
      </w:r>
    </w:p>
    <w:p w14:paraId="44C39B87" w14:textId="77777777" w:rsidR="001238D7" w:rsidRPr="00E94619" w:rsidRDefault="001238D7" w:rsidP="000E5AC0">
      <w:pPr>
        <w:spacing w:after="0" w:line="240" w:lineRule="auto"/>
        <w:jc w:val="both"/>
        <w:rPr>
          <w:rFonts w:ascii="Century Gothic" w:hAnsi="Century Gothic"/>
        </w:rPr>
      </w:pPr>
    </w:p>
    <w:p w14:paraId="1F3264A2"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Según los resultados de la Encuesta Nacional de Demografía y Salud 2015 </w:t>
      </w:r>
      <w:r w:rsidR="00220AC6" w:rsidRPr="00E94619">
        <w:rPr>
          <w:rStyle w:val="Refdenotaalpie"/>
          <w:rFonts w:ascii="Century Gothic" w:hAnsi="Century Gothic"/>
        </w:rPr>
        <w:footnoteReference w:id="3"/>
      </w:r>
      <w:r w:rsidRPr="00E94619">
        <w:rPr>
          <w:rFonts w:ascii="Century Gothic" w:hAnsi="Century Gothic"/>
        </w:rPr>
        <w:t xml:space="preserve">(ENDS), los siguientes son cambios sustanciales en la composición demográfica del país:  </w:t>
      </w:r>
    </w:p>
    <w:p w14:paraId="4680F63A" w14:textId="77777777" w:rsidR="001238D7" w:rsidRPr="00E94619" w:rsidRDefault="001238D7" w:rsidP="000E5AC0">
      <w:pPr>
        <w:spacing w:after="0" w:line="240" w:lineRule="auto"/>
        <w:jc w:val="both"/>
        <w:rPr>
          <w:rFonts w:ascii="Century Gothic" w:hAnsi="Century Gothic"/>
        </w:rPr>
      </w:pPr>
    </w:p>
    <w:p w14:paraId="5C72E11E" w14:textId="77777777" w:rsidR="001238D7" w:rsidRPr="00E94619" w:rsidRDefault="0036411F" w:rsidP="000E5AC0">
      <w:pPr>
        <w:numPr>
          <w:ilvl w:val="0"/>
          <w:numId w:val="1"/>
        </w:num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Notorio descenso en las tasas de natalidad, fenómeno que se acentúa más en las zonas urbanas que rurales, con tasas globales de fecundidad de 1.8 a nivel nacional, 2.0 urbana y 2.6 rural. </w:t>
      </w:r>
    </w:p>
    <w:p w14:paraId="3E3311C4" w14:textId="77777777" w:rsidR="001238D7" w:rsidRPr="00E94619" w:rsidRDefault="0036411F" w:rsidP="000E5AC0">
      <w:pPr>
        <w:numPr>
          <w:ilvl w:val="0"/>
          <w:numId w:val="1"/>
        </w:num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Disminución en las tasas de mortalidad infantil que se ubican en el 14. </w:t>
      </w:r>
    </w:p>
    <w:p w14:paraId="483D6C30" w14:textId="3AEE3E52" w:rsidR="001238D7" w:rsidRPr="00E94619" w:rsidRDefault="0036411F" w:rsidP="000E5AC0">
      <w:pPr>
        <w:numPr>
          <w:ilvl w:val="0"/>
          <w:numId w:val="1"/>
        </w:numPr>
        <w:pBdr>
          <w:top w:val="nil"/>
          <w:left w:val="nil"/>
          <w:bottom w:val="nil"/>
          <w:right w:val="nil"/>
          <w:between w:val="nil"/>
        </w:pBdr>
        <w:spacing w:after="0"/>
        <w:jc w:val="both"/>
        <w:rPr>
          <w:rFonts w:ascii="Century Gothic" w:hAnsi="Century Gothic"/>
          <w:color w:val="000000"/>
        </w:rPr>
      </w:pPr>
      <w:r w:rsidRPr="00E94619">
        <w:rPr>
          <w:rFonts w:ascii="Century Gothic" w:hAnsi="Century Gothic"/>
          <w:color w:val="000000"/>
        </w:rPr>
        <w:t xml:space="preserve">Los indicadores ya mencionados también tienen efecto en la composición y tamaño de los hogares colombianos, el promedio de personas por hogar es de 3.5 personas. Los hogares unipersonales </w:t>
      </w:r>
      <w:r w:rsidRPr="00E94619">
        <w:rPr>
          <w:rFonts w:ascii="Century Gothic" w:hAnsi="Century Gothic"/>
          <w:color w:val="000000"/>
        </w:rPr>
        <w:lastRenderedPageBreak/>
        <w:t>representan (11.1%),</w:t>
      </w:r>
      <w:r w:rsidRPr="00E94619">
        <w:rPr>
          <w:rFonts w:ascii="Century Gothic" w:eastAsia="Open Sans Light" w:hAnsi="Century Gothic" w:cs="Open Sans Light"/>
          <w:color w:val="000000"/>
        </w:rPr>
        <w:t xml:space="preserve"> </w:t>
      </w:r>
      <w:r w:rsidRPr="00E94619">
        <w:rPr>
          <w:rFonts w:ascii="Century Gothic" w:hAnsi="Century Gothic"/>
          <w:color w:val="000000"/>
        </w:rPr>
        <w:t>el 19.1 % está constituido por dos personas, y el 23.3% por tres personas.</w:t>
      </w:r>
    </w:p>
    <w:p w14:paraId="776C3B0F" w14:textId="60D9A43B" w:rsidR="001238D7" w:rsidRPr="00E94619" w:rsidRDefault="00830DBC" w:rsidP="000E5AC0">
      <w:pPr>
        <w:numPr>
          <w:ilvl w:val="0"/>
          <w:numId w:val="1"/>
        </w:numPr>
        <w:pBdr>
          <w:top w:val="nil"/>
          <w:left w:val="nil"/>
          <w:bottom w:val="nil"/>
          <w:right w:val="nil"/>
          <w:between w:val="nil"/>
        </w:pBdr>
        <w:spacing w:after="0"/>
        <w:jc w:val="both"/>
        <w:rPr>
          <w:rFonts w:ascii="Century Gothic" w:hAnsi="Century Gothic"/>
          <w:color w:val="000000"/>
        </w:rPr>
      </w:pPr>
      <w:r>
        <w:rPr>
          <w:rFonts w:ascii="Century Gothic" w:hAnsi="Century Gothic"/>
          <w:b/>
          <w:noProof/>
          <w:szCs w:val="24"/>
          <w:lang w:val="es-ES"/>
        </w:rPr>
        <w:drawing>
          <wp:anchor distT="0" distB="0" distL="114300" distR="114300" simplePos="0" relativeHeight="251749376" behindDoc="0" locked="0" layoutInCell="1" allowOverlap="1" wp14:anchorId="3E6EAB19" wp14:editId="10F25A7C">
            <wp:simplePos x="0" y="0"/>
            <wp:positionH relativeFrom="column">
              <wp:posOffset>-1143000</wp:posOffset>
            </wp:positionH>
            <wp:positionV relativeFrom="paragraph">
              <wp:posOffset>-1169670</wp:posOffset>
            </wp:positionV>
            <wp:extent cx="965835" cy="708660"/>
            <wp:effectExtent l="0" t="0" r="0" b="0"/>
            <wp:wrapNone/>
            <wp:docPr id="328" name="Imagen 32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color w:val="000000"/>
        </w:rPr>
        <w:t>Incremento de los hogares con jefatura femenina (36.4 %), especialmente en las zonas urbanas (39.6%).</w:t>
      </w:r>
    </w:p>
    <w:p w14:paraId="0E22B58C" w14:textId="77777777" w:rsidR="001238D7" w:rsidRPr="00E94619" w:rsidRDefault="0036411F" w:rsidP="000E5AC0">
      <w:pPr>
        <w:numPr>
          <w:ilvl w:val="0"/>
          <w:numId w:val="1"/>
        </w:numPr>
        <w:pBdr>
          <w:top w:val="nil"/>
          <w:left w:val="nil"/>
          <w:bottom w:val="nil"/>
          <w:right w:val="nil"/>
          <w:between w:val="nil"/>
        </w:pBdr>
        <w:jc w:val="both"/>
        <w:rPr>
          <w:rFonts w:ascii="Century Gothic" w:hAnsi="Century Gothic"/>
          <w:color w:val="000000"/>
          <w:sz w:val="16"/>
          <w:szCs w:val="16"/>
        </w:rPr>
      </w:pPr>
      <w:r w:rsidRPr="00E94619">
        <w:rPr>
          <w:rFonts w:ascii="Century Gothic" w:hAnsi="Century Gothic"/>
          <w:color w:val="000000"/>
        </w:rPr>
        <w:t>Con relación a los tipos de familia, aunque las familias nucleares biparentales siguen siendo la mayoría (33.2%), el 12.6% lo representan familias nucleares monoparentales (sin el padre o la madre), un 9.8% parejas sin hijos, un 12.8% familias extensas biparentales y un 9.8% extensas monoparentales</w:t>
      </w:r>
      <w:r w:rsidRPr="00E94619">
        <w:rPr>
          <w:rFonts w:ascii="Century Gothic" w:hAnsi="Century Gothic"/>
          <w:color w:val="000000"/>
          <w:sz w:val="16"/>
          <w:szCs w:val="16"/>
        </w:rPr>
        <w:t>.</w:t>
      </w:r>
    </w:p>
    <w:p w14:paraId="649B8284"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Los cambios en la composición demográfica están relacionados con los cambios en la vida de las mujeres, lo cual se refleja en el incremento en la participación laboral, el ingreso a la educación superior, el descenso en la fecundidad y la vinculación en el escenario político.</w:t>
      </w:r>
    </w:p>
    <w:p w14:paraId="3CEAE6CF" w14:textId="77777777" w:rsidR="001238D7" w:rsidRPr="00E94619" w:rsidRDefault="001238D7" w:rsidP="000E5AC0">
      <w:pPr>
        <w:spacing w:after="0" w:line="240" w:lineRule="auto"/>
        <w:jc w:val="both"/>
        <w:rPr>
          <w:rFonts w:ascii="Century Gothic" w:hAnsi="Century Gothic"/>
        </w:rPr>
      </w:pPr>
    </w:p>
    <w:p w14:paraId="1AA55969" w14:textId="317F5F39"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De acuerdo con los datos del DANE Colombia, para el 2018, </w:t>
      </w:r>
      <w:r w:rsidR="008A490D" w:rsidRPr="00E94619">
        <w:rPr>
          <w:rFonts w:ascii="Century Gothic" w:hAnsi="Century Gothic"/>
        </w:rPr>
        <w:t xml:space="preserve">los hombres </w:t>
      </w:r>
      <w:r w:rsidRPr="00E94619">
        <w:rPr>
          <w:rFonts w:ascii="Century Gothic" w:hAnsi="Century Gothic"/>
        </w:rPr>
        <w:t>tenía</w:t>
      </w:r>
      <w:r w:rsidR="008A490D" w:rsidRPr="00E94619">
        <w:rPr>
          <w:rFonts w:ascii="Century Gothic" w:hAnsi="Century Gothic"/>
        </w:rPr>
        <w:t>n</w:t>
      </w:r>
      <w:r w:rsidRPr="00E94619">
        <w:rPr>
          <w:rFonts w:ascii="Century Gothic" w:hAnsi="Century Gothic"/>
        </w:rPr>
        <w:t xml:space="preserve"> una esperanza de vida de 76.2 años, siendo mayor la de las mujeres con 79.8 años frente a la de los hombres de 73.3 años. </w:t>
      </w:r>
    </w:p>
    <w:p w14:paraId="0FBC17AD" w14:textId="77777777" w:rsidR="001238D7" w:rsidRPr="00E94619" w:rsidRDefault="001238D7" w:rsidP="000E5AC0">
      <w:pPr>
        <w:spacing w:after="0" w:line="240" w:lineRule="auto"/>
        <w:jc w:val="both"/>
        <w:rPr>
          <w:rFonts w:ascii="Century Gothic" w:hAnsi="Century Gothic"/>
        </w:rPr>
      </w:pPr>
    </w:p>
    <w:p w14:paraId="3DE4EF2F"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Con relación a la dependencia, según las cifras del DANE, Colombia está en 518,74 por mil, esto quiere decir que por cada mil personas que están en edad productiva entre 15 y 64 años, hay 518,74 menores de 15 años o mayores de 65 años dependientes, y tiende a disminuir hasta el 2020 al 512,58. Este comportamiento es denominado como el Bono Demográfico (análisis de la relación de dependencia demográfica entre población económicamente activa y la no activa), que plantea que si el país no aprovecha este momento de disminución de la población dependiente, generando transformaciones en las condiciones de trabajo para que las personas puedan ahorrar para la vejez, Colombia tendrá una fuerte crisis con su población adulta en las próximas décadas. </w:t>
      </w:r>
    </w:p>
    <w:p w14:paraId="12B8C5C7" w14:textId="77777777" w:rsidR="001238D7" w:rsidRPr="00E94619" w:rsidRDefault="001238D7" w:rsidP="000E5AC0">
      <w:pPr>
        <w:spacing w:after="0" w:line="240" w:lineRule="auto"/>
        <w:jc w:val="both"/>
        <w:rPr>
          <w:rFonts w:ascii="Century Gothic" w:hAnsi="Century Gothic"/>
        </w:rPr>
      </w:pPr>
    </w:p>
    <w:p w14:paraId="558825C1" w14:textId="77777777" w:rsidR="00BE6309" w:rsidRPr="00E94619" w:rsidRDefault="0036411F" w:rsidP="000E5AC0">
      <w:pPr>
        <w:spacing w:after="0" w:line="240" w:lineRule="auto"/>
        <w:jc w:val="both"/>
        <w:rPr>
          <w:rFonts w:ascii="Century Gothic" w:hAnsi="Century Gothic"/>
        </w:rPr>
      </w:pPr>
      <w:r w:rsidRPr="00E94619">
        <w:rPr>
          <w:rFonts w:ascii="Century Gothic" w:hAnsi="Century Gothic"/>
        </w:rPr>
        <w:t>Otro tema relacionado con los cambios demográficos es el de la migración internacional, la cual según el DANE</w:t>
      </w:r>
      <w:r w:rsidR="003C415F" w:rsidRPr="00E94619">
        <w:rPr>
          <w:rStyle w:val="Refdenotaalpie"/>
          <w:rFonts w:ascii="Century Gothic" w:hAnsi="Century Gothic"/>
        </w:rPr>
        <w:footnoteReference w:id="4"/>
      </w:r>
      <w:r w:rsidRPr="00E94619">
        <w:rPr>
          <w:rFonts w:ascii="Century Gothic" w:hAnsi="Century Gothic"/>
        </w:rPr>
        <w:t xml:space="preserve"> para el</w:t>
      </w:r>
      <w:r w:rsidR="00A21C6D" w:rsidRPr="00E94619">
        <w:rPr>
          <w:rFonts w:ascii="Century Gothic" w:hAnsi="Century Gothic"/>
        </w:rPr>
        <w:t xml:space="preserve"> 2019, en los puestos de control migratorio se registró un total de 16.646.547 movimientos internacionales de viajeros. En los últimos años el ritmo de crecimiento no ha sido constante.</w:t>
      </w:r>
      <w:r w:rsidRPr="00E94619">
        <w:rPr>
          <w:rFonts w:ascii="Century Gothic" w:hAnsi="Century Gothic"/>
        </w:rPr>
        <w:t xml:space="preserve">, esto quiere decir que es mayor la salida de la población del país frente a la que llega. </w:t>
      </w:r>
      <w:r w:rsidR="0027778A" w:rsidRPr="00E94619">
        <w:rPr>
          <w:rFonts w:ascii="Century Gothic" w:hAnsi="Century Gothic"/>
        </w:rPr>
        <w:t>Se evidencia una predominancia en los movimientos realizados por mujeres con un 53,0% mientras que los hombres cuentan con el 47,0% en 2019.</w:t>
      </w:r>
      <w:r w:rsidR="003C415F" w:rsidRPr="00E94619">
        <w:rPr>
          <w:rFonts w:ascii="Century Gothic" w:hAnsi="Century Gothic"/>
        </w:rPr>
        <w:t xml:space="preserve"> </w:t>
      </w:r>
    </w:p>
    <w:p w14:paraId="737B98AE" w14:textId="77777777" w:rsidR="00BE6309" w:rsidRPr="00E94619" w:rsidRDefault="00BE6309" w:rsidP="000E5AC0">
      <w:pPr>
        <w:spacing w:after="0" w:line="240" w:lineRule="auto"/>
        <w:jc w:val="both"/>
        <w:rPr>
          <w:rFonts w:ascii="Century Gothic" w:hAnsi="Century Gothic"/>
        </w:rPr>
      </w:pPr>
    </w:p>
    <w:p w14:paraId="0C6A23E4" w14:textId="3DF72516" w:rsidR="00F93346" w:rsidRPr="00E94619" w:rsidRDefault="00BE6309" w:rsidP="000E5AC0">
      <w:pPr>
        <w:spacing w:after="0" w:line="240" w:lineRule="auto"/>
        <w:jc w:val="both"/>
        <w:rPr>
          <w:rFonts w:ascii="Century Gothic" w:hAnsi="Century Gothic"/>
        </w:rPr>
      </w:pPr>
      <w:r w:rsidRPr="00E94619">
        <w:rPr>
          <w:rFonts w:ascii="Century Gothic" w:hAnsi="Century Gothic"/>
        </w:rPr>
        <w:t>Dentro de las principales causas de movilización de mujeres, se encuentran la situación económica y la consecuente necesidad de buscar mejores condiciones de vida, hecho que se refleja en la participación de la mujer en la fuerza laboral, la cual se estima en un 42</w:t>
      </w:r>
      <w:r w:rsidRPr="00E94619">
        <w:rPr>
          <w:rFonts w:ascii="Times New Roman" w:hAnsi="Times New Roman" w:cs="Times New Roman"/>
        </w:rPr>
        <w:t> </w:t>
      </w:r>
      <w:r w:rsidRPr="00E94619">
        <w:rPr>
          <w:rFonts w:ascii="Century Gothic" w:hAnsi="Century Gothic"/>
        </w:rPr>
        <w:t>% (OIM, 2020). Para el caso de Colombia, la Presidencia de la República ha estimado que, a hoy, la migración venezolana es de 1,7 millones aproximadamente, de los cuales 49,67</w:t>
      </w:r>
      <w:r w:rsidRPr="00E94619">
        <w:rPr>
          <w:rFonts w:ascii="Times New Roman" w:hAnsi="Times New Roman" w:cs="Times New Roman"/>
        </w:rPr>
        <w:t> </w:t>
      </w:r>
      <w:r w:rsidRPr="00E94619">
        <w:rPr>
          <w:rFonts w:ascii="Century Gothic" w:hAnsi="Century Gothic"/>
        </w:rPr>
        <w:t>% son mujeres, y 50,24</w:t>
      </w:r>
      <w:r w:rsidRPr="00E94619">
        <w:rPr>
          <w:rFonts w:ascii="Times New Roman" w:hAnsi="Times New Roman" w:cs="Times New Roman"/>
        </w:rPr>
        <w:t> </w:t>
      </w:r>
      <w:r w:rsidRPr="00E94619">
        <w:rPr>
          <w:rFonts w:ascii="Century Gothic" w:hAnsi="Century Gothic"/>
        </w:rPr>
        <w:t>%, hombres (RAMV, 2018), lo que es coherente con el comportamiento mundial</w:t>
      </w:r>
      <w:r w:rsidRPr="00E94619">
        <w:rPr>
          <w:rStyle w:val="Refdenotaalpie"/>
          <w:rFonts w:ascii="Century Gothic" w:hAnsi="Century Gothic"/>
        </w:rPr>
        <w:footnoteReference w:id="5"/>
      </w:r>
      <w:r w:rsidRPr="00E94619">
        <w:rPr>
          <w:rFonts w:ascii="Century Gothic" w:hAnsi="Century Gothic"/>
        </w:rPr>
        <w:t xml:space="preserve">. </w:t>
      </w:r>
      <w:sdt>
        <w:sdtPr>
          <w:rPr>
            <w:rFonts w:ascii="Century Gothic" w:hAnsi="Century Gothic"/>
          </w:rPr>
          <w:id w:val="1351598386"/>
          <w:citation/>
        </w:sdtPr>
        <w:sdtContent>
          <w:r w:rsidRPr="00E94619">
            <w:rPr>
              <w:rFonts w:ascii="Century Gothic" w:hAnsi="Century Gothic"/>
            </w:rPr>
            <w:fldChar w:fldCharType="begin"/>
          </w:r>
          <w:r w:rsidRPr="00E94619">
            <w:rPr>
              <w:rFonts w:ascii="Century Gothic" w:hAnsi="Century Gothic"/>
              <w:lang w:val="es-MX"/>
            </w:rPr>
            <w:instrText xml:space="preserve"> CITATION Zer20 \l 2058 </w:instrText>
          </w:r>
          <w:r w:rsidRPr="00E94619">
            <w:rPr>
              <w:rFonts w:ascii="Century Gothic" w:hAnsi="Century Gothic"/>
            </w:rPr>
            <w:fldChar w:fldCharType="separate"/>
          </w:r>
          <w:r w:rsidRPr="00E94619">
            <w:rPr>
              <w:rFonts w:ascii="Century Gothic" w:hAnsi="Century Gothic"/>
              <w:noProof/>
              <w:lang w:val="es-MX"/>
            </w:rPr>
            <w:t>(Zero Externado, 2020)</w:t>
          </w:r>
          <w:r w:rsidRPr="00E94619">
            <w:rPr>
              <w:rFonts w:ascii="Century Gothic" w:hAnsi="Century Gothic"/>
            </w:rPr>
            <w:fldChar w:fldCharType="end"/>
          </w:r>
        </w:sdtContent>
      </w:sdt>
      <w:r w:rsidR="00F93346" w:rsidRPr="00E94619">
        <w:rPr>
          <w:rFonts w:ascii="Century Gothic" w:hAnsi="Century Gothic"/>
        </w:rPr>
        <w:t xml:space="preserve"> Según informe de </w:t>
      </w:r>
      <w:r w:rsidR="00F93346" w:rsidRPr="00E94619">
        <w:rPr>
          <w:rFonts w:ascii="Century Gothic" w:hAnsi="Century Gothic"/>
        </w:rPr>
        <w:lastRenderedPageBreak/>
        <w:t>Migración Colombia para el 2020 el número total de provenientes de Venezuela en Colombia fue de 1.729.537, de los cuales 762.823 son migrantes regulares y 966.714 migrantes irregulares, de esta población el 49% (852.142) son mujeres y el 51% (877.395) son hombres).</w:t>
      </w:r>
      <w:r w:rsidR="00F93346" w:rsidRPr="00E94619">
        <w:rPr>
          <w:rFonts w:ascii="Century Gothic" w:hAnsi="Century Gothic"/>
          <w:noProof/>
          <w:lang w:val="es-ES"/>
        </w:rPr>
        <w:t xml:space="preserve"> (Migración Colombia, 2021),</w:t>
      </w:r>
      <w:r w:rsidR="00F93346" w:rsidRPr="00E94619">
        <w:rPr>
          <w:rFonts w:ascii="Century Gothic" w:hAnsi="Century Gothic"/>
        </w:rPr>
        <w:t xml:space="preserve"> lo que es coherente con el comportamiento mundial</w:t>
      </w:r>
      <w:r w:rsidR="00F93346" w:rsidRPr="00E94619">
        <w:rPr>
          <w:rStyle w:val="Refdenotaalpie"/>
          <w:rFonts w:ascii="Century Gothic" w:hAnsi="Century Gothic"/>
        </w:rPr>
        <w:footnoteReference w:id="6"/>
      </w:r>
      <w:r w:rsidR="00F93346" w:rsidRPr="00E94619">
        <w:rPr>
          <w:rFonts w:ascii="Century Gothic" w:hAnsi="Century Gothic"/>
        </w:rPr>
        <w:t xml:space="preserve">. </w:t>
      </w:r>
      <w:sdt>
        <w:sdtPr>
          <w:rPr>
            <w:rFonts w:ascii="Century Gothic" w:hAnsi="Century Gothic"/>
          </w:rPr>
          <w:id w:val="-1439214010"/>
          <w:citation/>
        </w:sdtPr>
        <w:sdtContent>
          <w:r w:rsidR="00F93346" w:rsidRPr="00E94619">
            <w:rPr>
              <w:rFonts w:ascii="Century Gothic" w:hAnsi="Century Gothic"/>
            </w:rPr>
            <w:fldChar w:fldCharType="begin"/>
          </w:r>
          <w:r w:rsidR="00F93346" w:rsidRPr="00E94619">
            <w:rPr>
              <w:rFonts w:ascii="Century Gothic" w:hAnsi="Century Gothic"/>
              <w:lang w:val="es-MX"/>
            </w:rPr>
            <w:instrText xml:space="preserve"> CITATION Zer20 \l 2058 </w:instrText>
          </w:r>
          <w:r w:rsidR="00F93346" w:rsidRPr="00E94619">
            <w:rPr>
              <w:rFonts w:ascii="Century Gothic" w:hAnsi="Century Gothic"/>
            </w:rPr>
            <w:fldChar w:fldCharType="separate"/>
          </w:r>
          <w:r w:rsidR="00F93346" w:rsidRPr="00E94619">
            <w:rPr>
              <w:rFonts w:ascii="Century Gothic" w:hAnsi="Century Gothic"/>
              <w:noProof/>
              <w:lang w:val="es-MX"/>
            </w:rPr>
            <w:t>(Zero Externado, 2020)</w:t>
          </w:r>
          <w:r w:rsidR="00F93346" w:rsidRPr="00E94619">
            <w:rPr>
              <w:rFonts w:ascii="Century Gothic" w:hAnsi="Century Gothic"/>
            </w:rPr>
            <w:fldChar w:fldCharType="end"/>
          </w:r>
        </w:sdtContent>
      </w:sdt>
      <w:r w:rsidR="00C060F9">
        <w:rPr>
          <w:rFonts w:ascii="Century Gothic" w:hAnsi="Century Gothic"/>
        </w:rPr>
        <w:t>.</w:t>
      </w:r>
    </w:p>
    <w:p w14:paraId="6FE73228" w14:textId="4D56A165" w:rsidR="00E31EE1" w:rsidRDefault="00830DBC" w:rsidP="00E31EE1">
      <w:pPr>
        <w:spacing w:after="0" w:line="240" w:lineRule="auto"/>
        <w:jc w:val="both"/>
        <w:rPr>
          <w:rFonts w:ascii="Century Gothic" w:hAnsi="Century Gothic"/>
          <w:b/>
        </w:rPr>
      </w:pPr>
      <w:r>
        <w:rPr>
          <w:rFonts w:ascii="Century Gothic" w:hAnsi="Century Gothic"/>
          <w:b/>
          <w:noProof/>
          <w:szCs w:val="24"/>
          <w:lang w:val="es-ES"/>
        </w:rPr>
        <w:drawing>
          <wp:anchor distT="0" distB="0" distL="114300" distR="114300" simplePos="0" relativeHeight="251751424" behindDoc="0" locked="0" layoutInCell="1" allowOverlap="1" wp14:anchorId="62F72B41" wp14:editId="1D4BC25A">
            <wp:simplePos x="0" y="0"/>
            <wp:positionH relativeFrom="column">
              <wp:posOffset>-1143000</wp:posOffset>
            </wp:positionH>
            <wp:positionV relativeFrom="paragraph">
              <wp:posOffset>-1771015</wp:posOffset>
            </wp:positionV>
            <wp:extent cx="965835" cy="708660"/>
            <wp:effectExtent l="0" t="0" r="0" b="0"/>
            <wp:wrapNone/>
            <wp:docPr id="329" name="Imagen 32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DC73074" w14:textId="208A16EF" w:rsidR="00E31EE1" w:rsidRDefault="00E31EE1" w:rsidP="00E31EE1">
      <w:pPr>
        <w:pStyle w:val="Ttulo1"/>
        <w:rPr>
          <w:rFonts w:ascii="Century Gothic" w:hAnsi="Century Gothic"/>
          <w:b/>
        </w:rPr>
      </w:pPr>
      <w:bookmarkStart w:id="5" w:name="_Toc488624081"/>
      <w:bookmarkStart w:id="6" w:name="_Toc488624224"/>
      <w:r>
        <w:rPr>
          <w:rFonts w:ascii="Century Gothic" w:eastAsia="Cambria" w:hAnsi="Century Gothic"/>
          <w:b/>
          <w:noProof/>
          <w:szCs w:val="24"/>
          <w:lang w:val="es-ES"/>
        </w:rPr>
        <w:drawing>
          <wp:anchor distT="0" distB="0" distL="114300" distR="114300" simplePos="0" relativeHeight="251661312" behindDoc="1" locked="0" layoutInCell="1" allowOverlap="1" wp14:anchorId="1CC1F096" wp14:editId="678A08FA">
            <wp:simplePos x="0" y="0"/>
            <wp:positionH relativeFrom="column">
              <wp:posOffset>0</wp:posOffset>
            </wp:positionH>
            <wp:positionV relativeFrom="paragraph">
              <wp:posOffset>58420</wp:posOffset>
            </wp:positionV>
            <wp:extent cx="5396230" cy="567055"/>
            <wp:effectExtent l="0" t="0" r="0" b="0"/>
            <wp:wrapNone/>
            <wp:docPr id="335"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r w:rsidR="0036411F" w:rsidRPr="00E31EE1">
        <w:rPr>
          <w:rFonts w:ascii="Century Gothic" w:hAnsi="Century Gothic"/>
          <w:b/>
        </w:rPr>
        <w:t>II-A</w:t>
      </w:r>
      <w:r w:rsidR="00426A44" w:rsidRPr="00E31EE1">
        <w:rPr>
          <w:rFonts w:ascii="Century Gothic" w:hAnsi="Century Gothic"/>
          <w:b/>
        </w:rPr>
        <w:t>rquitectura del estado colombiano para la garantía</w:t>
      </w:r>
      <w:bookmarkEnd w:id="5"/>
      <w:bookmarkEnd w:id="6"/>
      <w:r w:rsidR="00DD058B" w:rsidRPr="00E31EE1">
        <w:rPr>
          <w:rFonts w:ascii="Century Gothic" w:hAnsi="Century Gothic"/>
          <w:b/>
        </w:rPr>
        <w:t xml:space="preserve"> </w:t>
      </w:r>
    </w:p>
    <w:p w14:paraId="112C7061" w14:textId="4F9A9232" w:rsidR="001238D7" w:rsidRPr="00E31EE1" w:rsidRDefault="00E31EE1" w:rsidP="00E31EE1">
      <w:pPr>
        <w:pStyle w:val="Ttulo1"/>
        <w:rPr>
          <w:rFonts w:ascii="Century Gothic" w:hAnsi="Century Gothic"/>
          <w:b/>
        </w:rPr>
      </w:pPr>
      <w:bookmarkStart w:id="7" w:name="_Toc488624225"/>
      <w:r>
        <w:rPr>
          <w:rFonts w:ascii="Century Gothic" w:hAnsi="Century Gothic"/>
          <w:b/>
        </w:rPr>
        <w:t xml:space="preserve">Del </w:t>
      </w:r>
      <w:r w:rsidR="00426A44" w:rsidRPr="00E31EE1">
        <w:rPr>
          <w:rFonts w:ascii="Century Gothic" w:hAnsi="Century Gothic"/>
          <w:b/>
        </w:rPr>
        <w:t>derecho a la igualdad de género</w:t>
      </w:r>
      <w:bookmarkEnd w:id="7"/>
    </w:p>
    <w:p w14:paraId="70DFEF2F" w14:textId="77777777" w:rsidR="001238D7" w:rsidRPr="00E94619" w:rsidRDefault="001238D7" w:rsidP="000E5AC0">
      <w:pPr>
        <w:spacing w:after="0" w:line="240" w:lineRule="auto"/>
        <w:jc w:val="center"/>
        <w:rPr>
          <w:rFonts w:ascii="Century Gothic" w:hAnsi="Century Gothic"/>
        </w:rPr>
      </w:pPr>
    </w:p>
    <w:p w14:paraId="59E7D5E2"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El Estado colombiano, a partir de la Constitución del 91, empezó a generar la estructura, en muchos temas insipiente, para la garantía de los derechos de diferentes grupos poblacionales, entre ellos las mujeres y las niñas. La incidencia de las organizaciones de mujeres y los compromisos asumidos por el Estado colombiano en las diferentes Convenciones y en la Plataforma de Acción de Beijing, entre otras, llevaron a que éste asumiera el compromiso de establecer  un mecanismo a nivel nacional y territorial para atender los asuntos de género, un marco jurídico que permitiera prevenir, atender y sancionar las vulneraciones de derechos que viven las mujeres y las niñas y la definición de los roles específicos que deben jugar las diferentes entidades del Estado para su cumplimiento. </w:t>
      </w:r>
    </w:p>
    <w:p w14:paraId="2E052A07" w14:textId="77777777" w:rsidR="001238D7" w:rsidRPr="00E94619" w:rsidRDefault="001238D7" w:rsidP="000E5AC0">
      <w:pPr>
        <w:spacing w:after="0" w:line="240" w:lineRule="auto"/>
        <w:jc w:val="both"/>
        <w:rPr>
          <w:rFonts w:ascii="Century Gothic" w:hAnsi="Century Gothic"/>
        </w:rPr>
      </w:pPr>
    </w:p>
    <w:p w14:paraId="172A09BD"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Como se verá en este apartado el Estado colombiano ha logrado avances en la construcción de una ‘arquitectura institucional’ para la garantía de los derechos de las mujeres y las niñas; sin embargo, persisten retos para su efectivo funcionamiento, debido a que las estructuras de la cultura patriarcal, que soportan las discriminaciones contra las mujeres por razones de género, no han logrado ser transformadas. Además, el país ha estado inmerso en un conflicto armado de más de 50 años que ha exacerbado las discriminaciones contra las mujeres y consumido el mayor esfuerzo del Estado y la sociedad civil para afrontarlo.</w:t>
      </w:r>
    </w:p>
    <w:p w14:paraId="42C45E2B" w14:textId="77777777" w:rsidR="001238D7" w:rsidRPr="00E94619" w:rsidRDefault="001238D7" w:rsidP="000E5AC0">
      <w:pPr>
        <w:spacing w:after="0" w:line="240" w:lineRule="auto"/>
        <w:jc w:val="both"/>
        <w:rPr>
          <w:rFonts w:ascii="Century Gothic" w:hAnsi="Century Gothic"/>
        </w:rPr>
      </w:pPr>
    </w:p>
    <w:p w14:paraId="025D6E8B" w14:textId="2CC2CF9C" w:rsidR="001238D7" w:rsidRPr="00A333DD" w:rsidRDefault="0036411F" w:rsidP="000E5AC0">
      <w:pPr>
        <w:pStyle w:val="Ttulo2"/>
        <w:rPr>
          <w:rFonts w:ascii="Century Gothic" w:hAnsi="Century Gothic"/>
          <w:color w:val="CC0066"/>
        </w:rPr>
      </w:pPr>
      <w:bookmarkStart w:id="8" w:name="_Toc488624226"/>
      <w:r w:rsidRPr="00A333DD">
        <w:rPr>
          <w:rFonts w:ascii="Century Gothic" w:hAnsi="Century Gothic"/>
          <w:color w:val="CC0066"/>
        </w:rPr>
        <w:t>1. M</w:t>
      </w:r>
      <w:r w:rsidR="00A333DD" w:rsidRPr="00A333DD">
        <w:rPr>
          <w:rFonts w:ascii="Century Gothic" w:hAnsi="Century Gothic"/>
          <w:color w:val="CC0066"/>
        </w:rPr>
        <w:t>ecanismos para la garantía de los derechos de las mujeres</w:t>
      </w:r>
      <w:bookmarkEnd w:id="8"/>
    </w:p>
    <w:p w14:paraId="56469ECA" w14:textId="77777777" w:rsidR="001238D7" w:rsidRPr="00E94619" w:rsidRDefault="001238D7" w:rsidP="000E5AC0">
      <w:pPr>
        <w:spacing w:after="0" w:line="240" w:lineRule="auto"/>
        <w:jc w:val="both"/>
        <w:rPr>
          <w:rFonts w:ascii="Century Gothic" w:hAnsi="Century Gothic"/>
        </w:rPr>
      </w:pPr>
    </w:p>
    <w:p w14:paraId="6E4681FF"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El mecanismo de género es la entidad responsable de atender los asuntos sobre derechos de las mujeres, que en el caso de Colombia se ha transformado de acuerdo con el gobierno de turno, pero siempre ha permanecido como un mecanismo que, de acuerdo con la CEPAL, está clasificado como de nivel jerárquico medio, nunca ha llegado al nivel alto de un Ministerio.  </w:t>
      </w:r>
    </w:p>
    <w:p w14:paraId="21F612F1" w14:textId="77777777" w:rsidR="001238D7" w:rsidRPr="00E94619" w:rsidRDefault="001238D7" w:rsidP="000E5AC0">
      <w:pPr>
        <w:spacing w:after="0" w:line="240" w:lineRule="auto"/>
        <w:jc w:val="both"/>
        <w:rPr>
          <w:rFonts w:ascii="Century Gothic" w:hAnsi="Century Gothic"/>
        </w:rPr>
      </w:pPr>
    </w:p>
    <w:p w14:paraId="78417267" w14:textId="77777777" w:rsidR="001238D7" w:rsidRPr="00A333DD" w:rsidRDefault="0036411F" w:rsidP="000E5AC0">
      <w:pPr>
        <w:pStyle w:val="Ttulo3"/>
        <w:rPr>
          <w:rFonts w:ascii="Century Gothic" w:hAnsi="Century Gothic"/>
          <w:b w:val="0"/>
          <w:color w:val="CC0066"/>
        </w:rPr>
      </w:pPr>
      <w:bookmarkStart w:id="9" w:name="_Toc488624227"/>
      <w:r w:rsidRPr="00A333DD">
        <w:rPr>
          <w:rFonts w:ascii="Century Gothic" w:hAnsi="Century Gothic"/>
          <w:b w:val="0"/>
          <w:color w:val="CC0066"/>
        </w:rPr>
        <w:t>1.1 Consejería Presidencial para la Equidad de las Mujeres (2014 –hasta la fecha)</w:t>
      </w:r>
      <w:bookmarkEnd w:id="9"/>
    </w:p>
    <w:p w14:paraId="01CEC4DF" w14:textId="77777777" w:rsidR="001238D7" w:rsidRPr="00A333DD" w:rsidRDefault="001238D7" w:rsidP="000E5AC0">
      <w:pPr>
        <w:spacing w:after="0" w:line="240" w:lineRule="auto"/>
        <w:jc w:val="both"/>
        <w:rPr>
          <w:rFonts w:ascii="Century Gothic" w:eastAsiaTheme="majorEastAsia" w:hAnsi="Century Gothic" w:cstheme="majorBidi"/>
          <w:color w:val="CC0066"/>
          <w:lang w:val="es-ES_tradnl" w:eastAsia="es-ES"/>
        </w:rPr>
      </w:pPr>
    </w:p>
    <w:p w14:paraId="74633E67" w14:textId="16D5B659"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La Consejería Presidencial para la Equidad de las Mujeres es el mecanismo de género del país y orienta su accionar en torno a cuatro ejes prioritarios, tres temáticos relacionados con las violencias contra las mujeres dentro y fuera del conflicto armado y la prevención del embarazo en adolescentes, uno orientado a la Política Pública de Equidad de Género y uno sobre el </w:t>
      </w:r>
      <w:r w:rsidRPr="00E94619">
        <w:rPr>
          <w:rFonts w:ascii="Century Gothic" w:hAnsi="Century Gothic"/>
        </w:rPr>
        <w:lastRenderedPageBreak/>
        <w:t xml:space="preserve">Observatorio de Asuntos de Género. Los objetivos están orientados a la garantía de los derechos de las mujeres, la inclusión del enfoque de género en las entidades del Estado y en las políticas para la atención integral a la población víctima de violencia y tener interlocución con las organizaciones de mujeres. Es una entidad que no cuenta con recursos propios, generalmente funciona con recursos de cooperación internacional, desarrolla su labor con un equipo de 18 personas, lo cual limita su accionar para cumplir con sus competencias. </w:t>
      </w:r>
    </w:p>
    <w:p w14:paraId="1E5DF9BF" w14:textId="48133386" w:rsidR="001238D7" w:rsidRPr="00E94619" w:rsidRDefault="00830DB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53472" behindDoc="0" locked="0" layoutInCell="1" allowOverlap="1" wp14:anchorId="6B51549E" wp14:editId="2BC8EE1C">
            <wp:simplePos x="0" y="0"/>
            <wp:positionH relativeFrom="column">
              <wp:posOffset>-1080135</wp:posOffset>
            </wp:positionH>
            <wp:positionV relativeFrom="paragraph">
              <wp:posOffset>-2193290</wp:posOffset>
            </wp:positionV>
            <wp:extent cx="965835" cy="708660"/>
            <wp:effectExtent l="0" t="0" r="0" b="0"/>
            <wp:wrapNone/>
            <wp:docPr id="330" name="Imagen 33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1642D667" w14:textId="77777777" w:rsidR="001238D7" w:rsidRPr="00A333DD" w:rsidRDefault="0036411F" w:rsidP="000E5AC0">
      <w:pPr>
        <w:pStyle w:val="Ttulo3"/>
        <w:spacing w:before="0"/>
        <w:rPr>
          <w:rFonts w:ascii="Century Gothic" w:hAnsi="Century Gothic"/>
          <w:b w:val="0"/>
          <w:color w:val="CC3366"/>
        </w:rPr>
      </w:pPr>
      <w:bookmarkStart w:id="10" w:name="_Toc488624228"/>
      <w:r w:rsidRPr="00A333DD">
        <w:rPr>
          <w:rFonts w:ascii="Century Gothic" w:hAnsi="Century Gothic"/>
          <w:b w:val="0"/>
          <w:color w:val="CC3366"/>
        </w:rPr>
        <w:t>1.2 Mecanismos de Equidad de Género a Nivel Departamental y Municipal</w:t>
      </w:r>
      <w:bookmarkEnd w:id="10"/>
    </w:p>
    <w:p w14:paraId="1D27E1DF" w14:textId="77777777" w:rsidR="001238D7" w:rsidRPr="00E94619" w:rsidRDefault="001238D7" w:rsidP="000E5AC0">
      <w:pPr>
        <w:spacing w:after="0"/>
        <w:rPr>
          <w:rFonts w:ascii="Century Gothic" w:hAnsi="Century Gothic"/>
        </w:rPr>
      </w:pPr>
    </w:p>
    <w:p w14:paraId="1E10E12F" w14:textId="77777777" w:rsidR="001238D7" w:rsidRPr="00E94619" w:rsidRDefault="0036411F" w:rsidP="000E5AC0">
      <w:pPr>
        <w:spacing w:after="0"/>
        <w:jc w:val="both"/>
        <w:rPr>
          <w:rFonts w:ascii="Century Gothic" w:hAnsi="Century Gothic"/>
          <w:color w:val="FF0000"/>
        </w:rPr>
      </w:pPr>
      <w:r w:rsidRPr="00E94619">
        <w:rPr>
          <w:rFonts w:ascii="Century Gothic" w:hAnsi="Century Gothic"/>
        </w:rPr>
        <w:t xml:space="preserve">El Estado colombiano en su arquitectura institucional responde a la descentralización administrativa, lo que implica que los municipios y departamentos tienen autonomía territorial para manejar los asuntos que les competen sin desconocer la Constitución. Los asuntos de género entran en el manejo de la autonomía de las autoridades locales. </w:t>
      </w:r>
      <w:r w:rsidR="00E30DAE" w:rsidRPr="00E94619">
        <w:rPr>
          <w:rFonts w:ascii="Century Gothic" w:hAnsi="Century Gothic"/>
        </w:rPr>
        <w:t>Actualmente</w:t>
      </w:r>
      <w:r w:rsidRPr="00E94619">
        <w:rPr>
          <w:rFonts w:ascii="Century Gothic" w:hAnsi="Century Gothic"/>
        </w:rPr>
        <w:t xml:space="preserve">, </w:t>
      </w:r>
      <w:r w:rsidR="00E30DAE" w:rsidRPr="00E94619">
        <w:rPr>
          <w:rFonts w:ascii="Century Gothic" w:hAnsi="Century Gothic"/>
        </w:rPr>
        <w:t>25</w:t>
      </w:r>
      <w:r w:rsidRPr="00E94619">
        <w:rPr>
          <w:rFonts w:ascii="Century Gothic" w:hAnsi="Century Gothic"/>
        </w:rPr>
        <w:t xml:space="preserve"> departamentos c</w:t>
      </w:r>
      <w:r w:rsidR="00E30DAE" w:rsidRPr="00E94619">
        <w:rPr>
          <w:rFonts w:ascii="Century Gothic" w:hAnsi="Century Gothic"/>
        </w:rPr>
        <w:t>uentan</w:t>
      </w:r>
      <w:r w:rsidRPr="00E94619">
        <w:rPr>
          <w:rFonts w:ascii="Century Gothic" w:hAnsi="Century Gothic"/>
        </w:rPr>
        <w:t xml:space="preserve"> con el mecanismo de género a nivel de Secretaría</w:t>
      </w:r>
      <w:r w:rsidR="00E30DAE" w:rsidRPr="00E94619">
        <w:rPr>
          <w:rFonts w:ascii="Century Gothic" w:hAnsi="Century Gothic"/>
        </w:rPr>
        <w:t>,</w:t>
      </w:r>
      <w:r w:rsidRPr="00E94619">
        <w:rPr>
          <w:rFonts w:ascii="Century Gothic" w:hAnsi="Century Gothic"/>
        </w:rPr>
        <w:t xml:space="preserve"> primer nivel de decisión</w:t>
      </w:r>
      <w:r w:rsidR="00E30DAE" w:rsidRPr="00E94619">
        <w:rPr>
          <w:rFonts w:ascii="Century Gothic" w:hAnsi="Century Gothic"/>
        </w:rPr>
        <w:t xml:space="preserve"> o un mecanismo de nivel intermedio</w:t>
      </w:r>
      <w:r w:rsidRPr="00E94619">
        <w:rPr>
          <w:rFonts w:ascii="Century Gothic" w:hAnsi="Century Gothic"/>
        </w:rPr>
        <w:t xml:space="preserve">, lo que representaba el </w:t>
      </w:r>
      <w:r w:rsidR="00E30DAE" w:rsidRPr="00E94619">
        <w:rPr>
          <w:rFonts w:ascii="Century Gothic" w:hAnsi="Century Gothic"/>
        </w:rPr>
        <w:t>78</w:t>
      </w:r>
      <w:r w:rsidR="003B4671" w:rsidRPr="00E94619">
        <w:rPr>
          <w:rFonts w:ascii="Century Gothic" w:hAnsi="Century Gothic"/>
        </w:rPr>
        <w:t>%, y</w:t>
      </w:r>
      <w:r w:rsidRPr="00E94619">
        <w:rPr>
          <w:rFonts w:ascii="Century Gothic" w:hAnsi="Century Gothic"/>
        </w:rPr>
        <w:t xml:space="preserve"> </w:t>
      </w:r>
      <w:r w:rsidR="00E30DAE" w:rsidRPr="00E94619">
        <w:rPr>
          <w:rFonts w:ascii="Century Gothic" w:hAnsi="Century Gothic"/>
        </w:rPr>
        <w:t>7</w:t>
      </w:r>
      <w:r w:rsidRPr="00E94619">
        <w:rPr>
          <w:rFonts w:ascii="Century Gothic" w:hAnsi="Century Gothic"/>
        </w:rPr>
        <w:t xml:space="preserve"> departamentos no t</w:t>
      </w:r>
      <w:r w:rsidR="00E30DAE" w:rsidRPr="00E94619">
        <w:rPr>
          <w:rFonts w:ascii="Century Gothic" w:hAnsi="Century Gothic"/>
        </w:rPr>
        <w:t>ienen</w:t>
      </w:r>
      <w:r w:rsidRPr="00E94619">
        <w:rPr>
          <w:rFonts w:ascii="Century Gothic" w:hAnsi="Century Gothic"/>
        </w:rPr>
        <w:t xml:space="preserve"> ninguna instancia para atender los asuntos de las mujeres y las niñas, lo que correspondía al </w:t>
      </w:r>
      <w:r w:rsidR="00E30DAE" w:rsidRPr="00E94619">
        <w:rPr>
          <w:rFonts w:ascii="Century Gothic" w:hAnsi="Century Gothic"/>
        </w:rPr>
        <w:t>21</w:t>
      </w:r>
      <w:r w:rsidR="00016534" w:rsidRPr="00E94619">
        <w:rPr>
          <w:rFonts w:ascii="Century Gothic" w:hAnsi="Century Gothic"/>
        </w:rPr>
        <w:t>%.</w:t>
      </w:r>
      <w:r w:rsidR="00E30DAE" w:rsidRPr="00E94619">
        <w:rPr>
          <w:rFonts w:ascii="Century Gothic" w:hAnsi="Century Gothic"/>
        </w:rPr>
        <w:t xml:space="preserve"> </w:t>
      </w:r>
    </w:p>
    <w:p w14:paraId="089B9242" w14:textId="77777777" w:rsidR="001238D7" w:rsidRPr="00E94619" w:rsidRDefault="001238D7" w:rsidP="000E5AC0">
      <w:pPr>
        <w:spacing w:after="0"/>
        <w:jc w:val="both"/>
        <w:rPr>
          <w:rFonts w:ascii="Century Gothic" w:hAnsi="Century Gothic"/>
          <w:color w:val="FF0000"/>
        </w:rPr>
      </w:pPr>
    </w:p>
    <w:p w14:paraId="5246BACB" w14:textId="71B8ECDF" w:rsidR="000257FA" w:rsidRPr="00E94619" w:rsidRDefault="0036411F" w:rsidP="000E5AC0">
      <w:pPr>
        <w:jc w:val="both"/>
        <w:rPr>
          <w:rFonts w:ascii="Century Gothic" w:hAnsi="Century Gothic"/>
        </w:rPr>
      </w:pPr>
      <w:r w:rsidRPr="00E94619">
        <w:rPr>
          <w:rFonts w:ascii="Century Gothic" w:hAnsi="Century Gothic"/>
        </w:rPr>
        <w:t xml:space="preserve">En el nivel municipal, que por la descentralización administrativa es donde hay mayor posibilidad de canalización de recursos económicos, el panorama sobre los mecanismos de género cambia con respecto a los departamentos. Al hacer el análisis con los municipios capital de los departamentos se encuentra que para </w:t>
      </w:r>
      <w:r w:rsidR="00E30DAE" w:rsidRPr="00E94619">
        <w:rPr>
          <w:rFonts w:ascii="Century Gothic" w:hAnsi="Century Gothic"/>
        </w:rPr>
        <w:t>actualidad</w:t>
      </w:r>
      <w:r w:rsidRPr="00E94619">
        <w:rPr>
          <w:rFonts w:ascii="Century Gothic" w:hAnsi="Century Gothic"/>
        </w:rPr>
        <w:t xml:space="preserve"> solo  </w:t>
      </w:r>
      <w:r w:rsidR="00457447" w:rsidRPr="00E94619">
        <w:rPr>
          <w:rFonts w:ascii="Century Gothic" w:hAnsi="Century Gothic"/>
        </w:rPr>
        <w:t>7</w:t>
      </w:r>
      <w:r w:rsidRPr="00E94619">
        <w:rPr>
          <w:rFonts w:ascii="Century Gothic" w:hAnsi="Century Gothic"/>
        </w:rPr>
        <w:t xml:space="preserve"> t</w:t>
      </w:r>
      <w:r w:rsidR="00E30DAE" w:rsidRPr="00E94619">
        <w:rPr>
          <w:rFonts w:ascii="Century Gothic" w:hAnsi="Century Gothic"/>
        </w:rPr>
        <w:t>ienen</w:t>
      </w:r>
      <w:r w:rsidRPr="00E94619">
        <w:rPr>
          <w:rFonts w:ascii="Century Gothic" w:hAnsi="Century Gothic"/>
        </w:rPr>
        <w:t xml:space="preserve"> una Secretaría de la Mujer o Equidad de Género, lo cual representa el </w:t>
      </w:r>
      <w:r w:rsidR="00457447" w:rsidRPr="00E94619">
        <w:rPr>
          <w:rFonts w:ascii="Century Gothic" w:hAnsi="Century Gothic"/>
        </w:rPr>
        <w:t>21.8</w:t>
      </w:r>
      <w:r w:rsidRPr="00E94619">
        <w:rPr>
          <w:rFonts w:ascii="Century Gothic" w:hAnsi="Century Gothic"/>
        </w:rPr>
        <w:t xml:space="preserve">%, </w:t>
      </w:r>
      <w:r w:rsidR="00E30DAE" w:rsidRPr="00E94619">
        <w:rPr>
          <w:rFonts w:ascii="Century Gothic" w:hAnsi="Century Gothic"/>
        </w:rPr>
        <w:t>1</w:t>
      </w:r>
      <w:r w:rsidR="00457447" w:rsidRPr="00E94619">
        <w:rPr>
          <w:rFonts w:ascii="Century Gothic" w:hAnsi="Century Gothic"/>
        </w:rPr>
        <w:t>7</w:t>
      </w:r>
      <w:r w:rsidRPr="00E94619">
        <w:rPr>
          <w:rFonts w:ascii="Century Gothic" w:hAnsi="Century Gothic"/>
        </w:rPr>
        <w:t xml:space="preserve"> municipios c</w:t>
      </w:r>
      <w:r w:rsidR="003B4671" w:rsidRPr="00E94619">
        <w:rPr>
          <w:rFonts w:ascii="Century Gothic" w:hAnsi="Century Gothic"/>
        </w:rPr>
        <w:t>uentan</w:t>
      </w:r>
      <w:r w:rsidRPr="00E94619">
        <w:rPr>
          <w:rFonts w:ascii="Century Gothic" w:hAnsi="Century Gothic"/>
        </w:rPr>
        <w:t xml:space="preserve"> con otra instancia de nivel intermedio, que representaba el </w:t>
      </w:r>
      <w:r w:rsidR="003B4671" w:rsidRPr="00E94619">
        <w:rPr>
          <w:rFonts w:ascii="Century Gothic" w:hAnsi="Century Gothic"/>
        </w:rPr>
        <w:t>5</w:t>
      </w:r>
      <w:r w:rsidR="00457447" w:rsidRPr="00E94619">
        <w:rPr>
          <w:rFonts w:ascii="Century Gothic" w:hAnsi="Century Gothic"/>
        </w:rPr>
        <w:t>3</w:t>
      </w:r>
      <w:r w:rsidRPr="00E94619">
        <w:rPr>
          <w:rFonts w:ascii="Century Gothic" w:hAnsi="Century Gothic"/>
        </w:rPr>
        <w:t xml:space="preserve">% y </w:t>
      </w:r>
      <w:r w:rsidR="00457447" w:rsidRPr="00E94619">
        <w:rPr>
          <w:rFonts w:ascii="Century Gothic" w:hAnsi="Century Gothic"/>
        </w:rPr>
        <w:t>8</w:t>
      </w:r>
      <w:r w:rsidRPr="00E94619">
        <w:rPr>
          <w:rFonts w:ascii="Century Gothic" w:hAnsi="Century Gothic"/>
        </w:rPr>
        <w:t xml:space="preserve"> </w:t>
      </w:r>
      <w:r w:rsidR="003B4671" w:rsidRPr="00E94619">
        <w:rPr>
          <w:rFonts w:ascii="Century Gothic" w:hAnsi="Century Gothic"/>
        </w:rPr>
        <w:t>no poseen</w:t>
      </w:r>
      <w:r w:rsidRPr="00E94619">
        <w:rPr>
          <w:rFonts w:ascii="Century Gothic" w:hAnsi="Century Gothic"/>
        </w:rPr>
        <w:t xml:space="preserve"> ninguna instancia, lo que significaba el </w:t>
      </w:r>
      <w:r w:rsidR="003B4671" w:rsidRPr="00E94619">
        <w:rPr>
          <w:rFonts w:ascii="Century Gothic" w:hAnsi="Century Gothic"/>
        </w:rPr>
        <w:t>25</w:t>
      </w:r>
      <w:r w:rsidRPr="00E94619">
        <w:rPr>
          <w:rFonts w:ascii="Century Gothic" w:hAnsi="Century Gothic"/>
        </w:rPr>
        <w:t xml:space="preserve">%. </w:t>
      </w:r>
    </w:p>
    <w:p w14:paraId="7E78D09D" w14:textId="77777777" w:rsidR="001238D7"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Municipios según tipo de mecanismo</w:t>
      </w:r>
    </w:p>
    <w:p w14:paraId="17E2BA0B" w14:textId="77777777" w:rsidR="00F53301" w:rsidRPr="00E94619" w:rsidRDefault="00F53301" w:rsidP="000E5AC0">
      <w:pPr>
        <w:spacing w:after="0" w:line="240" w:lineRule="auto"/>
        <w:jc w:val="both"/>
        <w:rPr>
          <w:rFonts w:ascii="Century Gothic" w:hAnsi="Century Gothic"/>
          <w:b/>
          <w:sz w:val="16"/>
          <w:szCs w:val="16"/>
        </w:rPr>
      </w:pPr>
    </w:p>
    <w:tbl>
      <w:tblPr>
        <w:tblStyle w:val="afff"/>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4791"/>
      </w:tblGrid>
      <w:tr w:rsidR="001238D7" w:rsidRPr="00E94619" w14:paraId="3CE25E9E" w14:textId="77777777" w:rsidTr="00F53301">
        <w:tc>
          <w:tcPr>
            <w:tcW w:w="3539" w:type="dxa"/>
            <w:tcBorders>
              <w:top w:val="single" w:sz="4" w:space="0" w:color="CC0066"/>
              <w:left w:val="single" w:sz="4" w:space="0" w:color="CC0066"/>
              <w:bottom w:val="single" w:sz="4" w:space="0" w:color="CC0066"/>
              <w:right w:val="single" w:sz="4" w:space="0" w:color="CC0066"/>
            </w:tcBorders>
            <w:shd w:val="clear" w:color="auto" w:fill="FF99CC"/>
          </w:tcPr>
          <w:p w14:paraId="7BE81330" w14:textId="77777777" w:rsidR="001238D7" w:rsidRPr="00E94619" w:rsidRDefault="0036411F" w:rsidP="000E5AC0">
            <w:pPr>
              <w:spacing w:after="0" w:line="240" w:lineRule="auto"/>
              <w:jc w:val="center"/>
              <w:rPr>
                <w:rFonts w:ascii="Century Gothic" w:hAnsi="Century Gothic"/>
                <w:b/>
                <w:sz w:val="16"/>
                <w:szCs w:val="16"/>
              </w:rPr>
            </w:pPr>
            <w:r w:rsidRPr="00E94619">
              <w:rPr>
                <w:rFonts w:ascii="Century Gothic" w:hAnsi="Century Gothic"/>
                <w:b/>
                <w:sz w:val="16"/>
                <w:szCs w:val="16"/>
              </w:rPr>
              <w:t>Mecanismos</w:t>
            </w:r>
          </w:p>
        </w:tc>
        <w:tc>
          <w:tcPr>
            <w:tcW w:w="4791" w:type="dxa"/>
            <w:tcBorders>
              <w:top w:val="single" w:sz="4" w:space="0" w:color="CC0066"/>
              <w:left w:val="single" w:sz="4" w:space="0" w:color="CC0066"/>
              <w:bottom w:val="single" w:sz="4" w:space="0" w:color="CC0066"/>
              <w:right w:val="single" w:sz="4" w:space="0" w:color="CC0066"/>
            </w:tcBorders>
            <w:shd w:val="clear" w:color="auto" w:fill="FF99CC"/>
          </w:tcPr>
          <w:p w14:paraId="113517E5" w14:textId="77777777" w:rsidR="001238D7" w:rsidRPr="00E94619" w:rsidRDefault="0036411F" w:rsidP="000E5AC0">
            <w:pPr>
              <w:spacing w:after="0" w:line="240" w:lineRule="auto"/>
              <w:jc w:val="center"/>
              <w:rPr>
                <w:rFonts w:ascii="Century Gothic" w:hAnsi="Century Gothic"/>
                <w:b/>
                <w:sz w:val="16"/>
                <w:szCs w:val="16"/>
              </w:rPr>
            </w:pPr>
            <w:r w:rsidRPr="00E94619">
              <w:rPr>
                <w:rFonts w:ascii="Century Gothic" w:hAnsi="Century Gothic"/>
                <w:b/>
                <w:sz w:val="16"/>
                <w:szCs w:val="16"/>
              </w:rPr>
              <w:t>Municipios</w:t>
            </w:r>
          </w:p>
        </w:tc>
      </w:tr>
      <w:tr w:rsidR="001238D7" w:rsidRPr="00E94619" w14:paraId="111B4F1B" w14:textId="77777777" w:rsidTr="00F53301">
        <w:tc>
          <w:tcPr>
            <w:tcW w:w="3539" w:type="dxa"/>
            <w:tcBorders>
              <w:top w:val="single" w:sz="4" w:space="0" w:color="CC0066"/>
              <w:left w:val="single" w:sz="4" w:space="0" w:color="CC0066"/>
              <w:bottom w:val="single" w:sz="4" w:space="0" w:color="CC0066"/>
              <w:right w:val="single" w:sz="4" w:space="0" w:color="CC0066"/>
            </w:tcBorders>
          </w:tcPr>
          <w:p w14:paraId="5354B69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Secretaría de la Mujer/ Equidad de Género</w:t>
            </w:r>
          </w:p>
        </w:tc>
        <w:tc>
          <w:tcPr>
            <w:tcW w:w="4791" w:type="dxa"/>
            <w:tcBorders>
              <w:top w:val="single" w:sz="4" w:space="0" w:color="CC0066"/>
              <w:left w:val="single" w:sz="4" w:space="0" w:color="CC0066"/>
              <w:bottom w:val="single" w:sz="4" w:space="0" w:color="CC0066"/>
              <w:right w:val="single" w:sz="4" w:space="0" w:color="CC0066"/>
            </w:tcBorders>
          </w:tcPr>
          <w:p w14:paraId="73EE1EA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Medellín, Tunja, Quibdó, Neiva, Cúcuta</w:t>
            </w:r>
            <w:r w:rsidR="003B4671" w:rsidRPr="00E94619">
              <w:rPr>
                <w:rFonts w:ascii="Century Gothic" w:hAnsi="Century Gothic"/>
                <w:sz w:val="16"/>
                <w:szCs w:val="16"/>
              </w:rPr>
              <w:t>, Bogotá D.C, Tolima</w:t>
            </w:r>
          </w:p>
        </w:tc>
      </w:tr>
      <w:tr w:rsidR="001238D7" w:rsidRPr="00E94619" w14:paraId="24EAA191" w14:textId="77777777" w:rsidTr="00F53301">
        <w:tc>
          <w:tcPr>
            <w:tcW w:w="3539" w:type="dxa"/>
            <w:tcBorders>
              <w:top w:val="single" w:sz="4" w:space="0" w:color="CC0066"/>
              <w:left w:val="single" w:sz="4" w:space="0" w:color="CC0066"/>
              <w:bottom w:val="single" w:sz="4" w:space="0" w:color="CC0066"/>
              <w:right w:val="single" w:sz="4" w:space="0" w:color="CC0066"/>
            </w:tcBorders>
          </w:tcPr>
          <w:p w14:paraId="5FB66F49"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Dirección de la Mujer/Otros</w:t>
            </w:r>
          </w:p>
        </w:tc>
        <w:tc>
          <w:tcPr>
            <w:tcW w:w="4791" w:type="dxa"/>
            <w:tcBorders>
              <w:top w:val="single" w:sz="4" w:space="0" w:color="CC0066"/>
              <w:left w:val="single" w:sz="4" w:space="0" w:color="CC0066"/>
              <w:bottom w:val="single" w:sz="4" w:space="0" w:color="CC0066"/>
              <w:right w:val="single" w:sz="4" w:space="0" w:color="CC0066"/>
            </w:tcBorders>
          </w:tcPr>
          <w:p w14:paraId="74D8315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Yopal, Riohacha</w:t>
            </w:r>
            <w:r w:rsidR="003B4671" w:rsidRPr="00E94619">
              <w:rPr>
                <w:rFonts w:ascii="Century Gothic" w:hAnsi="Century Gothic"/>
                <w:sz w:val="16"/>
                <w:szCs w:val="16"/>
              </w:rPr>
              <w:t>, Barranquilla. Arauca, San Andrés, Manizales,</w:t>
            </w:r>
            <w:r w:rsidR="00457447" w:rsidRPr="00E94619">
              <w:rPr>
                <w:rFonts w:ascii="Century Gothic" w:hAnsi="Century Gothic"/>
                <w:sz w:val="16"/>
                <w:szCs w:val="16"/>
              </w:rPr>
              <w:t xml:space="preserve"> Pereira Popayán, Valledupar, Montería, Armenia, Ibagué</w:t>
            </w:r>
          </w:p>
        </w:tc>
      </w:tr>
      <w:tr w:rsidR="001238D7" w:rsidRPr="00E94619" w14:paraId="4A1B5438" w14:textId="77777777" w:rsidTr="00F53301">
        <w:tc>
          <w:tcPr>
            <w:tcW w:w="3539" w:type="dxa"/>
            <w:tcBorders>
              <w:top w:val="single" w:sz="4" w:space="0" w:color="CC0066"/>
              <w:left w:val="single" w:sz="4" w:space="0" w:color="CC0066"/>
              <w:bottom w:val="single" w:sz="4" w:space="0" w:color="CC0066"/>
              <w:right w:val="single" w:sz="4" w:space="0" w:color="CC0066"/>
            </w:tcBorders>
          </w:tcPr>
          <w:p w14:paraId="5844F6FD"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Oficina de la Mujer</w:t>
            </w:r>
          </w:p>
        </w:tc>
        <w:tc>
          <w:tcPr>
            <w:tcW w:w="4791" w:type="dxa"/>
            <w:tcBorders>
              <w:top w:val="single" w:sz="4" w:space="0" w:color="CC0066"/>
              <w:left w:val="single" w:sz="4" w:space="0" w:color="CC0066"/>
              <w:bottom w:val="single" w:sz="4" w:space="0" w:color="CC0066"/>
              <w:right w:val="single" w:sz="4" w:space="0" w:color="CC0066"/>
            </w:tcBorders>
          </w:tcPr>
          <w:p w14:paraId="68C4346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Villavicencio, San Juan de Pasto</w:t>
            </w:r>
            <w:r w:rsidR="003B4671" w:rsidRPr="00E94619">
              <w:rPr>
                <w:rFonts w:ascii="Century Gothic" w:hAnsi="Century Gothic"/>
                <w:sz w:val="16"/>
                <w:szCs w:val="16"/>
              </w:rPr>
              <w:t>, Quibdó, Florencia</w:t>
            </w:r>
          </w:p>
        </w:tc>
      </w:tr>
      <w:tr w:rsidR="001238D7" w:rsidRPr="00E94619" w14:paraId="1C799755" w14:textId="77777777" w:rsidTr="00F53301">
        <w:tc>
          <w:tcPr>
            <w:tcW w:w="3539" w:type="dxa"/>
            <w:tcBorders>
              <w:top w:val="single" w:sz="4" w:space="0" w:color="CC0066"/>
              <w:left w:val="single" w:sz="4" w:space="0" w:color="CC0066"/>
              <w:bottom w:val="single" w:sz="4" w:space="0" w:color="CC0066"/>
              <w:right w:val="single" w:sz="4" w:space="0" w:color="CC0066"/>
            </w:tcBorders>
          </w:tcPr>
          <w:p w14:paraId="157ACB67"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Consejería/Asesoría</w:t>
            </w:r>
          </w:p>
        </w:tc>
        <w:tc>
          <w:tcPr>
            <w:tcW w:w="4791" w:type="dxa"/>
            <w:tcBorders>
              <w:top w:val="single" w:sz="4" w:space="0" w:color="CC0066"/>
              <w:left w:val="single" w:sz="4" w:space="0" w:color="CC0066"/>
              <w:bottom w:val="single" w:sz="4" w:space="0" w:color="CC0066"/>
              <w:right w:val="single" w:sz="4" w:space="0" w:color="CC0066"/>
            </w:tcBorders>
          </w:tcPr>
          <w:p w14:paraId="22D9E6D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Bucaramanga, Santiago de Cali</w:t>
            </w:r>
            <w:r w:rsidR="003B4671" w:rsidRPr="00E94619">
              <w:rPr>
                <w:rFonts w:ascii="Century Gothic" w:hAnsi="Century Gothic"/>
                <w:sz w:val="16"/>
                <w:szCs w:val="16"/>
              </w:rPr>
              <w:t xml:space="preserve">, Cartagena, </w:t>
            </w:r>
          </w:p>
        </w:tc>
      </w:tr>
      <w:tr w:rsidR="001238D7" w:rsidRPr="00E94619" w14:paraId="1AB06429" w14:textId="77777777" w:rsidTr="00F53301">
        <w:tc>
          <w:tcPr>
            <w:tcW w:w="3539" w:type="dxa"/>
            <w:tcBorders>
              <w:top w:val="single" w:sz="4" w:space="0" w:color="CC0066"/>
              <w:left w:val="single" w:sz="4" w:space="0" w:color="CC0066"/>
              <w:bottom w:val="single" w:sz="4" w:space="0" w:color="CC0066"/>
              <w:right w:val="single" w:sz="4" w:space="0" w:color="CC0066"/>
            </w:tcBorders>
          </w:tcPr>
          <w:p w14:paraId="7FAF477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No tienen Mecanismo</w:t>
            </w:r>
          </w:p>
        </w:tc>
        <w:tc>
          <w:tcPr>
            <w:tcW w:w="4791" w:type="dxa"/>
            <w:tcBorders>
              <w:top w:val="single" w:sz="4" w:space="0" w:color="CC0066"/>
              <w:left w:val="single" w:sz="4" w:space="0" w:color="CC0066"/>
              <w:bottom w:val="single" w:sz="4" w:space="0" w:color="CC0066"/>
              <w:right w:val="single" w:sz="4" w:space="0" w:color="CC0066"/>
            </w:tcBorders>
          </w:tcPr>
          <w:p w14:paraId="02553A7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Leticia, Puerto Inírida, San José del Guaviare, Santa Marta, Mocoa, Sincelejo, Mitú, Puerto Carreño</w:t>
            </w:r>
          </w:p>
        </w:tc>
      </w:tr>
    </w:tbl>
    <w:p w14:paraId="7BFF4193" w14:textId="77777777" w:rsidR="001238D7" w:rsidRPr="00E94619" w:rsidRDefault="001238D7" w:rsidP="000E5AC0">
      <w:pPr>
        <w:keepNext/>
        <w:spacing w:after="0" w:line="240" w:lineRule="auto"/>
        <w:jc w:val="both"/>
        <w:rPr>
          <w:rFonts w:ascii="Century Gothic" w:hAnsi="Century Gothic"/>
          <w:b/>
        </w:rPr>
      </w:pPr>
    </w:p>
    <w:p w14:paraId="0A839C97" w14:textId="34B08044" w:rsidR="001238D7" w:rsidRPr="00A333DD" w:rsidRDefault="0036411F" w:rsidP="000E5AC0">
      <w:pPr>
        <w:pStyle w:val="Ttulo3"/>
        <w:rPr>
          <w:rFonts w:ascii="Century Gothic" w:hAnsi="Century Gothic"/>
          <w:b w:val="0"/>
          <w:color w:val="CC3366"/>
        </w:rPr>
      </w:pPr>
      <w:bookmarkStart w:id="11" w:name="_Toc488624229"/>
      <w:r w:rsidRPr="00A333DD">
        <w:rPr>
          <w:rFonts w:ascii="Century Gothic" w:hAnsi="Century Gothic"/>
          <w:b w:val="0"/>
          <w:color w:val="CC3366"/>
        </w:rPr>
        <w:t>1.3</w:t>
      </w:r>
      <w:r w:rsidR="00490F50">
        <w:rPr>
          <w:rFonts w:ascii="Century Gothic" w:hAnsi="Century Gothic"/>
          <w:b w:val="0"/>
          <w:color w:val="CC3366"/>
        </w:rPr>
        <w:t>.</w:t>
      </w:r>
      <w:r w:rsidRPr="00A333DD">
        <w:rPr>
          <w:rFonts w:ascii="Century Gothic" w:hAnsi="Century Gothic"/>
          <w:b w:val="0"/>
          <w:color w:val="CC3366"/>
        </w:rPr>
        <w:t xml:space="preserve"> Bancadas de mujeres en el congreso</w:t>
      </w:r>
      <w:bookmarkEnd w:id="11"/>
    </w:p>
    <w:p w14:paraId="761B0DD1" w14:textId="77777777" w:rsidR="001238D7" w:rsidRPr="00E94619" w:rsidRDefault="001238D7" w:rsidP="000E5AC0">
      <w:pPr>
        <w:keepNext/>
        <w:spacing w:after="0" w:line="240" w:lineRule="auto"/>
        <w:jc w:val="both"/>
        <w:rPr>
          <w:rFonts w:ascii="Century Gothic" w:hAnsi="Century Gothic"/>
          <w:b/>
        </w:rPr>
      </w:pPr>
    </w:p>
    <w:p w14:paraId="06EDF747" w14:textId="77777777" w:rsidR="000A4276" w:rsidRPr="00E94619" w:rsidRDefault="0036411F" w:rsidP="000E5AC0">
      <w:pPr>
        <w:spacing w:after="0" w:line="240" w:lineRule="auto"/>
        <w:jc w:val="both"/>
        <w:rPr>
          <w:rFonts w:ascii="Century Gothic" w:hAnsi="Century Gothic"/>
        </w:rPr>
      </w:pPr>
      <w:r w:rsidRPr="00E94619">
        <w:rPr>
          <w:rFonts w:ascii="Century Gothic" w:hAnsi="Century Gothic"/>
        </w:rPr>
        <w:t>A partir del año 2006 se consolidó en Colombia una bancada de mujeres en el Congreso de la República. Este proceso tuvo el mayor auge en su inicio, pues durante los años posteriores ha perdido protagonismo. A la Bancada de mujeres se les reconoce el aporte en la aprobación de las siguientes leyes: Ley 1257 de 2008, Ley 1434 de 2011, Ley 1448 de 2011, artículo para la formulación de la Política Pública para las mujeres en el Plan de Desarrollo 2010-2014, Ley 1413 de 2010, Ley 1468 de 2011, Ley 1496 de 2011</w:t>
      </w:r>
      <w:r w:rsidR="003859FA" w:rsidRPr="00E94619">
        <w:rPr>
          <w:rFonts w:ascii="Century Gothic" w:hAnsi="Century Gothic"/>
        </w:rPr>
        <w:t>.</w:t>
      </w:r>
    </w:p>
    <w:p w14:paraId="72340514" w14:textId="77777777" w:rsidR="000A4276" w:rsidRPr="00E94619" w:rsidRDefault="000A4276" w:rsidP="000E5AC0">
      <w:pPr>
        <w:spacing w:after="0" w:line="240" w:lineRule="auto"/>
        <w:jc w:val="both"/>
        <w:rPr>
          <w:rFonts w:ascii="Century Gothic" w:hAnsi="Century Gothic"/>
        </w:rPr>
      </w:pPr>
    </w:p>
    <w:p w14:paraId="50B3C980" w14:textId="0176C40E" w:rsidR="001238D7" w:rsidRPr="00490F50" w:rsidRDefault="0036411F" w:rsidP="000E5AC0">
      <w:pPr>
        <w:pStyle w:val="Ttulo3"/>
        <w:rPr>
          <w:rFonts w:ascii="Century Gothic" w:hAnsi="Century Gothic"/>
          <w:b w:val="0"/>
          <w:color w:val="CC3366"/>
        </w:rPr>
      </w:pPr>
      <w:bookmarkStart w:id="12" w:name="_Toc488624230"/>
      <w:r w:rsidRPr="00490F50">
        <w:rPr>
          <w:rFonts w:ascii="Century Gothic" w:hAnsi="Century Gothic"/>
          <w:b w:val="0"/>
          <w:color w:val="CC3366"/>
        </w:rPr>
        <w:lastRenderedPageBreak/>
        <w:t>1.4</w:t>
      </w:r>
      <w:r w:rsidR="00490F50">
        <w:rPr>
          <w:rFonts w:ascii="Century Gothic" w:hAnsi="Century Gothic"/>
          <w:b w:val="0"/>
          <w:color w:val="CC3366"/>
        </w:rPr>
        <w:t>.</w:t>
      </w:r>
      <w:r w:rsidRPr="00490F50">
        <w:rPr>
          <w:rFonts w:ascii="Century Gothic" w:hAnsi="Century Gothic"/>
          <w:b w:val="0"/>
          <w:color w:val="CC3366"/>
        </w:rPr>
        <w:t xml:space="preserve"> Estructura de los lineamientos de la Política Pública para la Equidad de Género (2012-2022)</w:t>
      </w:r>
      <w:bookmarkEnd w:id="12"/>
    </w:p>
    <w:p w14:paraId="1C460972" w14:textId="77777777" w:rsidR="001238D7" w:rsidRPr="00E94619" w:rsidRDefault="001238D7" w:rsidP="000E5AC0">
      <w:pPr>
        <w:spacing w:after="0" w:line="240" w:lineRule="auto"/>
        <w:jc w:val="both"/>
        <w:rPr>
          <w:rFonts w:ascii="Century Gothic" w:hAnsi="Century Gothic"/>
          <w:b/>
        </w:rPr>
      </w:pPr>
    </w:p>
    <w:p w14:paraId="45E51B01" w14:textId="77777777" w:rsidR="00016534" w:rsidRPr="00E94619" w:rsidRDefault="0036411F" w:rsidP="000E5AC0">
      <w:pPr>
        <w:spacing w:after="0" w:line="240" w:lineRule="auto"/>
        <w:jc w:val="both"/>
        <w:rPr>
          <w:rFonts w:ascii="Century Gothic" w:hAnsi="Century Gothic"/>
          <w:lang w:val="es-ES"/>
        </w:rPr>
      </w:pPr>
      <w:r w:rsidRPr="00E94619">
        <w:rPr>
          <w:rFonts w:ascii="Century Gothic" w:hAnsi="Century Gothic"/>
        </w:rPr>
        <w:t xml:space="preserve">Colombia lleva cerca de tres décadas construyendo políticas públicas para las mujeres, en las cuales el Estado ha plasmado su compromiso con los derechos de éstas. En el año 2012 se aprobó la Política Pública Nacional de Equidad de Género para las Mujeres y el Plan Integral para garantizar a las mujeres una vida libre de violencias. Esta política fue el resultado de un esfuerzo de articulación entre las organizaciones de mujeres, la Consejería y la cooperación internacional. </w:t>
      </w:r>
      <w:r w:rsidR="00016534" w:rsidRPr="00E94619">
        <w:rPr>
          <w:rFonts w:ascii="Century Gothic" w:hAnsi="Century Gothic"/>
        </w:rPr>
        <w:t xml:space="preserve">En el año 2021 saldrá publicada la segunda fase de esta política, </w:t>
      </w:r>
      <w:r w:rsidR="00016534" w:rsidRPr="00E94619">
        <w:rPr>
          <w:rFonts w:ascii="Century Gothic" w:hAnsi="Century Gothic"/>
          <w:lang w:val="es-ES"/>
        </w:rPr>
        <w:t>que contará con 5 ejes de trabajo, con el propósito de dar continuidad a la articulación de la oferta del gobierno nacional para el cierre de brechas de género:</w:t>
      </w:r>
    </w:p>
    <w:p w14:paraId="0149BEDF" w14:textId="77777777" w:rsidR="00016534" w:rsidRPr="00E94619" w:rsidRDefault="00016534" w:rsidP="000E5AC0">
      <w:pPr>
        <w:pStyle w:val="Prrafodelista"/>
        <w:numPr>
          <w:ilvl w:val="0"/>
          <w:numId w:val="7"/>
        </w:numPr>
        <w:spacing w:after="0" w:line="240" w:lineRule="auto"/>
        <w:rPr>
          <w:rFonts w:ascii="Century Gothic" w:hAnsi="Century Gothic"/>
          <w:lang w:val="es-ES"/>
        </w:rPr>
      </w:pPr>
      <w:r w:rsidRPr="00E94619">
        <w:rPr>
          <w:rFonts w:ascii="Century Gothic" w:hAnsi="Century Gothic"/>
          <w:lang w:val="es-ES"/>
        </w:rPr>
        <w:t>Fortalecimiento institucional y transformación cultural</w:t>
      </w:r>
    </w:p>
    <w:p w14:paraId="052C2BC2" w14:textId="77777777" w:rsidR="00016534" w:rsidRPr="00E94619" w:rsidRDefault="00016534" w:rsidP="000E5AC0">
      <w:pPr>
        <w:pStyle w:val="Prrafodelista"/>
        <w:numPr>
          <w:ilvl w:val="0"/>
          <w:numId w:val="7"/>
        </w:numPr>
        <w:spacing w:after="0" w:line="240" w:lineRule="auto"/>
        <w:rPr>
          <w:rFonts w:ascii="Century Gothic" w:hAnsi="Century Gothic"/>
          <w:lang w:val="es-ES"/>
        </w:rPr>
      </w:pPr>
      <w:r w:rsidRPr="00E94619">
        <w:rPr>
          <w:rFonts w:ascii="Century Gothic" w:hAnsi="Century Gothic"/>
          <w:lang w:val="es-ES"/>
        </w:rPr>
        <w:t>Desarrollo social y productivo</w:t>
      </w:r>
    </w:p>
    <w:p w14:paraId="0A97748B" w14:textId="77777777" w:rsidR="00016534" w:rsidRPr="00E94619" w:rsidRDefault="00016534" w:rsidP="000E5AC0">
      <w:pPr>
        <w:pStyle w:val="Prrafodelista"/>
        <w:numPr>
          <w:ilvl w:val="0"/>
          <w:numId w:val="7"/>
        </w:numPr>
        <w:spacing w:after="0" w:line="240" w:lineRule="auto"/>
        <w:rPr>
          <w:rFonts w:ascii="Century Gothic" w:hAnsi="Century Gothic"/>
          <w:lang w:val="es-ES"/>
        </w:rPr>
      </w:pPr>
      <w:r w:rsidRPr="00E94619">
        <w:rPr>
          <w:rFonts w:ascii="Century Gothic" w:hAnsi="Century Gothic"/>
          <w:lang w:val="es-ES"/>
        </w:rPr>
        <w:t>Participación</w:t>
      </w:r>
    </w:p>
    <w:p w14:paraId="6F5EA6E8" w14:textId="77777777" w:rsidR="00016534" w:rsidRDefault="00016534" w:rsidP="000E5AC0">
      <w:pPr>
        <w:pStyle w:val="Prrafodelista"/>
        <w:numPr>
          <w:ilvl w:val="0"/>
          <w:numId w:val="7"/>
        </w:numPr>
        <w:spacing w:after="0" w:line="240" w:lineRule="auto"/>
        <w:rPr>
          <w:rFonts w:ascii="Century Gothic" w:hAnsi="Century Gothic"/>
          <w:lang w:val="es-ES"/>
        </w:rPr>
      </w:pPr>
      <w:r w:rsidRPr="00E94619">
        <w:rPr>
          <w:rFonts w:ascii="Century Gothic" w:hAnsi="Century Gothic"/>
          <w:lang w:val="es-ES"/>
        </w:rPr>
        <w:t>Salud</w:t>
      </w:r>
    </w:p>
    <w:p w14:paraId="15225A4E" w14:textId="61EF174F" w:rsidR="00F53301" w:rsidRPr="00E94619" w:rsidRDefault="00F53301" w:rsidP="000E5AC0">
      <w:pPr>
        <w:pStyle w:val="Prrafodelista"/>
        <w:numPr>
          <w:ilvl w:val="0"/>
          <w:numId w:val="7"/>
        </w:numPr>
        <w:spacing w:after="0" w:line="240" w:lineRule="auto"/>
        <w:rPr>
          <w:rFonts w:ascii="Century Gothic" w:hAnsi="Century Gothic"/>
          <w:lang w:val="es-ES"/>
        </w:rPr>
      </w:pPr>
      <w:r>
        <w:rPr>
          <w:rFonts w:ascii="Century Gothic" w:hAnsi="Century Gothic"/>
          <w:lang w:val="es-ES"/>
        </w:rPr>
        <w:t>Plan integral para garantizar a las mujeres una vida libre de violencias</w:t>
      </w:r>
    </w:p>
    <w:p w14:paraId="4852375A" w14:textId="77777777" w:rsidR="00F53301" w:rsidRDefault="00F53301" w:rsidP="000E5AC0">
      <w:pPr>
        <w:pStyle w:val="Ttulo2"/>
        <w:rPr>
          <w:rFonts w:ascii="Century Gothic" w:hAnsi="Century Gothic"/>
          <w:color w:val="CC3366"/>
        </w:rPr>
      </w:pPr>
    </w:p>
    <w:p w14:paraId="2CA69F27" w14:textId="529C128A" w:rsidR="001238D7" w:rsidRPr="00F53301" w:rsidRDefault="0036411F" w:rsidP="000E5AC0">
      <w:pPr>
        <w:pStyle w:val="Ttulo2"/>
        <w:rPr>
          <w:rFonts w:ascii="Century Gothic" w:hAnsi="Century Gothic"/>
          <w:color w:val="CC3366"/>
        </w:rPr>
      </w:pPr>
      <w:bookmarkStart w:id="13" w:name="_Toc488624231"/>
      <w:r w:rsidRPr="00F53301">
        <w:rPr>
          <w:rFonts w:ascii="Century Gothic" w:hAnsi="Century Gothic"/>
          <w:color w:val="CC3366"/>
        </w:rPr>
        <w:t>2. S</w:t>
      </w:r>
      <w:r w:rsidR="00A333DD" w:rsidRPr="00F53301">
        <w:rPr>
          <w:rFonts w:ascii="Century Gothic" w:hAnsi="Century Gothic"/>
          <w:color w:val="CC3366"/>
        </w:rPr>
        <w:t>eguimiento y monitore a las políticas públicas</w:t>
      </w:r>
      <w:bookmarkEnd w:id="13"/>
      <w:r w:rsidR="00A333DD" w:rsidRPr="00F53301">
        <w:rPr>
          <w:rFonts w:ascii="Century Gothic" w:hAnsi="Century Gothic"/>
          <w:color w:val="CC3366"/>
        </w:rPr>
        <w:t xml:space="preserve"> </w:t>
      </w:r>
    </w:p>
    <w:p w14:paraId="0F3462BA" w14:textId="77777777" w:rsidR="001238D7" w:rsidRPr="00E94619" w:rsidRDefault="001238D7" w:rsidP="000E5AC0">
      <w:pPr>
        <w:spacing w:after="0" w:line="240" w:lineRule="auto"/>
        <w:jc w:val="both"/>
        <w:rPr>
          <w:rFonts w:ascii="Century Gothic" w:hAnsi="Century Gothic"/>
          <w:b/>
        </w:rPr>
      </w:pPr>
    </w:p>
    <w:p w14:paraId="67BC3EF4" w14:textId="77777777" w:rsidR="001238D7" w:rsidRPr="00E94619" w:rsidRDefault="0036411F" w:rsidP="000E5AC0">
      <w:pPr>
        <w:jc w:val="both"/>
        <w:rPr>
          <w:rFonts w:ascii="Century Gothic" w:hAnsi="Century Gothic"/>
        </w:rPr>
      </w:pPr>
      <w:r w:rsidRPr="00E94619">
        <w:rPr>
          <w:rFonts w:ascii="Century Gothic" w:hAnsi="Century Gothic"/>
        </w:rPr>
        <w:t>Las políticas de igualdad de género, tanto la nacional como las territoriales, se construyeron sin indicadores, ni sistemas de monitoreo que permitieran identificar los avances y retrocesos en su implementación. En el caso de la Política Nacional de Equidad de Género para las Mujeres y las políticas de ciudades como Cali y Quibdó, sobre la marcha se les construyeron baterías de indicadores, pero no se logró la suficiente articulación para vincularlos a los procesos de planificación a nivel territorial y nacional.</w:t>
      </w:r>
    </w:p>
    <w:p w14:paraId="3BC7F81F" w14:textId="723577CF" w:rsidR="001238D7" w:rsidRPr="00F53301" w:rsidRDefault="0036411F" w:rsidP="000E5AC0">
      <w:pPr>
        <w:pStyle w:val="Ttulo3"/>
        <w:rPr>
          <w:rFonts w:ascii="Century Gothic" w:hAnsi="Century Gothic"/>
          <w:b w:val="0"/>
          <w:color w:val="CC3366"/>
        </w:rPr>
      </w:pPr>
      <w:bookmarkStart w:id="14" w:name="_Toc488624232"/>
      <w:r w:rsidRPr="00F53301">
        <w:rPr>
          <w:rFonts w:ascii="Century Gothic" w:hAnsi="Century Gothic"/>
          <w:b w:val="0"/>
          <w:color w:val="CC3366"/>
        </w:rPr>
        <w:t>2.1</w:t>
      </w:r>
      <w:r w:rsidR="00490F50">
        <w:rPr>
          <w:rFonts w:ascii="Century Gothic" w:hAnsi="Century Gothic"/>
          <w:b w:val="0"/>
          <w:color w:val="CC3366"/>
        </w:rPr>
        <w:t>.</w:t>
      </w:r>
      <w:r w:rsidRPr="00F53301">
        <w:rPr>
          <w:rFonts w:ascii="Century Gothic" w:hAnsi="Century Gothic"/>
          <w:b w:val="0"/>
          <w:color w:val="CC3366"/>
        </w:rPr>
        <w:t xml:space="preserve"> Comisión Intersectorial</w:t>
      </w:r>
      <w:bookmarkEnd w:id="14"/>
      <w:r w:rsidRPr="00F53301">
        <w:rPr>
          <w:rFonts w:ascii="Century Gothic" w:hAnsi="Century Gothic"/>
          <w:b w:val="0"/>
          <w:color w:val="CC3366"/>
        </w:rPr>
        <w:t xml:space="preserve"> </w:t>
      </w:r>
    </w:p>
    <w:p w14:paraId="0186A32B" w14:textId="77777777" w:rsidR="001238D7" w:rsidRPr="00E94619" w:rsidRDefault="001238D7" w:rsidP="000E5AC0">
      <w:pPr>
        <w:pBdr>
          <w:top w:val="nil"/>
          <w:left w:val="nil"/>
          <w:bottom w:val="nil"/>
          <w:right w:val="nil"/>
          <w:between w:val="nil"/>
        </w:pBdr>
        <w:spacing w:after="0" w:line="240" w:lineRule="auto"/>
        <w:ind w:left="720"/>
        <w:jc w:val="both"/>
        <w:rPr>
          <w:rFonts w:ascii="Century Gothic" w:hAnsi="Century Gothic"/>
          <w:b/>
          <w:color w:val="000000"/>
        </w:rPr>
      </w:pPr>
    </w:p>
    <w:p w14:paraId="252E5D4C"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Como parte de la aprobación de la Política Pública para la Equidad de las Mujeres se creó la Comisión Intersectorial, cuya Secretaría Técnica la realiza la Consejería Presidencial para la Equidad de la Mujer. Esta Comisión está integrada por 7 ministerios y delegados del Departamento Nacional de Planeación, el Instituto Colombiano de Bienestar Familiar, el Departamento Administrativo de la Presidencia de la República, el Departamento Administrativo de la Función Pública, el Programa Presidencial de los Derechos Humanos (actualmente Consejería Presidencial para los Derechos Humanos) y el Departamento Administrativo para la Prosperidad Social.</w:t>
      </w:r>
    </w:p>
    <w:p w14:paraId="7EBDFAAF" w14:textId="77777777" w:rsidR="001238D7" w:rsidRPr="00E94619" w:rsidRDefault="001238D7" w:rsidP="000E5AC0">
      <w:pPr>
        <w:spacing w:after="0" w:line="240" w:lineRule="auto"/>
        <w:jc w:val="both"/>
        <w:rPr>
          <w:rFonts w:ascii="Century Gothic" w:hAnsi="Century Gothic"/>
        </w:rPr>
      </w:pPr>
    </w:p>
    <w:p w14:paraId="5946FB41"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El propósito de esta Comisión es “</w:t>
      </w:r>
      <w:r w:rsidRPr="00E94619">
        <w:rPr>
          <w:rFonts w:ascii="Century Gothic" w:hAnsi="Century Gothic"/>
          <w:i/>
        </w:rPr>
        <w:t>coordinar, armonizar e impulsar la ejecución del Plan Indicativo por parte de las entidades involucradas, acorde a sus competencias en la Política Pública Nacional de Equidad de Género, siendo ésta la instancia de concertación entre los diferentes sectores involucrados</w:t>
      </w:r>
      <w:r w:rsidRPr="00E94619">
        <w:rPr>
          <w:rFonts w:ascii="Century Gothic" w:hAnsi="Century Gothic"/>
        </w:rPr>
        <w:t>”. La Comisión es un espacio que no ha logrado el liderazgo necesario para impulsar la implementación de la Política Pública, es un escenario que en su accionar ha tomado un carácter más técnico que político, lo que ha llevado a que tenga un rol marginal con una capacidad limitada de incidencia a nivel nacional.</w:t>
      </w:r>
    </w:p>
    <w:p w14:paraId="1321CF99" w14:textId="23AC8076" w:rsidR="001238D7" w:rsidRPr="00E94619" w:rsidRDefault="00830DB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55520" behindDoc="0" locked="0" layoutInCell="1" allowOverlap="1" wp14:anchorId="471F2915" wp14:editId="56636756">
            <wp:simplePos x="0" y="0"/>
            <wp:positionH relativeFrom="column">
              <wp:posOffset>-1142365</wp:posOffset>
            </wp:positionH>
            <wp:positionV relativeFrom="paragraph">
              <wp:posOffset>-9540240</wp:posOffset>
            </wp:positionV>
            <wp:extent cx="965835" cy="708660"/>
            <wp:effectExtent l="0" t="0" r="0" b="0"/>
            <wp:wrapNone/>
            <wp:docPr id="331" name="Imagen 33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1325D20A" w14:textId="4C078D5D" w:rsidR="001238D7" w:rsidRPr="00F53301" w:rsidRDefault="0036411F" w:rsidP="000E5AC0">
      <w:pPr>
        <w:pStyle w:val="Ttulo3"/>
        <w:jc w:val="both"/>
        <w:rPr>
          <w:rFonts w:ascii="Century Gothic" w:hAnsi="Century Gothic"/>
          <w:b w:val="0"/>
          <w:color w:val="CC3366"/>
        </w:rPr>
      </w:pPr>
      <w:bookmarkStart w:id="15" w:name="_Toc488624233"/>
      <w:r w:rsidRPr="00F53301">
        <w:rPr>
          <w:rFonts w:ascii="Century Gothic" w:hAnsi="Century Gothic"/>
          <w:b w:val="0"/>
          <w:color w:val="CC3366"/>
        </w:rPr>
        <w:lastRenderedPageBreak/>
        <w:t>2.2</w:t>
      </w:r>
      <w:r w:rsidR="00490F50">
        <w:rPr>
          <w:rFonts w:ascii="Century Gothic" w:hAnsi="Century Gothic"/>
          <w:b w:val="0"/>
          <w:color w:val="CC3366"/>
        </w:rPr>
        <w:t>.</w:t>
      </w:r>
      <w:r w:rsidRPr="00F53301">
        <w:rPr>
          <w:rFonts w:ascii="Century Gothic" w:hAnsi="Century Gothic"/>
          <w:b w:val="0"/>
          <w:color w:val="CC3366"/>
        </w:rPr>
        <w:t xml:space="preserve"> Sistema de Vigilancia en Género-SIVIGE y otros sistemas de información u observatorios</w:t>
      </w:r>
      <w:bookmarkEnd w:id="15"/>
    </w:p>
    <w:p w14:paraId="2CF7789D" w14:textId="77777777" w:rsidR="001238D7" w:rsidRPr="00E94619" w:rsidRDefault="001238D7" w:rsidP="000E5AC0">
      <w:pPr>
        <w:pStyle w:val="Ttulo3"/>
        <w:spacing w:before="0"/>
        <w:rPr>
          <w:rFonts w:ascii="Century Gothic" w:hAnsi="Century Gothic"/>
          <w:b w:val="0"/>
        </w:rPr>
      </w:pPr>
    </w:p>
    <w:p w14:paraId="2CDAF49B" w14:textId="77777777" w:rsidR="00A4135D" w:rsidRPr="00E94619" w:rsidRDefault="0036411F" w:rsidP="000E5AC0">
      <w:pPr>
        <w:spacing w:after="0" w:line="240" w:lineRule="auto"/>
        <w:jc w:val="both"/>
        <w:rPr>
          <w:rFonts w:ascii="Century Gothic" w:hAnsi="Century Gothic"/>
        </w:rPr>
      </w:pPr>
      <w:r w:rsidRPr="00E94619">
        <w:rPr>
          <w:rFonts w:ascii="Century Gothic" w:hAnsi="Century Gothic"/>
        </w:rPr>
        <w:t>Como respuesta a la necesidad de información y en cumplimiento del mandato de la Ley 1257 de 2008, en los últimos años las entidades han desarrollado un proceso de articulación liderado por el Ministerio de Salud y Protección Social, la Consejería Presidencial para la Equidad de las Mujeres, El DANE y El Instituto Nacional de Medicina Legal y Ciencias Forenses para construir un sistema unificado de información que permita recaudar datos sobre las violencias contra las mujeres a nivel nacional. E</w:t>
      </w:r>
      <w:r w:rsidR="00B05410" w:rsidRPr="00E94619">
        <w:rPr>
          <w:rFonts w:ascii="Century Gothic" w:hAnsi="Century Gothic"/>
        </w:rPr>
        <w:t xml:space="preserve">l </w:t>
      </w:r>
      <w:r w:rsidRPr="00E94619">
        <w:rPr>
          <w:rFonts w:ascii="Century Gothic" w:hAnsi="Century Gothic"/>
        </w:rPr>
        <w:t>Sistema de Vigilancia en Género -SIVIGE-</w:t>
      </w:r>
      <w:r w:rsidR="005472D3" w:rsidRPr="00E94619">
        <w:rPr>
          <w:rFonts w:ascii="Century Gothic" w:hAnsi="Century Gothic"/>
        </w:rPr>
        <w:t xml:space="preserve"> es un</w:t>
      </w:r>
      <w:r w:rsidR="00EB5FAA" w:rsidRPr="00E94619">
        <w:rPr>
          <w:rFonts w:ascii="Century Gothic" w:hAnsi="Century Gothic"/>
        </w:rPr>
        <w:t xml:space="preserve"> espacio intersectorial del nivel nacional en el que participan las instituciones que cuentan con información de violencias de género en el país,</w:t>
      </w:r>
      <w:r w:rsidRPr="00E94619">
        <w:rPr>
          <w:rFonts w:ascii="Century Gothic" w:hAnsi="Century Gothic"/>
        </w:rPr>
        <w:t xml:space="preserve"> y t</w:t>
      </w:r>
      <w:r w:rsidR="005472D3" w:rsidRPr="00E94619">
        <w:rPr>
          <w:rFonts w:ascii="Century Gothic" w:hAnsi="Century Gothic"/>
        </w:rPr>
        <w:t>iene</w:t>
      </w:r>
      <w:r w:rsidRPr="00E94619">
        <w:rPr>
          <w:rFonts w:ascii="Century Gothic" w:hAnsi="Century Gothic"/>
        </w:rPr>
        <w:t xml:space="preserve"> el propósito de brindar información para hacer seguimiento a las violencias contra las mujeres y niñas a nivel nacional</w:t>
      </w:r>
      <w:r w:rsidR="00A4135D" w:rsidRPr="00E94619">
        <w:rPr>
          <w:rFonts w:ascii="Century Gothic" w:hAnsi="Century Gothic"/>
        </w:rPr>
        <w:t>, mediante la armonización, integración, organización y divulgación y gestión; dirigido a apoyar el diseño, la implementación y la evaluación de políticas públicas, así como el direccionamiento de las acciones de los diferentes sectores.</w:t>
      </w:r>
    </w:p>
    <w:p w14:paraId="66E6A26B" w14:textId="77777777" w:rsidR="00A4135D" w:rsidRPr="00E94619" w:rsidRDefault="00A4135D" w:rsidP="000E5AC0">
      <w:pPr>
        <w:spacing w:after="0" w:line="240" w:lineRule="auto"/>
        <w:jc w:val="both"/>
        <w:rPr>
          <w:rFonts w:ascii="Century Gothic" w:hAnsi="Century Gothic"/>
        </w:rPr>
      </w:pPr>
    </w:p>
    <w:p w14:paraId="38F1C0FB"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La Consejería Presidencial para la Equidad de las Mujeres cuenta con el Observatorio de Asuntos de Género, el cual es una herramienta para hacer seguimiento al cumplimiento de las normas nacionales e internacionales y a las políticas</w:t>
      </w:r>
      <w:r w:rsidR="00B3308B" w:rsidRPr="00E94619">
        <w:rPr>
          <w:rFonts w:ascii="Century Gothic" w:hAnsi="Century Gothic"/>
        </w:rPr>
        <w:t>,</w:t>
      </w:r>
      <w:r w:rsidRPr="00E94619">
        <w:rPr>
          <w:rFonts w:ascii="Century Gothic" w:hAnsi="Century Gothic"/>
        </w:rPr>
        <w:t xml:space="preserve"> planes y programas para los derechos de las niñas y las mujeres colombianas. Este Observatorio cuenta con un repositorio a través del cual es posible acceder a información como: boletines, estadísticas, bibliografía de género y algunas publicaciones</w:t>
      </w:r>
      <w:r w:rsidR="00B3308B" w:rsidRPr="00E94619">
        <w:rPr>
          <w:rFonts w:ascii="Century Gothic" w:hAnsi="Century Gothic"/>
        </w:rPr>
        <w:t>;</w:t>
      </w:r>
      <w:r w:rsidRPr="00E94619">
        <w:rPr>
          <w:rFonts w:ascii="Century Gothic" w:hAnsi="Century Gothic"/>
        </w:rPr>
        <w:t xml:space="preserve"> sin embargo, no logra ser un referente en el tema, ya que no está actualizado. En Bogotá, la Secretaría Distrital de la Mujer cuenta con un Observatorio Distrital Mujeres y Equidad de Género, el cual acopia información sobre las mujeres que habitan en el Distrito Capital.</w:t>
      </w:r>
    </w:p>
    <w:p w14:paraId="2D853C6B" w14:textId="77777777" w:rsidR="001238D7" w:rsidRPr="00E94619" w:rsidRDefault="001238D7" w:rsidP="000E5AC0">
      <w:pPr>
        <w:spacing w:after="0" w:line="240" w:lineRule="auto"/>
        <w:jc w:val="both"/>
        <w:rPr>
          <w:rFonts w:ascii="Century Gothic" w:hAnsi="Century Gothic"/>
        </w:rPr>
      </w:pPr>
    </w:p>
    <w:p w14:paraId="6B6BA98A" w14:textId="77777777" w:rsidR="00894465" w:rsidRPr="00E94619" w:rsidRDefault="0036411F" w:rsidP="000E5AC0">
      <w:pPr>
        <w:spacing w:after="0" w:line="240" w:lineRule="auto"/>
        <w:jc w:val="both"/>
        <w:rPr>
          <w:rFonts w:ascii="Century Gothic" w:hAnsi="Century Gothic"/>
        </w:rPr>
      </w:pPr>
      <w:r w:rsidRPr="00E94619">
        <w:rPr>
          <w:rFonts w:ascii="Century Gothic" w:hAnsi="Century Gothic"/>
        </w:rPr>
        <w:t>La Corporación Humanas desde la sociedad civil cuenta con el Observatorio Mujeres, Paz y Seguridad, el cual hace seguimiento en especial a la Resolución 1325 de 2000 del Consejo de Seguridad de Naciones Unidas y subsiguientes resoluciones.</w:t>
      </w:r>
    </w:p>
    <w:p w14:paraId="1C53F6B7" w14:textId="77777777" w:rsidR="00894465" w:rsidRPr="00E94619" w:rsidRDefault="00894465" w:rsidP="000E5AC0">
      <w:pPr>
        <w:spacing w:after="0" w:line="240" w:lineRule="auto"/>
        <w:jc w:val="both"/>
        <w:rPr>
          <w:rFonts w:ascii="Century Gothic" w:hAnsi="Century Gothic"/>
        </w:rPr>
      </w:pPr>
    </w:p>
    <w:p w14:paraId="5C2C8D64" w14:textId="6D188A58" w:rsidR="000E4C76" w:rsidRPr="00F53301" w:rsidRDefault="00894465" w:rsidP="000E5AC0">
      <w:pPr>
        <w:pStyle w:val="Ttulo3"/>
        <w:rPr>
          <w:rFonts w:ascii="Century Gothic" w:hAnsi="Century Gothic"/>
          <w:b w:val="0"/>
          <w:bCs/>
          <w:color w:val="CC3366"/>
        </w:rPr>
      </w:pPr>
      <w:bookmarkStart w:id="16" w:name="_Toc488624234"/>
      <w:r w:rsidRPr="00F53301">
        <w:rPr>
          <w:rFonts w:ascii="Century Gothic" w:hAnsi="Century Gothic"/>
          <w:b w:val="0"/>
          <w:bCs/>
          <w:color w:val="CC3366"/>
        </w:rPr>
        <w:t>2.3</w:t>
      </w:r>
      <w:r w:rsidR="00490F50">
        <w:rPr>
          <w:rFonts w:ascii="Century Gothic" w:hAnsi="Century Gothic"/>
          <w:b w:val="0"/>
          <w:bCs/>
          <w:color w:val="CC3366"/>
        </w:rPr>
        <w:t>.</w:t>
      </w:r>
      <w:r w:rsidRPr="00F53301">
        <w:rPr>
          <w:rFonts w:ascii="Century Gothic" w:hAnsi="Century Gothic"/>
          <w:b w:val="0"/>
          <w:bCs/>
          <w:color w:val="CC3366"/>
        </w:rPr>
        <w:t xml:space="preserve"> Proyecto </w:t>
      </w:r>
      <w:r w:rsidR="00D330FC" w:rsidRPr="00F53301">
        <w:rPr>
          <w:rFonts w:ascii="Century Gothic" w:hAnsi="Century Gothic"/>
          <w:b w:val="0"/>
          <w:bCs/>
          <w:color w:val="CC3366"/>
        </w:rPr>
        <w:t>de decreto del Sistema Nacional de Mujeres</w:t>
      </w:r>
      <w:bookmarkEnd w:id="16"/>
    </w:p>
    <w:p w14:paraId="34391709" w14:textId="77777777" w:rsidR="000E4C76" w:rsidRPr="00E94619" w:rsidRDefault="000E4C76" w:rsidP="000E5AC0">
      <w:pPr>
        <w:spacing w:after="0" w:line="240" w:lineRule="auto"/>
        <w:jc w:val="both"/>
        <w:rPr>
          <w:rFonts w:ascii="Century Gothic" w:hAnsi="Century Gothic"/>
          <w:lang w:val="es-ES_tradnl"/>
        </w:rPr>
      </w:pPr>
    </w:p>
    <w:p w14:paraId="0D3588B8" w14:textId="0A4769A3" w:rsidR="000E4C76" w:rsidRPr="00E94619" w:rsidRDefault="000E4C76" w:rsidP="000E5AC0">
      <w:pPr>
        <w:pStyle w:val="NormalWeb"/>
        <w:spacing w:before="0" w:beforeAutospacing="0" w:after="0" w:afterAutospacing="0"/>
        <w:jc w:val="both"/>
        <w:rPr>
          <w:rFonts w:ascii="Century Gothic" w:hAnsi="Century Gothic" w:cs="Arial"/>
          <w:color w:val="000000"/>
          <w:sz w:val="22"/>
          <w:szCs w:val="22"/>
        </w:rPr>
      </w:pPr>
      <w:r w:rsidRPr="00E94619">
        <w:rPr>
          <w:rFonts w:ascii="Century Gothic" w:hAnsi="Century Gothic" w:cs="Tahoma"/>
          <w:color w:val="0A0A0A"/>
          <w:spacing w:val="4"/>
          <w:sz w:val="22"/>
          <w:szCs w:val="22"/>
        </w:rPr>
        <w:t xml:space="preserve">A Junio de 2021 se encuentra en </w:t>
      </w:r>
      <w:r w:rsidR="00761822" w:rsidRPr="00E94619">
        <w:rPr>
          <w:rFonts w:ascii="Century Gothic" w:hAnsi="Century Gothic" w:cs="Tahoma"/>
          <w:color w:val="0A0A0A"/>
          <w:spacing w:val="4"/>
          <w:sz w:val="22"/>
          <w:szCs w:val="22"/>
        </w:rPr>
        <w:t xml:space="preserve">trámite el proyecto de decreto </w:t>
      </w:r>
      <w:r w:rsidRPr="00E94619">
        <w:rPr>
          <w:rFonts w:ascii="Century Gothic" w:hAnsi="Century Gothic" w:cs="Tahoma"/>
          <w:color w:val="0A0A0A"/>
          <w:spacing w:val="4"/>
          <w:sz w:val="22"/>
          <w:szCs w:val="22"/>
        </w:rPr>
        <w:t xml:space="preserve">para la creación del </w:t>
      </w:r>
      <w:r w:rsidR="00AB1F58" w:rsidRPr="00E94619">
        <w:rPr>
          <w:rFonts w:ascii="Century Gothic" w:hAnsi="Century Gothic" w:cs="Tahoma"/>
          <w:color w:val="0A0A0A"/>
          <w:spacing w:val="4"/>
          <w:sz w:val="22"/>
          <w:szCs w:val="22"/>
        </w:rPr>
        <w:t>S</w:t>
      </w:r>
      <w:r w:rsidRPr="00E94619">
        <w:rPr>
          <w:rFonts w:ascii="Century Gothic" w:hAnsi="Century Gothic" w:cs="Tahoma"/>
          <w:color w:val="0A0A0A"/>
          <w:spacing w:val="4"/>
          <w:sz w:val="22"/>
          <w:szCs w:val="22"/>
        </w:rPr>
        <w:t xml:space="preserve">istema Nacional de Mujeres el cual tiene como propósito </w:t>
      </w:r>
      <w:r w:rsidRPr="00E94619">
        <w:rPr>
          <w:rFonts w:ascii="Century Gothic" w:eastAsia="Arial" w:hAnsi="Century Gothic" w:cs="Arial"/>
          <w:sz w:val="22"/>
          <w:szCs w:val="22"/>
        </w:rPr>
        <w:t>dar cumplimiento con el Pacto de Equidad para las Mujeres del Plan Nacional de Desarrollo</w:t>
      </w:r>
      <w:r w:rsidR="00B05410" w:rsidRPr="00E94619">
        <w:rPr>
          <w:rFonts w:ascii="Century Gothic" w:eastAsia="Arial" w:hAnsi="Century Gothic" w:cs="Arial"/>
          <w:sz w:val="22"/>
          <w:szCs w:val="22"/>
        </w:rPr>
        <w:t xml:space="preserve"> 2018-2022</w:t>
      </w:r>
      <w:r w:rsidRPr="00E94619">
        <w:rPr>
          <w:rFonts w:ascii="Century Gothic" w:eastAsia="Arial" w:hAnsi="Century Gothic" w:cs="Arial"/>
          <w:sz w:val="22"/>
          <w:szCs w:val="22"/>
        </w:rPr>
        <w:t>, incluir en la agenda de las diferentes entidades públicas y privadas los temas relacionados con el avance y garantía de los derechos de las mujeres,</w:t>
      </w:r>
      <w:r w:rsidRPr="00E94619">
        <w:rPr>
          <w:rFonts w:ascii="Century Gothic" w:eastAsia="Arial" w:hAnsi="Century Gothic" w:cs="Arial"/>
        </w:rPr>
        <w:t xml:space="preserve"> </w:t>
      </w:r>
      <w:r w:rsidR="00B3308B" w:rsidRPr="00E94619">
        <w:rPr>
          <w:rFonts w:ascii="Century Gothic" w:eastAsia="Arial" w:hAnsi="Century Gothic" w:cs="Arial"/>
          <w:sz w:val="22"/>
          <w:szCs w:val="22"/>
        </w:rPr>
        <w:t>f</w:t>
      </w:r>
      <w:r w:rsidRPr="00E94619">
        <w:rPr>
          <w:rFonts w:ascii="Century Gothic" w:eastAsia="Arial" w:hAnsi="Century Gothic" w:cs="Arial"/>
          <w:sz w:val="22"/>
          <w:szCs w:val="22"/>
        </w:rPr>
        <w:t xml:space="preserve">ortalecer en las </w:t>
      </w:r>
      <w:r w:rsidR="00B3308B" w:rsidRPr="00E94619">
        <w:rPr>
          <w:rFonts w:ascii="Century Gothic" w:eastAsia="Arial" w:hAnsi="Century Gothic" w:cs="Arial"/>
          <w:sz w:val="22"/>
          <w:szCs w:val="22"/>
        </w:rPr>
        <w:t>e</w:t>
      </w:r>
      <w:r w:rsidRPr="00E94619">
        <w:rPr>
          <w:rFonts w:ascii="Century Gothic" w:eastAsia="Arial" w:hAnsi="Century Gothic" w:cs="Arial"/>
          <w:sz w:val="22"/>
          <w:szCs w:val="22"/>
        </w:rPr>
        <w:t>ntidades públicas y privadas la coordinación interinstitucional e intersectorial en temas de género, p</w:t>
      </w:r>
      <w:r w:rsidRPr="00E94619">
        <w:rPr>
          <w:rFonts w:ascii="Century Gothic" w:hAnsi="Century Gothic" w:cs="Arial"/>
          <w:sz w:val="22"/>
          <w:szCs w:val="22"/>
        </w:rPr>
        <w:t>roporcionar insumos que permitan fortalecer el derecho a la igualdad, el derecho al trabajo y la generación de ingresos dignos, a la no discriminación y a una vida libre de violencias</w:t>
      </w:r>
      <w:r w:rsidR="007C7518" w:rsidRPr="00E94619">
        <w:rPr>
          <w:rFonts w:ascii="Century Gothic" w:hAnsi="Century Gothic" w:cs="Arial"/>
          <w:sz w:val="22"/>
          <w:szCs w:val="22"/>
        </w:rPr>
        <w:t>.</w:t>
      </w:r>
      <w:r w:rsidRPr="00E94619">
        <w:rPr>
          <w:rFonts w:ascii="Century Gothic" w:hAnsi="Century Gothic" w:cs="Arial"/>
          <w:sz w:val="22"/>
          <w:szCs w:val="22"/>
        </w:rPr>
        <w:t>.</w:t>
      </w:r>
      <w:r w:rsidRPr="00E94619">
        <w:rPr>
          <w:rFonts w:ascii="Century Gothic" w:hAnsi="Century Gothic" w:cs="Arial"/>
          <w:color w:val="000000"/>
          <w:sz w:val="22"/>
          <w:szCs w:val="22"/>
        </w:rPr>
        <w:t> </w:t>
      </w:r>
      <w:sdt>
        <w:sdtPr>
          <w:rPr>
            <w:rFonts w:ascii="Century Gothic" w:hAnsi="Century Gothic" w:cs="Arial"/>
            <w:color w:val="000000"/>
            <w:sz w:val="22"/>
            <w:szCs w:val="22"/>
          </w:rPr>
          <w:id w:val="805129838"/>
          <w:citation/>
        </w:sdtPr>
        <w:sdtContent>
          <w:r w:rsidRPr="00E94619">
            <w:rPr>
              <w:rFonts w:ascii="Century Gothic" w:hAnsi="Century Gothic" w:cs="Arial"/>
              <w:color w:val="000000"/>
              <w:sz w:val="22"/>
              <w:szCs w:val="22"/>
            </w:rPr>
            <w:fldChar w:fldCharType="begin"/>
          </w:r>
          <w:r w:rsidRPr="00E94619">
            <w:rPr>
              <w:rFonts w:ascii="Century Gothic" w:hAnsi="Century Gothic" w:cs="Arial"/>
              <w:color w:val="000000"/>
              <w:sz w:val="22"/>
              <w:szCs w:val="22"/>
            </w:rPr>
            <w:instrText xml:space="preserve"> CITATION Pre20 \l 9226 </w:instrText>
          </w:r>
          <w:r w:rsidRPr="00E94619">
            <w:rPr>
              <w:rFonts w:ascii="Century Gothic" w:hAnsi="Century Gothic" w:cs="Arial"/>
              <w:color w:val="000000"/>
              <w:sz w:val="22"/>
              <w:szCs w:val="22"/>
            </w:rPr>
            <w:fldChar w:fldCharType="separate"/>
          </w:r>
          <w:r w:rsidRPr="00E94619">
            <w:rPr>
              <w:rFonts w:ascii="Century Gothic" w:hAnsi="Century Gothic" w:cs="Arial"/>
              <w:noProof/>
              <w:color w:val="000000"/>
              <w:sz w:val="22"/>
              <w:szCs w:val="22"/>
            </w:rPr>
            <w:t>(Presidencia de la Republica, 2020)</w:t>
          </w:r>
          <w:r w:rsidRPr="00E94619">
            <w:rPr>
              <w:rFonts w:ascii="Century Gothic" w:hAnsi="Century Gothic" w:cs="Arial"/>
              <w:color w:val="000000"/>
              <w:sz w:val="22"/>
              <w:szCs w:val="22"/>
            </w:rPr>
            <w:fldChar w:fldCharType="end"/>
          </w:r>
        </w:sdtContent>
      </w:sdt>
    </w:p>
    <w:p w14:paraId="70AC513A" w14:textId="58C81F48" w:rsidR="00752106" w:rsidRPr="00E94619" w:rsidRDefault="00752106" w:rsidP="000E5AC0">
      <w:pPr>
        <w:pStyle w:val="NormalWeb"/>
        <w:spacing w:before="0" w:beforeAutospacing="0" w:after="0" w:afterAutospacing="0"/>
        <w:jc w:val="both"/>
        <w:rPr>
          <w:rFonts w:ascii="Century Gothic" w:hAnsi="Century Gothic" w:cs="Arial"/>
          <w:color w:val="000000"/>
          <w:sz w:val="22"/>
          <w:szCs w:val="22"/>
        </w:rPr>
      </w:pPr>
    </w:p>
    <w:p w14:paraId="0CD8B577" w14:textId="6180359F" w:rsidR="00752106" w:rsidRPr="00F53301" w:rsidRDefault="00752106" w:rsidP="000E5AC0">
      <w:pPr>
        <w:pStyle w:val="Ttulo3"/>
        <w:rPr>
          <w:rFonts w:ascii="Century Gothic" w:hAnsi="Century Gothic"/>
          <w:b w:val="0"/>
          <w:bCs/>
          <w:color w:val="CC3366"/>
        </w:rPr>
      </w:pPr>
      <w:bookmarkStart w:id="17" w:name="_Toc75252455"/>
      <w:bookmarkStart w:id="18" w:name="_Toc488624235"/>
      <w:r w:rsidRPr="00F53301">
        <w:rPr>
          <w:rFonts w:ascii="Century Gothic" w:hAnsi="Century Gothic"/>
          <w:b w:val="0"/>
          <w:bCs/>
          <w:color w:val="CC3366"/>
        </w:rPr>
        <w:t>2.4</w:t>
      </w:r>
      <w:r w:rsidR="00490F50">
        <w:rPr>
          <w:rFonts w:ascii="Century Gothic" w:hAnsi="Century Gothic"/>
          <w:b w:val="0"/>
          <w:bCs/>
          <w:color w:val="CC3366"/>
        </w:rPr>
        <w:t>.</w:t>
      </w:r>
      <w:r w:rsidRPr="00F53301">
        <w:rPr>
          <w:rFonts w:ascii="Century Gothic" w:hAnsi="Century Gothic"/>
          <w:b w:val="0"/>
          <w:bCs/>
          <w:color w:val="CC3366"/>
        </w:rPr>
        <w:t xml:space="preserve"> Creación y puesta en marcha de la Alta Instancia de Género del gobierno</w:t>
      </w:r>
      <w:bookmarkEnd w:id="17"/>
      <w:bookmarkEnd w:id="18"/>
      <w:r w:rsidRPr="00F53301">
        <w:rPr>
          <w:rFonts w:ascii="Century Gothic" w:hAnsi="Century Gothic"/>
          <w:b w:val="0"/>
          <w:bCs/>
          <w:color w:val="CC3366"/>
        </w:rPr>
        <w:t xml:space="preserve"> </w:t>
      </w:r>
    </w:p>
    <w:p w14:paraId="70B63E51" w14:textId="32CDBADE" w:rsidR="00752106" w:rsidRPr="00E94619" w:rsidRDefault="00830DBC" w:rsidP="000E5AC0">
      <w:pPr>
        <w:rPr>
          <w:rFonts w:ascii="Century Gothic" w:hAnsi="Century Gothic"/>
          <w:lang w:val="es-ES_tradnl" w:eastAsia="es-ES"/>
        </w:rPr>
      </w:pPr>
      <w:r>
        <w:rPr>
          <w:rFonts w:ascii="Century Gothic" w:hAnsi="Century Gothic"/>
          <w:b/>
          <w:noProof/>
          <w:szCs w:val="24"/>
          <w:lang w:val="es-ES"/>
        </w:rPr>
        <w:drawing>
          <wp:anchor distT="0" distB="0" distL="114300" distR="114300" simplePos="0" relativeHeight="251757568" behindDoc="0" locked="0" layoutInCell="1" allowOverlap="1" wp14:anchorId="3BE3D36D" wp14:editId="5CB7F967">
            <wp:simplePos x="0" y="0"/>
            <wp:positionH relativeFrom="column">
              <wp:posOffset>-1080135</wp:posOffset>
            </wp:positionH>
            <wp:positionV relativeFrom="paragraph">
              <wp:posOffset>-9343390</wp:posOffset>
            </wp:positionV>
            <wp:extent cx="965835" cy="708660"/>
            <wp:effectExtent l="0" t="0" r="0" b="0"/>
            <wp:wrapNone/>
            <wp:docPr id="332" name="Imagen 33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354109C" w14:textId="7224AB79" w:rsidR="00C060F9" w:rsidRPr="00E94619" w:rsidRDefault="00752106" w:rsidP="000E5AC0">
      <w:pPr>
        <w:jc w:val="both"/>
        <w:rPr>
          <w:rFonts w:ascii="Century Gothic" w:hAnsi="Century Gothic" w:cs="Arial"/>
          <w:shd w:val="clear" w:color="auto" w:fill="FFFFFF"/>
        </w:rPr>
      </w:pPr>
      <w:r w:rsidRPr="00E94619">
        <w:rPr>
          <w:rFonts w:ascii="Century Gothic" w:hAnsi="Century Gothic"/>
          <w:lang w:val="es-ES_tradnl" w:eastAsia="es-ES"/>
        </w:rPr>
        <w:lastRenderedPageBreak/>
        <w:t>El 16 de Enero de 2019 e</w:t>
      </w:r>
      <w:r w:rsidRPr="00E94619">
        <w:rPr>
          <w:rFonts w:ascii="Century Gothic" w:hAnsi="Century Gothic" w:cs="Arial"/>
          <w:shd w:val="clear" w:color="auto" w:fill="FFFFFF"/>
        </w:rPr>
        <w:t>l gobierno del Presidente Iván Duque instaló formalmente la Alta Instancia de Género de Gobierno, una herramienta con la intención de hacer efectivos los derechos de las mujeres en el marco de los acuerdos, particularmente en los territorios que históricamente afectados por fenómenos de violencia y pobreza en Colombia. Esta instancia está integrada por la Presidencia de la República, representada por la Alta Consejería para el Posconflicto, la Consejería Presidencial para la Equidad de la Mujer, el Ministerio del Interior, el Ministerio de Hacienda y Crédito Público, el Ministerio de Agricultura y Desarrollo Rural, el Departamento Nacional de Planeación, el Departamento Administrativo de la Función Pública, la Agencia de Renovación del Territorio y la Agencia para la Reincorporación y Normalización. Dentro de las obligaciones contempladas se encuentran: coordinar, armonizar, concertar, impulsar y hacer seguimiento a la implementación y transversalización del enfoque de género en la implementación del Acuerdo por parte de las entidades involucradas, acorde con sus competencias. Cómo ruta de Navegación para los próximos 15 años, la Alta instancia de Género del Gobierno toma El Plan Marco de Implementación -PMI, contemplado en el Acuerdo de Paz firmado en 2016 en la Habana especialmente en los aspectos referentes a la atención en salud, educación, tierras, vivienda, proyectos productivos, justicia, trabajo, entre otros.</w:t>
      </w:r>
      <w:r w:rsidRPr="00E94619">
        <w:rPr>
          <w:rFonts w:ascii="Century Gothic" w:hAnsi="Century Gothic" w:cs="Arial"/>
          <w:noProof/>
          <w:shd w:val="clear" w:color="auto" w:fill="FFFFFF"/>
          <w:lang w:val="es-ES"/>
        </w:rPr>
        <w:t xml:space="preserve"> (Concejeria Presidencial para la Equidad de la Mujer, 2019)</w:t>
      </w:r>
      <w:r w:rsidRPr="00E94619">
        <w:rPr>
          <w:rFonts w:ascii="Century Gothic" w:hAnsi="Century Gothic" w:cs="Arial"/>
          <w:shd w:val="clear" w:color="auto" w:fill="FFFFFF"/>
        </w:rPr>
        <w:t> </w:t>
      </w:r>
    </w:p>
    <w:p w14:paraId="211B5EC7" w14:textId="2F3D684E" w:rsidR="00C060F9" w:rsidRDefault="00D25CE2" w:rsidP="003F560F">
      <w:pPr>
        <w:pStyle w:val="Ttulo3"/>
        <w:rPr>
          <w:rFonts w:ascii="Century Gothic" w:eastAsia="Times New Roman" w:hAnsi="Century Gothic"/>
          <w:b w:val="0"/>
          <w:bCs/>
          <w:color w:val="CC3366"/>
        </w:rPr>
      </w:pPr>
      <w:bookmarkStart w:id="19" w:name="_Toc488624236"/>
      <w:r w:rsidRPr="00F53301">
        <w:rPr>
          <w:rFonts w:ascii="Century Gothic" w:eastAsia="Times New Roman" w:hAnsi="Century Gothic"/>
          <w:b w:val="0"/>
          <w:bCs/>
          <w:color w:val="CC3366"/>
        </w:rPr>
        <w:t>2.5. Comisión Legal para la Equidad de la Mujer</w:t>
      </w:r>
      <w:bookmarkEnd w:id="19"/>
    </w:p>
    <w:p w14:paraId="61D74C7B" w14:textId="77777777" w:rsidR="003F560F" w:rsidRPr="003F560F" w:rsidRDefault="003F560F" w:rsidP="003F560F"/>
    <w:p w14:paraId="4B2417D2" w14:textId="5A1C305B" w:rsidR="00D25CE2" w:rsidRPr="00E94619" w:rsidRDefault="00D25CE2" w:rsidP="000E5AC0">
      <w:pPr>
        <w:pStyle w:val="NormalWeb"/>
        <w:spacing w:before="0" w:beforeAutospacing="0"/>
        <w:jc w:val="both"/>
        <w:rPr>
          <w:rFonts w:ascii="Century Gothic" w:hAnsi="Century Gothic" w:cs="Open Sans"/>
          <w:color w:val="232323"/>
          <w:sz w:val="22"/>
          <w:szCs w:val="22"/>
        </w:rPr>
      </w:pPr>
      <w:r w:rsidRPr="00E94619">
        <w:rPr>
          <w:rFonts w:ascii="Century Gothic" w:hAnsi="Century Gothic" w:cs="Open Sans"/>
          <w:color w:val="232323"/>
          <w:sz w:val="22"/>
          <w:szCs w:val="22"/>
        </w:rPr>
        <w:t>La Comisión Legal para la Equidad de la Mujer, creada mediante Ley 1434 de 2011, es de carácter interparlamentario, está integrada por ventiun (21) congresistas, once (11) Representantes a la Cámara, y diez (10) Senadores de la República, quienes sesionarán conjuntamente, previa convocatoria de la Mesa Directiva. Esta Comisión se creó con el fin de fomentar y promover la consolidación de una política de Estado que permita el mejoramiento en las condiciones y situación de la mujer en la sociedad, para lograr eliminar cualquier situación de desigualdad y discriminación que se presente en el ejercicio de su ciudadanía.</w:t>
      </w:r>
      <w:r w:rsidR="00374C56" w:rsidRPr="00E94619">
        <w:rPr>
          <w:rFonts w:ascii="Century Gothic" w:hAnsi="Century Gothic" w:cs="Open Sans"/>
          <w:noProof/>
          <w:color w:val="232323"/>
          <w:sz w:val="22"/>
          <w:szCs w:val="22"/>
        </w:rPr>
        <w:t xml:space="preserve"> (Congreso de la República de Colombia, 2021)</w:t>
      </w:r>
    </w:p>
    <w:p w14:paraId="42B2BC7D" w14:textId="77777777" w:rsidR="00D25CE2" w:rsidRPr="00E94619" w:rsidRDefault="00D25CE2" w:rsidP="000E5AC0">
      <w:pPr>
        <w:rPr>
          <w:rFonts w:ascii="Century Gothic" w:hAnsi="Century Gothic"/>
        </w:rPr>
      </w:pPr>
      <w:r w:rsidRPr="00E94619">
        <w:rPr>
          <w:rFonts w:ascii="Century Gothic" w:hAnsi="Century Gothic"/>
        </w:rPr>
        <w:t xml:space="preserve">Entre sus funciones están: </w:t>
      </w:r>
    </w:p>
    <w:p w14:paraId="5DF5E226" w14:textId="77777777" w:rsidR="00D25CE2" w:rsidRPr="00E94619" w:rsidRDefault="00D25CE2"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sidRPr="00E94619">
        <w:rPr>
          <w:rFonts w:ascii="Century Gothic" w:hAnsi="Century Gothic" w:cs="Arial"/>
          <w:color w:val="000000"/>
          <w:sz w:val="22"/>
          <w:szCs w:val="22"/>
        </w:rPr>
        <w:t xml:space="preserve">Elaborar propuestas legislativas que garanticen la realización de los derechos humanos, civiles, políticos, económicos, sociales y culturales de las mujeres, con el acompañamiento de organizaciones y grupos de mujeres, centros de investigación y demás organizaciones que defienden los derechos de las mujeres. </w:t>
      </w:r>
    </w:p>
    <w:p w14:paraId="3CF1A45F" w14:textId="77777777" w:rsidR="00D25CE2" w:rsidRPr="00E94619" w:rsidRDefault="00D25CE2"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sidRPr="00E94619">
        <w:rPr>
          <w:rFonts w:ascii="Century Gothic" w:hAnsi="Century Gothic" w:cs="Arial"/>
          <w:color w:val="000000"/>
          <w:sz w:val="22"/>
          <w:szCs w:val="22"/>
        </w:rPr>
        <w:t>Ejercer el control político a los diversos entes del Estado en relación con la formulación y desarrollo de planes, programas, proyectos y políticas públicas dirigidas al reconocimiento, promoción, realización, ampliación, protección y restitución de los derechos civiles, políticos, económicos, sociales y culturales de las mujeres y el cumplimiento por parte del Estado de los tratados, convenios, protocolos y recomendaciones de organismos internacionales.</w:t>
      </w:r>
    </w:p>
    <w:p w14:paraId="1D3B9ED0" w14:textId="381EA26C" w:rsidR="00D25CE2" w:rsidRPr="00E94619" w:rsidRDefault="00830DBC"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Pr>
          <w:rFonts w:ascii="Century Gothic" w:hAnsi="Century Gothic"/>
          <w:b/>
          <w:noProof/>
          <w:lang w:val="es-ES"/>
        </w:rPr>
        <w:drawing>
          <wp:anchor distT="0" distB="0" distL="114300" distR="114300" simplePos="0" relativeHeight="251759616" behindDoc="0" locked="0" layoutInCell="1" allowOverlap="1" wp14:anchorId="514FC978" wp14:editId="67C7BCA5">
            <wp:simplePos x="0" y="0"/>
            <wp:positionH relativeFrom="column">
              <wp:posOffset>-1080135</wp:posOffset>
            </wp:positionH>
            <wp:positionV relativeFrom="paragraph">
              <wp:posOffset>-9393555</wp:posOffset>
            </wp:positionV>
            <wp:extent cx="965835" cy="708660"/>
            <wp:effectExtent l="0" t="0" r="0" b="0"/>
            <wp:wrapNone/>
            <wp:docPr id="342" name="Imagen 34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D25CE2" w:rsidRPr="00E94619">
        <w:rPr>
          <w:rFonts w:ascii="Century Gothic" w:hAnsi="Century Gothic" w:cs="Arial"/>
          <w:color w:val="000000"/>
          <w:sz w:val="22"/>
          <w:szCs w:val="22"/>
        </w:rPr>
        <w:t xml:space="preserve">Promover la participación de las mujeres en los cargos de elección popular y en las instancias de dirección y decisión dentro de las diferentes Ramas </w:t>
      </w:r>
      <w:r w:rsidR="00D25CE2" w:rsidRPr="00E94619">
        <w:rPr>
          <w:rFonts w:ascii="Century Gothic" w:hAnsi="Century Gothic" w:cs="Arial"/>
          <w:color w:val="000000"/>
          <w:sz w:val="22"/>
          <w:szCs w:val="22"/>
        </w:rPr>
        <w:lastRenderedPageBreak/>
        <w:t>del Poder Público, órganos de la estructura del Estado, partidos y movimientos políticos.</w:t>
      </w:r>
    </w:p>
    <w:p w14:paraId="13486449" w14:textId="7585A35F" w:rsidR="00D25CE2" w:rsidRPr="00E94619" w:rsidRDefault="00830DBC"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Pr>
          <w:rFonts w:ascii="Century Gothic" w:hAnsi="Century Gothic"/>
          <w:b/>
          <w:noProof/>
          <w:lang w:val="es-ES"/>
        </w:rPr>
        <w:drawing>
          <wp:anchor distT="0" distB="0" distL="114300" distR="114300" simplePos="0" relativeHeight="251761664" behindDoc="0" locked="0" layoutInCell="1" allowOverlap="1" wp14:anchorId="2F607E1A" wp14:editId="07E90B4F">
            <wp:simplePos x="0" y="0"/>
            <wp:positionH relativeFrom="column">
              <wp:posOffset>-1080135</wp:posOffset>
            </wp:positionH>
            <wp:positionV relativeFrom="paragraph">
              <wp:posOffset>-1165225</wp:posOffset>
            </wp:positionV>
            <wp:extent cx="965835" cy="708660"/>
            <wp:effectExtent l="0" t="0" r="0" b="0"/>
            <wp:wrapNone/>
            <wp:docPr id="344" name="Imagen 34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D25CE2" w:rsidRPr="00E94619">
        <w:rPr>
          <w:rFonts w:ascii="Century Gothic" w:hAnsi="Century Gothic" w:cs="Arial"/>
          <w:color w:val="000000"/>
          <w:sz w:val="22"/>
          <w:szCs w:val="22"/>
        </w:rPr>
        <w:t>Ser interlocutoras de las organizaciones y grupos de mujeres, ante las Ramas del Poder Público y demás órganos de la estructura del Estado, para canalizar sus demandas, conocer sus expectativas y tramitar las soluciones pertinentes a la realización de los derechos de las mujeres.</w:t>
      </w:r>
    </w:p>
    <w:p w14:paraId="5B3C0C60" w14:textId="77777777" w:rsidR="00D25CE2" w:rsidRPr="00E94619" w:rsidRDefault="00D25CE2"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sidRPr="00E94619">
        <w:rPr>
          <w:rFonts w:ascii="Century Gothic" w:hAnsi="Century Gothic" w:cs="Arial"/>
          <w:color w:val="000000"/>
          <w:sz w:val="22"/>
          <w:szCs w:val="22"/>
        </w:rPr>
        <w:t>Hacer seguimiento a los procesos de verdad, justicia, reparación integral y no repetición, para que los delitos cometidos contra las mujeres y las niñas en el marco del conflicto armado interno no queden en la impunidad.</w:t>
      </w:r>
    </w:p>
    <w:p w14:paraId="29B3A022" w14:textId="77777777" w:rsidR="00D25CE2" w:rsidRPr="00E94619" w:rsidRDefault="00D25CE2" w:rsidP="000E5AC0">
      <w:pPr>
        <w:pStyle w:val="NormalWeb"/>
        <w:numPr>
          <w:ilvl w:val="0"/>
          <w:numId w:val="8"/>
        </w:numPr>
        <w:spacing w:before="0" w:beforeAutospacing="0" w:after="0" w:afterAutospacing="0"/>
        <w:ind w:left="284" w:hanging="142"/>
        <w:jc w:val="both"/>
        <w:rPr>
          <w:rFonts w:ascii="Century Gothic" w:hAnsi="Century Gothic" w:cs="Arial"/>
          <w:color w:val="000000"/>
          <w:sz w:val="22"/>
          <w:szCs w:val="22"/>
        </w:rPr>
      </w:pPr>
      <w:r w:rsidRPr="00E94619">
        <w:rPr>
          <w:rFonts w:ascii="Century Gothic" w:hAnsi="Century Gothic" w:cs="Arial"/>
          <w:color w:val="000000"/>
          <w:sz w:val="22"/>
          <w:szCs w:val="22"/>
        </w:rPr>
        <w:t>Hacer seguimiento sobre los resultados de los procesos de investigación y/o sanción existentes en los distintos entes de control, relacionados con las violaciones de los derechos civiles, políticos, económicos, sociales, culturales y a la integridad física y sexual de las mujeres.</w:t>
      </w:r>
    </w:p>
    <w:p w14:paraId="6B130959" w14:textId="77777777" w:rsidR="00D25CE2" w:rsidRPr="00F53301" w:rsidRDefault="00D25CE2" w:rsidP="000E5AC0">
      <w:pPr>
        <w:pStyle w:val="NormalWeb"/>
        <w:spacing w:before="0" w:beforeAutospacing="0" w:after="0" w:afterAutospacing="0"/>
        <w:ind w:left="284"/>
        <w:jc w:val="both"/>
        <w:rPr>
          <w:rFonts w:ascii="Century Gothic" w:hAnsi="Century Gothic" w:cs="Arial"/>
          <w:color w:val="CC3366"/>
          <w:sz w:val="22"/>
          <w:szCs w:val="22"/>
        </w:rPr>
      </w:pPr>
    </w:p>
    <w:p w14:paraId="545A82BB" w14:textId="7A5B0702" w:rsidR="00D25CE2" w:rsidRPr="00F53301" w:rsidRDefault="00D25CE2" w:rsidP="000E5AC0">
      <w:pPr>
        <w:pStyle w:val="Ttulo3"/>
        <w:rPr>
          <w:rFonts w:ascii="Century Gothic" w:eastAsia="Times New Roman" w:hAnsi="Century Gothic"/>
          <w:b w:val="0"/>
          <w:bCs/>
          <w:color w:val="CC3366"/>
        </w:rPr>
      </w:pPr>
      <w:bookmarkStart w:id="20" w:name="_Toc488624237"/>
      <w:r w:rsidRPr="00F53301">
        <w:rPr>
          <w:rFonts w:ascii="Century Gothic" w:eastAsia="Times New Roman" w:hAnsi="Century Gothic"/>
          <w:b w:val="0"/>
          <w:bCs/>
          <w:color w:val="CC3366"/>
        </w:rPr>
        <w:t>2.6. Comisión Nacional de Género Rama Judicial</w:t>
      </w:r>
      <w:bookmarkEnd w:id="20"/>
    </w:p>
    <w:p w14:paraId="1128DFF3" w14:textId="77777777" w:rsidR="00D25CE2" w:rsidRPr="00E94619" w:rsidRDefault="00D25CE2" w:rsidP="000E5AC0">
      <w:pPr>
        <w:rPr>
          <w:rFonts w:ascii="Century Gothic" w:hAnsi="Century Gothic"/>
          <w:lang w:val="es-ES_tradnl" w:eastAsia="es-ES"/>
        </w:rPr>
      </w:pPr>
    </w:p>
    <w:p w14:paraId="2F563340" w14:textId="77777777" w:rsidR="00D25CE2" w:rsidRPr="00E94619" w:rsidRDefault="00D25CE2" w:rsidP="000E5AC0">
      <w:pPr>
        <w:pStyle w:val="NormalWeb"/>
        <w:spacing w:before="0" w:beforeAutospacing="0" w:after="150" w:afterAutospacing="0"/>
        <w:jc w:val="both"/>
        <w:rPr>
          <w:rFonts w:ascii="Century Gothic" w:hAnsi="Century Gothic" w:cs="Arial"/>
          <w:sz w:val="22"/>
          <w:szCs w:val="22"/>
        </w:rPr>
      </w:pPr>
      <w:r w:rsidRPr="00E94619">
        <w:rPr>
          <w:rFonts w:ascii="Century Gothic" w:hAnsi="Century Gothic" w:cs="Arial"/>
          <w:sz w:val="22"/>
          <w:szCs w:val="22"/>
        </w:rPr>
        <w:t>La </w:t>
      </w:r>
      <w:r w:rsidRPr="00E94619">
        <w:rPr>
          <w:rStyle w:val="Textoennegrita"/>
          <w:rFonts w:ascii="Century Gothic" w:eastAsiaTheme="majorEastAsia" w:hAnsi="Century Gothic" w:cs="Arial"/>
          <w:b w:val="0"/>
          <w:bCs w:val="0"/>
          <w:sz w:val="22"/>
          <w:szCs w:val="22"/>
        </w:rPr>
        <w:t>Sala Administrativa del Consejo Superior de la Judicatura de Colombia creó la Comisión Nacional de Género en la rama judicial, mediante </w:t>
      </w:r>
      <w:r w:rsidR="00E94619" w:rsidRPr="00E94619">
        <w:fldChar w:fldCharType="begin"/>
      </w:r>
      <w:r w:rsidR="00E94619" w:rsidRPr="00E94619">
        <w:rPr>
          <w:rFonts w:ascii="Century Gothic" w:hAnsi="Century Gothic"/>
        </w:rPr>
        <w:instrText xml:space="preserve"> HYPERLINK "https://www.ramajudicial.gov.co/documents/573203/0/ACUERDO_4552_DE_2008.pdf/7e7875c4-1df6-409c-b7ba-ae0477dd2da5" \t "_blank" </w:instrText>
      </w:r>
      <w:r w:rsidR="00E94619" w:rsidRPr="00E94619">
        <w:fldChar w:fldCharType="separate"/>
      </w:r>
      <w:r w:rsidRPr="00E94619">
        <w:rPr>
          <w:rStyle w:val="Textoennegrita"/>
          <w:rFonts w:ascii="Century Gothic" w:eastAsiaTheme="majorEastAsia" w:hAnsi="Century Gothic" w:cs="Arial"/>
          <w:b w:val="0"/>
          <w:bCs w:val="0"/>
          <w:sz w:val="22"/>
          <w:szCs w:val="22"/>
        </w:rPr>
        <w:t>acuerdo 08 4552 de 20 de febrero de 2008</w:t>
      </w:r>
      <w:r w:rsidR="00E94619" w:rsidRPr="00E94619">
        <w:rPr>
          <w:rStyle w:val="Textoennegrita"/>
          <w:rFonts w:ascii="Century Gothic" w:eastAsiaTheme="majorEastAsia" w:hAnsi="Century Gothic" w:cs="Arial"/>
          <w:b w:val="0"/>
          <w:bCs w:val="0"/>
          <w:sz w:val="22"/>
          <w:szCs w:val="22"/>
        </w:rPr>
        <w:fldChar w:fldCharType="end"/>
      </w:r>
      <w:r w:rsidRPr="00E94619">
        <w:rPr>
          <w:rFonts w:ascii="Century Gothic" w:hAnsi="Century Gothic" w:cs="Arial"/>
          <w:sz w:val="22"/>
          <w:szCs w:val="22"/>
        </w:rPr>
        <w:t>, la cual fue</w:t>
      </w:r>
      <w:r w:rsidRPr="00E94619">
        <w:rPr>
          <w:rFonts w:ascii="Century Gothic" w:hAnsi="Century Gothic" w:cs="Arial"/>
          <w:b/>
          <w:bCs/>
          <w:sz w:val="22"/>
          <w:szCs w:val="22"/>
        </w:rPr>
        <w:t> </w:t>
      </w:r>
      <w:r w:rsidRPr="00E94619">
        <w:rPr>
          <w:rStyle w:val="Textoennegrita"/>
          <w:rFonts w:ascii="Century Gothic" w:eastAsiaTheme="majorEastAsia" w:hAnsi="Century Gothic" w:cs="Arial"/>
          <w:b w:val="0"/>
          <w:bCs w:val="0"/>
          <w:sz w:val="22"/>
          <w:szCs w:val="22"/>
        </w:rPr>
        <w:t>instalada el 9 de junio de 2008</w:t>
      </w:r>
      <w:r w:rsidRPr="00E94619">
        <w:rPr>
          <w:rFonts w:ascii="Century Gothic" w:hAnsi="Century Gothic" w:cs="Arial"/>
          <w:sz w:val="22"/>
          <w:szCs w:val="22"/>
        </w:rPr>
        <w:t>, con el propósito de promover la incorporación e institucionalización de la perspectiva de género en el quehacer de la labor judicial.</w:t>
      </w:r>
    </w:p>
    <w:p w14:paraId="18F8E6A2" w14:textId="40913287" w:rsidR="00D25CE2" w:rsidRPr="00E94619" w:rsidRDefault="00D25CE2" w:rsidP="000E5AC0">
      <w:pPr>
        <w:pStyle w:val="NormalWeb"/>
        <w:spacing w:before="0" w:beforeAutospacing="0" w:after="150" w:afterAutospacing="0"/>
        <w:jc w:val="both"/>
        <w:rPr>
          <w:rFonts w:ascii="Century Gothic" w:hAnsi="Century Gothic" w:cs="Arial"/>
          <w:sz w:val="22"/>
          <w:szCs w:val="22"/>
        </w:rPr>
      </w:pPr>
      <w:r w:rsidRPr="00E94619">
        <w:rPr>
          <w:rFonts w:ascii="Century Gothic" w:hAnsi="Century Gothic" w:cs="Arial"/>
          <w:sz w:val="22"/>
          <w:szCs w:val="22"/>
        </w:rPr>
        <w:t>La Comisión Nacional de Género de la Rama Judicial (CNGRJ) está integrada por una magistrada o magistrado de la Corte Suprema de Justicia, una magistrada o magistrado de la Corte Constitucional, una magistrada o magistrado del Consejo de Estado, una magistrada o magistrado de la Sala Jurisdiccional Disciplinaria del Consejo Superior de la Judicatura y una magistrada o magistrado de la Sala Administrativa del Consejo Superior de la Judicatura y el Director/a Ejecutivo de Administración Judicial) que es el Secretario/a Técnico.</w:t>
      </w:r>
      <w:r w:rsidR="00374C56" w:rsidRPr="00E94619">
        <w:rPr>
          <w:rFonts w:ascii="Century Gothic" w:hAnsi="Century Gothic" w:cs="Arial"/>
          <w:noProof/>
          <w:sz w:val="22"/>
          <w:szCs w:val="22"/>
        </w:rPr>
        <w:t xml:space="preserve"> (Rama Judicial República de Colombia, 2021)</w:t>
      </w:r>
    </w:p>
    <w:p w14:paraId="1FB49A2A" w14:textId="77777777" w:rsidR="00D25CE2" w:rsidRPr="00E94619" w:rsidRDefault="00D25CE2" w:rsidP="000E5AC0">
      <w:pPr>
        <w:pStyle w:val="NormalWeb"/>
        <w:spacing w:before="0" w:beforeAutospacing="0" w:after="150" w:afterAutospacing="0"/>
        <w:jc w:val="both"/>
        <w:rPr>
          <w:rFonts w:ascii="Century Gothic" w:hAnsi="Century Gothic" w:cs="Arial"/>
          <w:sz w:val="22"/>
          <w:szCs w:val="22"/>
        </w:rPr>
      </w:pPr>
      <w:r w:rsidRPr="00E94619">
        <w:rPr>
          <w:rFonts w:ascii="Century Gothic" w:hAnsi="Century Gothic" w:cs="Arial"/>
          <w:sz w:val="22"/>
          <w:szCs w:val="22"/>
        </w:rPr>
        <w:t>Dentro de sus funciones están:</w:t>
      </w:r>
    </w:p>
    <w:p w14:paraId="6E8AF168" w14:textId="77777777" w:rsidR="00D25CE2" w:rsidRPr="00E94619" w:rsidRDefault="00D25CE2" w:rsidP="000E5AC0">
      <w:pPr>
        <w:pStyle w:val="NormalWeb"/>
        <w:numPr>
          <w:ilvl w:val="0"/>
          <w:numId w:val="8"/>
        </w:numPr>
        <w:spacing w:before="0" w:beforeAutospacing="0" w:after="0" w:afterAutospacing="0" w:line="240" w:lineRule="atLeast"/>
        <w:ind w:left="284" w:hanging="142"/>
        <w:jc w:val="both"/>
        <w:rPr>
          <w:rFonts w:ascii="Century Gothic" w:hAnsi="Century Gothic" w:cs="Arial"/>
          <w:color w:val="000000"/>
          <w:sz w:val="22"/>
          <w:szCs w:val="22"/>
        </w:rPr>
      </w:pPr>
      <w:r w:rsidRPr="00E94619">
        <w:rPr>
          <w:rFonts w:ascii="Century Gothic" w:hAnsi="Century Gothic" w:cs="Arial"/>
          <w:color w:val="000000"/>
          <w:sz w:val="22"/>
          <w:szCs w:val="22"/>
        </w:rPr>
        <w:t>Proponer políticas, planes y acciones encaminadas a garantizar la igualdad y la no discriminación de las mujeres y las niñas en el acceso a la administración de justicia;</w:t>
      </w:r>
    </w:p>
    <w:p w14:paraId="635C0CCE" w14:textId="77777777" w:rsidR="00D25CE2" w:rsidRPr="00E94619" w:rsidRDefault="00D25CE2" w:rsidP="000E5AC0">
      <w:pPr>
        <w:pStyle w:val="NormalWeb"/>
        <w:spacing w:before="0" w:beforeAutospacing="0" w:after="0" w:afterAutospacing="0" w:line="240" w:lineRule="atLeast"/>
        <w:ind w:left="142"/>
        <w:jc w:val="both"/>
        <w:rPr>
          <w:rFonts w:ascii="Century Gothic" w:hAnsi="Century Gothic" w:cs="Arial"/>
          <w:color w:val="000000"/>
          <w:sz w:val="22"/>
          <w:szCs w:val="22"/>
        </w:rPr>
      </w:pPr>
      <w:r w:rsidRPr="00E94619">
        <w:rPr>
          <w:rFonts w:ascii="Century Gothic" w:hAnsi="Century Gothic" w:cs="Arial"/>
          <w:color w:val="000000"/>
          <w:sz w:val="22"/>
          <w:szCs w:val="22"/>
        </w:rPr>
        <w:t>· Promover la sensibilización, la formación e información en materia de género, de manera continua y sistemática para todos los servidores judiciales;</w:t>
      </w:r>
    </w:p>
    <w:p w14:paraId="5D641593" w14:textId="77777777" w:rsidR="00D25CE2" w:rsidRPr="00E94619" w:rsidRDefault="00D25CE2" w:rsidP="000E5AC0">
      <w:pPr>
        <w:pStyle w:val="NormalWeb"/>
        <w:spacing w:before="0" w:beforeAutospacing="0" w:after="0" w:afterAutospacing="0" w:line="240" w:lineRule="atLeast"/>
        <w:ind w:left="142"/>
        <w:jc w:val="both"/>
        <w:rPr>
          <w:rFonts w:ascii="Century Gothic" w:hAnsi="Century Gothic" w:cs="Arial"/>
          <w:color w:val="000000"/>
          <w:sz w:val="22"/>
          <w:szCs w:val="22"/>
        </w:rPr>
      </w:pPr>
      <w:r w:rsidRPr="00E94619">
        <w:rPr>
          <w:rFonts w:ascii="Century Gothic" w:hAnsi="Century Gothic" w:cs="Arial"/>
          <w:color w:val="000000"/>
          <w:sz w:val="22"/>
          <w:szCs w:val="22"/>
        </w:rPr>
        <w:t>· Mantener informadas a la Altas Corporaciones sobre las actividades de Género que se adelanten para la Rama Judicial;</w:t>
      </w:r>
    </w:p>
    <w:p w14:paraId="639C80F7" w14:textId="77777777" w:rsidR="00D25CE2" w:rsidRPr="00E94619" w:rsidRDefault="00D25CE2" w:rsidP="000E5AC0">
      <w:pPr>
        <w:pStyle w:val="NormalWeb"/>
        <w:spacing w:before="0" w:beforeAutospacing="0" w:after="0" w:afterAutospacing="0" w:line="240" w:lineRule="atLeast"/>
        <w:ind w:left="142"/>
        <w:jc w:val="both"/>
        <w:rPr>
          <w:rFonts w:ascii="Century Gothic" w:hAnsi="Century Gothic" w:cs="Arial"/>
          <w:color w:val="000000"/>
          <w:sz w:val="22"/>
          <w:szCs w:val="22"/>
        </w:rPr>
      </w:pPr>
      <w:r w:rsidRPr="00E94619">
        <w:rPr>
          <w:rFonts w:ascii="Century Gothic" w:hAnsi="Century Gothic" w:cs="Arial"/>
          <w:color w:val="000000"/>
          <w:sz w:val="22"/>
          <w:szCs w:val="22"/>
        </w:rPr>
        <w:t>· Efectuar la evaluación y el seguimiento al cumplimiento de las políticas, planes y acciones que en materia de género se determinen por la Comisión;</w:t>
      </w:r>
    </w:p>
    <w:p w14:paraId="060C7866" w14:textId="77777777" w:rsidR="00D25CE2" w:rsidRPr="00E94619" w:rsidRDefault="00D25CE2" w:rsidP="000E5AC0">
      <w:pPr>
        <w:pStyle w:val="NormalWeb"/>
        <w:spacing w:before="0" w:beforeAutospacing="0" w:after="0" w:afterAutospacing="0" w:line="240" w:lineRule="atLeast"/>
        <w:ind w:left="142"/>
        <w:jc w:val="both"/>
        <w:rPr>
          <w:rFonts w:ascii="Century Gothic" w:hAnsi="Century Gothic" w:cs="Arial"/>
          <w:color w:val="000000"/>
          <w:sz w:val="22"/>
          <w:szCs w:val="22"/>
        </w:rPr>
      </w:pPr>
      <w:r w:rsidRPr="00E94619">
        <w:rPr>
          <w:rFonts w:ascii="Century Gothic" w:hAnsi="Century Gothic" w:cs="Arial"/>
          <w:color w:val="000000"/>
          <w:sz w:val="22"/>
          <w:szCs w:val="22"/>
        </w:rPr>
        <w:t>· Establecer directrices para la introducción de la perspectiva de género en la actuación y la formación judicial;</w:t>
      </w:r>
    </w:p>
    <w:p w14:paraId="20F23713" w14:textId="117421B2" w:rsidR="00C060F9" w:rsidRPr="00E94619" w:rsidRDefault="00D25CE2" w:rsidP="003F560F">
      <w:pPr>
        <w:pStyle w:val="NormalWeb"/>
        <w:spacing w:before="0" w:beforeAutospacing="0" w:after="0" w:afterAutospacing="0" w:line="240" w:lineRule="atLeast"/>
        <w:ind w:left="142"/>
        <w:jc w:val="both"/>
        <w:rPr>
          <w:rFonts w:ascii="Century Gothic" w:hAnsi="Century Gothic" w:cs="Arial"/>
          <w:color w:val="000000"/>
          <w:sz w:val="22"/>
          <w:szCs w:val="22"/>
        </w:rPr>
      </w:pPr>
      <w:r w:rsidRPr="00E94619">
        <w:rPr>
          <w:rFonts w:ascii="Century Gothic" w:hAnsi="Century Gothic" w:cs="Arial"/>
          <w:color w:val="000000"/>
          <w:sz w:val="22"/>
          <w:szCs w:val="22"/>
        </w:rPr>
        <w:t>· Servir de órgano de coordinación de las Altas Cortes en materia de Género para la Rama Judicial;</w:t>
      </w:r>
    </w:p>
    <w:p w14:paraId="0E960515" w14:textId="77777777" w:rsidR="00490F50" w:rsidRPr="00E94619" w:rsidRDefault="00490F50" w:rsidP="000E5AC0">
      <w:pPr>
        <w:spacing w:after="0" w:line="240" w:lineRule="auto"/>
        <w:jc w:val="both"/>
        <w:rPr>
          <w:rFonts w:ascii="Century Gothic" w:hAnsi="Century Gothic"/>
        </w:rPr>
      </w:pPr>
    </w:p>
    <w:p w14:paraId="4DE204BB" w14:textId="31578300" w:rsidR="001238D7" w:rsidRPr="00F53301" w:rsidRDefault="0036411F" w:rsidP="000E5AC0">
      <w:pPr>
        <w:pStyle w:val="Ttulo2"/>
        <w:rPr>
          <w:rFonts w:ascii="Century Gothic" w:hAnsi="Century Gothic"/>
          <w:color w:val="CC3366"/>
        </w:rPr>
      </w:pPr>
      <w:r w:rsidRPr="00F53301">
        <w:rPr>
          <w:rFonts w:ascii="Century Gothic" w:hAnsi="Century Gothic"/>
          <w:color w:val="CC3366"/>
        </w:rPr>
        <w:t> </w:t>
      </w:r>
      <w:bookmarkStart w:id="21" w:name="_Toc488624238"/>
      <w:r w:rsidRPr="00F53301">
        <w:rPr>
          <w:rFonts w:ascii="Century Gothic" w:hAnsi="Century Gothic"/>
          <w:color w:val="CC3366"/>
        </w:rPr>
        <w:t>3. M</w:t>
      </w:r>
      <w:r w:rsidR="00F53301" w:rsidRPr="00F53301">
        <w:rPr>
          <w:rFonts w:ascii="Century Gothic" w:hAnsi="Century Gothic"/>
          <w:color w:val="CC3366"/>
        </w:rPr>
        <w:t>oviemiento social de mujeres</w:t>
      </w:r>
      <w:bookmarkEnd w:id="21"/>
      <w:r w:rsidR="00F53301" w:rsidRPr="00F53301">
        <w:rPr>
          <w:rFonts w:ascii="Century Gothic" w:hAnsi="Century Gothic"/>
          <w:color w:val="CC3366"/>
        </w:rPr>
        <w:t xml:space="preserve"> </w:t>
      </w:r>
    </w:p>
    <w:p w14:paraId="72DC538C" w14:textId="77777777" w:rsidR="001238D7" w:rsidRPr="00E94619" w:rsidRDefault="001238D7" w:rsidP="000E5AC0">
      <w:pPr>
        <w:spacing w:after="0" w:line="240" w:lineRule="auto"/>
        <w:jc w:val="both"/>
        <w:rPr>
          <w:rFonts w:ascii="Century Gothic" w:hAnsi="Century Gothic"/>
          <w:b/>
        </w:rPr>
      </w:pPr>
    </w:p>
    <w:p w14:paraId="097E04FE" w14:textId="24AEDF93"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En Colombia el movimiento feminista empieza a tener presencia a finales de la década de los años 70, va tomando forma en la siguiente década y su proceso tiene cercanía con los Encuentros Latinoamericanos y del Caribe de </w:t>
      </w:r>
      <w:r w:rsidRPr="00E94619">
        <w:rPr>
          <w:rFonts w:ascii="Century Gothic" w:hAnsi="Century Gothic"/>
        </w:rPr>
        <w:lastRenderedPageBreak/>
        <w:t>las organizaciones de mujeres de esta región. Un hito importante que evidenció la fuerza que estaba tomando el Movimiento de Mujeres en Colombia lo representó la creación de la Casa de la Mujer en Bogotá (1982). Es importante tener claro que el movimiento de mujeres colombiano desde sus inicios ha tenido una gran heterogeneidad tanto en los procesos organizativos, como ideológicos y políticos, lo cual no ha sido una barrera para movilizar temas cruciales para las mujeres, como la visibilización de las afectaciones por el conflicto armado y la participación en la búsqueda de soluciones negociadas. Un aliado fundamental del movimiento social de mujeres lo ha representado la cooperación internacional, que ha acompañado con recursos técnicos y financieros las diversas propuestas de movilización.</w:t>
      </w:r>
    </w:p>
    <w:p w14:paraId="429243BD" w14:textId="31AC9844" w:rsidR="001238D7" w:rsidRPr="00E94619" w:rsidRDefault="00830DB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63712" behindDoc="0" locked="0" layoutInCell="1" allowOverlap="1" wp14:anchorId="288CC9E5" wp14:editId="31E2E9BD">
            <wp:simplePos x="0" y="0"/>
            <wp:positionH relativeFrom="column">
              <wp:posOffset>-1080135</wp:posOffset>
            </wp:positionH>
            <wp:positionV relativeFrom="paragraph">
              <wp:posOffset>-2707005</wp:posOffset>
            </wp:positionV>
            <wp:extent cx="965835" cy="708660"/>
            <wp:effectExtent l="0" t="0" r="0" b="0"/>
            <wp:wrapNone/>
            <wp:docPr id="345" name="Imagen 34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003D7DBC"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La heterogeneidad del movimiento colombiano de mujeres se ha expresado en diferentes formas organizativas y ha llevado a la constitución de una amplia gama de posibilidades, entre ellas: plataformas para la incidencia política, colectivos organizados en ONGs, grupos de investigación vinculados a universidades, colectivas feministas constituidas por organizaciones de mujeres jóvenes que hacen activismo político y denuncia pública y organizaciones feministas vinculadas a los territorios que recogen muchas de las expresiones ya mencionadas. En la tabla anexada a este documento se presenta una propuesta de clasificación de las organizaciones de mujeres en Colombia (ver anexo tabla 1).</w:t>
      </w:r>
    </w:p>
    <w:p w14:paraId="520D4121" w14:textId="77777777" w:rsidR="00892276" w:rsidRPr="00E94619" w:rsidRDefault="00892276" w:rsidP="000E5AC0">
      <w:pPr>
        <w:spacing w:after="0" w:line="240" w:lineRule="auto"/>
        <w:jc w:val="both"/>
        <w:rPr>
          <w:rFonts w:ascii="Century Gothic" w:hAnsi="Century Gothic"/>
        </w:rPr>
      </w:pPr>
    </w:p>
    <w:p w14:paraId="05496CB9" w14:textId="5016797A" w:rsidR="00F53301" w:rsidRDefault="00892276" w:rsidP="00077E6C">
      <w:pPr>
        <w:pStyle w:val="Ttulo3"/>
        <w:rPr>
          <w:rFonts w:ascii="Century Gothic" w:hAnsi="Century Gothic"/>
          <w:b w:val="0"/>
          <w:color w:val="CC3366"/>
        </w:rPr>
      </w:pPr>
      <w:bookmarkStart w:id="22" w:name="_Toc488624239"/>
      <w:r w:rsidRPr="00F53301">
        <w:rPr>
          <w:rFonts w:ascii="Century Gothic" w:hAnsi="Century Gothic"/>
          <w:b w:val="0"/>
          <w:color w:val="CC3366"/>
        </w:rPr>
        <w:t>3.1. Organizaciones de mujeres</w:t>
      </w:r>
      <w:r w:rsidR="009317EA" w:rsidRPr="00F53301">
        <w:rPr>
          <w:rStyle w:val="Refdenotaalpie"/>
          <w:rFonts w:ascii="Century Gothic" w:hAnsi="Century Gothic"/>
          <w:b w:val="0"/>
          <w:color w:val="CC3366"/>
        </w:rPr>
        <w:footnoteReference w:id="7"/>
      </w:r>
      <w:bookmarkEnd w:id="22"/>
    </w:p>
    <w:p w14:paraId="093F1CDC" w14:textId="77777777" w:rsidR="00077E6C" w:rsidRPr="00077E6C" w:rsidRDefault="00077E6C" w:rsidP="00077E6C"/>
    <w:tbl>
      <w:tblPr>
        <w:tblW w:w="0" w:type="auto"/>
        <w:jc w:val="center"/>
        <w:tblLook w:val="04A0" w:firstRow="1" w:lastRow="0" w:firstColumn="1" w:lastColumn="0" w:noHBand="0" w:noVBand="1"/>
      </w:tblPr>
      <w:tblGrid>
        <w:gridCol w:w="5949"/>
        <w:gridCol w:w="1417"/>
      </w:tblGrid>
      <w:tr w:rsidR="00892276" w:rsidRPr="00E94619" w14:paraId="722B3AC8" w14:textId="77777777" w:rsidTr="00E804DB">
        <w:trPr>
          <w:jc w:val="center"/>
        </w:trPr>
        <w:tc>
          <w:tcPr>
            <w:tcW w:w="5949" w:type="dxa"/>
          </w:tcPr>
          <w:p w14:paraId="463C49F4" w14:textId="77777777" w:rsidR="00892276" w:rsidRPr="00E94619" w:rsidRDefault="00892276" w:rsidP="000E5AC0">
            <w:pPr>
              <w:spacing w:after="0" w:line="240" w:lineRule="auto"/>
              <w:jc w:val="center"/>
              <w:rPr>
                <w:rFonts w:ascii="Century Gothic" w:hAnsi="Century Gothic"/>
                <w:b/>
                <w:bCs/>
                <w:sz w:val="16"/>
                <w:szCs w:val="16"/>
              </w:rPr>
            </w:pPr>
            <w:r w:rsidRPr="00E94619">
              <w:rPr>
                <w:rFonts w:ascii="Century Gothic" w:hAnsi="Century Gothic"/>
                <w:b/>
                <w:bCs/>
                <w:sz w:val="16"/>
                <w:szCs w:val="16"/>
              </w:rPr>
              <w:t>Organización</w:t>
            </w:r>
          </w:p>
        </w:tc>
        <w:tc>
          <w:tcPr>
            <w:tcW w:w="1417" w:type="dxa"/>
          </w:tcPr>
          <w:p w14:paraId="11EDFDB8" w14:textId="77777777" w:rsidR="00892276" w:rsidRPr="00E94619" w:rsidRDefault="00892276" w:rsidP="000E5AC0">
            <w:pPr>
              <w:spacing w:after="0" w:line="240" w:lineRule="auto"/>
              <w:jc w:val="center"/>
              <w:rPr>
                <w:rFonts w:ascii="Century Gothic" w:hAnsi="Century Gothic"/>
                <w:b/>
                <w:bCs/>
                <w:sz w:val="16"/>
                <w:szCs w:val="16"/>
              </w:rPr>
            </w:pPr>
            <w:r w:rsidRPr="00E94619">
              <w:rPr>
                <w:rFonts w:ascii="Century Gothic" w:hAnsi="Century Gothic"/>
                <w:b/>
                <w:bCs/>
                <w:sz w:val="16"/>
                <w:szCs w:val="16"/>
              </w:rPr>
              <w:t>Ciudad</w:t>
            </w:r>
          </w:p>
        </w:tc>
      </w:tr>
      <w:tr w:rsidR="00892276" w:rsidRPr="00E94619" w14:paraId="1F32072C" w14:textId="77777777" w:rsidTr="00E804DB">
        <w:trPr>
          <w:jc w:val="center"/>
        </w:trPr>
        <w:tc>
          <w:tcPr>
            <w:tcW w:w="5949" w:type="dxa"/>
          </w:tcPr>
          <w:p w14:paraId="7F7AFAAC" w14:textId="77777777" w:rsidR="00892276" w:rsidRPr="00E94619" w:rsidRDefault="00892276" w:rsidP="000E5AC0">
            <w:pPr>
              <w:spacing w:after="0" w:line="240" w:lineRule="auto"/>
              <w:jc w:val="both"/>
              <w:rPr>
                <w:rFonts w:ascii="Century Gothic" w:hAnsi="Century Gothic"/>
                <w:sz w:val="16"/>
                <w:szCs w:val="16"/>
              </w:rPr>
            </w:pPr>
            <w:r w:rsidRPr="00E94619">
              <w:rPr>
                <w:rFonts w:ascii="Century Gothic" w:hAnsi="Century Gothic"/>
                <w:sz w:val="16"/>
                <w:szCs w:val="16"/>
              </w:rPr>
              <w:t>Ruta Pacífica</w:t>
            </w:r>
            <w:r w:rsidR="007C7518" w:rsidRPr="00E94619">
              <w:rPr>
                <w:rFonts w:ascii="Century Gothic" w:hAnsi="Century Gothic"/>
                <w:sz w:val="16"/>
                <w:szCs w:val="16"/>
              </w:rPr>
              <w:t xml:space="preserve"> de Mujeres por la Paz</w:t>
            </w:r>
          </w:p>
        </w:tc>
        <w:tc>
          <w:tcPr>
            <w:tcW w:w="1417" w:type="dxa"/>
          </w:tcPr>
          <w:p w14:paraId="2BEF879B" w14:textId="77777777" w:rsidR="00892276" w:rsidRPr="00E94619" w:rsidRDefault="0089227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6F6B4674" w14:textId="77777777" w:rsidTr="00E804DB">
        <w:trPr>
          <w:jc w:val="center"/>
        </w:trPr>
        <w:tc>
          <w:tcPr>
            <w:tcW w:w="5949" w:type="dxa"/>
          </w:tcPr>
          <w:p w14:paraId="5D49EFDC" w14:textId="77777777" w:rsidR="00892276" w:rsidRPr="00E94619" w:rsidRDefault="007C7518"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SISMA </w:t>
            </w:r>
            <w:r w:rsidR="00892276" w:rsidRPr="00E94619">
              <w:rPr>
                <w:rFonts w:ascii="Century Gothic" w:hAnsi="Century Gothic"/>
                <w:sz w:val="16"/>
                <w:szCs w:val="16"/>
              </w:rPr>
              <w:t>Mujer</w:t>
            </w:r>
          </w:p>
        </w:tc>
        <w:tc>
          <w:tcPr>
            <w:tcW w:w="1417" w:type="dxa"/>
          </w:tcPr>
          <w:p w14:paraId="7883B2B2" w14:textId="77777777" w:rsidR="00892276" w:rsidRPr="00E94619" w:rsidRDefault="0089227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0DD7A168" w14:textId="77777777" w:rsidTr="00E804DB">
        <w:trPr>
          <w:jc w:val="center"/>
        </w:trPr>
        <w:tc>
          <w:tcPr>
            <w:tcW w:w="5949" w:type="dxa"/>
          </w:tcPr>
          <w:p w14:paraId="017AD0A6" w14:textId="77777777" w:rsidR="00892276" w:rsidRPr="00E94619" w:rsidRDefault="00892276" w:rsidP="000E5AC0">
            <w:pPr>
              <w:spacing w:after="0" w:line="240" w:lineRule="auto"/>
              <w:jc w:val="both"/>
              <w:rPr>
                <w:rFonts w:ascii="Century Gothic" w:hAnsi="Century Gothic"/>
                <w:sz w:val="16"/>
                <w:szCs w:val="16"/>
              </w:rPr>
            </w:pPr>
            <w:r w:rsidRPr="00E94619">
              <w:rPr>
                <w:rFonts w:ascii="Century Gothic" w:hAnsi="Century Gothic"/>
                <w:sz w:val="16"/>
                <w:szCs w:val="16"/>
              </w:rPr>
              <w:t>Corporación Casa de la Mujer</w:t>
            </w:r>
          </w:p>
        </w:tc>
        <w:tc>
          <w:tcPr>
            <w:tcW w:w="1417" w:type="dxa"/>
          </w:tcPr>
          <w:p w14:paraId="5FA31132" w14:textId="77777777" w:rsidR="00892276" w:rsidRPr="00E94619" w:rsidRDefault="0089227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712EA2BD" w14:textId="77777777" w:rsidTr="00E804DB">
        <w:trPr>
          <w:jc w:val="center"/>
        </w:trPr>
        <w:tc>
          <w:tcPr>
            <w:tcW w:w="5949" w:type="dxa"/>
          </w:tcPr>
          <w:p w14:paraId="2457C37D" w14:textId="77777777" w:rsidR="00892276" w:rsidRPr="00E94619" w:rsidRDefault="00892276" w:rsidP="000E5AC0">
            <w:pPr>
              <w:spacing w:after="0" w:line="240" w:lineRule="auto"/>
              <w:jc w:val="both"/>
              <w:rPr>
                <w:rFonts w:ascii="Century Gothic" w:hAnsi="Century Gothic"/>
                <w:sz w:val="16"/>
                <w:szCs w:val="16"/>
              </w:rPr>
            </w:pPr>
            <w:r w:rsidRPr="00E94619">
              <w:rPr>
                <w:rFonts w:ascii="Century Gothic" w:hAnsi="Century Gothic"/>
                <w:sz w:val="16"/>
                <w:szCs w:val="16"/>
              </w:rPr>
              <w:t>Red Nacional de Mujeres/CIASE</w:t>
            </w:r>
          </w:p>
        </w:tc>
        <w:tc>
          <w:tcPr>
            <w:tcW w:w="1417" w:type="dxa"/>
          </w:tcPr>
          <w:p w14:paraId="55F3486F" w14:textId="77777777" w:rsidR="00892276" w:rsidRPr="00E94619" w:rsidRDefault="0089227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044E2C71" w14:textId="77777777" w:rsidTr="00E804DB">
        <w:trPr>
          <w:jc w:val="center"/>
        </w:trPr>
        <w:tc>
          <w:tcPr>
            <w:tcW w:w="5949" w:type="dxa"/>
          </w:tcPr>
          <w:p w14:paraId="25261364" w14:textId="77777777" w:rsidR="00892276" w:rsidRPr="00E94619" w:rsidRDefault="00892276" w:rsidP="000E5AC0">
            <w:pPr>
              <w:spacing w:after="0" w:line="240" w:lineRule="auto"/>
              <w:jc w:val="both"/>
              <w:rPr>
                <w:rFonts w:ascii="Century Gothic" w:hAnsi="Century Gothic"/>
                <w:sz w:val="16"/>
                <w:szCs w:val="16"/>
              </w:rPr>
            </w:pPr>
            <w:r w:rsidRPr="00E94619">
              <w:rPr>
                <w:rFonts w:ascii="Century Gothic" w:hAnsi="Century Gothic"/>
                <w:sz w:val="16"/>
                <w:szCs w:val="16"/>
              </w:rPr>
              <w:t>Corporación Humanas/Centro Regional de DDHH y Justicia de Género</w:t>
            </w:r>
          </w:p>
        </w:tc>
        <w:tc>
          <w:tcPr>
            <w:tcW w:w="1417" w:type="dxa"/>
          </w:tcPr>
          <w:p w14:paraId="40C29801" w14:textId="77777777" w:rsidR="00892276" w:rsidRPr="00E94619" w:rsidRDefault="0089227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44ABC4C8" w14:textId="77777777" w:rsidTr="00E804DB">
        <w:trPr>
          <w:jc w:val="center"/>
        </w:trPr>
        <w:tc>
          <w:tcPr>
            <w:tcW w:w="5949" w:type="dxa"/>
          </w:tcPr>
          <w:p w14:paraId="460BA8DE"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I</w:t>
            </w:r>
            <w:r w:rsidR="00892276" w:rsidRPr="00E94619">
              <w:rPr>
                <w:rFonts w:ascii="Century Gothic" w:hAnsi="Century Gothic"/>
                <w:sz w:val="16"/>
                <w:szCs w:val="16"/>
              </w:rPr>
              <w:t>niciativa Mujeres Colombianas por la Paz - IMP</w:t>
            </w:r>
          </w:p>
        </w:tc>
        <w:tc>
          <w:tcPr>
            <w:tcW w:w="1417" w:type="dxa"/>
          </w:tcPr>
          <w:p w14:paraId="485A20DE"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4C6AED13" w14:textId="77777777" w:rsidTr="00E804DB">
        <w:trPr>
          <w:jc w:val="center"/>
        </w:trPr>
        <w:tc>
          <w:tcPr>
            <w:tcW w:w="5949" w:type="dxa"/>
          </w:tcPr>
          <w:p w14:paraId="0CA90839"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Red de Educación Popular entre Mujeres de Latinoamérica y el caribe REPE​M LAC</w:t>
            </w:r>
          </w:p>
        </w:tc>
        <w:tc>
          <w:tcPr>
            <w:tcW w:w="1417" w:type="dxa"/>
          </w:tcPr>
          <w:p w14:paraId="4BAD24D5"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611E3F6D" w14:textId="77777777" w:rsidTr="00E804DB">
        <w:trPr>
          <w:jc w:val="center"/>
        </w:trPr>
        <w:tc>
          <w:tcPr>
            <w:tcW w:w="5949" w:type="dxa"/>
          </w:tcPr>
          <w:p w14:paraId="3D15C8BF"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Casa de la Mujer Trabajadora</w:t>
            </w:r>
          </w:p>
        </w:tc>
        <w:tc>
          <w:tcPr>
            <w:tcW w:w="1417" w:type="dxa"/>
          </w:tcPr>
          <w:p w14:paraId="07C30EDF"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5552A7A5" w14:textId="77777777" w:rsidTr="00E804DB">
        <w:trPr>
          <w:jc w:val="center"/>
        </w:trPr>
        <w:tc>
          <w:tcPr>
            <w:tcW w:w="5949" w:type="dxa"/>
          </w:tcPr>
          <w:p w14:paraId="60741E33"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Católicas por el </w:t>
            </w:r>
            <w:r w:rsidR="007C7518" w:rsidRPr="00E94619">
              <w:rPr>
                <w:rFonts w:ascii="Century Gothic" w:hAnsi="Century Gothic"/>
                <w:sz w:val="16"/>
                <w:szCs w:val="16"/>
              </w:rPr>
              <w:t>D</w:t>
            </w:r>
            <w:r w:rsidRPr="00E94619">
              <w:rPr>
                <w:rFonts w:ascii="Century Gothic" w:hAnsi="Century Gothic"/>
                <w:sz w:val="16"/>
                <w:szCs w:val="16"/>
              </w:rPr>
              <w:t>erecho a Decidir</w:t>
            </w:r>
          </w:p>
        </w:tc>
        <w:tc>
          <w:tcPr>
            <w:tcW w:w="1417" w:type="dxa"/>
          </w:tcPr>
          <w:p w14:paraId="61B7700E"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45324F01" w14:textId="77777777" w:rsidTr="00E804DB">
        <w:trPr>
          <w:jc w:val="center"/>
        </w:trPr>
        <w:tc>
          <w:tcPr>
            <w:tcW w:w="5949" w:type="dxa"/>
          </w:tcPr>
          <w:p w14:paraId="5EF6479F"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Corporación Centro de Apoyo Popular – CENTRAP</w:t>
            </w:r>
          </w:p>
        </w:tc>
        <w:tc>
          <w:tcPr>
            <w:tcW w:w="1417" w:type="dxa"/>
          </w:tcPr>
          <w:p w14:paraId="29268112"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892276" w:rsidRPr="00E94619" w14:paraId="7081CB1E" w14:textId="77777777" w:rsidTr="00E804DB">
        <w:trPr>
          <w:jc w:val="center"/>
        </w:trPr>
        <w:tc>
          <w:tcPr>
            <w:tcW w:w="5949" w:type="dxa"/>
          </w:tcPr>
          <w:p w14:paraId="360DAD6F" w14:textId="77777777" w:rsidR="0089227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Red Nacional de Mujeres</w:t>
            </w:r>
          </w:p>
        </w:tc>
        <w:tc>
          <w:tcPr>
            <w:tcW w:w="1417" w:type="dxa"/>
          </w:tcPr>
          <w:p w14:paraId="45C34D85" w14:textId="77777777" w:rsidR="0089227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590B86" w:rsidRPr="00E94619" w14:paraId="323DCC39" w14:textId="77777777" w:rsidTr="00E804DB">
        <w:trPr>
          <w:jc w:val="center"/>
        </w:trPr>
        <w:tc>
          <w:tcPr>
            <w:tcW w:w="5949" w:type="dxa"/>
          </w:tcPr>
          <w:p w14:paraId="3E5A3C01"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Afrolider</w:t>
            </w:r>
          </w:p>
        </w:tc>
        <w:tc>
          <w:tcPr>
            <w:tcW w:w="1417" w:type="dxa"/>
          </w:tcPr>
          <w:p w14:paraId="26BCC0D1" w14:textId="77777777" w:rsidR="00590B86" w:rsidRPr="00E94619" w:rsidRDefault="00590B86" w:rsidP="000E5AC0">
            <w:pPr>
              <w:spacing w:after="0" w:line="240" w:lineRule="auto"/>
              <w:rPr>
                <w:rFonts w:ascii="Century Gothic" w:hAnsi="Century Gothic"/>
                <w:sz w:val="16"/>
                <w:szCs w:val="16"/>
              </w:rPr>
            </w:pPr>
            <w:r w:rsidRPr="00E94619">
              <w:rPr>
                <w:rFonts w:ascii="Century Gothic" w:hAnsi="Century Gothic"/>
                <w:sz w:val="16"/>
                <w:szCs w:val="16"/>
              </w:rPr>
              <w:t>Cali</w:t>
            </w:r>
          </w:p>
        </w:tc>
      </w:tr>
      <w:tr w:rsidR="00590B86" w:rsidRPr="00E94619" w14:paraId="47A01110" w14:textId="77777777" w:rsidTr="00E804DB">
        <w:trPr>
          <w:jc w:val="center"/>
        </w:trPr>
        <w:tc>
          <w:tcPr>
            <w:tcW w:w="5949" w:type="dxa"/>
          </w:tcPr>
          <w:p w14:paraId="07D06653"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Fundación Lina Amador Lesmes</w:t>
            </w:r>
          </w:p>
        </w:tc>
        <w:tc>
          <w:tcPr>
            <w:tcW w:w="1417" w:type="dxa"/>
          </w:tcPr>
          <w:p w14:paraId="60F239CB" w14:textId="77777777" w:rsidR="00590B86" w:rsidRPr="00E94619" w:rsidRDefault="009317EA" w:rsidP="000E5AC0">
            <w:pPr>
              <w:spacing w:after="0" w:line="240" w:lineRule="auto"/>
              <w:rPr>
                <w:rFonts w:ascii="Century Gothic" w:hAnsi="Century Gothic"/>
                <w:sz w:val="16"/>
                <w:szCs w:val="16"/>
              </w:rPr>
            </w:pPr>
            <w:r w:rsidRPr="00E94619">
              <w:rPr>
                <w:rFonts w:ascii="Century Gothic" w:hAnsi="Century Gothic"/>
                <w:sz w:val="16"/>
                <w:szCs w:val="16"/>
              </w:rPr>
              <w:t>Manizales, Caldas</w:t>
            </w:r>
          </w:p>
        </w:tc>
      </w:tr>
      <w:tr w:rsidR="00590B86" w:rsidRPr="00E94619" w14:paraId="27224D5D" w14:textId="77777777" w:rsidTr="00E804DB">
        <w:trPr>
          <w:jc w:val="center"/>
        </w:trPr>
        <w:tc>
          <w:tcPr>
            <w:tcW w:w="5949" w:type="dxa"/>
          </w:tcPr>
          <w:p w14:paraId="62BB775D"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Mesa Nacional de Mujeres Negras/Afrocolombianas/Raizales y Palenqueras</w:t>
            </w:r>
          </w:p>
        </w:tc>
        <w:tc>
          <w:tcPr>
            <w:tcW w:w="1417" w:type="dxa"/>
          </w:tcPr>
          <w:p w14:paraId="4CDF21D9" w14:textId="77777777" w:rsidR="00590B86" w:rsidRPr="00E94619" w:rsidRDefault="009317EA" w:rsidP="000E5AC0">
            <w:pPr>
              <w:spacing w:after="0" w:line="240" w:lineRule="auto"/>
              <w:rPr>
                <w:rFonts w:ascii="Century Gothic" w:hAnsi="Century Gothic"/>
                <w:sz w:val="16"/>
                <w:szCs w:val="16"/>
              </w:rPr>
            </w:pPr>
            <w:r w:rsidRPr="00E94619">
              <w:rPr>
                <w:rFonts w:ascii="Century Gothic" w:hAnsi="Century Gothic"/>
                <w:sz w:val="16"/>
                <w:szCs w:val="16"/>
              </w:rPr>
              <w:t>Cali</w:t>
            </w:r>
          </w:p>
        </w:tc>
      </w:tr>
      <w:tr w:rsidR="00590B86" w:rsidRPr="00E94619" w14:paraId="1A4B8F3C" w14:textId="77777777" w:rsidTr="00E804DB">
        <w:trPr>
          <w:jc w:val="center"/>
        </w:trPr>
        <w:tc>
          <w:tcPr>
            <w:tcW w:w="5949" w:type="dxa"/>
          </w:tcPr>
          <w:p w14:paraId="69FE9FDB"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FUNCASUPER</w:t>
            </w:r>
          </w:p>
        </w:tc>
        <w:tc>
          <w:tcPr>
            <w:tcW w:w="1417" w:type="dxa"/>
          </w:tcPr>
          <w:p w14:paraId="684781CD" w14:textId="77777777" w:rsidR="00590B86" w:rsidRPr="00E94619" w:rsidRDefault="009317EA" w:rsidP="000E5AC0">
            <w:pPr>
              <w:spacing w:after="0" w:line="240" w:lineRule="auto"/>
              <w:rPr>
                <w:rFonts w:ascii="Century Gothic" w:hAnsi="Century Gothic"/>
                <w:sz w:val="16"/>
                <w:szCs w:val="16"/>
              </w:rPr>
            </w:pPr>
            <w:r w:rsidRPr="00E94619">
              <w:rPr>
                <w:rFonts w:ascii="Century Gothic" w:hAnsi="Century Gothic"/>
                <w:sz w:val="16"/>
                <w:szCs w:val="16"/>
              </w:rPr>
              <w:t>Santa Marta</w:t>
            </w:r>
          </w:p>
        </w:tc>
      </w:tr>
      <w:tr w:rsidR="00590B86" w:rsidRPr="00E94619" w14:paraId="448A5E8B" w14:textId="77777777" w:rsidTr="00E804DB">
        <w:trPr>
          <w:jc w:val="center"/>
        </w:trPr>
        <w:tc>
          <w:tcPr>
            <w:tcW w:w="5949" w:type="dxa"/>
          </w:tcPr>
          <w:p w14:paraId="5FC2AAA4"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Asociación Internacional Heroínas de la Fuerza Públicas - Heroínas</w:t>
            </w:r>
          </w:p>
        </w:tc>
        <w:tc>
          <w:tcPr>
            <w:tcW w:w="1417" w:type="dxa"/>
          </w:tcPr>
          <w:p w14:paraId="4A19381C" w14:textId="77777777" w:rsidR="00590B86" w:rsidRPr="00E94619" w:rsidRDefault="009317EA" w:rsidP="000E5AC0">
            <w:pPr>
              <w:spacing w:after="0" w:line="240" w:lineRule="auto"/>
              <w:rPr>
                <w:rFonts w:ascii="Century Gothic" w:hAnsi="Century Gothic"/>
                <w:sz w:val="16"/>
                <w:szCs w:val="16"/>
              </w:rPr>
            </w:pPr>
            <w:r w:rsidRPr="00E94619">
              <w:rPr>
                <w:rFonts w:ascii="Century Gothic" w:hAnsi="Century Gothic"/>
                <w:sz w:val="16"/>
                <w:szCs w:val="16"/>
              </w:rPr>
              <w:t>Bogotá</w:t>
            </w:r>
          </w:p>
        </w:tc>
      </w:tr>
      <w:tr w:rsidR="00590B86" w:rsidRPr="00E94619" w14:paraId="6CB9A8DB" w14:textId="77777777" w:rsidTr="00E804DB">
        <w:trPr>
          <w:jc w:val="center"/>
        </w:trPr>
        <w:tc>
          <w:tcPr>
            <w:tcW w:w="5949" w:type="dxa"/>
          </w:tcPr>
          <w:p w14:paraId="0B59C235" w14:textId="77777777" w:rsidR="00590B86" w:rsidRPr="00E94619" w:rsidRDefault="00590B86" w:rsidP="000E5AC0">
            <w:pPr>
              <w:spacing w:after="0" w:line="240" w:lineRule="auto"/>
              <w:jc w:val="both"/>
              <w:rPr>
                <w:rFonts w:ascii="Century Gothic" w:hAnsi="Century Gothic"/>
                <w:sz w:val="16"/>
                <w:szCs w:val="16"/>
              </w:rPr>
            </w:pPr>
            <w:r w:rsidRPr="00E94619">
              <w:rPr>
                <w:rFonts w:ascii="Century Gothic" w:hAnsi="Century Gothic"/>
                <w:sz w:val="16"/>
                <w:szCs w:val="16"/>
              </w:rPr>
              <w:t>Federación Nacimos Listas</w:t>
            </w:r>
          </w:p>
        </w:tc>
        <w:tc>
          <w:tcPr>
            <w:tcW w:w="1417" w:type="dxa"/>
          </w:tcPr>
          <w:p w14:paraId="0D7C1837" w14:textId="77777777" w:rsidR="00590B86" w:rsidRPr="00E94619" w:rsidRDefault="009317EA" w:rsidP="000E5AC0">
            <w:pPr>
              <w:spacing w:after="0" w:line="240" w:lineRule="auto"/>
              <w:rPr>
                <w:rFonts w:ascii="Century Gothic" w:hAnsi="Century Gothic"/>
                <w:sz w:val="16"/>
                <w:szCs w:val="16"/>
              </w:rPr>
            </w:pPr>
            <w:r w:rsidRPr="00E94619">
              <w:rPr>
                <w:rFonts w:ascii="Century Gothic" w:hAnsi="Century Gothic"/>
                <w:sz w:val="16"/>
                <w:szCs w:val="16"/>
              </w:rPr>
              <w:t>Santa Marta</w:t>
            </w:r>
          </w:p>
        </w:tc>
      </w:tr>
    </w:tbl>
    <w:p w14:paraId="07378B34" w14:textId="77777777" w:rsidR="00C060F9" w:rsidRDefault="00C060F9" w:rsidP="000E5AC0">
      <w:pPr>
        <w:spacing w:after="0" w:line="240" w:lineRule="auto"/>
        <w:jc w:val="both"/>
        <w:rPr>
          <w:rFonts w:ascii="Century Gothic" w:hAnsi="Century Gothic"/>
        </w:rPr>
      </w:pPr>
    </w:p>
    <w:p w14:paraId="78E3FF50" w14:textId="77777777" w:rsidR="00C060F9" w:rsidRPr="00E94619" w:rsidRDefault="00C060F9" w:rsidP="000E5AC0">
      <w:pPr>
        <w:spacing w:after="0" w:line="240" w:lineRule="auto"/>
        <w:jc w:val="both"/>
        <w:rPr>
          <w:rFonts w:ascii="Century Gothic" w:hAnsi="Century Gothic"/>
        </w:rPr>
      </w:pPr>
    </w:p>
    <w:tbl>
      <w:tblPr>
        <w:tblStyle w:val="afff0"/>
        <w:tblW w:w="8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9"/>
        <w:gridCol w:w="4319"/>
      </w:tblGrid>
      <w:tr w:rsidR="001238D7" w:rsidRPr="00E94619" w14:paraId="1FBBD30D" w14:textId="77777777" w:rsidTr="00077E6C">
        <w:tc>
          <w:tcPr>
            <w:tcW w:w="4319" w:type="dxa"/>
            <w:tcBorders>
              <w:top w:val="single" w:sz="4" w:space="0" w:color="CC0066"/>
              <w:left w:val="single" w:sz="4" w:space="0" w:color="CC0066"/>
              <w:bottom w:val="single" w:sz="4" w:space="0" w:color="CC0066"/>
              <w:right w:val="single" w:sz="4" w:space="0" w:color="CC0066"/>
            </w:tcBorders>
            <w:shd w:val="clear" w:color="auto" w:fill="FF99CC"/>
          </w:tcPr>
          <w:p w14:paraId="0ACDABC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Principales Logros del Movimiento Social de Mujeres</w:t>
            </w:r>
          </w:p>
        </w:tc>
        <w:tc>
          <w:tcPr>
            <w:tcW w:w="4319" w:type="dxa"/>
            <w:tcBorders>
              <w:top w:val="single" w:sz="4" w:space="0" w:color="CC0066"/>
              <w:left w:val="single" w:sz="4" w:space="0" w:color="CC0066"/>
              <w:bottom w:val="single" w:sz="4" w:space="0" w:color="CC0066"/>
              <w:right w:val="single" w:sz="4" w:space="0" w:color="CC0066"/>
            </w:tcBorders>
            <w:shd w:val="clear" w:color="auto" w:fill="FF99CC"/>
          </w:tcPr>
          <w:p w14:paraId="0F43310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Retos del Movimiento Social de Mujeres</w:t>
            </w:r>
          </w:p>
        </w:tc>
      </w:tr>
      <w:tr w:rsidR="001238D7" w:rsidRPr="00E94619" w14:paraId="473CD1E6" w14:textId="77777777" w:rsidTr="00077E6C">
        <w:tc>
          <w:tcPr>
            <w:tcW w:w="4319" w:type="dxa"/>
            <w:tcBorders>
              <w:top w:val="single" w:sz="4" w:space="0" w:color="CC0066"/>
              <w:left w:val="single" w:sz="4" w:space="0" w:color="CC0066"/>
              <w:bottom w:val="single" w:sz="4" w:space="0" w:color="CC0066"/>
              <w:right w:val="single" w:sz="4" w:space="0" w:color="CC0066"/>
            </w:tcBorders>
          </w:tcPr>
          <w:p w14:paraId="039C4B7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-Movilización e incidencia tanto a nivel local como nacional para lograr políticas de igualdad de género y mecanismos de género.</w:t>
            </w:r>
          </w:p>
          <w:p w14:paraId="1E08522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-Visibilización de las afectaciones sobre el cuerpo de las mujeres por la guerra.</w:t>
            </w:r>
          </w:p>
          <w:p w14:paraId="40454D6F" w14:textId="0AFB38DE"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-Incidencia y aporte técnico para la construcción de un marco jurídico para garantizar a las niñas y las </w:t>
            </w:r>
            <w:r w:rsidRPr="00E94619">
              <w:rPr>
                <w:rFonts w:ascii="Century Gothic" w:hAnsi="Century Gothic"/>
                <w:sz w:val="16"/>
                <w:szCs w:val="16"/>
              </w:rPr>
              <w:lastRenderedPageBreak/>
              <w:t>mujeres una vida libre de violencias.</w:t>
            </w:r>
          </w:p>
          <w:p w14:paraId="3DB860EF" w14:textId="7E0736F1" w:rsidR="001238D7" w:rsidRPr="00E94619" w:rsidRDefault="00830DBC" w:rsidP="000E5AC0">
            <w:pPr>
              <w:spacing w:after="0" w:line="240" w:lineRule="auto"/>
              <w:jc w:val="both"/>
              <w:rPr>
                <w:rFonts w:ascii="Century Gothic" w:hAnsi="Century Gothic"/>
                <w:sz w:val="16"/>
                <w:szCs w:val="16"/>
              </w:rPr>
            </w:pPr>
            <w:r>
              <w:rPr>
                <w:rFonts w:ascii="Century Gothic" w:hAnsi="Century Gothic"/>
                <w:b/>
                <w:noProof/>
                <w:szCs w:val="24"/>
                <w:lang w:val="es-ES"/>
              </w:rPr>
              <w:drawing>
                <wp:anchor distT="0" distB="0" distL="114300" distR="114300" simplePos="0" relativeHeight="251765760" behindDoc="0" locked="0" layoutInCell="1" allowOverlap="1" wp14:anchorId="655C780C" wp14:editId="58E1D552">
                  <wp:simplePos x="0" y="0"/>
                  <wp:positionH relativeFrom="column">
                    <wp:posOffset>-1080135</wp:posOffset>
                  </wp:positionH>
                  <wp:positionV relativeFrom="paragraph">
                    <wp:posOffset>-953770</wp:posOffset>
                  </wp:positionV>
                  <wp:extent cx="965835" cy="708660"/>
                  <wp:effectExtent l="0" t="0" r="0" b="0"/>
                  <wp:wrapNone/>
                  <wp:docPr id="350" name="Imagen 35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sz w:val="16"/>
                <w:szCs w:val="16"/>
              </w:rPr>
              <w:t xml:space="preserve">-El uso estratégico de herramientas legales para llevar a las más elevadas instancias de justicia las exigencias de protección de los derechos de las mujeres, especialmente las víctimas de la guerra, que derivó en respuestas como la expedición de los Autos 092 de 2008 y 009 de 2015. </w:t>
            </w:r>
          </w:p>
          <w:p w14:paraId="656B80D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-Inclusión del enfoque de género y la formulación de acciones específicas para las mujeres y las niñas en el Acuerdo firmado con las FARC-EP.</w:t>
            </w:r>
          </w:p>
          <w:p w14:paraId="683ADE5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-El seguimiento sistemático al marco jurídico construido localmente y a los tratados y acuerdos internacionales asumidos por el Estado colombiano.</w:t>
            </w:r>
          </w:p>
        </w:tc>
        <w:tc>
          <w:tcPr>
            <w:tcW w:w="4319" w:type="dxa"/>
            <w:tcBorders>
              <w:top w:val="single" w:sz="4" w:space="0" w:color="CC0066"/>
              <w:left w:val="single" w:sz="4" w:space="0" w:color="CC0066"/>
              <w:bottom w:val="single" w:sz="4" w:space="0" w:color="CC0066"/>
              <w:right w:val="single" w:sz="4" w:space="0" w:color="CC0066"/>
            </w:tcBorders>
          </w:tcPr>
          <w:p w14:paraId="3571BEA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lastRenderedPageBreak/>
              <w:t>-Las fracturas que se generan por razones ideológicas y que en ocasiones minan las posibilidades de obtener mayores logros.</w:t>
            </w:r>
          </w:p>
          <w:p w14:paraId="67ACB65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-Las distancias entre los grupos de investigación académicos y las organizaciones de mujeres de base.</w:t>
            </w:r>
          </w:p>
          <w:p w14:paraId="67DCB42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-La disparidad en la capacidad de incidencia por </w:t>
            </w:r>
            <w:r w:rsidRPr="00E94619">
              <w:rPr>
                <w:rFonts w:ascii="Century Gothic" w:hAnsi="Century Gothic"/>
                <w:sz w:val="16"/>
                <w:szCs w:val="16"/>
              </w:rPr>
              <w:lastRenderedPageBreak/>
              <w:t>parte de las organizaciones de las grandes ciudades frente a las de ciudades pequeñas.</w:t>
            </w:r>
          </w:p>
          <w:p w14:paraId="18F7EFA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-Las tensiones que se generan para el uso de recursos económicos que provienen generalmente de la cooperación internacional.</w:t>
            </w:r>
          </w:p>
          <w:p w14:paraId="7AB15E9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-En algunos casos, la falta de articulación de las organizaciones de mujeres y las entidades del Estado.</w:t>
            </w:r>
          </w:p>
          <w:p w14:paraId="0187866E" w14:textId="77777777" w:rsidR="001238D7" w:rsidRPr="00E94619" w:rsidRDefault="001238D7" w:rsidP="000E5AC0">
            <w:pPr>
              <w:spacing w:after="0" w:line="240" w:lineRule="auto"/>
              <w:jc w:val="both"/>
              <w:rPr>
                <w:rFonts w:ascii="Century Gothic" w:hAnsi="Century Gothic"/>
                <w:sz w:val="16"/>
                <w:szCs w:val="16"/>
              </w:rPr>
            </w:pPr>
          </w:p>
        </w:tc>
      </w:tr>
    </w:tbl>
    <w:p w14:paraId="034D3748" w14:textId="77777777" w:rsidR="001238D7" w:rsidRPr="00E94619" w:rsidRDefault="001238D7" w:rsidP="000E5AC0">
      <w:pPr>
        <w:spacing w:after="0" w:line="240" w:lineRule="auto"/>
        <w:jc w:val="both"/>
        <w:rPr>
          <w:rFonts w:ascii="Century Gothic" w:hAnsi="Century Gothic"/>
        </w:rPr>
      </w:pPr>
    </w:p>
    <w:p w14:paraId="444E721D" w14:textId="7DF570C1" w:rsidR="001238D7" w:rsidRPr="00077E6C" w:rsidRDefault="0036411F" w:rsidP="000E5AC0">
      <w:pPr>
        <w:pStyle w:val="Ttulo2"/>
        <w:rPr>
          <w:rFonts w:ascii="Century Gothic" w:hAnsi="Century Gothic"/>
          <w:color w:val="CC3366"/>
        </w:rPr>
      </w:pPr>
      <w:bookmarkStart w:id="23" w:name="_Toc488624240"/>
      <w:r w:rsidRPr="00077E6C">
        <w:rPr>
          <w:rFonts w:ascii="Century Gothic" w:hAnsi="Century Gothic"/>
          <w:color w:val="CC3366"/>
        </w:rPr>
        <w:t>4. C</w:t>
      </w:r>
      <w:r w:rsidR="00077E6C">
        <w:rPr>
          <w:rFonts w:ascii="Century Gothic" w:hAnsi="Century Gothic"/>
          <w:color w:val="CC3366"/>
        </w:rPr>
        <w:t>olectivos de nuevas masculinidades</w:t>
      </w:r>
      <w:bookmarkEnd w:id="23"/>
      <w:r w:rsidR="00077E6C">
        <w:rPr>
          <w:rFonts w:ascii="Century Gothic" w:hAnsi="Century Gothic"/>
          <w:color w:val="CC3366"/>
        </w:rPr>
        <w:t xml:space="preserve"> </w:t>
      </w:r>
    </w:p>
    <w:p w14:paraId="107C9BC8" w14:textId="77777777" w:rsidR="001238D7" w:rsidRPr="00E94619" w:rsidRDefault="001238D7" w:rsidP="000E5AC0">
      <w:pPr>
        <w:spacing w:after="0" w:line="240" w:lineRule="auto"/>
        <w:jc w:val="both"/>
        <w:rPr>
          <w:rFonts w:ascii="Century Gothic" w:hAnsi="Century Gothic"/>
          <w:b/>
        </w:rPr>
      </w:pPr>
    </w:p>
    <w:p w14:paraId="1770F896"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En Colombia desde mediados de la década del 90 surgieron artículos académicos y organizaciones de hombres interesados en reflexionar sobre las masculinidades hegemónicas, promoviendo procesos de sensibilización y formación sobre formas de masculinidad alternativas. Uno de los colectivos de mayor reconocimiento es el denominado ‘Colectivo Hombres y Masculinidades’, el cual orienta su labor entorno a la investigación, capacitación y activismo en temas de género, con énfasis en la búsqueda de la configuración de formas de masculinidad humanas y democráticas. </w:t>
      </w:r>
    </w:p>
    <w:p w14:paraId="63FD5D6B" w14:textId="77777777" w:rsidR="001238D7" w:rsidRPr="00E94619" w:rsidRDefault="001238D7" w:rsidP="000E5AC0">
      <w:pPr>
        <w:spacing w:after="0" w:line="240" w:lineRule="auto"/>
        <w:jc w:val="both"/>
        <w:rPr>
          <w:rFonts w:ascii="Century Gothic" w:hAnsi="Century Gothic"/>
        </w:rPr>
      </w:pPr>
    </w:p>
    <w:p w14:paraId="09F5C44A"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Los temas tratados desde los colectivos de nuevas masculinidades han estado relacionados con: la reflexión conceptual sobre deconstrucción de identidades, la comprensión de las formas de masculinidades hegemónicas y su relación con las violencias en las relaciones familiares y las afectaciones tanto para las mujeres como para los mismos hombres, el análisis </w:t>
      </w:r>
      <w:r w:rsidR="009317EA" w:rsidRPr="00E94619">
        <w:rPr>
          <w:rFonts w:ascii="Century Gothic" w:hAnsi="Century Gothic"/>
        </w:rPr>
        <w:t>sociohistórico</w:t>
      </w:r>
      <w:r w:rsidRPr="00E94619">
        <w:rPr>
          <w:rFonts w:ascii="Century Gothic" w:hAnsi="Century Gothic"/>
        </w:rPr>
        <w:t xml:space="preserve"> de las masculinidades y el conflicto armado colombiano. </w:t>
      </w:r>
    </w:p>
    <w:p w14:paraId="34780C5F" w14:textId="77777777" w:rsidR="001238D7" w:rsidRPr="00E94619" w:rsidRDefault="001238D7" w:rsidP="000E5AC0">
      <w:pPr>
        <w:pStyle w:val="Ttulo2"/>
        <w:rPr>
          <w:rFonts w:ascii="Century Gothic" w:hAnsi="Century Gothic"/>
          <w:b w:val="0"/>
        </w:rPr>
      </w:pPr>
    </w:p>
    <w:p w14:paraId="7C7F68E8" w14:textId="3A1825D8" w:rsidR="001238D7" w:rsidRPr="00077E6C" w:rsidRDefault="0036411F" w:rsidP="000E5AC0">
      <w:pPr>
        <w:pStyle w:val="Ttulo2"/>
        <w:rPr>
          <w:rFonts w:ascii="Century Gothic" w:hAnsi="Century Gothic"/>
          <w:color w:val="CC3366"/>
        </w:rPr>
      </w:pPr>
      <w:bookmarkStart w:id="24" w:name="_Toc488624241"/>
      <w:r w:rsidRPr="00077E6C">
        <w:rPr>
          <w:rFonts w:ascii="Century Gothic" w:hAnsi="Century Gothic"/>
          <w:color w:val="CC3366"/>
        </w:rPr>
        <w:t xml:space="preserve">5. </w:t>
      </w:r>
      <w:r w:rsidR="002072D6" w:rsidRPr="00077E6C">
        <w:rPr>
          <w:rFonts w:ascii="Century Gothic" w:hAnsi="Century Gothic"/>
          <w:color w:val="CC3366"/>
        </w:rPr>
        <w:t>P</w:t>
      </w:r>
      <w:r w:rsidR="00077E6C">
        <w:rPr>
          <w:rFonts w:ascii="Century Gothic" w:hAnsi="Century Gothic"/>
          <w:color w:val="CC3366"/>
        </w:rPr>
        <w:t>ersonas con orientación sexual e identidad de género diversa (LGBT)</w:t>
      </w:r>
      <w:bookmarkEnd w:id="24"/>
      <w:r w:rsidR="00077E6C">
        <w:rPr>
          <w:rFonts w:ascii="Century Gothic" w:hAnsi="Century Gothic"/>
          <w:color w:val="CC3366"/>
        </w:rPr>
        <w:t xml:space="preserve"> </w:t>
      </w:r>
    </w:p>
    <w:p w14:paraId="3EE888AA" w14:textId="77777777" w:rsidR="001238D7" w:rsidRPr="00E94619" w:rsidRDefault="001238D7" w:rsidP="000E5AC0">
      <w:pPr>
        <w:spacing w:after="0" w:line="240" w:lineRule="auto"/>
        <w:jc w:val="both"/>
        <w:rPr>
          <w:rFonts w:ascii="Century Gothic" w:hAnsi="Century Gothic"/>
          <w:b/>
        </w:rPr>
      </w:pPr>
    </w:p>
    <w:p w14:paraId="79CFA950"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Los referentes sobre la constitución de colectivos de comunidad LGBT</w:t>
      </w:r>
      <w:r w:rsidR="00D9475D" w:rsidRPr="00E94619">
        <w:rPr>
          <w:rFonts w:ascii="Century Gothic" w:hAnsi="Century Gothic"/>
        </w:rPr>
        <w:t>I+</w:t>
      </w:r>
      <w:r w:rsidRPr="00E94619">
        <w:rPr>
          <w:rFonts w:ascii="Century Gothic" w:hAnsi="Century Gothic"/>
        </w:rPr>
        <w:t xml:space="preserve"> en Colombia datan de la década del 40 del siglo XX, pero no hay mayor referencia al tipo de trabajo político que se adelantaba. A partir de la década del 70 vuelven a aparecer pequeños colectivos de personas con orientaciones sexuales e identidades de género diversas, sin embargo, las referencias muestran que éstos correspondían a grupos de hombres. Durante las dos últimas décadas del siglo XX siguieron apareciendo algunos colectivos, pero es a partir de la Constitución del 91 que esta población de manera organizada empieza a tener mayor presencia en el país, en procesos orientados a la reivindicación de sus derechos. </w:t>
      </w:r>
    </w:p>
    <w:p w14:paraId="2E9F4DD0" w14:textId="77777777" w:rsidR="001238D7" w:rsidRPr="00E94619" w:rsidRDefault="001238D7" w:rsidP="000E5AC0">
      <w:pPr>
        <w:spacing w:after="0" w:line="240" w:lineRule="auto"/>
        <w:jc w:val="both"/>
        <w:rPr>
          <w:rFonts w:ascii="Century Gothic" w:hAnsi="Century Gothic"/>
        </w:rPr>
      </w:pPr>
    </w:p>
    <w:p w14:paraId="3078DFD5" w14:textId="77777777" w:rsidR="001238D7" w:rsidRPr="00E94619" w:rsidRDefault="0036411F" w:rsidP="000E5AC0">
      <w:pPr>
        <w:spacing w:after="0" w:line="240" w:lineRule="auto"/>
        <w:jc w:val="both"/>
        <w:rPr>
          <w:rFonts w:ascii="Century Gothic" w:hAnsi="Century Gothic"/>
          <w:b/>
        </w:rPr>
      </w:pPr>
      <w:r w:rsidRPr="00E94619">
        <w:rPr>
          <w:rFonts w:ascii="Century Gothic" w:hAnsi="Century Gothic"/>
        </w:rPr>
        <w:t>En el año 2004 nace la organización Colombia Diversa, la cual recoge en gran medida la lucha por los derechos de la población LGBT</w:t>
      </w:r>
      <w:r w:rsidR="00D9475D" w:rsidRPr="00E94619">
        <w:rPr>
          <w:rFonts w:ascii="Century Gothic" w:hAnsi="Century Gothic"/>
        </w:rPr>
        <w:t>I+</w:t>
      </w:r>
      <w:r w:rsidRPr="00E94619">
        <w:rPr>
          <w:rFonts w:ascii="Century Gothic" w:hAnsi="Century Gothic"/>
        </w:rPr>
        <w:t xml:space="preserve"> en Colombia y centra sus intereses en: (i) lograr el reconocimiento de las personas LGBT, (ii) Aportar a la transformación de los imaginarios sobre las personas LGBT en el país y (iii) promover la acción y organización de la comunidad LGBT</w:t>
      </w:r>
      <w:r w:rsidR="00D9475D" w:rsidRPr="00E94619">
        <w:rPr>
          <w:rFonts w:ascii="Century Gothic" w:hAnsi="Century Gothic"/>
        </w:rPr>
        <w:t>I+</w:t>
      </w:r>
      <w:r w:rsidRPr="00E94619">
        <w:rPr>
          <w:rFonts w:ascii="Century Gothic" w:hAnsi="Century Gothic"/>
        </w:rPr>
        <w:t xml:space="preserve">. </w:t>
      </w:r>
    </w:p>
    <w:p w14:paraId="282FBBDB" w14:textId="77777777" w:rsidR="001238D7" w:rsidRPr="00E94619" w:rsidRDefault="001238D7" w:rsidP="000E5AC0">
      <w:pPr>
        <w:spacing w:after="0" w:line="240" w:lineRule="auto"/>
        <w:jc w:val="both"/>
        <w:rPr>
          <w:rFonts w:ascii="Century Gothic" w:hAnsi="Century Gothic"/>
          <w:b/>
        </w:rPr>
      </w:pPr>
    </w:p>
    <w:p w14:paraId="4A46935B" w14:textId="71442F2D" w:rsidR="001238D7" w:rsidRPr="00E94619" w:rsidRDefault="0036411F" w:rsidP="000E5AC0">
      <w:pPr>
        <w:spacing w:after="0" w:line="240" w:lineRule="auto"/>
        <w:jc w:val="both"/>
        <w:rPr>
          <w:rFonts w:ascii="Century Gothic" w:hAnsi="Century Gothic"/>
        </w:rPr>
      </w:pPr>
      <w:r w:rsidRPr="00E94619">
        <w:rPr>
          <w:rFonts w:ascii="Century Gothic" w:hAnsi="Century Gothic"/>
        </w:rPr>
        <w:t>La población LGBT</w:t>
      </w:r>
      <w:r w:rsidR="00D9475D" w:rsidRPr="00E94619">
        <w:rPr>
          <w:rFonts w:ascii="Century Gothic" w:hAnsi="Century Gothic"/>
        </w:rPr>
        <w:t>I+</w:t>
      </w:r>
      <w:r w:rsidRPr="00E94619">
        <w:rPr>
          <w:rFonts w:ascii="Century Gothic" w:hAnsi="Century Gothic"/>
        </w:rPr>
        <w:t xml:space="preserve"> en Colombia ha ido accediendo al reconocimiento de sus derechos a partir de la Constitución del 91 con base en Tutelas que han generado Sentencias de la Corte Constitucional (ver anexo cuadro 1</w:t>
      </w:r>
      <w:sdt>
        <w:sdtPr>
          <w:rPr>
            <w:rFonts w:ascii="Century Gothic" w:hAnsi="Century Gothic"/>
          </w:rPr>
          <w:tag w:val="goog_rdk_1"/>
          <w:id w:val="1593814475"/>
        </w:sdtPr>
        <w:sdtContent/>
      </w:sdt>
      <w:r w:rsidRPr="00E94619">
        <w:rPr>
          <w:rFonts w:ascii="Century Gothic" w:hAnsi="Century Gothic"/>
        </w:rPr>
        <w:t xml:space="preserve">). De otro </w:t>
      </w:r>
      <w:r w:rsidRPr="00E94619">
        <w:rPr>
          <w:rFonts w:ascii="Century Gothic" w:hAnsi="Century Gothic"/>
        </w:rPr>
        <w:lastRenderedPageBreak/>
        <w:t xml:space="preserve">lado, en los últimos años algunas normas que asumen el enfoque de género les incluyen, </w:t>
      </w:r>
      <w:r w:rsidR="009317EA" w:rsidRPr="00E94619">
        <w:rPr>
          <w:rFonts w:ascii="Century Gothic" w:hAnsi="Century Gothic"/>
        </w:rPr>
        <w:t>como el “Decreto 762 de 2018”</w:t>
      </w:r>
      <w:r w:rsidR="00A56C18" w:rsidRPr="00E94619">
        <w:rPr>
          <w:rFonts w:ascii="Century Gothic" w:hAnsi="Century Gothic"/>
        </w:rPr>
        <w:t xml:space="preserve"> por el cual se formula la</w:t>
      </w:r>
      <w:r w:rsidR="009317EA" w:rsidRPr="00E94619">
        <w:rPr>
          <w:rFonts w:ascii="Century Gothic" w:hAnsi="Century Gothic"/>
        </w:rPr>
        <w:t xml:space="preserve"> Política Pública para la garantía del ejercicio efectivo de los derechos de las personas que hacen parte de los sectores sociales LGBTI y de personas con orientaciones sexuales e Identidades de género diversas</w:t>
      </w:r>
      <w:r w:rsidR="009317EA" w:rsidRPr="00E94619">
        <w:rPr>
          <w:rStyle w:val="Refdenotaalpie"/>
          <w:rFonts w:ascii="Century Gothic" w:hAnsi="Century Gothic"/>
        </w:rPr>
        <w:footnoteReference w:id="8"/>
      </w:r>
      <w:r w:rsidR="009317EA" w:rsidRPr="00E94619">
        <w:rPr>
          <w:rFonts w:ascii="Century Gothic" w:hAnsi="Century Gothic"/>
        </w:rPr>
        <w:t xml:space="preserve"> </w:t>
      </w:r>
      <w:r w:rsidR="00374C56" w:rsidRPr="00E94619">
        <w:rPr>
          <w:rFonts w:ascii="Century Gothic" w:hAnsi="Century Gothic"/>
          <w:noProof/>
          <w:lang w:val="es-MX"/>
        </w:rPr>
        <w:t>(Congreso de la República, 2018)</w:t>
      </w:r>
    </w:p>
    <w:p w14:paraId="463A7C88" w14:textId="0B134370" w:rsidR="00611D42" w:rsidRPr="00E94619" w:rsidRDefault="00013F5E" w:rsidP="000E5AC0">
      <w:pPr>
        <w:pStyle w:val="NormalWeb"/>
        <w:spacing w:after="0"/>
        <w:jc w:val="both"/>
        <w:rPr>
          <w:rFonts w:ascii="Century Gothic" w:hAnsi="Century Gothic"/>
          <w:sz w:val="22"/>
          <w:szCs w:val="22"/>
        </w:rPr>
      </w:pPr>
      <w:r w:rsidRPr="00E94619">
        <w:rPr>
          <w:rFonts w:ascii="Century Gothic" w:hAnsi="Century Gothic"/>
          <w:sz w:val="22"/>
          <w:szCs w:val="22"/>
        </w:rPr>
        <w:t xml:space="preserve">El </w:t>
      </w:r>
      <w:r w:rsidR="00611D42" w:rsidRPr="00E94619">
        <w:rPr>
          <w:rFonts w:ascii="Century Gothic" w:hAnsi="Century Gothic"/>
          <w:sz w:val="22"/>
          <w:szCs w:val="22"/>
        </w:rPr>
        <w:t>informe de la Universidad Autónoma de Bucaramanga</w:t>
      </w:r>
      <w:r w:rsidRPr="00E94619">
        <w:rPr>
          <w:rFonts w:ascii="Century Gothic" w:hAnsi="Century Gothic"/>
          <w:sz w:val="22"/>
          <w:szCs w:val="22"/>
        </w:rPr>
        <w:t>: Movimiento en Colombia: la voz de Diversidad de género, logros y desafíos</w:t>
      </w:r>
      <w:sdt>
        <w:sdtPr>
          <w:rPr>
            <w:rFonts w:ascii="Century Gothic" w:hAnsi="Century Gothic"/>
            <w:sz w:val="22"/>
            <w:szCs w:val="22"/>
          </w:rPr>
          <w:id w:val="-2077659665"/>
          <w:citation/>
        </w:sdtPr>
        <w:sdtContent>
          <w:r w:rsidR="00E857B3" w:rsidRPr="00E94619">
            <w:rPr>
              <w:rFonts w:ascii="Century Gothic" w:hAnsi="Century Gothic"/>
              <w:sz w:val="22"/>
              <w:szCs w:val="22"/>
            </w:rPr>
            <w:fldChar w:fldCharType="begin"/>
          </w:r>
          <w:r w:rsidR="00E857B3" w:rsidRPr="00E94619">
            <w:rPr>
              <w:rFonts w:ascii="Century Gothic" w:hAnsi="Century Gothic"/>
              <w:sz w:val="22"/>
              <w:szCs w:val="22"/>
            </w:rPr>
            <w:instrText xml:space="preserve"> CITATION UAB17 \l 9226 </w:instrText>
          </w:r>
          <w:r w:rsidR="00E857B3" w:rsidRPr="00E94619">
            <w:rPr>
              <w:rFonts w:ascii="Century Gothic" w:hAnsi="Century Gothic"/>
              <w:sz w:val="22"/>
              <w:szCs w:val="22"/>
            </w:rPr>
            <w:fldChar w:fldCharType="separate"/>
          </w:r>
          <w:r w:rsidR="00E857B3" w:rsidRPr="00E94619">
            <w:rPr>
              <w:rFonts w:ascii="Century Gothic" w:hAnsi="Century Gothic"/>
              <w:noProof/>
              <w:sz w:val="22"/>
              <w:szCs w:val="22"/>
            </w:rPr>
            <w:t xml:space="preserve"> (UAB, 2017)</w:t>
          </w:r>
          <w:r w:rsidR="00E857B3" w:rsidRPr="00E94619">
            <w:rPr>
              <w:rFonts w:ascii="Century Gothic" w:hAnsi="Century Gothic"/>
              <w:sz w:val="22"/>
              <w:szCs w:val="22"/>
            </w:rPr>
            <w:fldChar w:fldCharType="end"/>
          </w:r>
        </w:sdtContent>
      </w:sdt>
      <w:r w:rsidRPr="00E94619">
        <w:rPr>
          <w:rFonts w:ascii="Century Gothic" w:hAnsi="Century Gothic"/>
          <w:sz w:val="22"/>
          <w:szCs w:val="22"/>
        </w:rPr>
        <w:t xml:space="preserve">, </w:t>
      </w:r>
      <w:r w:rsidR="00611D42" w:rsidRPr="00E94619">
        <w:rPr>
          <w:rFonts w:ascii="Century Gothic" w:hAnsi="Century Gothic"/>
          <w:sz w:val="22"/>
          <w:szCs w:val="22"/>
        </w:rPr>
        <w:t>presenta una reseña cronológica de los logros más relevantes obtenidos por el Movimiento LGBT colombiano, en materia legal:</w:t>
      </w:r>
    </w:p>
    <w:tbl>
      <w:tblPr>
        <w:tblW w:w="0" w:type="auto"/>
        <w:tblLook w:val="04A0" w:firstRow="1" w:lastRow="0" w:firstColumn="1" w:lastColumn="0" w:noHBand="0" w:noVBand="1"/>
      </w:tblPr>
      <w:tblGrid>
        <w:gridCol w:w="2523"/>
        <w:gridCol w:w="6191"/>
      </w:tblGrid>
      <w:tr w:rsidR="00611D42" w:rsidRPr="00E94619" w14:paraId="3B377368" w14:textId="77777777" w:rsidTr="00077E6C">
        <w:tc>
          <w:tcPr>
            <w:tcW w:w="2523" w:type="dxa"/>
            <w:vAlign w:val="center"/>
          </w:tcPr>
          <w:p w14:paraId="4CC8516F"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Diciembre 15 de 1993 </w:t>
            </w:r>
          </w:p>
          <w:p w14:paraId="3BE8FBF9"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Nº T594/93</w:t>
            </w:r>
          </w:p>
        </w:tc>
        <w:tc>
          <w:tcPr>
            <w:tcW w:w="6191" w:type="dxa"/>
            <w:vAlign w:val="center"/>
          </w:tcPr>
          <w:p w14:paraId="74174177"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Cambio de nombre para las personas transgénero</w:t>
            </w:r>
          </w:p>
        </w:tc>
      </w:tr>
      <w:tr w:rsidR="00611D42" w:rsidRPr="00E94619" w14:paraId="0B2E541F" w14:textId="77777777" w:rsidTr="00077E6C">
        <w:tc>
          <w:tcPr>
            <w:tcW w:w="2523" w:type="dxa"/>
            <w:vAlign w:val="center"/>
          </w:tcPr>
          <w:p w14:paraId="59533C50"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Marzo 24 de 1998, </w:t>
            </w:r>
          </w:p>
          <w:p w14:paraId="693DB99A"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Nº T-101/98</w:t>
            </w:r>
          </w:p>
        </w:tc>
        <w:tc>
          <w:tcPr>
            <w:tcW w:w="6191" w:type="dxa"/>
            <w:vAlign w:val="center"/>
          </w:tcPr>
          <w:p w14:paraId="00064269"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Derecho a </w:t>
            </w:r>
            <w:r w:rsidR="00A56C18" w:rsidRPr="00E94619">
              <w:rPr>
                <w:rFonts w:ascii="Century Gothic" w:hAnsi="Century Gothic"/>
                <w:sz w:val="20"/>
                <w:szCs w:val="20"/>
              </w:rPr>
              <w:t xml:space="preserve">la educación en condiciones de igualdad para personas con orientaciones sexuales diversas. </w:t>
            </w:r>
          </w:p>
        </w:tc>
      </w:tr>
      <w:tr w:rsidR="00611D42" w:rsidRPr="00E94619" w14:paraId="4464E00B" w14:textId="77777777" w:rsidTr="00077E6C">
        <w:tc>
          <w:tcPr>
            <w:tcW w:w="2523" w:type="dxa"/>
            <w:vAlign w:val="center"/>
          </w:tcPr>
          <w:p w14:paraId="0B5DCF8E"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Junio 14 de 2001, </w:t>
            </w:r>
          </w:p>
          <w:p w14:paraId="28F034C0"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SU.623/01</w:t>
            </w:r>
          </w:p>
        </w:tc>
        <w:tc>
          <w:tcPr>
            <w:tcW w:w="6191" w:type="dxa"/>
            <w:vAlign w:val="center"/>
          </w:tcPr>
          <w:p w14:paraId="222479F2"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Seguridad social a parejas del mismo sexo. </w:t>
            </w:r>
          </w:p>
          <w:p w14:paraId="6C66F228" w14:textId="77777777" w:rsidR="00611D42" w:rsidRPr="00E94619" w:rsidRDefault="00611D42" w:rsidP="000E5AC0">
            <w:pPr>
              <w:pStyle w:val="NormalWeb"/>
              <w:spacing w:before="0" w:beforeAutospacing="0" w:after="0" w:afterAutospacing="0"/>
              <w:rPr>
                <w:rFonts w:ascii="Century Gothic" w:hAnsi="Century Gothic"/>
                <w:sz w:val="20"/>
                <w:szCs w:val="20"/>
              </w:rPr>
            </w:pPr>
          </w:p>
        </w:tc>
      </w:tr>
      <w:tr w:rsidR="00611D42" w:rsidRPr="00E94619" w14:paraId="4A50D50E" w14:textId="77777777" w:rsidTr="00077E6C">
        <w:tc>
          <w:tcPr>
            <w:tcW w:w="2523" w:type="dxa"/>
            <w:vAlign w:val="center"/>
          </w:tcPr>
          <w:p w14:paraId="6CF3D50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Junio 12 de 2003, </w:t>
            </w:r>
          </w:p>
          <w:p w14:paraId="6140F909"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T-499/03</w:t>
            </w:r>
          </w:p>
        </w:tc>
        <w:tc>
          <w:tcPr>
            <w:tcW w:w="6191" w:type="dxa"/>
            <w:vAlign w:val="center"/>
          </w:tcPr>
          <w:p w14:paraId="149EB9C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Derecho a visita íntima lésbica en cárceles. </w:t>
            </w:r>
          </w:p>
          <w:p w14:paraId="284A6D53" w14:textId="77777777" w:rsidR="00611D42" w:rsidRPr="00E94619" w:rsidRDefault="00611D42" w:rsidP="000E5AC0">
            <w:pPr>
              <w:pStyle w:val="NormalWeb"/>
              <w:spacing w:before="0" w:beforeAutospacing="0" w:after="0" w:afterAutospacing="0"/>
              <w:rPr>
                <w:rFonts w:ascii="Century Gothic" w:hAnsi="Century Gothic"/>
                <w:sz w:val="20"/>
                <w:szCs w:val="20"/>
              </w:rPr>
            </w:pPr>
          </w:p>
        </w:tc>
      </w:tr>
      <w:tr w:rsidR="00611D42" w:rsidRPr="00E94619" w14:paraId="3D48058E" w14:textId="77777777" w:rsidTr="00077E6C">
        <w:tc>
          <w:tcPr>
            <w:tcW w:w="2523" w:type="dxa"/>
            <w:vAlign w:val="center"/>
          </w:tcPr>
          <w:p w14:paraId="1A0A5401"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Febrero 7 de 2007, </w:t>
            </w:r>
          </w:p>
          <w:p w14:paraId="19455CA5"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C-075/07</w:t>
            </w:r>
          </w:p>
        </w:tc>
        <w:tc>
          <w:tcPr>
            <w:tcW w:w="6191" w:type="dxa"/>
            <w:vAlign w:val="center"/>
          </w:tcPr>
          <w:p w14:paraId="14FFD4D9"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Derechos patrimoniales.</w:t>
            </w:r>
          </w:p>
          <w:p w14:paraId="3595576F" w14:textId="77777777" w:rsidR="00611D42" w:rsidRPr="00E94619" w:rsidRDefault="00611D42" w:rsidP="000E5AC0">
            <w:pPr>
              <w:pStyle w:val="NormalWeb"/>
              <w:spacing w:before="0" w:beforeAutospacing="0" w:after="0" w:afterAutospacing="0"/>
              <w:rPr>
                <w:rFonts w:ascii="Century Gothic" w:hAnsi="Century Gothic"/>
                <w:sz w:val="20"/>
                <w:szCs w:val="20"/>
              </w:rPr>
            </w:pPr>
          </w:p>
        </w:tc>
      </w:tr>
      <w:tr w:rsidR="00611D42" w:rsidRPr="00E94619" w14:paraId="7E1B6A45" w14:textId="77777777" w:rsidTr="00077E6C">
        <w:tc>
          <w:tcPr>
            <w:tcW w:w="2523" w:type="dxa"/>
            <w:vAlign w:val="center"/>
          </w:tcPr>
          <w:p w14:paraId="0F09F653"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Abril 16 de 2008,</w:t>
            </w:r>
          </w:p>
          <w:p w14:paraId="0C3B8A8C"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 Sentencia C-336/ 08</w:t>
            </w:r>
          </w:p>
        </w:tc>
        <w:tc>
          <w:tcPr>
            <w:tcW w:w="6191" w:type="dxa"/>
            <w:vAlign w:val="center"/>
          </w:tcPr>
          <w:p w14:paraId="633EDFC5"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Sustitución pensional compañero/a permanente del mismo sexo. </w:t>
            </w:r>
          </w:p>
        </w:tc>
      </w:tr>
      <w:tr w:rsidR="00611D42" w:rsidRPr="00E94619" w14:paraId="00891D1D" w14:textId="77777777" w:rsidTr="00077E6C">
        <w:tc>
          <w:tcPr>
            <w:tcW w:w="2523" w:type="dxa"/>
            <w:vAlign w:val="center"/>
          </w:tcPr>
          <w:p w14:paraId="7CC8D3DF"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Enero 28 de 2009, </w:t>
            </w:r>
          </w:p>
          <w:p w14:paraId="3F750720"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C-029/09</w:t>
            </w:r>
          </w:p>
        </w:tc>
        <w:tc>
          <w:tcPr>
            <w:tcW w:w="6191" w:type="dxa"/>
            <w:vAlign w:val="center"/>
          </w:tcPr>
          <w:p w14:paraId="079F2CDF"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Reconocimiento de derechos: civiles, políticos, penales, sociales de las parejas del mismo sexo. </w:t>
            </w:r>
          </w:p>
        </w:tc>
      </w:tr>
      <w:tr w:rsidR="00611D42" w:rsidRPr="00E94619" w14:paraId="69C1E7D9" w14:textId="77777777" w:rsidTr="00077E6C">
        <w:tc>
          <w:tcPr>
            <w:tcW w:w="2523" w:type="dxa"/>
            <w:vAlign w:val="center"/>
          </w:tcPr>
          <w:p w14:paraId="272E9A8F"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Septiembre 22 de 2011, </w:t>
            </w:r>
          </w:p>
          <w:p w14:paraId="41EC1C31"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T716/11</w:t>
            </w:r>
          </w:p>
        </w:tc>
        <w:tc>
          <w:tcPr>
            <w:tcW w:w="6191" w:type="dxa"/>
            <w:vAlign w:val="center"/>
          </w:tcPr>
          <w:p w14:paraId="1A026AA4"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Pensiones y reconocimiento de que las parejas del mismo sexo constituyen familia. </w:t>
            </w:r>
          </w:p>
        </w:tc>
      </w:tr>
      <w:tr w:rsidR="00611D42" w:rsidRPr="00E94619" w14:paraId="0C67D9CA" w14:textId="77777777" w:rsidTr="00077E6C">
        <w:tc>
          <w:tcPr>
            <w:tcW w:w="2523" w:type="dxa"/>
            <w:vAlign w:val="center"/>
          </w:tcPr>
          <w:p w14:paraId="4EE85A9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Marzo 26 de 2012, </w:t>
            </w:r>
          </w:p>
          <w:p w14:paraId="42E8BFEE" w14:textId="77777777" w:rsidR="00A56C18"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T-248/12</w:t>
            </w:r>
          </w:p>
        </w:tc>
        <w:tc>
          <w:tcPr>
            <w:tcW w:w="6191" w:type="dxa"/>
            <w:vAlign w:val="center"/>
          </w:tcPr>
          <w:p w14:paraId="7617DC35"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Eliminar impedimento de donar sangre para </w:t>
            </w:r>
            <w:r w:rsidR="00A56C18" w:rsidRPr="00E94619">
              <w:rPr>
                <w:rFonts w:ascii="Century Gothic" w:hAnsi="Century Gothic"/>
                <w:sz w:val="20"/>
                <w:szCs w:val="20"/>
              </w:rPr>
              <w:t>personas de orientaciones sexuales diversas</w:t>
            </w:r>
            <w:r w:rsidRPr="00E94619">
              <w:rPr>
                <w:rFonts w:ascii="Century Gothic" w:hAnsi="Century Gothic"/>
                <w:sz w:val="20"/>
                <w:szCs w:val="20"/>
              </w:rPr>
              <w:t>.</w:t>
            </w:r>
          </w:p>
        </w:tc>
      </w:tr>
      <w:tr w:rsidR="00611D42" w:rsidRPr="00E94619" w14:paraId="2E29958B" w14:textId="77777777" w:rsidTr="00077E6C">
        <w:tc>
          <w:tcPr>
            <w:tcW w:w="2523" w:type="dxa"/>
            <w:vAlign w:val="center"/>
          </w:tcPr>
          <w:p w14:paraId="071AC9A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Abril 12 de 2012, </w:t>
            </w:r>
          </w:p>
          <w:p w14:paraId="29B749D6"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T-276/12</w:t>
            </w:r>
          </w:p>
        </w:tc>
        <w:tc>
          <w:tcPr>
            <w:tcW w:w="6191" w:type="dxa"/>
            <w:vAlign w:val="center"/>
          </w:tcPr>
          <w:p w14:paraId="779870BA"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Adopción individual por parte de </w:t>
            </w:r>
            <w:r w:rsidR="00A56C18" w:rsidRPr="00E94619">
              <w:rPr>
                <w:rFonts w:ascii="Century Gothic" w:hAnsi="Century Gothic"/>
                <w:sz w:val="20"/>
                <w:szCs w:val="20"/>
              </w:rPr>
              <w:t>personas con orientaciones sexuales diversas</w:t>
            </w:r>
            <w:r w:rsidRPr="00E94619">
              <w:rPr>
                <w:rFonts w:ascii="Century Gothic" w:hAnsi="Century Gothic"/>
                <w:sz w:val="20"/>
                <w:szCs w:val="20"/>
              </w:rPr>
              <w:t>; caso Chandler Burr.</w:t>
            </w:r>
          </w:p>
        </w:tc>
      </w:tr>
      <w:tr w:rsidR="00611D42" w:rsidRPr="00E94619" w14:paraId="733C20C2" w14:textId="77777777" w:rsidTr="00077E6C">
        <w:tc>
          <w:tcPr>
            <w:tcW w:w="2523" w:type="dxa"/>
            <w:vAlign w:val="center"/>
          </w:tcPr>
          <w:p w14:paraId="0C5AC6A6"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Agosto 22 de 2013, </w:t>
            </w:r>
          </w:p>
          <w:p w14:paraId="118376E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T-552/13</w:t>
            </w:r>
          </w:p>
        </w:tc>
        <w:tc>
          <w:tcPr>
            <w:tcW w:w="6191" w:type="dxa"/>
            <w:vAlign w:val="center"/>
          </w:tcPr>
          <w:p w14:paraId="7B75DA14"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Derecho a cirugía reasignación de sexo personas trans por EPS. </w:t>
            </w:r>
          </w:p>
        </w:tc>
      </w:tr>
      <w:tr w:rsidR="00611D42" w:rsidRPr="00E94619" w14:paraId="3F8AC86C" w14:textId="77777777" w:rsidTr="00077E6C">
        <w:tc>
          <w:tcPr>
            <w:tcW w:w="2523" w:type="dxa"/>
            <w:vAlign w:val="center"/>
          </w:tcPr>
          <w:p w14:paraId="64C1971A"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Agosto 23 de 2013, </w:t>
            </w:r>
          </w:p>
          <w:p w14:paraId="71CEBE8C"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T-565/13</w:t>
            </w:r>
          </w:p>
        </w:tc>
        <w:tc>
          <w:tcPr>
            <w:tcW w:w="6191" w:type="dxa"/>
            <w:vAlign w:val="center"/>
          </w:tcPr>
          <w:p w14:paraId="2370F59A"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Protección de la orientación sexual y la identidad de género en los manuales de convivencia escolar. </w:t>
            </w:r>
          </w:p>
        </w:tc>
      </w:tr>
      <w:tr w:rsidR="00611D42" w:rsidRPr="00E94619" w14:paraId="3AC562DF" w14:textId="77777777" w:rsidTr="00077E6C">
        <w:tc>
          <w:tcPr>
            <w:tcW w:w="2523" w:type="dxa"/>
            <w:vAlign w:val="center"/>
          </w:tcPr>
          <w:p w14:paraId="4A37A8E8"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Julio 9 de 2014, </w:t>
            </w:r>
          </w:p>
          <w:p w14:paraId="5457A5A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T-476/14</w:t>
            </w:r>
          </w:p>
        </w:tc>
        <w:tc>
          <w:tcPr>
            <w:tcW w:w="6191" w:type="dxa"/>
            <w:vAlign w:val="center"/>
          </w:tcPr>
          <w:p w14:paraId="417B85B6"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Inaplicable la obligación de presentación Libreta Militar para contratar una mujer transgénero. </w:t>
            </w:r>
          </w:p>
        </w:tc>
      </w:tr>
      <w:tr w:rsidR="00611D42" w:rsidRPr="00E94619" w14:paraId="3EF9F059" w14:textId="77777777" w:rsidTr="00077E6C">
        <w:tc>
          <w:tcPr>
            <w:tcW w:w="2523" w:type="dxa"/>
            <w:vAlign w:val="center"/>
          </w:tcPr>
          <w:p w14:paraId="416ED0FD"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Agosto 28 de 2014, </w:t>
            </w:r>
          </w:p>
          <w:p w14:paraId="53545AC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SU617/14</w:t>
            </w:r>
          </w:p>
        </w:tc>
        <w:tc>
          <w:tcPr>
            <w:tcW w:w="6191" w:type="dxa"/>
            <w:vAlign w:val="center"/>
          </w:tcPr>
          <w:p w14:paraId="662BF243"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Adopción hijo biológico, parejas del mismo sexo.</w:t>
            </w:r>
          </w:p>
        </w:tc>
      </w:tr>
      <w:tr w:rsidR="00611D42" w:rsidRPr="00E94619" w14:paraId="0779C485" w14:textId="77777777" w:rsidTr="00077E6C">
        <w:tc>
          <w:tcPr>
            <w:tcW w:w="2523" w:type="dxa"/>
            <w:vAlign w:val="center"/>
          </w:tcPr>
          <w:p w14:paraId="1586516A"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Agosto 3 de 2015, </w:t>
            </w:r>
          </w:p>
          <w:p w14:paraId="5CEE0322"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T-478/15</w:t>
            </w:r>
          </w:p>
        </w:tc>
        <w:tc>
          <w:tcPr>
            <w:tcW w:w="6191" w:type="dxa"/>
            <w:vAlign w:val="center"/>
          </w:tcPr>
          <w:p w14:paraId="31FB0EF6"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Prohibición de discriminación por orientación sexual e identidad de género en instituciones educativas. </w:t>
            </w:r>
          </w:p>
        </w:tc>
      </w:tr>
      <w:tr w:rsidR="00611D42" w:rsidRPr="00E94619" w14:paraId="74939329" w14:textId="77777777" w:rsidTr="00077E6C">
        <w:tc>
          <w:tcPr>
            <w:tcW w:w="2523" w:type="dxa"/>
            <w:vAlign w:val="center"/>
          </w:tcPr>
          <w:p w14:paraId="6574CAED"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Noviembre 4 de 2015, </w:t>
            </w:r>
          </w:p>
          <w:p w14:paraId="4C99D12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C-683/15</w:t>
            </w:r>
          </w:p>
        </w:tc>
        <w:tc>
          <w:tcPr>
            <w:tcW w:w="6191" w:type="dxa"/>
            <w:vAlign w:val="center"/>
          </w:tcPr>
          <w:p w14:paraId="43FA4E1D"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Parejas el mismo sexo pueden aplicar a proceso de adopción.</w:t>
            </w:r>
          </w:p>
        </w:tc>
      </w:tr>
      <w:tr w:rsidR="00611D42" w:rsidRPr="00E94619" w14:paraId="7BAB3E23" w14:textId="77777777" w:rsidTr="00077E6C">
        <w:tc>
          <w:tcPr>
            <w:tcW w:w="2523" w:type="dxa"/>
            <w:vAlign w:val="center"/>
          </w:tcPr>
          <w:p w14:paraId="5C8189EC"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Noviembre 12 de 2015,</w:t>
            </w:r>
          </w:p>
          <w:p w14:paraId="709510A7"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 Sentencia SU696/15</w:t>
            </w:r>
          </w:p>
        </w:tc>
        <w:tc>
          <w:tcPr>
            <w:tcW w:w="6191" w:type="dxa"/>
            <w:vAlign w:val="center"/>
          </w:tcPr>
          <w:p w14:paraId="21ACC26B"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Registrar como padres al hijo de la pareja el mismo sexo. </w:t>
            </w:r>
          </w:p>
        </w:tc>
      </w:tr>
      <w:tr w:rsidR="00611D42" w:rsidRPr="00E94619" w14:paraId="5780AE76" w14:textId="77777777" w:rsidTr="00077E6C">
        <w:tc>
          <w:tcPr>
            <w:tcW w:w="2523" w:type="dxa"/>
            <w:vAlign w:val="center"/>
          </w:tcPr>
          <w:p w14:paraId="737BB88D"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 xml:space="preserve">Abril 28 de 2016, </w:t>
            </w:r>
          </w:p>
          <w:p w14:paraId="6C63F287"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Sentencia SU214/16</w:t>
            </w:r>
          </w:p>
        </w:tc>
        <w:tc>
          <w:tcPr>
            <w:tcW w:w="6191" w:type="dxa"/>
            <w:vAlign w:val="center"/>
          </w:tcPr>
          <w:p w14:paraId="515C283E" w14:textId="77777777" w:rsidR="00611D42" w:rsidRPr="00E94619" w:rsidRDefault="00611D42" w:rsidP="000E5AC0">
            <w:pPr>
              <w:pStyle w:val="NormalWeb"/>
              <w:spacing w:before="0" w:beforeAutospacing="0" w:after="0" w:afterAutospacing="0"/>
              <w:rPr>
                <w:rFonts w:ascii="Century Gothic" w:hAnsi="Century Gothic"/>
                <w:sz w:val="20"/>
                <w:szCs w:val="20"/>
              </w:rPr>
            </w:pPr>
            <w:r w:rsidRPr="00E94619">
              <w:rPr>
                <w:rFonts w:ascii="Century Gothic" w:hAnsi="Century Gothic"/>
                <w:sz w:val="20"/>
                <w:szCs w:val="20"/>
              </w:rPr>
              <w:t>Matrimonio igualitario.</w:t>
            </w:r>
          </w:p>
        </w:tc>
      </w:tr>
    </w:tbl>
    <w:p w14:paraId="4ABE420A" w14:textId="75D3C963" w:rsidR="00077E6C" w:rsidRDefault="00830DBC" w:rsidP="00077E6C">
      <w:pPr>
        <w:pStyle w:val="NormalWeb"/>
        <w:spacing w:before="0" w:beforeAutospacing="0" w:after="0" w:afterAutospacing="0"/>
        <w:jc w:val="both"/>
        <w:rPr>
          <w:rFonts w:ascii="Century Gothic" w:eastAsia="Cambria" w:hAnsi="Century Gothic" w:cs="Cambria"/>
          <w:b/>
          <w:color w:val="000000"/>
        </w:rPr>
      </w:pPr>
      <w:r>
        <w:rPr>
          <w:rFonts w:ascii="Century Gothic" w:hAnsi="Century Gothic"/>
          <w:b/>
          <w:noProof/>
          <w:lang w:val="es-ES"/>
        </w:rPr>
        <w:drawing>
          <wp:anchor distT="0" distB="0" distL="114300" distR="114300" simplePos="0" relativeHeight="251767808" behindDoc="0" locked="0" layoutInCell="1" allowOverlap="1" wp14:anchorId="79662144" wp14:editId="6AC19C74">
            <wp:simplePos x="0" y="0"/>
            <wp:positionH relativeFrom="column">
              <wp:posOffset>-1080135</wp:posOffset>
            </wp:positionH>
            <wp:positionV relativeFrom="paragraph">
              <wp:posOffset>-8573770</wp:posOffset>
            </wp:positionV>
            <wp:extent cx="965835" cy="708660"/>
            <wp:effectExtent l="0" t="0" r="0" b="0"/>
            <wp:wrapNone/>
            <wp:docPr id="355" name="Imagen 35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658D07D7" w14:textId="5305500B" w:rsidR="00077E6C" w:rsidRPr="00E31EE1" w:rsidRDefault="00E31EE1" w:rsidP="00E31EE1">
      <w:pPr>
        <w:pStyle w:val="Ttulo1"/>
        <w:rPr>
          <w:rFonts w:ascii="Century Gothic" w:hAnsi="Century Gothic"/>
          <w:b/>
        </w:rPr>
      </w:pPr>
      <w:bookmarkStart w:id="25" w:name="_Toc488624242"/>
      <w:r>
        <w:rPr>
          <w:rFonts w:ascii="Century Gothic" w:eastAsia="Cambria" w:hAnsi="Century Gothic"/>
          <w:b/>
          <w:noProof/>
          <w:lang w:val="es-ES"/>
        </w:rPr>
        <w:lastRenderedPageBreak/>
        <w:drawing>
          <wp:anchor distT="0" distB="0" distL="114300" distR="114300" simplePos="0" relativeHeight="251663360" behindDoc="1" locked="0" layoutInCell="1" allowOverlap="1" wp14:anchorId="78A415DA" wp14:editId="62B4A8D5">
            <wp:simplePos x="0" y="0"/>
            <wp:positionH relativeFrom="column">
              <wp:posOffset>114300</wp:posOffset>
            </wp:positionH>
            <wp:positionV relativeFrom="paragraph">
              <wp:posOffset>-114300</wp:posOffset>
            </wp:positionV>
            <wp:extent cx="5396230" cy="567055"/>
            <wp:effectExtent l="0" t="0" r="0" b="0"/>
            <wp:wrapNone/>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r w:rsidR="0036411F" w:rsidRPr="00E31EE1">
        <w:rPr>
          <w:rFonts w:ascii="Century Gothic" w:hAnsi="Century Gothic"/>
          <w:b/>
        </w:rPr>
        <w:t>III-</w:t>
      </w:r>
      <w:r w:rsidR="00BE1DFB" w:rsidRPr="00E31EE1">
        <w:rPr>
          <w:rFonts w:ascii="Century Gothic" w:hAnsi="Century Gothic"/>
          <w:b/>
        </w:rPr>
        <w:t xml:space="preserve"> G</w:t>
      </w:r>
      <w:r w:rsidR="00077E6C" w:rsidRPr="00E31EE1">
        <w:rPr>
          <w:rFonts w:ascii="Century Gothic" w:hAnsi="Century Gothic"/>
          <w:b/>
        </w:rPr>
        <w:t>arantizar la ausencia de toda forma</w:t>
      </w:r>
      <w:bookmarkEnd w:id="25"/>
      <w:r w:rsidR="00077E6C" w:rsidRPr="00E31EE1">
        <w:rPr>
          <w:rFonts w:ascii="Century Gothic" w:hAnsi="Century Gothic"/>
          <w:b/>
        </w:rPr>
        <w:t xml:space="preserve"> </w:t>
      </w:r>
    </w:p>
    <w:p w14:paraId="0174DFD5" w14:textId="6E72A76F" w:rsidR="001238D7" w:rsidRPr="00E31EE1" w:rsidRDefault="00077E6C" w:rsidP="00E31EE1">
      <w:pPr>
        <w:pStyle w:val="Ttulo1"/>
        <w:rPr>
          <w:rFonts w:ascii="Century Gothic" w:hAnsi="Century Gothic"/>
          <w:b/>
          <w:sz w:val="22"/>
          <w:szCs w:val="22"/>
        </w:rPr>
      </w:pPr>
      <w:bookmarkStart w:id="26" w:name="_Toc488624243"/>
      <w:r w:rsidRPr="00E31EE1">
        <w:rPr>
          <w:rFonts w:ascii="Century Gothic" w:hAnsi="Century Gothic"/>
          <w:b/>
        </w:rPr>
        <w:t>de violencia de género</w:t>
      </w:r>
      <w:bookmarkEnd w:id="26"/>
    </w:p>
    <w:p w14:paraId="7BBBA55F" w14:textId="77777777" w:rsidR="001238D7" w:rsidRPr="00E94619" w:rsidRDefault="001238D7" w:rsidP="000E5AC0">
      <w:pPr>
        <w:spacing w:after="0" w:line="240" w:lineRule="auto"/>
        <w:jc w:val="center"/>
        <w:rPr>
          <w:rFonts w:ascii="Century Gothic" w:hAnsi="Century Gothic"/>
          <w:b/>
        </w:rPr>
      </w:pPr>
    </w:p>
    <w:p w14:paraId="68C43A27" w14:textId="6B0969B1" w:rsidR="001238D7" w:rsidRPr="00077E6C" w:rsidRDefault="0036411F" w:rsidP="000E5AC0">
      <w:pPr>
        <w:pStyle w:val="Ttulo2"/>
        <w:rPr>
          <w:rFonts w:ascii="Century Gothic" w:hAnsi="Century Gothic"/>
          <w:color w:val="CC3366"/>
        </w:rPr>
      </w:pPr>
      <w:bookmarkStart w:id="27" w:name="_Toc488624244"/>
      <w:r w:rsidRPr="00077E6C">
        <w:rPr>
          <w:rFonts w:ascii="Century Gothic" w:hAnsi="Century Gothic"/>
          <w:color w:val="CC3366"/>
        </w:rPr>
        <w:t>1. V</w:t>
      </w:r>
      <w:r w:rsidR="00077E6C" w:rsidRPr="00077E6C">
        <w:rPr>
          <w:rFonts w:ascii="Century Gothic" w:hAnsi="Century Gothic"/>
          <w:color w:val="CC3366"/>
        </w:rPr>
        <w:t>iolencias contra las mujeres y las niñas en Colombia</w:t>
      </w:r>
      <w:bookmarkEnd w:id="27"/>
      <w:r w:rsidR="00077E6C" w:rsidRPr="00077E6C">
        <w:rPr>
          <w:rFonts w:ascii="Century Gothic" w:hAnsi="Century Gothic"/>
          <w:color w:val="CC3366"/>
        </w:rPr>
        <w:t xml:space="preserve"> </w:t>
      </w:r>
    </w:p>
    <w:p w14:paraId="4AF7CD4C" w14:textId="77777777" w:rsidR="001238D7" w:rsidRPr="00E94619" w:rsidRDefault="001238D7" w:rsidP="000E5AC0">
      <w:pPr>
        <w:spacing w:after="0"/>
        <w:rPr>
          <w:rFonts w:ascii="Century Gothic" w:hAnsi="Century Gothic"/>
        </w:rPr>
      </w:pPr>
    </w:p>
    <w:p w14:paraId="1F8BC25D" w14:textId="50A9E6D3" w:rsidR="001238D7" w:rsidRPr="00E94619" w:rsidRDefault="0036411F" w:rsidP="000E5AC0">
      <w:pPr>
        <w:jc w:val="both"/>
        <w:rPr>
          <w:rFonts w:ascii="Century Gothic" w:hAnsi="Century Gothic"/>
        </w:rPr>
      </w:pPr>
      <w:r w:rsidRPr="00E94619">
        <w:rPr>
          <w:rFonts w:ascii="Century Gothic" w:hAnsi="Century Gothic"/>
        </w:rPr>
        <w:t>Las violencias basadas en género representan una vulneración de derechos humanos que afecta en su gran mayoría a las mujeres y las niñas. Estas violencias están fundamentadas en un ejercicio de poder basado en relaciones asimétricas y desiguales entre hombres y mujeres, donde se produce una sobrevaloración de lo masculino en detrimento de lo femenino, tanto en el ámbito público como en el privado, para mantener las condiciones de desigualdad y discriminación. Estas violencias se han justificado y naturalizado social e históricamente a través de imaginarios y estereotipos que involucran roles, comportamientos y prácticas que vulneran los derechos de las niñas y mujeres.</w:t>
      </w:r>
    </w:p>
    <w:p w14:paraId="4FAC36E3" w14:textId="77777777" w:rsidR="001238D7" w:rsidRPr="00E94619" w:rsidRDefault="0036411F" w:rsidP="000E5AC0">
      <w:pPr>
        <w:jc w:val="both"/>
        <w:rPr>
          <w:rFonts w:ascii="Century Gothic" w:hAnsi="Century Gothic"/>
        </w:rPr>
      </w:pPr>
      <w:r w:rsidRPr="00E94619">
        <w:rPr>
          <w:rFonts w:ascii="Century Gothic" w:hAnsi="Century Gothic"/>
        </w:rPr>
        <w:t>La normatividad nacional existente, retomando diferentes instrumentos internacionales, define la violencia contra la mujer como “</w:t>
      </w:r>
      <w:r w:rsidRPr="00E94619">
        <w:rPr>
          <w:rFonts w:ascii="Century Gothic" w:hAnsi="Century Gothic"/>
          <w:i/>
        </w:rPr>
        <w:t xml:space="preserve">…cualquier acción u omisión, que le cause muerte, daño o sufrimiento físico, sexual, psicológico, económico o patrimonial por su condición de mujer, así como las amenazas de tales actos, la coacción o la privación arbitraria de la libertad, bien sea que se presente en el ámbito público o en el privado.” </w:t>
      </w:r>
      <w:r w:rsidRPr="00E94619">
        <w:rPr>
          <w:rFonts w:ascii="Century Gothic" w:hAnsi="Century Gothic"/>
        </w:rPr>
        <w:t>(Ley 1257 de 2008).</w:t>
      </w:r>
    </w:p>
    <w:p w14:paraId="1CC278C9" w14:textId="77777777" w:rsidR="001238D7" w:rsidRPr="00E94619" w:rsidRDefault="0036411F" w:rsidP="000E5AC0">
      <w:pPr>
        <w:jc w:val="both"/>
        <w:rPr>
          <w:rFonts w:ascii="Century Gothic" w:hAnsi="Century Gothic"/>
        </w:rPr>
      </w:pPr>
      <w:r w:rsidRPr="00E94619">
        <w:rPr>
          <w:rFonts w:ascii="Century Gothic" w:hAnsi="Century Gothic"/>
        </w:rPr>
        <w:t>A continuación, se presentan datos oficiales</w:t>
      </w:r>
      <w:r w:rsidR="00A9307D" w:rsidRPr="00E94619">
        <w:rPr>
          <w:rStyle w:val="Refdenotaalpie"/>
          <w:rFonts w:ascii="Century Gothic" w:hAnsi="Century Gothic"/>
        </w:rPr>
        <w:footnoteReference w:id="9"/>
      </w:r>
      <w:r w:rsidRPr="00E94619">
        <w:rPr>
          <w:rFonts w:ascii="Century Gothic" w:hAnsi="Century Gothic"/>
        </w:rPr>
        <w:t xml:space="preserve"> sobre la violencia contra mujeres y niñas en Colombia entre el 201</w:t>
      </w:r>
      <w:r w:rsidR="007F2B00" w:rsidRPr="00E94619">
        <w:rPr>
          <w:rFonts w:ascii="Century Gothic" w:hAnsi="Century Gothic"/>
        </w:rPr>
        <w:t>8-2019</w:t>
      </w:r>
      <w:r w:rsidRPr="00E94619">
        <w:rPr>
          <w:rFonts w:ascii="Century Gothic" w:hAnsi="Century Gothic"/>
        </w:rPr>
        <w:t>, los cuales permiten realizar una aproximación a su comportamiento. La información se presenta desagregada por sexo y, cuando es posible, por edad, pertenencia étnica y orientación sexual diversa. También, se muestra de manera general la respuesta estatal, algunas acciones llevadas a cabo por la sociedad civil y la cooperación internacional y los avances y retos del país en la erradicación de estas violencias.</w:t>
      </w:r>
    </w:p>
    <w:p w14:paraId="05924B42" w14:textId="77777777" w:rsidR="001238D7" w:rsidRPr="00077E6C" w:rsidRDefault="0036411F" w:rsidP="000E5AC0">
      <w:pPr>
        <w:pStyle w:val="Ttulo3"/>
        <w:rPr>
          <w:rFonts w:ascii="Century Gothic" w:hAnsi="Century Gothic"/>
          <w:b w:val="0"/>
          <w:bCs/>
          <w:color w:val="CC3366"/>
        </w:rPr>
      </w:pPr>
      <w:bookmarkStart w:id="28" w:name="_Toc488624245"/>
      <w:r w:rsidRPr="00077E6C">
        <w:rPr>
          <w:rFonts w:ascii="Century Gothic" w:hAnsi="Century Gothic"/>
          <w:b w:val="0"/>
          <w:bCs/>
          <w:color w:val="CC3366"/>
        </w:rPr>
        <w:t>1. 1 Violencia física, económica, sexual y obstétrica contra las mujeres y niñas</w:t>
      </w:r>
      <w:bookmarkEnd w:id="28"/>
    </w:p>
    <w:p w14:paraId="585DDFBE" w14:textId="77777777" w:rsidR="001238D7" w:rsidRPr="000042BF" w:rsidRDefault="0036411F" w:rsidP="000E5AC0">
      <w:pPr>
        <w:pStyle w:val="Ttulo4"/>
        <w:rPr>
          <w:rFonts w:ascii="Century Gothic" w:eastAsia="Cambria" w:hAnsi="Century Gothic" w:cs="Cambria"/>
          <w:b w:val="0"/>
          <w:i w:val="0"/>
          <w:color w:val="CC3366"/>
          <w:u w:val="single"/>
        </w:rPr>
      </w:pPr>
      <w:bookmarkStart w:id="29" w:name="_Toc488624246"/>
      <w:r w:rsidRPr="000042BF">
        <w:rPr>
          <w:rFonts w:ascii="Century Gothic" w:eastAsia="Cambria" w:hAnsi="Century Gothic" w:cs="Cambria"/>
          <w:b w:val="0"/>
          <w:i w:val="0"/>
          <w:color w:val="CC3366"/>
          <w:u w:val="single"/>
        </w:rPr>
        <w:t>1.1.1 Violencia física de pareja (o ex pareja)</w:t>
      </w:r>
      <w:bookmarkEnd w:id="29"/>
    </w:p>
    <w:p w14:paraId="245D61C7" w14:textId="77777777" w:rsidR="001238D7" w:rsidRPr="00E94619" w:rsidRDefault="001238D7" w:rsidP="000E5AC0">
      <w:pPr>
        <w:spacing w:after="0" w:line="240" w:lineRule="auto"/>
        <w:rPr>
          <w:rFonts w:ascii="Century Gothic" w:hAnsi="Century Gothic"/>
          <w:b/>
        </w:rPr>
      </w:pPr>
    </w:p>
    <w:p w14:paraId="2D7CDC65" w14:textId="190F43E6" w:rsidR="001238D7" w:rsidRPr="00E94619" w:rsidRDefault="0036411F" w:rsidP="000E5AC0">
      <w:pPr>
        <w:spacing w:after="0" w:line="240" w:lineRule="auto"/>
        <w:jc w:val="both"/>
        <w:rPr>
          <w:rFonts w:ascii="Century Gothic" w:hAnsi="Century Gothic"/>
        </w:rPr>
      </w:pPr>
      <w:r w:rsidRPr="00E94619">
        <w:rPr>
          <w:rFonts w:ascii="Century Gothic" w:hAnsi="Century Gothic"/>
        </w:rPr>
        <w:t>En Colombia los datos estadísticos del Instituto Nacional de Medicina Legal y Ciencias Forenses (INMLCF)</w:t>
      </w:r>
      <w:r w:rsidR="007F2B00" w:rsidRPr="00E94619">
        <w:rPr>
          <w:rStyle w:val="Refdenotaalpie"/>
          <w:rFonts w:ascii="Century Gothic" w:hAnsi="Century Gothic"/>
        </w:rPr>
        <w:footnoteReference w:id="10"/>
      </w:r>
      <w:r w:rsidRPr="00E94619">
        <w:rPr>
          <w:rFonts w:ascii="Century Gothic" w:hAnsi="Century Gothic"/>
        </w:rPr>
        <w:t xml:space="preserve"> de los últimos cinco años ratifican que las niñas y las mujeres son las principales víctimas de violencia física en el ámbito privado, particularmente en las relaciones de pareja. La violencia de pareja se fundamenta en la creencia de que los hombres tienen derecho a controlar el cuerpo y vida de las mujeres. Detrás de su tolerancia y naturalización se encuentran arraigadas percepciones culturales de dependencia afectiva y económica de las mujeres hacia los hombres, que se refuerzan a través de mensajes difundidos en las familias y en la comunidad en general.</w:t>
      </w:r>
    </w:p>
    <w:p w14:paraId="79AC8F11" w14:textId="6BF96813" w:rsidR="00B64DD9" w:rsidRPr="00E94619" w:rsidRDefault="00B64DD9" w:rsidP="000E5AC0">
      <w:pPr>
        <w:spacing w:after="0" w:line="240" w:lineRule="auto"/>
        <w:jc w:val="both"/>
        <w:rPr>
          <w:rFonts w:ascii="Century Gothic" w:hAnsi="Century Gothic"/>
        </w:rPr>
      </w:pPr>
    </w:p>
    <w:p w14:paraId="50E1261B" w14:textId="3A29A08F" w:rsidR="00B64DD9" w:rsidRPr="00E94619" w:rsidRDefault="00830DB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69856" behindDoc="0" locked="0" layoutInCell="1" allowOverlap="1" wp14:anchorId="6BE77D15" wp14:editId="3FAD6290">
            <wp:simplePos x="0" y="0"/>
            <wp:positionH relativeFrom="column">
              <wp:posOffset>-1080135</wp:posOffset>
            </wp:positionH>
            <wp:positionV relativeFrom="paragraph">
              <wp:posOffset>-8934450</wp:posOffset>
            </wp:positionV>
            <wp:extent cx="965835" cy="708660"/>
            <wp:effectExtent l="0" t="0" r="0" b="0"/>
            <wp:wrapNone/>
            <wp:docPr id="356" name="Imagen 35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B64DD9" w:rsidRPr="00E94619">
        <w:rPr>
          <w:rFonts w:ascii="Century Gothic" w:hAnsi="Century Gothic"/>
        </w:rPr>
        <w:t xml:space="preserve">La Fiscalía incluye la violencia de pareja en las cifras de Violencia Intrafamiliar (VIF). En </w:t>
      </w:r>
      <w:r w:rsidR="00B64DD9" w:rsidRPr="00E94619">
        <w:rPr>
          <w:rFonts w:ascii="Century Gothic" w:hAnsi="Century Gothic"/>
          <w:b/>
          <w:bCs/>
        </w:rPr>
        <w:t>2020</w:t>
      </w:r>
      <w:r w:rsidR="00B64DD9" w:rsidRPr="00E94619">
        <w:rPr>
          <w:rFonts w:ascii="Century Gothic" w:hAnsi="Century Gothic"/>
        </w:rPr>
        <w:t xml:space="preserve">, la Fiscalía General de la Nación (FGN) registró </w:t>
      </w:r>
      <w:r w:rsidR="00B64DD9" w:rsidRPr="00E94619">
        <w:rPr>
          <w:rFonts w:ascii="Century Gothic" w:hAnsi="Century Gothic"/>
          <w:b/>
          <w:bCs/>
        </w:rPr>
        <w:t>110071</w:t>
      </w:r>
      <w:r w:rsidR="00B64DD9" w:rsidRPr="00E94619">
        <w:rPr>
          <w:rFonts w:ascii="Century Gothic" w:hAnsi="Century Gothic"/>
        </w:rPr>
        <w:t xml:space="preserve"> víctimas </w:t>
      </w:r>
      <w:r w:rsidR="00B64DD9" w:rsidRPr="00E94619">
        <w:rPr>
          <w:rFonts w:ascii="Century Gothic" w:hAnsi="Century Gothic"/>
        </w:rPr>
        <w:lastRenderedPageBreak/>
        <w:t xml:space="preserve">de violencia intrafamiliar (que incluye la violencia de pareja) por hechos presuntamente ocurridos ese año. De estos, 83.023 correspondieron a </w:t>
      </w:r>
      <w:r w:rsidR="00B64DD9" w:rsidRPr="00E94619">
        <w:rPr>
          <w:rFonts w:ascii="Century Gothic" w:hAnsi="Century Gothic"/>
          <w:b/>
          <w:bCs/>
        </w:rPr>
        <w:t>mujeres, es decir, el 75,43%</w:t>
      </w:r>
      <w:r w:rsidR="00B64DD9" w:rsidRPr="00E94619">
        <w:rPr>
          <w:rFonts w:ascii="Century Gothic" w:hAnsi="Century Gothic"/>
        </w:rPr>
        <w:t xml:space="preserve"> del total, </w:t>
      </w:r>
      <w:r w:rsidR="00B64DD9" w:rsidRPr="00E94619">
        <w:rPr>
          <w:rFonts w:ascii="Century Gothic" w:hAnsi="Century Gothic"/>
          <w:b/>
          <w:bCs/>
        </w:rPr>
        <w:t>22.409 a hombres, es decir, el 20,36%, y en 4.639 casos (4,21%) no se registra el sexo de la víctima</w:t>
      </w:r>
      <w:r w:rsidR="00B64DD9" w:rsidRPr="00E94619">
        <w:rPr>
          <w:rFonts w:ascii="Century Gothic" w:hAnsi="Century Gothic"/>
        </w:rPr>
        <w:t>. Vale la pena aclarar que los principales grupos de edad de las víctimas de violencia intrafamiliar varían entre hombres y mujeres. En el caso de los hombres el 21,7% de las víctimas fueron menores de edad, el 25,1% correspondió a adultos, el 7,9% a adultos mayores, el 11,4% correspondieron a jóvenes y en el 33,9% de los casos de VIF contra hombres la FGN precisa que no se tiene el dato sobre la edad. En el caso de las mujeres, el 61,4% de las víctimas de violencia intrafamiliar se encontraron entre los 18 y 59 años (jóvenes y adultas), el 7,5% corresponden a menores de edad, el 3,8% a adultas mayores, y en el 27,3% de los casos la FGN no reporta datos sobre la edad. Como se puede apreciar en la Tabla 1, durante 2020 al menos una mujer fue víctima de violencia intrafamiliar cada 6 minutos y medio. De 2019 a 2020 se observa un leve descenso de 4,84% en el número de mujeres víctimas, al pasar de 87.246 casos reportados en 2019, a 83.023 en 2020.</w:t>
      </w:r>
      <w:sdt>
        <w:sdtPr>
          <w:rPr>
            <w:rFonts w:ascii="Century Gothic" w:hAnsi="Century Gothic"/>
          </w:rPr>
          <w:id w:val="-1244639953"/>
          <w:citation/>
        </w:sdtPr>
        <w:sdtContent>
          <w:r w:rsidR="00DB3CD3" w:rsidRPr="00E94619">
            <w:rPr>
              <w:rFonts w:ascii="Century Gothic" w:hAnsi="Century Gothic"/>
            </w:rPr>
            <w:fldChar w:fldCharType="begin"/>
          </w:r>
          <w:r w:rsidR="00DB3CD3" w:rsidRPr="00E94619">
            <w:rPr>
              <w:rFonts w:ascii="Century Gothic" w:hAnsi="Century Gothic"/>
            </w:rPr>
            <w:instrText xml:space="preserve"> CITATION Cor21 \l 9226 </w:instrText>
          </w:r>
          <w:r w:rsidR="00DB3CD3" w:rsidRPr="00E94619">
            <w:rPr>
              <w:rFonts w:ascii="Century Gothic" w:hAnsi="Century Gothic"/>
            </w:rPr>
            <w:fldChar w:fldCharType="separate"/>
          </w:r>
          <w:r w:rsidR="00DB3CD3" w:rsidRPr="00E94619">
            <w:rPr>
              <w:rFonts w:ascii="Century Gothic" w:hAnsi="Century Gothic"/>
              <w:noProof/>
            </w:rPr>
            <w:t xml:space="preserve"> (Corporación Sisma Mujer, 2021)</w:t>
          </w:r>
          <w:r w:rsidR="00DB3CD3" w:rsidRPr="00E94619">
            <w:rPr>
              <w:rFonts w:ascii="Century Gothic" w:hAnsi="Century Gothic"/>
            </w:rPr>
            <w:fldChar w:fldCharType="end"/>
          </w:r>
        </w:sdtContent>
      </w:sdt>
    </w:p>
    <w:p w14:paraId="0591BF30" w14:textId="4F7E7158" w:rsidR="00B64DD9" w:rsidRPr="00E94619" w:rsidRDefault="00830DB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71904" behindDoc="0" locked="0" layoutInCell="1" allowOverlap="1" wp14:anchorId="2AB65C6B" wp14:editId="61C7EA99">
            <wp:simplePos x="0" y="0"/>
            <wp:positionH relativeFrom="column">
              <wp:posOffset>-1080135</wp:posOffset>
            </wp:positionH>
            <wp:positionV relativeFrom="paragraph">
              <wp:posOffset>-3735070</wp:posOffset>
            </wp:positionV>
            <wp:extent cx="965835" cy="708660"/>
            <wp:effectExtent l="0" t="0" r="0" b="0"/>
            <wp:wrapNone/>
            <wp:docPr id="357" name="Imagen 35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1553D250" w14:textId="2AC1002E" w:rsidR="007E36E4" w:rsidRPr="00E94619" w:rsidRDefault="0036411F" w:rsidP="000E5AC0">
      <w:pPr>
        <w:spacing w:after="0" w:line="240" w:lineRule="auto"/>
        <w:jc w:val="both"/>
        <w:rPr>
          <w:rFonts w:ascii="Century Gothic" w:hAnsi="Century Gothic"/>
        </w:rPr>
      </w:pPr>
      <w:r w:rsidRPr="00E94619">
        <w:rPr>
          <w:rFonts w:ascii="Century Gothic" w:hAnsi="Century Gothic"/>
        </w:rPr>
        <w:t>Entre el 201</w:t>
      </w:r>
      <w:r w:rsidR="007F2B00" w:rsidRPr="00E94619">
        <w:rPr>
          <w:rFonts w:ascii="Century Gothic" w:hAnsi="Century Gothic"/>
        </w:rPr>
        <w:t>8</w:t>
      </w:r>
      <w:r w:rsidRPr="00E94619">
        <w:rPr>
          <w:rFonts w:ascii="Century Gothic" w:hAnsi="Century Gothic"/>
        </w:rPr>
        <w:t xml:space="preserve"> y el 201</w:t>
      </w:r>
      <w:r w:rsidR="007F2B00" w:rsidRPr="00E94619">
        <w:rPr>
          <w:rFonts w:ascii="Century Gothic" w:hAnsi="Century Gothic"/>
        </w:rPr>
        <w:t>9</w:t>
      </w:r>
      <w:r w:rsidRPr="00E94619">
        <w:rPr>
          <w:rFonts w:ascii="Century Gothic" w:hAnsi="Century Gothic"/>
        </w:rPr>
        <w:t>, en más del 86% de los casos reportados por violencia de pareja las víctimas fueron mujeres. Es de resaltar que entre los años 201</w:t>
      </w:r>
      <w:r w:rsidR="00081A34" w:rsidRPr="00E94619">
        <w:rPr>
          <w:rFonts w:ascii="Century Gothic" w:hAnsi="Century Gothic"/>
        </w:rPr>
        <w:t>7 y</w:t>
      </w:r>
      <w:r w:rsidR="005430FA" w:rsidRPr="00E94619">
        <w:rPr>
          <w:rFonts w:ascii="Century Gothic" w:hAnsi="Century Gothic"/>
        </w:rPr>
        <w:t xml:space="preserve"> </w:t>
      </w:r>
      <w:r w:rsidRPr="00E94619">
        <w:rPr>
          <w:rFonts w:ascii="Century Gothic" w:hAnsi="Century Gothic"/>
        </w:rPr>
        <w:t>201</w:t>
      </w:r>
      <w:r w:rsidR="00081A34" w:rsidRPr="00E94619">
        <w:rPr>
          <w:rFonts w:ascii="Century Gothic" w:hAnsi="Century Gothic"/>
        </w:rPr>
        <w:t>8</w:t>
      </w:r>
      <w:r w:rsidRPr="00E94619">
        <w:rPr>
          <w:rFonts w:ascii="Century Gothic" w:hAnsi="Century Gothic"/>
        </w:rPr>
        <w:t xml:space="preserve"> el promedio de edad de las mujeres víctimas de este delito era de 2</w:t>
      </w:r>
      <w:r w:rsidR="0073122C" w:rsidRPr="00E94619">
        <w:rPr>
          <w:rFonts w:ascii="Century Gothic" w:hAnsi="Century Gothic"/>
        </w:rPr>
        <w:t>5</w:t>
      </w:r>
      <w:r w:rsidRPr="00E94619">
        <w:rPr>
          <w:rFonts w:ascii="Century Gothic" w:hAnsi="Century Gothic"/>
        </w:rPr>
        <w:t xml:space="preserve"> a 29 años; si</w:t>
      </w:r>
      <w:r w:rsidR="00282182" w:rsidRPr="00E94619">
        <w:rPr>
          <w:rFonts w:ascii="Century Gothic" w:hAnsi="Century Gothic"/>
        </w:rPr>
        <w:t>n embargo</w:t>
      </w:r>
      <w:r w:rsidRPr="00E94619">
        <w:rPr>
          <w:rFonts w:ascii="Century Gothic" w:hAnsi="Century Gothic"/>
        </w:rPr>
        <w:t>, para el 201</w:t>
      </w:r>
      <w:r w:rsidR="00282182" w:rsidRPr="00E94619">
        <w:rPr>
          <w:rFonts w:ascii="Century Gothic" w:hAnsi="Century Gothic"/>
        </w:rPr>
        <w:t>9</w:t>
      </w:r>
      <w:r w:rsidRPr="00E94619">
        <w:rPr>
          <w:rFonts w:ascii="Century Gothic" w:hAnsi="Century Gothic"/>
        </w:rPr>
        <w:t xml:space="preserve"> este rango de edad baj</w:t>
      </w:r>
      <w:r w:rsidR="003832AE" w:rsidRPr="00E94619">
        <w:rPr>
          <w:rFonts w:ascii="Century Gothic" w:hAnsi="Century Gothic"/>
        </w:rPr>
        <w:t>ó</w:t>
      </w:r>
      <w:r w:rsidRPr="00E94619">
        <w:rPr>
          <w:rFonts w:ascii="Century Gothic" w:hAnsi="Century Gothic"/>
        </w:rPr>
        <w:t xml:space="preserve"> a los 1</w:t>
      </w:r>
      <w:r w:rsidR="00282182" w:rsidRPr="00E94619">
        <w:rPr>
          <w:rFonts w:ascii="Century Gothic" w:hAnsi="Century Gothic"/>
        </w:rPr>
        <w:t>8</w:t>
      </w:r>
      <w:r w:rsidRPr="00E94619">
        <w:rPr>
          <w:rFonts w:ascii="Century Gothic" w:hAnsi="Century Gothic"/>
        </w:rPr>
        <w:t xml:space="preserve"> años</w:t>
      </w:r>
      <w:sdt>
        <w:sdtPr>
          <w:rPr>
            <w:rFonts w:ascii="Century Gothic" w:hAnsi="Century Gothic"/>
          </w:rPr>
          <w:id w:val="-83381326"/>
          <w:citation/>
        </w:sdtPr>
        <w:sdtContent>
          <w:r w:rsidR="00AA6730" w:rsidRPr="00E94619">
            <w:rPr>
              <w:rFonts w:ascii="Century Gothic" w:hAnsi="Century Gothic"/>
            </w:rPr>
            <w:fldChar w:fldCharType="begin"/>
          </w:r>
          <w:r w:rsidR="00A750E1" w:rsidRPr="00E94619">
            <w:rPr>
              <w:rFonts w:ascii="Century Gothic" w:hAnsi="Century Gothic"/>
              <w:lang w:val="es-MX"/>
            </w:rPr>
            <w:instrText xml:space="preserve">CITATION Ins19 \l 2058 </w:instrText>
          </w:r>
          <w:r w:rsidR="00AA6730" w:rsidRPr="00E94619">
            <w:rPr>
              <w:rFonts w:ascii="Century Gothic" w:hAnsi="Century Gothic"/>
            </w:rPr>
            <w:fldChar w:fldCharType="separate"/>
          </w:r>
          <w:r w:rsidR="00A750E1" w:rsidRPr="00E94619">
            <w:rPr>
              <w:rFonts w:ascii="Century Gothic" w:hAnsi="Century Gothic"/>
              <w:noProof/>
              <w:lang w:val="es-MX"/>
            </w:rPr>
            <w:t xml:space="preserve"> (Instituto Nacional de Medicina Legal y Ciencias Forenses, 2019)</w:t>
          </w:r>
          <w:r w:rsidR="00AA6730" w:rsidRPr="00E94619">
            <w:rPr>
              <w:rFonts w:ascii="Century Gothic" w:hAnsi="Century Gothic"/>
            </w:rPr>
            <w:fldChar w:fldCharType="end"/>
          </w:r>
        </w:sdtContent>
      </w:sdt>
      <w:r w:rsidRPr="00E94619">
        <w:rPr>
          <w:rFonts w:ascii="Century Gothic" w:hAnsi="Century Gothic"/>
        </w:rPr>
        <w:t xml:space="preserve">. Lo anterior indica que las mujeres que inician relaciones de pareja desde temprana edad se vuelven vulnerables a este tipo de violencias. Durante este periodo se presentó </w:t>
      </w:r>
      <w:r w:rsidR="003832AE" w:rsidRPr="00E94619">
        <w:rPr>
          <w:rFonts w:ascii="Century Gothic" w:hAnsi="Century Gothic"/>
        </w:rPr>
        <w:t xml:space="preserve">un </w:t>
      </w:r>
      <w:r w:rsidRPr="00E94619">
        <w:rPr>
          <w:rFonts w:ascii="Century Gothic" w:hAnsi="Century Gothic"/>
        </w:rPr>
        <w:t>decrecimiento en los casos registrados por este tipo de violencia, la mayor disminución se dio en el año 201</w:t>
      </w:r>
      <w:r w:rsidR="00707097" w:rsidRPr="00E94619">
        <w:rPr>
          <w:rFonts w:ascii="Century Gothic" w:hAnsi="Century Gothic"/>
        </w:rPr>
        <w:t>7 con 50.072 casos registrados</w:t>
      </w:r>
      <w:r w:rsidR="00056012" w:rsidRPr="00E94619">
        <w:rPr>
          <w:rStyle w:val="Refdenotaalpie"/>
          <w:rFonts w:ascii="Century Gothic" w:hAnsi="Century Gothic"/>
        </w:rPr>
        <w:footnoteReference w:id="11"/>
      </w:r>
      <w:r w:rsidRPr="00E94619">
        <w:rPr>
          <w:rFonts w:ascii="Century Gothic" w:hAnsi="Century Gothic"/>
        </w:rPr>
        <w:t xml:space="preserve">. </w:t>
      </w:r>
    </w:p>
    <w:p w14:paraId="4BB7F644" w14:textId="77777777" w:rsidR="001238D7" w:rsidRPr="00E94619" w:rsidRDefault="001238D7" w:rsidP="000E5AC0">
      <w:pPr>
        <w:spacing w:after="0" w:line="240" w:lineRule="auto"/>
        <w:jc w:val="both"/>
        <w:rPr>
          <w:rFonts w:ascii="Century Gothic" w:hAnsi="Century Gothic"/>
        </w:rPr>
      </w:pPr>
    </w:p>
    <w:p w14:paraId="6B6F792D" w14:textId="420B4905" w:rsidR="001238D7" w:rsidRPr="00E94619" w:rsidRDefault="00830DBC" w:rsidP="00077E6C">
      <w:pPr>
        <w:spacing w:after="0" w:line="240" w:lineRule="auto"/>
        <w:jc w:val="center"/>
        <w:rPr>
          <w:rFonts w:ascii="Century Gothic" w:hAnsi="Century Gothic"/>
          <w:b/>
          <w:sz w:val="16"/>
          <w:szCs w:val="16"/>
        </w:rPr>
      </w:pPr>
      <w:sdt>
        <w:sdtPr>
          <w:rPr>
            <w:rFonts w:ascii="Century Gothic" w:hAnsi="Century Gothic"/>
          </w:rPr>
          <w:tag w:val="goog_rdk_2"/>
          <w:id w:val="541095534"/>
          <w:showingPlcHdr/>
        </w:sdtPr>
        <w:sdtContent>
          <w:r w:rsidR="00BE4B08" w:rsidRPr="00E94619">
            <w:rPr>
              <w:rFonts w:ascii="Century Gothic" w:hAnsi="Century Gothic"/>
            </w:rPr>
            <w:t xml:space="preserve">     </w:t>
          </w:r>
        </w:sdtContent>
      </w:sdt>
      <w:r w:rsidR="0036411F" w:rsidRPr="00E94619">
        <w:rPr>
          <w:rFonts w:ascii="Century Gothic" w:hAnsi="Century Gothic"/>
          <w:b/>
          <w:sz w:val="16"/>
          <w:szCs w:val="16"/>
        </w:rPr>
        <w:t>Gráfica 1.</w:t>
      </w:r>
      <w:r w:rsidR="00077E6C">
        <w:rPr>
          <w:rFonts w:ascii="Century Gothic" w:hAnsi="Century Gothic"/>
          <w:b/>
          <w:sz w:val="16"/>
          <w:szCs w:val="16"/>
        </w:rPr>
        <w:t>Casos registrados de victimas de violencia por pareja</w:t>
      </w:r>
    </w:p>
    <w:p w14:paraId="2E889175" w14:textId="77777777" w:rsidR="001238D7" w:rsidRPr="00E94619" w:rsidRDefault="001238D7" w:rsidP="000E5AC0">
      <w:pPr>
        <w:spacing w:after="0" w:line="240" w:lineRule="auto"/>
        <w:jc w:val="both"/>
        <w:rPr>
          <w:rFonts w:ascii="Century Gothic" w:hAnsi="Century Gothic"/>
        </w:rPr>
      </w:pPr>
    </w:p>
    <w:p w14:paraId="484114BD" w14:textId="77777777" w:rsidR="001238D7" w:rsidRPr="00E94619" w:rsidRDefault="00345872"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64384" behindDoc="0" locked="0" layoutInCell="1" allowOverlap="1" wp14:anchorId="2B127964" wp14:editId="15034C04">
            <wp:simplePos x="0" y="0"/>
            <wp:positionH relativeFrom="column">
              <wp:posOffset>1257300</wp:posOffset>
            </wp:positionH>
            <wp:positionV relativeFrom="paragraph">
              <wp:posOffset>53340</wp:posOffset>
            </wp:positionV>
            <wp:extent cx="2860675" cy="1470025"/>
            <wp:effectExtent l="0" t="0" r="9525"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56B55" w14:textId="77777777" w:rsidR="001238D7" w:rsidRPr="00E94619" w:rsidRDefault="001238D7" w:rsidP="000E5AC0">
      <w:pPr>
        <w:spacing w:after="0" w:line="240" w:lineRule="auto"/>
        <w:jc w:val="both"/>
        <w:rPr>
          <w:rFonts w:ascii="Century Gothic" w:hAnsi="Century Gothic"/>
        </w:rPr>
      </w:pPr>
    </w:p>
    <w:p w14:paraId="3A87F5AB" w14:textId="77777777" w:rsidR="00077E6C" w:rsidRDefault="00077E6C" w:rsidP="000E5AC0">
      <w:pPr>
        <w:rPr>
          <w:rFonts w:ascii="Century Gothic" w:hAnsi="Century Gothic"/>
          <w:noProof/>
          <w:sz w:val="16"/>
          <w:szCs w:val="16"/>
          <w:bdr w:val="none" w:sz="0" w:space="0" w:color="auto" w:frame="1"/>
        </w:rPr>
      </w:pPr>
    </w:p>
    <w:p w14:paraId="0CE86E27" w14:textId="77777777" w:rsidR="00077E6C" w:rsidRDefault="00077E6C" w:rsidP="000E5AC0">
      <w:pPr>
        <w:rPr>
          <w:rFonts w:ascii="Century Gothic" w:hAnsi="Century Gothic"/>
          <w:noProof/>
          <w:sz w:val="16"/>
          <w:szCs w:val="16"/>
          <w:bdr w:val="none" w:sz="0" w:space="0" w:color="auto" w:frame="1"/>
        </w:rPr>
      </w:pPr>
    </w:p>
    <w:p w14:paraId="4BD67727" w14:textId="77777777" w:rsidR="00077E6C" w:rsidRDefault="00077E6C" w:rsidP="000E5AC0">
      <w:pPr>
        <w:rPr>
          <w:rFonts w:ascii="Century Gothic" w:hAnsi="Century Gothic"/>
          <w:noProof/>
          <w:sz w:val="16"/>
          <w:szCs w:val="16"/>
          <w:bdr w:val="none" w:sz="0" w:space="0" w:color="auto" w:frame="1"/>
        </w:rPr>
      </w:pPr>
    </w:p>
    <w:p w14:paraId="7DA5FAB7" w14:textId="77777777" w:rsidR="00077E6C" w:rsidRDefault="00077E6C" w:rsidP="000E5AC0">
      <w:pPr>
        <w:rPr>
          <w:rFonts w:ascii="Century Gothic" w:hAnsi="Century Gothic"/>
          <w:noProof/>
          <w:sz w:val="16"/>
          <w:szCs w:val="16"/>
          <w:bdr w:val="none" w:sz="0" w:space="0" w:color="auto" w:frame="1"/>
        </w:rPr>
      </w:pPr>
    </w:p>
    <w:p w14:paraId="63903FBB" w14:textId="77777777" w:rsidR="00077E6C" w:rsidRDefault="00077E6C" w:rsidP="000E5AC0">
      <w:pPr>
        <w:rPr>
          <w:rFonts w:ascii="Century Gothic" w:hAnsi="Century Gothic"/>
          <w:noProof/>
          <w:sz w:val="16"/>
          <w:szCs w:val="16"/>
          <w:bdr w:val="none" w:sz="0" w:space="0" w:color="auto" w:frame="1"/>
        </w:rPr>
      </w:pPr>
    </w:p>
    <w:p w14:paraId="2FE9CF83" w14:textId="77777777" w:rsidR="00077E6C" w:rsidRDefault="00077E6C" w:rsidP="000E5AC0">
      <w:pPr>
        <w:rPr>
          <w:rFonts w:ascii="Century Gothic" w:hAnsi="Century Gothic"/>
          <w:noProof/>
          <w:sz w:val="16"/>
          <w:szCs w:val="16"/>
          <w:bdr w:val="none" w:sz="0" w:space="0" w:color="auto" w:frame="1"/>
        </w:rPr>
      </w:pPr>
    </w:p>
    <w:p w14:paraId="47B35918" w14:textId="37CAA19E" w:rsidR="0005186D" w:rsidRPr="00E94619" w:rsidRDefault="003832AE" w:rsidP="00077E6C">
      <w:pPr>
        <w:jc w:val="center"/>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Fuente: Instituto</w:t>
      </w:r>
      <w:r w:rsidR="0005186D" w:rsidRPr="00E94619">
        <w:rPr>
          <w:rFonts w:ascii="Century Gothic" w:hAnsi="Century Gothic"/>
          <w:noProof/>
          <w:sz w:val="16"/>
          <w:szCs w:val="16"/>
          <w:bdr w:val="none" w:sz="0" w:space="0" w:color="auto" w:frame="1"/>
        </w:rPr>
        <w:t xml:space="preserve"> Nacional de Medicina Legal y Ciencias Forenses</w:t>
      </w:r>
      <w:r w:rsidR="001441C2" w:rsidRPr="00E94619">
        <w:rPr>
          <w:rFonts w:ascii="Century Gothic" w:hAnsi="Century Gothic"/>
          <w:noProof/>
          <w:sz w:val="16"/>
          <w:szCs w:val="16"/>
          <w:bdr w:val="none" w:sz="0" w:space="0" w:color="auto" w:frame="1"/>
        </w:rPr>
        <w:t xml:space="preserve">. </w:t>
      </w:r>
      <w:r w:rsidR="0005186D" w:rsidRPr="00E94619">
        <w:rPr>
          <w:rFonts w:ascii="Century Gothic" w:hAnsi="Century Gothic"/>
          <w:noProof/>
          <w:sz w:val="16"/>
          <w:szCs w:val="16"/>
          <w:bdr w:val="none" w:sz="0" w:space="0" w:color="auto" w:frame="1"/>
        </w:rPr>
        <w:t>Forensis 2017, 2018, 2019.</w:t>
      </w:r>
    </w:p>
    <w:p w14:paraId="466DD6EB" w14:textId="77777777" w:rsidR="001238D7" w:rsidRPr="00E94619" w:rsidRDefault="001238D7" w:rsidP="000E5AC0">
      <w:pPr>
        <w:spacing w:after="0" w:line="240" w:lineRule="auto"/>
        <w:jc w:val="both"/>
        <w:rPr>
          <w:rFonts w:ascii="Century Gothic" w:hAnsi="Century Gothic"/>
          <w:color w:val="000000"/>
          <w:sz w:val="16"/>
          <w:szCs w:val="16"/>
        </w:rPr>
      </w:pPr>
    </w:p>
    <w:p w14:paraId="7EDAD01B" w14:textId="77777777" w:rsidR="001238D7" w:rsidRDefault="0036411F" w:rsidP="000E5AC0">
      <w:pPr>
        <w:spacing w:after="0" w:line="240" w:lineRule="auto"/>
        <w:jc w:val="both"/>
        <w:rPr>
          <w:rFonts w:ascii="Century Gothic" w:hAnsi="Century Gothic"/>
        </w:rPr>
      </w:pPr>
      <w:r w:rsidRPr="00E94619">
        <w:rPr>
          <w:rFonts w:ascii="Century Gothic" w:hAnsi="Century Gothic"/>
        </w:rPr>
        <w:t xml:space="preserve">Con respecto a los grupos étnicos se mantiene la tendencia de mayor vulnerabilidad por parte de las mujeres en la violencia de pareja.  </w:t>
      </w:r>
    </w:p>
    <w:p w14:paraId="7E54B672" w14:textId="77777777" w:rsidR="00E31EE1" w:rsidRDefault="00E31EE1" w:rsidP="000E5AC0">
      <w:pPr>
        <w:spacing w:after="0" w:line="240" w:lineRule="auto"/>
        <w:jc w:val="both"/>
        <w:rPr>
          <w:rFonts w:ascii="Century Gothic" w:hAnsi="Century Gothic"/>
        </w:rPr>
      </w:pPr>
    </w:p>
    <w:p w14:paraId="5B4637C6" w14:textId="77777777" w:rsidR="003F560F" w:rsidRDefault="003F560F" w:rsidP="000E5AC0">
      <w:pPr>
        <w:spacing w:after="0" w:line="240" w:lineRule="auto"/>
        <w:jc w:val="both"/>
        <w:rPr>
          <w:rFonts w:ascii="Century Gothic" w:hAnsi="Century Gothic"/>
        </w:rPr>
      </w:pPr>
    </w:p>
    <w:p w14:paraId="2FD692E7" w14:textId="77777777" w:rsidR="003F560F" w:rsidRDefault="003F560F" w:rsidP="000E5AC0">
      <w:pPr>
        <w:spacing w:after="0" w:line="240" w:lineRule="auto"/>
        <w:jc w:val="both"/>
        <w:rPr>
          <w:rFonts w:ascii="Century Gothic" w:hAnsi="Century Gothic"/>
        </w:rPr>
      </w:pPr>
    </w:p>
    <w:p w14:paraId="55CE77F1" w14:textId="77777777" w:rsidR="003F560F" w:rsidRDefault="003F560F" w:rsidP="000E5AC0">
      <w:pPr>
        <w:spacing w:after="0" w:line="240" w:lineRule="auto"/>
        <w:jc w:val="both"/>
        <w:rPr>
          <w:rFonts w:ascii="Century Gothic" w:hAnsi="Century Gothic"/>
        </w:rPr>
      </w:pPr>
    </w:p>
    <w:p w14:paraId="6CDC3216" w14:textId="77777777" w:rsidR="003F560F" w:rsidRPr="00E94619" w:rsidRDefault="003F560F" w:rsidP="000E5AC0">
      <w:pPr>
        <w:spacing w:after="0" w:line="240" w:lineRule="auto"/>
        <w:jc w:val="both"/>
        <w:rPr>
          <w:rFonts w:ascii="Century Gothic" w:hAnsi="Century Gothic"/>
        </w:rPr>
      </w:pPr>
    </w:p>
    <w:p w14:paraId="73A6F9BF" w14:textId="3928FA0B" w:rsidR="00077E6C" w:rsidRDefault="00077E6C" w:rsidP="000E5AC0">
      <w:pPr>
        <w:spacing w:after="0" w:line="240" w:lineRule="auto"/>
        <w:jc w:val="both"/>
        <w:rPr>
          <w:rFonts w:ascii="Century Gothic" w:hAnsi="Century Gothic"/>
          <w:b/>
          <w:sz w:val="16"/>
          <w:szCs w:val="16"/>
        </w:rPr>
      </w:pPr>
    </w:p>
    <w:p w14:paraId="2B6E9ABD" w14:textId="7B38D361" w:rsidR="001238D7" w:rsidRPr="00E94619" w:rsidRDefault="0036411F" w:rsidP="00077E6C">
      <w:pPr>
        <w:spacing w:after="0" w:line="240" w:lineRule="auto"/>
        <w:jc w:val="center"/>
        <w:rPr>
          <w:rFonts w:ascii="Century Gothic" w:hAnsi="Century Gothic"/>
          <w:b/>
          <w:sz w:val="16"/>
          <w:szCs w:val="16"/>
        </w:rPr>
      </w:pPr>
      <w:r w:rsidRPr="00E94619">
        <w:rPr>
          <w:rFonts w:ascii="Century Gothic" w:hAnsi="Century Gothic"/>
          <w:b/>
          <w:sz w:val="16"/>
          <w:szCs w:val="16"/>
        </w:rPr>
        <w:lastRenderedPageBreak/>
        <w:t>Gráfica 2</w:t>
      </w:r>
      <w:sdt>
        <w:sdtPr>
          <w:rPr>
            <w:rFonts w:ascii="Century Gothic" w:hAnsi="Century Gothic"/>
            <w:b/>
            <w:sz w:val="16"/>
            <w:szCs w:val="16"/>
          </w:rPr>
          <w:tag w:val="goog_rdk_3"/>
          <w:id w:val="-1858651723"/>
        </w:sdtPr>
        <w:sdtEndPr>
          <w:rPr>
            <w:b w:val="0"/>
            <w:sz w:val="22"/>
            <w:szCs w:val="22"/>
          </w:rPr>
        </w:sdtEndPr>
        <w:sdtContent>
          <w:r w:rsidR="00077E6C" w:rsidRPr="00077E6C">
            <w:rPr>
              <w:rFonts w:ascii="Century Gothic" w:hAnsi="Century Gothic"/>
              <w:b/>
              <w:sz w:val="16"/>
              <w:szCs w:val="16"/>
            </w:rPr>
            <w:t>. Violencia de pareja – casos grupos etnicos</w:t>
          </w:r>
        </w:sdtContent>
      </w:sdt>
    </w:p>
    <w:p w14:paraId="4D33131C" w14:textId="77777777" w:rsidR="001238D7" w:rsidRPr="00E94619" w:rsidRDefault="001238D7" w:rsidP="000E5AC0">
      <w:pPr>
        <w:spacing w:after="0" w:line="240" w:lineRule="auto"/>
        <w:jc w:val="both"/>
        <w:rPr>
          <w:rFonts w:ascii="Century Gothic" w:hAnsi="Century Gothic"/>
        </w:rPr>
      </w:pPr>
    </w:p>
    <w:p w14:paraId="3B70F9D4" w14:textId="77777777" w:rsidR="001238D7" w:rsidRPr="00E94619" w:rsidRDefault="0062285A"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65408" behindDoc="0" locked="0" layoutInCell="1" allowOverlap="1" wp14:anchorId="438AD8CE" wp14:editId="4725BB8C">
            <wp:simplePos x="0" y="0"/>
            <wp:positionH relativeFrom="column">
              <wp:posOffset>1371600</wp:posOffset>
            </wp:positionH>
            <wp:positionV relativeFrom="paragraph">
              <wp:posOffset>26670</wp:posOffset>
            </wp:positionV>
            <wp:extent cx="2701925" cy="1283970"/>
            <wp:effectExtent l="0" t="0" r="0" b="1143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1925" cy="1283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D1FFD" w14:textId="77777777" w:rsidR="001238D7" w:rsidRPr="00E94619" w:rsidRDefault="001238D7" w:rsidP="000E5AC0">
      <w:pPr>
        <w:spacing w:after="0" w:line="240" w:lineRule="auto"/>
        <w:jc w:val="both"/>
        <w:rPr>
          <w:rFonts w:ascii="Century Gothic" w:hAnsi="Century Gothic"/>
        </w:rPr>
      </w:pPr>
    </w:p>
    <w:p w14:paraId="0D98C400" w14:textId="77777777" w:rsidR="00077E6C" w:rsidRDefault="00077E6C" w:rsidP="000E5AC0">
      <w:pPr>
        <w:rPr>
          <w:rFonts w:ascii="Century Gothic" w:hAnsi="Century Gothic"/>
          <w:noProof/>
          <w:sz w:val="16"/>
          <w:szCs w:val="16"/>
          <w:bdr w:val="none" w:sz="0" w:space="0" w:color="auto" w:frame="1"/>
        </w:rPr>
      </w:pPr>
    </w:p>
    <w:p w14:paraId="38A3FB2F" w14:textId="77777777" w:rsidR="00077E6C" w:rsidRDefault="00077E6C" w:rsidP="000E5AC0">
      <w:pPr>
        <w:rPr>
          <w:rFonts w:ascii="Century Gothic" w:hAnsi="Century Gothic"/>
          <w:noProof/>
          <w:sz w:val="16"/>
          <w:szCs w:val="16"/>
          <w:bdr w:val="none" w:sz="0" w:space="0" w:color="auto" w:frame="1"/>
        </w:rPr>
      </w:pPr>
    </w:p>
    <w:p w14:paraId="05E802FC" w14:textId="77777777" w:rsidR="00077E6C" w:rsidRDefault="00077E6C" w:rsidP="000E5AC0">
      <w:pPr>
        <w:rPr>
          <w:rFonts w:ascii="Century Gothic" w:hAnsi="Century Gothic"/>
          <w:noProof/>
          <w:sz w:val="16"/>
          <w:szCs w:val="16"/>
          <w:bdr w:val="none" w:sz="0" w:space="0" w:color="auto" w:frame="1"/>
        </w:rPr>
      </w:pPr>
    </w:p>
    <w:p w14:paraId="30C726E9" w14:textId="77777777" w:rsidR="00077E6C" w:rsidRDefault="00077E6C" w:rsidP="000E5AC0">
      <w:pPr>
        <w:rPr>
          <w:rFonts w:ascii="Century Gothic" w:hAnsi="Century Gothic"/>
          <w:noProof/>
          <w:sz w:val="16"/>
          <w:szCs w:val="16"/>
          <w:bdr w:val="none" w:sz="0" w:space="0" w:color="auto" w:frame="1"/>
        </w:rPr>
      </w:pPr>
    </w:p>
    <w:p w14:paraId="632C764F" w14:textId="77777777" w:rsidR="00077E6C" w:rsidRDefault="00077E6C" w:rsidP="000E5AC0">
      <w:pPr>
        <w:rPr>
          <w:rFonts w:ascii="Century Gothic" w:hAnsi="Century Gothic"/>
          <w:noProof/>
          <w:sz w:val="16"/>
          <w:szCs w:val="16"/>
          <w:bdr w:val="none" w:sz="0" w:space="0" w:color="auto" w:frame="1"/>
        </w:rPr>
      </w:pPr>
    </w:p>
    <w:p w14:paraId="76313547" w14:textId="267DDEEC" w:rsidR="000D3BA6" w:rsidRPr="00E94619" w:rsidRDefault="003832AE" w:rsidP="00077E6C">
      <w:pPr>
        <w:jc w:val="right"/>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 xml:space="preserve">Fuente: </w:t>
      </w:r>
      <w:r w:rsidR="000D3BA6" w:rsidRPr="00E94619">
        <w:rPr>
          <w:rFonts w:ascii="Century Gothic" w:hAnsi="Century Gothic"/>
          <w:noProof/>
          <w:sz w:val="16"/>
          <w:szCs w:val="16"/>
          <w:bdr w:val="none" w:sz="0" w:space="0" w:color="auto" w:frame="1"/>
        </w:rPr>
        <w:t xml:space="preserve"> Instituto Nacional de Medicina Legal y Ciencias Forenses_Forensis Datos para la Vida_Año 2017. </w:t>
      </w:r>
    </w:p>
    <w:p w14:paraId="58D5D51C"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El mayor número de casos de mujeres registrados por violencia de pareja en</w:t>
      </w:r>
      <w:r w:rsidR="002C0182" w:rsidRPr="00E94619">
        <w:rPr>
          <w:rFonts w:ascii="Century Gothic" w:hAnsi="Century Gothic"/>
        </w:rPr>
        <w:t>tre</w:t>
      </w:r>
      <w:r w:rsidRPr="00E94619">
        <w:rPr>
          <w:rFonts w:ascii="Century Gothic" w:hAnsi="Century Gothic"/>
        </w:rPr>
        <w:t xml:space="preserve"> el 201</w:t>
      </w:r>
      <w:r w:rsidR="00550AB8" w:rsidRPr="00E94619">
        <w:rPr>
          <w:rFonts w:ascii="Century Gothic" w:hAnsi="Century Gothic"/>
        </w:rPr>
        <w:t>8</w:t>
      </w:r>
      <w:r w:rsidR="009403B7" w:rsidRPr="00E94619">
        <w:rPr>
          <w:rFonts w:ascii="Century Gothic" w:hAnsi="Century Gothic"/>
        </w:rPr>
        <w:t xml:space="preserve"> y el 2019</w:t>
      </w:r>
      <w:r w:rsidRPr="00E94619">
        <w:rPr>
          <w:rFonts w:ascii="Century Gothic" w:hAnsi="Century Gothic"/>
        </w:rPr>
        <w:t xml:space="preserve"> se presentó en Bogotá</w:t>
      </w:r>
      <w:r w:rsidR="00A55A7E" w:rsidRPr="00E94619">
        <w:rPr>
          <w:rFonts w:ascii="Century Gothic" w:hAnsi="Century Gothic"/>
        </w:rPr>
        <w:t>, Antioquia, Cundinamarca y Valle del Cauca</w:t>
      </w:r>
      <w:r w:rsidR="009403B7" w:rsidRPr="00E94619">
        <w:rPr>
          <w:rStyle w:val="Refdenotaalpie"/>
          <w:rFonts w:ascii="Century Gothic" w:hAnsi="Century Gothic"/>
        </w:rPr>
        <w:footnoteReference w:id="12"/>
      </w:r>
      <w:r w:rsidRPr="00E94619">
        <w:rPr>
          <w:rFonts w:ascii="Century Gothic" w:hAnsi="Century Gothic"/>
        </w:rPr>
        <w:t xml:space="preserve">. Lo anterior puede responder a que en estas ciudades es más fácil denunciar, ya que hay una mayor presencia institucional y un mayor acceso a información por parte de las mujeres acerca de la prevención, atención y protección frente a las violencias de género. </w:t>
      </w:r>
    </w:p>
    <w:p w14:paraId="02C9CB25" w14:textId="77777777" w:rsidR="001238D7" w:rsidRPr="000042BF" w:rsidRDefault="0036411F" w:rsidP="000E5AC0">
      <w:pPr>
        <w:pStyle w:val="Ttulo4"/>
        <w:rPr>
          <w:rFonts w:ascii="Century Gothic" w:eastAsia="Cambria" w:hAnsi="Century Gothic" w:cs="Cambria"/>
          <w:b w:val="0"/>
          <w:i w:val="0"/>
          <w:color w:val="CC3366"/>
          <w:u w:val="single"/>
        </w:rPr>
      </w:pPr>
      <w:bookmarkStart w:id="30" w:name="_Toc488624247"/>
      <w:r w:rsidRPr="000042BF">
        <w:rPr>
          <w:rFonts w:ascii="Century Gothic" w:eastAsia="Cambria" w:hAnsi="Century Gothic" w:cs="Cambria"/>
          <w:b w:val="0"/>
          <w:i w:val="0"/>
          <w:color w:val="CC3366"/>
          <w:u w:val="single"/>
        </w:rPr>
        <w:t>1.1.2 Violencia física contra niñas, niños y adolescentes (NNA)</w:t>
      </w:r>
      <w:bookmarkEnd w:id="30"/>
    </w:p>
    <w:p w14:paraId="1282EB7D" w14:textId="77777777" w:rsidR="001238D7" w:rsidRPr="00E94619" w:rsidRDefault="001238D7" w:rsidP="000E5AC0">
      <w:pPr>
        <w:spacing w:after="0"/>
        <w:jc w:val="both"/>
        <w:rPr>
          <w:rFonts w:ascii="Century Gothic" w:hAnsi="Century Gothic"/>
          <w:b/>
        </w:rPr>
      </w:pPr>
    </w:p>
    <w:p w14:paraId="4390D1DC" w14:textId="77777777" w:rsidR="001238D7" w:rsidRPr="00E94619" w:rsidRDefault="0036411F" w:rsidP="000E5AC0">
      <w:pPr>
        <w:jc w:val="both"/>
        <w:rPr>
          <w:rFonts w:ascii="Century Gothic" w:hAnsi="Century Gothic"/>
        </w:rPr>
      </w:pPr>
      <w:r w:rsidRPr="00E94619">
        <w:rPr>
          <w:rFonts w:ascii="Century Gothic" w:hAnsi="Century Gothic"/>
        </w:rPr>
        <w:t xml:space="preserve">Con respecto a las NNA se encontró que las principales víctimas de este tipo de violencia corresponden a las niñas y las adolescentes, en particular a las que tienen entre </w:t>
      </w:r>
      <w:r w:rsidR="00BF46E4" w:rsidRPr="00E94619">
        <w:rPr>
          <w:rFonts w:ascii="Century Gothic" w:hAnsi="Century Gothic"/>
        </w:rPr>
        <w:t>5</w:t>
      </w:r>
      <w:r w:rsidRPr="00E94619">
        <w:rPr>
          <w:rFonts w:ascii="Century Gothic" w:hAnsi="Century Gothic"/>
        </w:rPr>
        <w:t xml:space="preserve"> a 17 años. El número de casos reportados por este delito de manera notoria en el 201</w:t>
      </w:r>
      <w:r w:rsidR="007B51BD" w:rsidRPr="00E94619">
        <w:rPr>
          <w:rFonts w:ascii="Century Gothic" w:hAnsi="Century Gothic"/>
        </w:rPr>
        <w:t>7</w:t>
      </w:r>
      <w:r w:rsidRPr="00E94619">
        <w:rPr>
          <w:rFonts w:ascii="Century Gothic" w:hAnsi="Century Gothic"/>
        </w:rPr>
        <w:t xml:space="preserve"> hubo un incremento que se sost</w:t>
      </w:r>
      <w:r w:rsidR="007B51BD" w:rsidRPr="00E94619">
        <w:rPr>
          <w:rFonts w:ascii="Century Gothic" w:hAnsi="Century Gothic"/>
        </w:rPr>
        <w:t xml:space="preserve">iene hasta el 2019 con un número de casos registrados de </w:t>
      </w:r>
      <w:r w:rsidR="00384C6B" w:rsidRPr="00E94619">
        <w:rPr>
          <w:rFonts w:ascii="Century Gothic" w:hAnsi="Century Gothic"/>
        </w:rPr>
        <w:t>10.000 aprox</w:t>
      </w:r>
      <w:r w:rsidRPr="00E94619">
        <w:rPr>
          <w:rFonts w:ascii="Century Gothic" w:hAnsi="Century Gothic"/>
        </w:rPr>
        <w:t xml:space="preserve">. </w:t>
      </w:r>
    </w:p>
    <w:p w14:paraId="25CFBF4A" w14:textId="3BC3A159" w:rsidR="009E67C1" w:rsidRPr="00E94619" w:rsidRDefault="009E67C1" w:rsidP="00077E6C">
      <w:pPr>
        <w:spacing w:after="0" w:line="240" w:lineRule="auto"/>
        <w:jc w:val="center"/>
        <w:rPr>
          <w:rFonts w:ascii="Century Gothic" w:hAnsi="Century Gothic"/>
          <w:b/>
          <w:sz w:val="16"/>
          <w:szCs w:val="16"/>
        </w:rPr>
      </w:pPr>
      <w:r w:rsidRPr="00077E6C">
        <w:rPr>
          <w:rFonts w:ascii="Century Gothic" w:hAnsi="Century Gothic"/>
          <w:b/>
          <w:sz w:val="16"/>
          <w:szCs w:val="16"/>
        </w:rPr>
        <w:t>Grafica 3</w:t>
      </w:r>
      <w:r w:rsidR="00077E6C" w:rsidRPr="00077E6C">
        <w:rPr>
          <w:rFonts w:ascii="Century Gothic" w:hAnsi="Century Gothic"/>
          <w:b/>
          <w:sz w:val="16"/>
          <w:szCs w:val="16"/>
        </w:rPr>
        <w:t>. NNA Victimas de violencia fisica (2017-2019)</w:t>
      </w:r>
    </w:p>
    <w:p w14:paraId="2DEA2F9C" w14:textId="77777777" w:rsidR="001238D7" w:rsidRPr="00E94619" w:rsidRDefault="00724791" w:rsidP="000E5AC0">
      <w:pPr>
        <w:spacing w:after="0"/>
        <w:rPr>
          <w:rFonts w:ascii="Century Gothic" w:eastAsia="Calibri" w:hAnsi="Century Gothic" w:cs="Calibri"/>
          <w:color w:val="000000"/>
          <w:sz w:val="16"/>
          <w:szCs w:val="16"/>
        </w:rPr>
      </w:pPr>
      <w:r w:rsidRPr="00E94619">
        <w:rPr>
          <w:rFonts w:ascii="Century Gothic" w:hAnsi="Century Gothic"/>
          <w:noProof/>
          <w:lang w:val="es-ES" w:eastAsia="es-ES"/>
        </w:rPr>
        <w:drawing>
          <wp:anchor distT="0" distB="0" distL="114300" distR="114300" simplePos="0" relativeHeight="251666432" behindDoc="0" locked="0" layoutInCell="1" allowOverlap="1" wp14:anchorId="18CC3A3C" wp14:editId="3B11C81E">
            <wp:simplePos x="0" y="0"/>
            <wp:positionH relativeFrom="column">
              <wp:posOffset>1600200</wp:posOffset>
            </wp:positionH>
            <wp:positionV relativeFrom="paragraph">
              <wp:posOffset>50800</wp:posOffset>
            </wp:positionV>
            <wp:extent cx="2169795" cy="108648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9795" cy="108648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entury Gothic" w:hAnsi="Century Gothic"/>
          </w:rPr>
          <w:tag w:val="goog_rdk_4"/>
          <w:id w:val="-1907452487"/>
          <w:showingPlcHdr/>
        </w:sdtPr>
        <w:sdtContent>
          <w:r w:rsidR="003832AE" w:rsidRPr="00E94619">
            <w:rPr>
              <w:rFonts w:ascii="Century Gothic" w:hAnsi="Century Gothic"/>
            </w:rPr>
            <w:t xml:space="preserve">     </w:t>
          </w:r>
        </w:sdtContent>
      </w:sdt>
    </w:p>
    <w:p w14:paraId="3436EBE9" w14:textId="77777777" w:rsidR="00077E6C" w:rsidRDefault="00077E6C" w:rsidP="000E5AC0">
      <w:pPr>
        <w:rPr>
          <w:rFonts w:ascii="Century Gothic" w:hAnsi="Century Gothic"/>
          <w:noProof/>
          <w:sz w:val="16"/>
          <w:szCs w:val="16"/>
          <w:bdr w:val="none" w:sz="0" w:space="0" w:color="auto" w:frame="1"/>
        </w:rPr>
      </w:pPr>
    </w:p>
    <w:p w14:paraId="3A050849" w14:textId="77777777" w:rsidR="00077E6C" w:rsidRDefault="00077E6C" w:rsidP="000E5AC0">
      <w:pPr>
        <w:rPr>
          <w:rFonts w:ascii="Century Gothic" w:hAnsi="Century Gothic"/>
          <w:noProof/>
          <w:sz w:val="16"/>
          <w:szCs w:val="16"/>
          <w:bdr w:val="none" w:sz="0" w:space="0" w:color="auto" w:frame="1"/>
        </w:rPr>
      </w:pPr>
    </w:p>
    <w:p w14:paraId="6E1BACA9" w14:textId="77777777" w:rsidR="00077E6C" w:rsidRDefault="00077E6C" w:rsidP="000E5AC0">
      <w:pPr>
        <w:rPr>
          <w:rFonts w:ascii="Century Gothic" w:hAnsi="Century Gothic"/>
          <w:noProof/>
          <w:sz w:val="16"/>
          <w:szCs w:val="16"/>
          <w:bdr w:val="none" w:sz="0" w:space="0" w:color="auto" w:frame="1"/>
        </w:rPr>
      </w:pPr>
    </w:p>
    <w:p w14:paraId="36BBCEEC" w14:textId="77777777" w:rsidR="00077E6C" w:rsidRDefault="00077E6C" w:rsidP="000E5AC0">
      <w:pPr>
        <w:rPr>
          <w:rFonts w:ascii="Century Gothic" w:hAnsi="Century Gothic"/>
          <w:noProof/>
          <w:sz w:val="16"/>
          <w:szCs w:val="16"/>
          <w:bdr w:val="none" w:sz="0" w:space="0" w:color="auto" w:frame="1"/>
        </w:rPr>
      </w:pPr>
    </w:p>
    <w:p w14:paraId="5DFE1391" w14:textId="77777777" w:rsidR="00077E6C" w:rsidRDefault="00077E6C" w:rsidP="000E5AC0">
      <w:pPr>
        <w:rPr>
          <w:rFonts w:ascii="Century Gothic" w:hAnsi="Century Gothic"/>
          <w:noProof/>
          <w:sz w:val="16"/>
          <w:szCs w:val="16"/>
          <w:bdr w:val="none" w:sz="0" w:space="0" w:color="auto" w:frame="1"/>
        </w:rPr>
      </w:pPr>
    </w:p>
    <w:p w14:paraId="0C313038" w14:textId="774187BA" w:rsidR="007B4E30" w:rsidRPr="00E94619" w:rsidRDefault="003832AE" w:rsidP="00077E6C">
      <w:pPr>
        <w:jc w:val="center"/>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Fuente:</w:t>
      </w:r>
      <w:r w:rsidR="007B4E30" w:rsidRPr="00E94619">
        <w:rPr>
          <w:rFonts w:ascii="Century Gothic" w:hAnsi="Century Gothic"/>
          <w:noProof/>
          <w:sz w:val="16"/>
          <w:szCs w:val="16"/>
          <w:bdr w:val="none" w:sz="0" w:space="0" w:color="auto" w:frame="1"/>
        </w:rPr>
        <w:t xml:space="preserve"> Instituto Nacional de Medicina Legal y Ciencias Forenses</w:t>
      </w:r>
      <w:r w:rsidR="001441C2" w:rsidRPr="00E94619">
        <w:rPr>
          <w:rFonts w:ascii="Century Gothic" w:hAnsi="Century Gothic"/>
          <w:noProof/>
          <w:sz w:val="16"/>
          <w:szCs w:val="16"/>
          <w:bdr w:val="none" w:sz="0" w:space="0" w:color="auto" w:frame="1"/>
        </w:rPr>
        <w:t>. Forensis</w:t>
      </w:r>
      <w:r w:rsidR="007B4E30" w:rsidRPr="00E94619">
        <w:rPr>
          <w:rFonts w:ascii="Century Gothic" w:hAnsi="Century Gothic"/>
          <w:noProof/>
          <w:sz w:val="16"/>
          <w:szCs w:val="16"/>
          <w:bdr w:val="none" w:sz="0" w:space="0" w:color="auto" w:frame="1"/>
        </w:rPr>
        <w:t xml:space="preserve"> 2017, 2018, 2019.</w:t>
      </w:r>
    </w:p>
    <w:p w14:paraId="56137ED4" w14:textId="77777777" w:rsidR="001238D7" w:rsidRDefault="0036411F" w:rsidP="000E5AC0">
      <w:pPr>
        <w:jc w:val="both"/>
        <w:rPr>
          <w:rFonts w:ascii="Century Gothic" w:hAnsi="Century Gothic"/>
        </w:rPr>
      </w:pPr>
      <w:r w:rsidRPr="00E94619">
        <w:rPr>
          <w:rFonts w:ascii="Century Gothic" w:hAnsi="Century Gothic"/>
        </w:rPr>
        <w:t xml:space="preserve">En relación con los NNA pertenecientes a grupos étnicos se encontró que el número de casos reportados es bajo, lo que podría evidenciar un </w:t>
      </w:r>
      <w:r w:rsidR="00E609F4" w:rsidRPr="00E94619">
        <w:rPr>
          <w:rFonts w:ascii="Century Gothic" w:hAnsi="Century Gothic"/>
        </w:rPr>
        <w:t>subregistro</w:t>
      </w:r>
      <w:r w:rsidRPr="00E94619">
        <w:rPr>
          <w:rFonts w:ascii="Century Gothic" w:hAnsi="Century Gothic"/>
        </w:rPr>
        <w:t xml:space="preserve"> alto debido a que este tipo de problemáticas son atendidas dentro de sus propios ordenamientos, de acuerdo con sus cosmovisiones, y/o a la falta de acceso a servicios del Estado. En las cifras presentadas no se evidencia una brecha significativa entre mujeres y hombres.</w:t>
      </w:r>
    </w:p>
    <w:p w14:paraId="12E8253C" w14:textId="77777777" w:rsidR="00E31EE1" w:rsidRDefault="00E31EE1" w:rsidP="000E5AC0">
      <w:pPr>
        <w:jc w:val="both"/>
        <w:rPr>
          <w:rFonts w:ascii="Century Gothic" w:hAnsi="Century Gothic"/>
        </w:rPr>
      </w:pPr>
    </w:p>
    <w:p w14:paraId="6EE91EF9" w14:textId="40CF0A38" w:rsidR="00E31EE1" w:rsidRPr="00E94619" w:rsidRDefault="00830DBC" w:rsidP="000E5AC0">
      <w:pPr>
        <w:jc w:val="both"/>
        <w:rPr>
          <w:rFonts w:ascii="Century Gothic" w:hAnsi="Century Gothic"/>
        </w:rPr>
      </w:pPr>
      <w:r>
        <w:rPr>
          <w:rFonts w:ascii="Century Gothic" w:hAnsi="Century Gothic"/>
          <w:b/>
          <w:noProof/>
          <w:szCs w:val="24"/>
          <w:lang w:val="es-ES"/>
        </w:rPr>
        <w:drawing>
          <wp:anchor distT="0" distB="0" distL="114300" distR="114300" simplePos="0" relativeHeight="251773952" behindDoc="0" locked="0" layoutInCell="1" allowOverlap="1" wp14:anchorId="45052FC1" wp14:editId="4D7FCAC5">
            <wp:simplePos x="0" y="0"/>
            <wp:positionH relativeFrom="column">
              <wp:posOffset>-1080135</wp:posOffset>
            </wp:positionH>
            <wp:positionV relativeFrom="paragraph">
              <wp:posOffset>-8676640</wp:posOffset>
            </wp:positionV>
            <wp:extent cx="965835" cy="708660"/>
            <wp:effectExtent l="0" t="0" r="0" b="0"/>
            <wp:wrapNone/>
            <wp:docPr id="358" name="Imagen 35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1EC8426D" w14:textId="7BB2B6A6" w:rsidR="000042BF" w:rsidRDefault="0036411F" w:rsidP="000042BF">
      <w:pPr>
        <w:spacing w:line="240" w:lineRule="auto"/>
        <w:jc w:val="center"/>
        <w:rPr>
          <w:rFonts w:ascii="Century Gothic" w:hAnsi="Century Gothic"/>
          <w:b/>
          <w:sz w:val="16"/>
          <w:szCs w:val="16"/>
        </w:rPr>
      </w:pPr>
      <w:r w:rsidRPr="00E94619">
        <w:rPr>
          <w:rFonts w:ascii="Century Gothic" w:hAnsi="Century Gothic"/>
          <w:b/>
          <w:sz w:val="16"/>
          <w:szCs w:val="16"/>
        </w:rPr>
        <w:lastRenderedPageBreak/>
        <w:t>Gráfica 4</w:t>
      </w:r>
      <w:sdt>
        <w:sdtPr>
          <w:rPr>
            <w:rFonts w:ascii="Century Gothic" w:hAnsi="Century Gothic"/>
          </w:rPr>
          <w:tag w:val="goog_rdk_5"/>
          <w:id w:val="-391203396"/>
        </w:sdtPr>
        <w:sdtContent>
          <w:r w:rsidR="000042BF">
            <w:rPr>
              <w:rFonts w:ascii="Century Gothic" w:hAnsi="Century Gothic"/>
            </w:rPr>
            <w:t xml:space="preserve">. </w:t>
          </w:r>
          <w:r w:rsidR="000042BF" w:rsidRPr="000042BF">
            <w:rPr>
              <w:rFonts w:ascii="Century Gothic" w:hAnsi="Century Gothic"/>
              <w:b/>
              <w:sz w:val="16"/>
              <w:szCs w:val="16"/>
            </w:rPr>
            <w:t>Niños y niñas adolecentes pertenecientes a grupos étnicos víctimas de violencia fisica</w:t>
          </w:r>
        </w:sdtContent>
      </w:sdt>
    </w:p>
    <w:p w14:paraId="44F5647B" w14:textId="060A4EBE" w:rsidR="001238D7" w:rsidRDefault="000042BF" w:rsidP="000042BF">
      <w:pPr>
        <w:spacing w:line="240" w:lineRule="auto"/>
        <w:jc w:val="center"/>
        <w:rPr>
          <w:rFonts w:ascii="Century Gothic" w:hAnsi="Century Gothic"/>
          <w:b/>
          <w:sz w:val="16"/>
          <w:szCs w:val="16"/>
        </w:rPr>
      </w:pPr>
      <w:r w:rsidRPr="000042BF">
        <w:rPr>
          <w:rFonts w:ascii="Century Gothic" w:hAnsi="Century Gothic"/>
          <w:b/>
          <w:sz w:val="16"/>
          <w:szCs w:val="16"/>
        </w:rPr>
        <w:t xml:space="preserve"> (2017-2018)</w:t>
      </w:r>
    </w:p>
    <w:p w14:paraId="4517F5C5" w14:textId="547B8964" w:rsidR="000042BF" w:rsidRPr="00E94619" w:rsidRDefault="000042BF" w:rsidP="000042BF">
      <w:pPr>
        <w:spacing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667456" behindDoc="0" locked="0" layoutInCell="1" allowOverlap="1" wp14:anchorId="494021DF" wp14:editId="4DDFD4F5">
            <wp:simplePos x="0" y="0"/>
            <wp:positionH relativeFrom="column">
              <wp:posOffset>1028700</wp:posOffset>
            </wp:positionH>
            <wp:positionV relativeFrom="paragraph">
              <wp:posOffset>36830</wp:posOffset>
            </wp:positionV>
            <wp:extent cx="2964180" cy="1292225"/>
            <wp:effectExtent l="0" t="0" r="7620"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418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C97E1" w14:textId="1E26991E" w:rsidR="001238D7" w:rsidRPr="00E94619" w:rsidRDefault="001238D7" w:rsidP="000E5AC0">
      <w:pPr>
        <w:jc w:val="both"/>
        <w:rPr>
          <w:rFonts w:ascii="Century Gothic" w:hAnsi="Century Gothic"/>
          <w:sz w:val="16"/>
          <w:szCs w:val="16"/>
        </w:rPr>
      </w:pPr>
    </w:p>
    <w:p w14:paraId="1E463EB7" w14:textId="77777777" w:rsidR="000042BF" w:rsidRDefault="000042BF" w:rsidP="000042BF">
      <w:pPr>
        <w:jc w:val="center"/>
        <w:rPr>
          <w:rFonts w:ascii="Century Gothic" w:hAnsi="Century Gothic"/>
          <w:noProof/>
          <w:sz w:val="16"/>
          <w:szCs w:val="16"/>
          <w:bdr w:val="none" w:sz="0" w:space="0" w:color="auto" w:frame="1"/>
        </w:rPr>
      </w:pPr>
    </w:p>
    <w:p w14:paraId="07E0B35F" w14:textId="77777777" w:rsidR="000042BF" w:rsidRDefault="000042BF" w:rsidP="000E5AC0">
      <w:pPr>
        <w:rPr>
          <w:rFonts w:ascii="Century Gothic" w:hAnsi="Century Gothic"/>
          <w:noProof/>
          <w:sz w:val="16"/>
          <w:szCs w:val="16"/>
          <w:bdr w:val="none" w:sz="0" w:space="0" w:color="auto" w:frame="1"/>
        </w:rPr>
      </w:pPr>
    </w:p>
    <w:p w14:paraId="524E0287" w14:textId="77777777" w:rsidR="000042BF" w:rsidRDefault="000042BF" w:rsidP="000E5AC0">
      <w:pPr>
        <w:rPr>
          <w:rFonts w:ascii="Century Gothic" w:hAnsi="Century Gothic"/>
          <w:noProof/>
          <w:sz w:val="16"/>
          <w:szCs w:val="16"/>
          <w:bdr w:val="none" w:sz="0" w:space="0" w:color="auto" w:frame="1"/>
        </w:rPr>
      </w:pPr>
    </w:p>
    <w:p w14:paraId="15C3C5AB" w14:textId="77777777" w:rsidR="000042BF" w:rsidRDefault="000042BF" w:rsidP="000E5AC0">
      <w:pPr>
        <w:rPr>
          <w:rFonts w:ascii="Century Gothic" w:hAnsi="Century Gothic"/>
          <w:noProof/>
          <w:sz w:val="16"/>
          <w:szCs w:val="16"/>
          <w:bdr w:val="none" w:sz="0" w:space="0" w:color="auto" w:frame="1"/>
        </w:rPr>
      </w:pPr>
    </w:p>
    <w:p w14:paraId="04FB5A60" w14:textId="1282F5AF" w:rsidR="00925550" w:rsidRPr="00E94619" w:rsidRDefault="003832AE" w:rsidP="000042BF">
      <w:pPr>
        <w:jc w:val="center"/>
        <w:rPr>
          <w:rFonts w:ascii="Century Gothic" w:hAnsi="Century Gothic"/>
          <w:sz w:val="16"/>
          <w:szCs w:val="16"/>
        </w:rPr>
      </w:pPr>
      <w:r w:rsidRPr="00E94619">
        <w:rPr>
          <w:rFonts w:ascii="Century Gothic" w:hAnsi="Century Gothic"/>
          <w:noProof/>
          <w:sz w:val="16"/>
          <w:szCs w:val="16"/>
          <w:bdr w:val="none" w:sz="0" w:space="0" w:color="auto" w:frame="1"/>
        </w:rPr>
        <w:t>Fuente:</w:t>
      </w:r>
      <w:r w:rsidR="00925550" w:rsidRPr="00E94619">
        <w:rPr>
          <w:rFonts w:ascii="Century Gothic" w:hAnsi="Century Gothic"/>
          <w:noProof/>
          <w:sz w:val="16"/>
          <w:szCs w:val="16"/>
          <w:bdr w:val="none" w:sz="0" w:space="0" w:color="auto" w:frame="1"/>
        </w:rPr>
        <w:t xml:space="preserve"> </w:t>
      </w:r>
      <w:r w:rsidR="00925550" w:rsidRPr="00E94619">
        <w:rPr>
          <w:rFonts w:ascii="Century Gothic" w:hAnsi="Century Gothic"/>
          <w:sz w:val="16"/>
          <w:szCs w:val="16"/>
        </w:rPr>
        <w:t>Instituto Nacional de Medicina Legal y Ciencias Forenses</w:t>
      </w:r>
      <w:r w:rsidR="001441C2" w:rsidRPr="00E94619">
        <w:rPr>
          <w:rFonts w:ascii="Century Gothic" w:hAnsi="Century Gothic"/>
          <w:sz w:val="16"/>
          <w:szCs w:val="16"/>
        </w:rPr>
        <w:t xml:space="preserve">. </w:t>
      </w:r>
      <w:r w:rsidR="00925550" w:rsidRPr="00E94619">
        <w:rPr>
          <w:rFonts w:ascii="Century Gothic" w:hAnsi="Century Gothic"/>
          <w:sz w:val="16"/>
          <w:szCs w:val="16"/>
        </w:rPr>
        <w:t>Forensis  2017, 2018.</w:t>
      </w:r>
    </w:p>
    <w:p w14:paraId="39C6BADD" w14:textId="77777777" w:rsidR="001238D7" w:rsidRPr="000042BF" w:rsidRDefault="0036411F" w:rsidP="000E5AC0">
      <w:pPr>
        <w:pStyle w:val="Ttulo4"/>
        <w:rPr>
          <w:rFonts w:ascii="Century Gothic" w:eastAsia="Cambria" w:hAnsi="Century Gothic" w:cs="Cambria"/>
          <w:b w:val="0"/>
          <w:i w:val="0"/>
          <w:color w:val="CC3366"/>
          <w:u w:val="single"/>
        </w:rPr>
      </w:pPr>
      <w:bookmarkStart w:id="31" w:name="_Toc488624248"/>
      <w:r w:rsidRPr="000042BF">
        <w:rPr>
          <w:rFonts w:ascii="Century Gothic" w:eastAsia="Cambria" w:hAnsi="Century Gothic" w:cs="Cambria"/>
          <w:b w:val="0"/>
          <w:i w:val="0"/>
          <w:color w:val="CC3366"/>
          <w:u w:val="single"/>
        </w:rPr>
        <w:t>1.1.3 Violencia Económica</w:t>
      </w:r>
      <w:bookmarkEnd w:id="31"/>
      <w:r w:rsidRPr="000042BF">
        <w:rPr>
          <w:rFonts w:ascii="Century Gothic" w:eastAsia="Cambria" w:hAnsi="Century Gothic" w:cs="Cambria"/>
          <w:b w:val="0"/>
          <w:i w:val="0"/>
          <w:color w:val="CC3366"/>
          <w:u w:val="single"/>
        </w:rPr>
        <w:t xml:space="preserve"> </w:t>
      </w:r>
    </w:p>
    <w:p w14:paraId="17FB8DA6" w14:textId="77777777" w:rsidR="001238D7" w:rsidRPr="00E94619" w:rsidRDefault="001238D7" w:rsidP="000E5AC0">
      <w:pPr>
        <w:spacing w:after="0" w:line="240" w:lineRule="auto"/>
        <w:rPr>
          <w:rFonts w:ascii="Century Gothic" w:hAnsi="Century Gothic"/>
          <w:b/>
        </w:rPr>
      </w:pPr>
    </w:p>
    <w:p w14:paraId="2875D938"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La violencia económica, según los diferentes acuerdos internacionales sobre derechos de las mujeres, corresponde a cualquier acción u omisión orientada al abuso económico, el control abusivo de las finanzas, recompensas o castigos monetarios a las mujeres por razón de su condición social, económica o política. Esta forma de violencia puede consolidarse en las relaciones de pareja, familiares, en las laborales o en las económicas.</w:t>
      </w:r>
    </w:p>
    <w:p w14:paraId="4C1B10DC" w14:textId="77777777" w:rsidR="001238D7" w:rsidRPr="00E94619" w:rsidRDefault="001238D7" w:rsidP="000E5AC0">
      <w:pPr>
        <w:spacing w:after="0" w:line="240" w:lineRule="auto"/>
        <w:jc w:val="both"/>
        <w:rPr>
          <w:rFonts w:ascii="Century Gothic" w:hAnsi="Century Gothic"/>
        </w:rPr>
      </w:pPr>
    </w:p>
    <w:p w14:paraId="4562A7C1"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En Colombia esta es una forma de violencia sobre la cual no es posible acceder a fuentes que brinden información precisa, sin embargo, el Instituto de Medicina Legal y Ciencias Forenses toma información sobre este tipo de vulneraciones en el marco de las violencias que se dan en las relaciones de pareja, dejando claro que las mujeres son las principales víctimas, pues para el año 201</w:t>
      </w:r>
      <w:r w:rsidR="00A34DB3" w:rsidRPr="00E94619">
        <w:rPr>
          <w:rFonts w:ascii="Century Gothic" w:hAnsi="Century Gothic"/>
        </w:rPr>
        <w:t>9</w:t>
      </w:r>
      <w:r w:rsidRPr="00E94619">
        <w:rPr>
          <w:rFonts w:ascii="Century Gothic" w:hAnsi="Century Gothic"/>
        </w:rPr>
        <w:t xml:space="preserve"> fueron </w:t>
      </w:r>
      <w:r w:rsidR="00A34DB3" w:rsidRPr="00E94619">
        <w:rPr>
          <w:rFonts w:ascii="Century Gothic" w:hAnsi="Century Gothic"/>
        </w:rPr>
        <w:t>203</w:t>
      </w:r>
      <w:r w:rsidRPr="00E94619">
        <w:rPr>
          <w:rFonts w:ascii="Century Gothic" w:hAnsi="Century Gothic"/>
        </w:rPr>
        <w:t xml:space="preserve"> mujeres agredidas, mientras en el caso de los hombres se presentaron </w:t>
      </w:r>
      <w:r w:rsidR="00F3552A" w:rsidRPr="00E94619">
        <w:rPr>
          <w:rFonts w:ascii="Century Gothic" w:hAnsi="Century Gothic"/>
        </w:rPr>
        <w:t>55</w:t>
      </w:r>
      <w:r w:rsidRPr="00E94619">
        <w:rPr>
          <w:rFonts w:ascii="Century Gothic" w:hAnsi="Century Gothic"/>
        </w:rPr>
        <w:t xml:space="preserve"> casos</w:t>
      </w:r>
      <w:r w:rsidR="00DC6604" w:rsidRPr="00E94619">
        <w:rPr>
          <w:rFonts w:ascii="Century Gothic" w:hAnsi="Century Gothic"/>
        </w:rPr>
        <w:t xml:space="preserve">, para un total de 258 casos registrados, evidenciando </w:t>
      </w:r>
      <w:r w:rsidR="007209CA" w:rsidRPr="00E94619">
        <w:rPr>
          <w:rFonts w:ascii="Century Gothic" w:hAnsi="Century Gothic"/>
        </w:rPr>
        <w:t>un descenso en la tasa de violencia de pareja por motivos económicos en relación a años anteriores</w:t>
      </w:r>
      <w:sdt>
        <w:sdtPr>
          <w:rPr>
            <w:rFonts w:ascii="Century Gothic" w:hAnsi="Century Gothic"/>
          </w:rPr>
          <w:id w:val="921682727"/>
          <w:citation/>
        </w:sdtPr>
        <w:sdtContent>
          <w:r w:rsidR="00A750E1" w:rsidRPr="00E94619">
            <w:rPr>
              <w:rFonts w:ascii="Century Gothic" w:hAnsi="Century Gothic"/>
            </w:rPr>
            <w:fldChar w:fldCharType="begin"/>
          </w:r>
          <w:r w:rsidR="00A750E1" w:rsidRPr="00E94619">
            <w:rPr>
              <w:rFonts w:ascii="Century Gothic" w:hAnsi="Century Gothic"/>
              <w:lang w:val="es-MX"/>
            </w:rPr>
            <w:instrText xml:space="preserve">CITATION Ins19 \l 2058 </w:instrText>
          </w:r>
          <w:r w:rsidR="00A750E1" w:rsidRPr="00E94619">
            <w:rPr>
              <w:rFonts w:ascii="Century Gothic" w:hAnsi="Century Gothic"/>
            </w:rPr>
            <w:fldChar w:fldCharType="separate"/>
          </w:r>
          <w:r w:rsidR="00A750E1" w:rsidRPr="00E94619">
            <w:rPr>
              <w:rFonts w:ascii="Century Gothic" w:hAnsi="Century Gothic"/>
              <w:noProof/>
              <w:lang w:val="es-MX"/>
            </w:rPr>
            <w:t xml:space="preserve"> (Instituto Nacional de Medicina Legal y Ciencias Forenses, 2019)</w:t>
          </w:r>
          <w:r w:rsidR="00A750E1" w:rsidRPr="00E94619">
            <w:rPr>
              <w:rFonts w:ascii="Century Gothic" w:hAnsi="Century Gothic"/>
            </w:rPr>
            <w:fldChar w:fldCharType="end"/>
          </w:r>
        </w:sdtContent>
      </w:sdt>
      <w:r w:rsidRPr="00E94619">
        <w:rPr>
          <w:rFonts w:ascii="Century Gothic" w:hAnsi="Century Gothic"/>
        </w:rPr>
        <w:t>.</w:t>
      </w:r>
    </w:p>
    <w:p w14:paraId="74CA7D2A" w14:textId="77777777" w:rsidR="007224C1" w:rsidRPr="00E94619" w:rsidRDefault="007224C1" w:rsidP="000E5AC0">
      <w:pPr>
        <w:spacing w:after="0" w:line="240" w:lineRule="auto"/>
        <w:jc w:val="both"/>
        <w:rPr>
          <w:rFonts w:ascii="Century Gothic" w:hAnsi="Century Gothic"/>
        </w:rPr>
      </w:pPr>
    </w:p>
    <w:p w14:paraId="17309D3C" w14:textId="327821FB" w:rsidR="007224C1" w:rsidRPr="000042BF" w:rsidRDefault="007224C1" w:rsidP="000042BF">
      <w:pPr>
        <w:spacing w:after="0" w:line="240" w:lineRule="auto"/>
        <w:jc w:val="center"/>
        <w:rPr>
          <w:rFonts w:ascii="Century Gothic" w:hAnsi="Century Gothic"/>
          <w:b/>
          <w:sz w:val="16"/>
          <w:szCs w:val="16"/>
        </w:rPr>
      </w:pPr>
      <w:r w:rsidRPr="000042BF">
        <w:rPr>
          <w:rFonts w:ascii="Century Gothic" w:hAnsi="Century Gothic"/>
          <w:b/>
          <w:sz w:val="16"/>
          <w:szCs w:val="16"/>
        </w:rPr>
        <w:t>Grafica 5</w:t>
      </w:r>
      <w:r w:rsidR="000042BF">
        <w:rPr>
          <w:rFonts w:ascii="Century Gothic" w:hAnsi="Century Gothic"/>
          <w:b/>
          <w:sz w:val="16"/>
          <w:szCs w:val="16"/>
        </w:rPr>
        <w:t>. Ví</w:t>
      </w:r>
      <w:r w:rsidR="000042BF" w:rsidRPr="000042BF">
        <w:rPr>
          <w:rFonts w:ascii="Century Gothic" w:hAnsi="Century Gothic"/>
          <w:b/>
          <w:sz w:val="16"/>
          <w:szCs w:val="16"/>
        </w:rPr>
        <w:t>ctimas de violencia de pareja por motivos ecnómicos 2019</w:t>
      </w:r>
    </w:p>
    <w:p w14:paraId="3F0CCCB5" w14:textId="07A48CBB" w:rsidR="007224C1" w:rsidRPr="00E94619" w:rsidRDefault="000042BF" w:rsidP="000E5AC0">
      <w:pPr>
        <w:spacing w:after="0" w:line="240" w:lineRule="auto"/>
        <w:jc w:val="both"/>
        <w:rPr>
          <w:rFonts w:ascii="Century Gothic" w:hAnsi="Century Gothic"/>
          <w:sz w:val="16"/>
          <w:szCs w:val="16"/>
        </w:rPr>
      </w:pPr>
      <w:r w:rsidRPr="00E94619">
        <w:rPr>
          <w:rFonts w:ascii="Century Gothic" w:hAnsi="Century Gothic"/>
          <w:noProof/>
          <w:lang w:val="es-ES" w:eastAsia="es-ES"/>
        </w:rPr>
        <w:drawing>
          <wp:anchor distT="0" distB="0" distL="114300" distR="114300" simplePos="0" relativeHeight="251668480" behindDoc="0" locked="0" layoutInCell="1" allowOverlap="1" wp14:anchorId="55EB9E1A" wp14:editId="4EB79EC6">
            <wp:simplePos x="0" y="0"/>
            <wp:positionH relativeFrom="column">
              <wp:posOffset>1828800</wp:posOffset>
            </wp:positionH>
            <wp:positionV relativeFrom="paragraph">
              <wp:posOffset>98425</wp:posOffset>
            </wp:positionV>
            <wp:extent cx="2054225" cy="1250950"/>
            <wp:effectExtent l="0" t="0" r="317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4225" cy="1250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60149" w14:textId="597564B0" w:rsidR="007224C1" w:rsidRPr="00E94619" w:rsidRDefault="007224C1" w:rsidP="000E5AC0">
      <w:pPr>
        <w:spacing w:after="0" w:line="240" w:lineRule="auto"/>
        <w:jc w:val="both"/>
        <w:rPr>
          <w:rFonts w:ascii="Century Gothic" w:hAnsi="Century Gothic"/>
          <w:sz w:val="16"/>
          <w:szCs w:val="16"/>
        </w:rPr>
      </w:pPr>
    </w:p>
    <w:p w14:paraId="0C3C3CF1" w14:textId="77777777" w:rsidR="001238D7" w:rsidRPr="00E94619" w:rsidRDefault="00830DBC" w:rsidP="000E5AC0">
      <w:pPr>
        <w:spacing w:after="0" w:line="240" w:lineRule="auto"/>
        <w:jc w:val="both"/>
        <w:rPr>
          <w:rFonts w:ascii="Century Gothic" w:hAnsi="Century Gothic"/>
          <w:noProof/>
          <w:sz w:val="16"/>
          <w:szCs w:val="16"/>
        </w:rPr>
      </w:pPr>
      <w:sdt>
        <w:sdtPr>
          <w:rPr>
            <w:rFonts w:ascii="Century Gothic" w:hAnsi="Century Gothic"/>
            <w:sz w:val="16"/>
            <w:szCs w:val="16"/>
          </w:rPr>
          <w:tag w:val="goog_rdk_6"/>
          <w:id w:val="-2124227459"/>
          <w:showingPlcHdr/>
        </w:sdtPr>
        <w:sdtContent>
          <w:r w:rsidR="007224C1" w:rsidRPr="00E94619">
            <w:rPr>
              <w:rFonts w:ascii="Century Gothic" w:hAnsi="Century Gothic"/>
              <w:sz w:val="16"/>
              <w:szCs w:val="16"/>
            </w:rPr>
            <w:t xml:space="preserve">     </w:t>
          </w:r>
        </w:sdtContent>
      </w:sdt>
    </w:p>
    <w:p w14:paraId="7552FEA6" w14:textId="77777777" w:rsidR="000042BF" w:rsidRDefault="000042BF" w:rsidP="000E5AC0">
      <w:pPr>
        <w:spacing w:after="0" w:line="240" w:lineRule="auto"/>
        <w:jc w:val="both"/>
        <w:rPr>
          <w:rFonts w:ascii="Century Gothic" w:hAnsi="Century Gothic"/>
          <w:sz w:val="16"/>
          <w:szCs w:val="16"/>
        </w:rPr>
      </w:pPr>
    </w:p>
    <w:p w14:paraId="0C0015A7" w14:textId="77777777" w:rsidR="000042BF" w:rsidRDefault="000042BF" w:rsidP="000E5AC0">
      <w:pPr>
        <w:spacing w:after="0" w:line="240" w:lineRule="auto"/>
        <w:jc w:val="both"/>
        <w:rPr>
          <w:rFonts w:ascii="Century Gothic" w:hAnsi="Century Gothic"/>
          <w:sz w:val="16"/>
          <w:szCs w:val="16"/>
        </w:rPr>
      </w:pPr>
    </w:p>
    <w:p w14:paraId="7A4B5825" w14:textId="77777777" w:rsidR="000042BF" w:rsidRDefault="000042BF" w:rsidP="000E5AC0">
      <w:pPr>
        <w:spacing w:after="0" w:line="240" w:lineRule="auto"/>
        <w:jc w:val="both"/>
        <w:rPr>
          <w:rFonts w:ascii="Century Gothic" w:hAnsi="Century Gothic"/>
          <w:sz w:val="16"/>
          <w:szCs w:val="16"/>
        </w:rPr>
      </w:pPr>
    </w:p>
    <w:p w14:paraId="3781714A" w14:textId="77777777" w:rsidR="000042BF" w:rsidRDefault="000042BF" w:rsidP="000E5AC0">
      <w:pPr>
        <w:spacing w:after="0" w:line="240" w:lineRule="auto"/>
        <w:jc w:val="both"/>
        <w:rPr>
          <w:rFonts w:ascii="Century Gothic" w:hAnsi="Century Gothic"/>
          <w:sz w:val="16"/>
          <w:szCs w:val="16"/>
        </w:rPr>
      </w:pPr>
    </w:p>
    <w:p w14:paraId="7BE3E272" w14:textId="77777777" w:rsidR="000042BF" w:rsidRDefault="000042BF" w:rsidP="000E5AC0">
      <w:pPr>
        <w:spacing w:after="0" w:line="240" w:lineRule="auto"/>
        <w:jc w:val="both"/>
        <w:rPr>
          <w:rFonts w:ascii="Century Gothic" w:hAnsi="Century Gothic"/>
          <w:sz w:val="16"/>
          <w:szCs w:val="16"/>
        </w:rPr>
      </w:pPr>
    </w:p>
    <w:p w14:paraId="707322F3" w14:textId="77777777" w:rsidR="000042BF" w:rsidRDefault="000042BF" w:rsidP="000E5AC0">
      <w:pPr>
        <w:spacing w:after="0" w:line="240" w:lineRule="auto"/>
        <w:jc w:val="both"/>
        <w:rPr>
          <w:rFonts w:ascii="Century Gothic" w:hAnsi="Century Gothic"/>
          <w:sz w:val="16"/>
          <w:szCs w:val="16"/>
        </w:rPr>
      </w:pPr>
    </w:p>
    <w:p w14:paraId="0C10C814" w14:textId="77777777" w:rsidR="000042BF" w:rsidRDefault="000042BF" w:rsidP="000E5AC0">
      <w:pPr>
        <w:spacing w:after="0" w:line="240" w:lineRule="auto"/>
        <w:jc w:val="both"/>
        <w:rPr>
          <w:rFonts w:ascii="Century Gothic" w:hAnsi="Century Gothic"/>
          <w:sz w:val="16"/>
          <w:szCs w:val="16"/>
        </w:rPr>
      </w:pPr>
    </w:p>
    <w:p w14:paraId="7AD86E38" w14:textId="77777777" w:rsidR="000042BF" w:rsidRDefault="000042BF" w:rsidP="000E5AC0">
      <w:pPr>
        <w:spacing w:after="0" w:line="240" w:lineRule="auto"/>
        <w:jc w:val="both"/>
        <w:rPr>
          <w:rFonts w:ascii="Century Gothic" w:hAnsi="Century Gothic"/>
          <w:sz w:val="16"/>
          <w:szCs w:val="16"/>
        </w:rPr>
      </w:pPr>
    </w:p>
    <w:p w14:paraId="5C095B12" w14:textId="77777777" w:rsidR="000042BF" w:rsidRDefault="000042BF" w:rsidP="000042BF">
      <w:pPr>
        <w:spacing w:after="0" w:line="240" w:lineRule="auto"/>
        <w:jc w:val="center"/>
        <w:rPr>
          <w:rFonts w:ascii="Century Gothic" w:hAnsi="Century Gothic"/>
          <w:sz w:val="16"/>
          <w:szCs w:val="16"/>
        </w:rPr>
      </w:pPr>
    </w:p>
    <w:p w14:paraId="7DFAA0D8" w14:textId="77777777" w:rsidR="001238D7" w:rsidRPr="00E94619" w:rsidRDefault="003832AE" w:rsidP="000042BF">
      <w:pPr>
        <w:spacing w:after="0" w:line="240" w:lineRule="auto"/>
        <w:jc w:val="center"/>
        <w:rPr>
          <w:rFonts w:ascii="Century Gothic" w:eastAsia="Calibri" w:hAnsi="Century Gothic" w:cs="Calibri"/>
          <w:color w:val="000000"/>
          <w:sz w:val="16"/>
          <w:szCs w:val="16"/>
        </w:rPr>
      </w:pPr>
      <w:r w:rsidRPr="00E94619">
        <w:rPr>
          <w:rFonts w:ascii="Century Gothic" w:hAnsi="Century Gothic"/>
          <w:sz w:val="16"/>
          <w:szCs w:val="16"/>
        </w:rPr>
        <w:t xml:space="preserve">Fuente: </w:t>
      </w:r>
      <w:r w:rsidR="0036411F" w:rsidRPr="00E94619">
        <w:rPr>
          <w:rFonts w:ascii="Century Gothic" w:eastAsia="Calibri" w:hAnsi="Century Gothic" w:cs="Calibri"/>
          <w:color w:val="000000"/>
          <w:sz w:val="16"/>
          <w:szCs w:val="16"/>
        </w:rPr>
        <w:t>Instituto Nacional de Medicina Legal y Ciencias Forenses.</w:t>
      </w:r>
      <w:r w:rsidR="001441C2" w:rsidRPr="00E94619">
        <w:rPr>
          <w:rFonts w:ascii="Century Gothic" w:eastAsia="Calibri" w:hAnsi="Century Gothic" w:cs="Calibri"/>
          <w:color w:val="000000"/>
          <w:sz w:val="16"/>
          <w:szCs w:val="16"/>
        </w:rPr>
        <w:t xml:space="preserve"> Forensis </w:t>
      </w:r>
      <w:r w:rsidR="007224C1" w:rsidRPr="00E94619">
        <w:rPr>
          <w:rFonts w:ascii="Century Gothic" w:eastAsia="Calibri" w:hAnsi="Century Gothic" w:cs="Calibri"/>
          <w:color w:val="000000"/>
          <w:sz w:val="16"/>
          <w:szCs w:val="16"/>
        </w:rPr>
        <w:t>2019</w:t>
      </w:r>
    </w:p>
    <w:p w14:paraId="12F9809F" w14:textId="77777777" w:rsidR="001238D7" w:rsidRPr="00E94619" w:rsidRDefault="001238D7" w:rsidP="000E5AC0">
      <w:pPr>
        <w:spacing w:after="0" w:line="240" w:lineRule="auto"/>
        <w:jc w:val="both"/>
        <w:rPr>
          <w:rFonts w:ascii="Century Gothic" w:hAnsi="Century Gothic"/>
          <w:sz w:val="16"/>
          <w:szCs w:val="16"/>
        </w:rPr>
      </w:pPr>
    </w:p>
    <w:p w14:paraId="08C81ADF" w14:textId="0D8BD8D7" w:rsidR="001238D7" w:rsidRPr="00E94619" w:rsidRDefault="00830DBC" w:rsidP="000E5AC0">
      <w:pPr>
        <w:jc w:val="both"/>
        <w:rPr>
          <w:rFonts w:ascii="Century Gothic" w:hAnsi="Century Gothic"/>
        </w:rPr>
      </w:pPr>
      <w:r>
        <w:rPr>
          <w:rFonts w:ascii="Century Gothic" w:hAnsi="Century Gothic"/>
          <w:b/>
          <w:noProof/>
          <w:szCs w:val="24"/>
          <w:lang w:val="es-ES"/>
        </w:rPr>
        <w:drawing>
          <wp:anchor distT="0" distB="0" distL="114300" distR="114300" simplePos="0" relativeHeight="251776000" behindDoc="0" locked="0" layoutInCell="1" allowOverlap="1" wp14:anchorId="6D89D671" wp14:editId="28D987D2">
            <wp:simplePos x="0" y="0"/>
            <wp:positionH relativeFrom="column">
              <wp:posOffset>-1080135</wp:posOffset>
            </wp:positionH>
            <wp:positionV relativeFrom="paragraph">
              <wp:posOffset>-8374380</wp:posOffset>
            </wp:positionV>
            <wp:extent cx="965835" cy="708660"/>
            <wp:effectExtent l="0" t="0" r="0" b="0"/>
            <wp:wrapNone/>
            <wp:docPr id="359" name="Imagen 35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 xml:space="preserve">De otro lado, la inasistencia alimentaria también es considerada en el país como una violencia contra las mujeres, cuando ellas son obligadas a asumir solas el cuidado y sostenimiento económico de los hijos e hijas ocasionando una reducción en sus recursos económicos, situación que se complejiza cuando afecta a mujeres desempleadas y sin otras fuentes de ingresos, pues aumenta la vulnerabilidad de las mujeres de caer en pobreza extrema. </w:t>
      </w:r>
      <w:r w:rsidR="00B0478D" w:rsidRPr="00E94619">
        <w:rPr>
          <w:rFonts w:ascii="Century Gothic" w:hAnsi="Century Gothic"/>
        </w:rPr>
        <w:t xml:space="preserve">“Según el Consejo Superior de la Judicatura, en el 2019 hubo 17.097 demandas civiles </w:t>
      </w:r>
      <w:r w:rsidR="00B0478D" w:rsidRPr="00E94619">
        <w:rPr>
          <w:rFonts w:ascii="Century Gothic" w:hAnsi="Century Gothic"/>
        </w:rPr>
        <w:lastRenderedPageBreak/>
        <w:t xml:space="preserve">por esta causa en los despachos de familia, frente a 16.167 del 2018.” </w:t>
      </w:r>
      <w:sdt>
        <w:sdtPr>
          <w:rPr>
            <w:rFonts w:ascii="Century Gothic" w:hAnsi="Century Gothic"/>
          </w:rPr>
          <w:id w:val="1596820146"/>
          <w:citation/>
        </w:sdtPr>
        <w:sdtContent>
          <w:r w:rsidR="00B0478D" w:rsidRPr="00E94619">
            <w:rPr>
              <w:rFonts w:ascii="Century Gothic" w:hAnsi="Century Gothic"/>
            </w:rPr>
            <w:fldChar w:fldCharType="begin"/>
          </w:r>
          <w:r w:rsidR="00B0478D" w:rsidRPr="00E94619">
            <w:rPr>
              <w:rFonts w:ascii="Century Gothic" w:hAnsi="Century Gothic"/>
              <w:lang w:val="es-MX"/>
            </w:rPr>
            <w:instrText xml:space="preserve">CITATION Duq21 \l 2058 </w:instrText>
          </w:r>
          <w:r w:rsidR="00B0478D" w:rsidRPr="00E94619">
            <w:rPr>
              <w:rFonts w:ascii="Century Gothic" w:hAnsi="Century Gothic"/>
            </w:rPr>
            <w:fldChar w:fldCharType="separate"/>
          </w:r>
          <w:r w:rsidR="00B0478D" w:rsidRPr="00E94619">
            <w:rPr>
              <w:rFonts w:ascii="Century Gothic" w:hAnsi="Century Gothic"/>
              <w:noProof/>
              <w:lang w:val="es-MX"/>
            </w:rPr>
            <w:t>(EL TIEMPO, 2021)</w:t>
          </w:r>
          <w:r w:rsidR="00B0478D" w:rsidRPr="00E94619">
            <w:rPr>
              <w:rFonts w:ascii="Century Gothic" w:hAnsi="Century Gothic"/>
            </w:rPr>
            <w:fldChar w:fldCharType="end"/>
          </w:r>
        </w:sdtContent>
      </w:sdt>
      <w:r w:rsidR="00B0478D" w:rsidRPr="00E94619">
        <w:rPr>
          <w:rStyle w:val="Refdenotaalpie"/>
          <w:rFonts w:ascii="Century Gothic" w:hAnsi="Century Gothic"/>
        </w:rPr>
        <w:footnoteReference w:id="13"/>
      </w:r>
      <w:r w:rsidR="00B0478D" w:rsidRPr="00E94619">
        <w:rPr>
          <w:rFonts w:ascii="Century Gothic" w:hAnsi="Century Gothic"/>
        </w:rPr>
        <w:t>.</w:t>
      </w:r>
    </w:p>
    <w:p w14:paraId="5BCDA41F" w14:textId="2C1D05B5" w:rsidR="001238D7" w:rsidRDefault="0036411F" w:rsidP="000E5AC0">
      <w:pPr>
        <w:pStyle w:val="Ttulo4"/>
        <w:spacing w:before="0"/>
        <w:rPr>
          <w:rFonts w:ascii="Century Gothic" w:eastAsia="Cambria" w:hAnsi="Century Gothic" w:cs="Cambria"/>
          <w:b w:val="0"/>
          <w:i w:val="0"/>
          <w:color w:val="CC3366"/>
          <w:u w:val="single"/>
        </w:rPr>
      </w:pPr>
      <w:bookmarkStart w:id="32" w:name="_Toc488624249"/>
      <w:r w:rsidRPr="000042BF">
        <w:rPr>
          <w:rFonts w:ascii="Century Gothic" w:eastAsia="Cambria" w:hAnsi="Century Gothic" w:cs="Cambria"/>
          <w:b w:val="0"/>
          <w:i w:val="0"/>
          <w:color w:val="CC3366"/>
          <w:u w:val="single"/>
        </w:rPr>
        <w:t>1.1.4 Violencias Sexuales</w:t>
      </w:r>
      <w:bookmarkEnd w:id="32"/>
    </w:p>
    <w:p w14:paraId="6DF79DC6" w14:textId="77777777" w:rsidR="000042BF" w:rsidRPr="000042BF" w:rsidRDefault="000042BF" w:rsidP="000042BF"/>
    <w:p w14:paraId="7B1E1CFD"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La normatividad colombiana define como violencias sexuales las que provienen </w:t>
      </w:r>
      <w:r w:rsidRPr="00E94619">
        <w:rPr>
          <w:rFonts w:ascii="Century Gothic" w:hAnsi="Century Gothic"/>
          <w:i/>
        </w:rPr>
        <w:t xml:space="preserve">“de la acción consistente en obligar a una persona a mantener contacto sexualizado, físico o verbal, o a participar en otras interacciones sexuales mediante el uso de fuerza, intimidación, coerción, chantaje, soborno, manipulación, amenaza o cualquier otro mecanismo que anule o limite la voluntad personal. Igualmente, se considerará daño o sufrimiento sexual el hecho de que la persona agresora obligue a la agredida a realizar alguno de estos actos con terceras personas”. </w:t>
      </w:r>
    </w:p>
    <w:p w14:paraId="4D4B0D0C" w14:textId="77777777" w:rsidR="001238D7" w:rsidRPr="00E94619" w:rsidRDefault="001238D7" w:rsidP="000E5AC0">
      <w:pPr>
        <w:spacing w:after="0" w:line="240" w:lineRule="auto"/>
        <w:rPr>
          <w:rFonts w:ascii="Century Gothic" w:hAnsi="Century Gothic"/>
          <w:b/>
        </w:rPr>
      </w:pPr>
    </w:p>
    <w:p w14:paraId="53405801" w14:textId="77777777" w:rsidR="001238D7" w:rsidRPr="00E94619" w:rsidRDefault="0036411F" w:rsidP="000E5AC0">
      <w:pPr>
        <w:jc w:val="both"/>
        <w:rPr>
          <w:rFonts w:ascii="Century Gothic" w:hAnsi="Century Gothic"/>
        </w:rPr>
      </w:pPr>
      <w:r w:rsidRPr="00E94619">
        <w:rPr>
          <w:rFonts w:ascii="Century Gothic" w:hAnsi="Century Gothic"/>
        </w:rPr>
        <w:t xml:space="preserve">Según los datos del Instituto Nacional de Medicina Legal y Ciencias Forenses en Colombia, para </w:t>
      </w:r>
      <w:r w:rsidR="00291F6E" w:rsidRPr="00E94619">
        <w:rPr>
          <w:rFonts w:ascii="Century Gothic" w:hAnsi="Century Gothic"/>
        </w:rPr>
        <w:t>el 2019</w:t>
      </w:r>
      <w:r w:rsidRPr="00E94619">
        <w:rPr>
          <w:rFonts w:ascii="Century Gothic" w:hAnsi="Century Gothic"/>
        </w:rPr>
        <w:t xml:space="preserve"> las mujeres fueron las principales víctimas de violencia sexual con un promedio del 8</w:t>
      </w:r>
      <w:r w:rsidR="00291F6E" w:rsidRPr="00E94619">
        <w:rPr>
          <w:rFonts w:ascii="Century Gothic" w:hAnsi="Century Gothic"/>
        </w:rPr>
        <w:t>6</w:t>
      </w:r>
      <w:r w:rsidRPr="00E94619">
        <w:rPr>
          <w:rFonts w:ascii="Century Gothic" w:hAnsi="Century Gothic"/>
        </w:rPr>
        <w:t>.</w:t>
      </w:r>
      <w:r w:rsidR="00291F6E" w:rsidRPr="00E94619">
        <w:rPr>
          <w:rFonts w:ascii="Century Gothic" w:hAnsi="Century Gothic"/>
        </w:rPr>
        <w:t>1</w:t>
      </w:r>
      <w:r w:rsidRPr="00E94619">
        <w:rPr>
          <w:rFonts w:ascii="Century Gothic" w:hAnsi="Century Gothic"/>
        </w:rPr>
        <w:t xml:space="preserve">%. El número de exámenes </w:t>
      </w:r>
      <w:r w:rsidR="005356E8" w:rsidRPr="00E94619">
        <w:rPr>
          <w:rFonts w:ascii="Century Gothic" w:hAnsi="Century Gothic"/>
        </w:rPr>
        <w:t>m</w:t>
      </w:r>
      <w:r w:rsidR="003832AE" w:rsidRPr="00E94619">
        <w:rPr>
          <w:rFonts w:ascii="Century Gothic" w:hAnsi="Century Gothic"/>
        </w:rPr>
        <w:t>é</w:t>
      </w:r>
      <w:r w:rsidR="005356E8" w:rsidRPr="00E94619">
        <w:rPr>
          <w:rFonts w:ascii="Century Gothic" w:hAnsi="Century Gothic"/>
        </w:rPr>
        <w:t>dico</w:t>
      </w:r>
      <w:r w:rsidR="003832AE" w:rsidRPr="00E94619">
        <w:rPr>
          <w:rFonts w:ascii="Century Gothic" w:hAnsi="Century Gothic"/>
        </w:rPr>
        <w:t>-</w:t>
      </w:r>
      <w:r w:rsidR="005356E8" w:rsidRPr="00E94619">
        <w:rPr>
          <w:rFonts w:ascii="Century Gothic" w:hAnsi="Century Gothic"/>
        </w:rPr>
        <w:t>legales</w:t>
      </w:r>
      <w:r w:rsidRPr="00E94619">
        <w:rPr>
          <w:rFonts w:ascii="Century Gothic" w:hAnsi="Century Gothic"/>
        </w:rPr>
        <w:t xml:space="preserve"> por presunto delito sexual realizado a mujeres tuvo una disminución entre el 201</w:t>
      </w:r>
      <w:r w:rsidR="00686154" w:rsidRPr="00E94619">
        <w:rPr>
          <w:rFonts w:ascii="Century Gothic" w:hAnsi="Century Gothic"/>
        </w:rPr>
        <w:t>7</w:t>
      </w:r>
      <w:r w:rsidR="003832AE" w:rsidRPr="00E94619">
        <w:rPr>
          <w:rFonts w:ascii="Century Gothic" w:hAnsi="Century Gothic"/>
        </w:rPr>
        <w:t xml:space="preserve"> (22.523 casos)</w:t>
      </w:r>
      <w:r w:rsidRPr="00E94619">
        <w:rPr>
          <w:rFonts w:ascii="Century Gothic" w:hAnsi="Century Gothic"/>
        </w:rPr>
        <w:t xml:space="preserve"> y el 201</w:t>
      </w:r>
      <w:r w:rsidR="00E9390A" w:rsidRPr="00E94619">
        <w:rPr>
          <w:rFonts w:ascii="Century Gothic" w:hAnsi="Century Gothic"/>
        </w:rPr>
        <w:t>9</w:t>
      </w:r>
      <w:r w:rsidR="003832AE" w:rsidRPr="00E94619">
        <w:rPr>
          <w:rFonts w:ascii="Century Gothic" w:hAnsi="Century Gothic"/>
        </w:rPr>
        <w:t xml:space="preserve"> (</w:t>
      </w:r>
      <w:r w:rsidRPr="00E94619">
        <w:rPr>
          <w:rFonts w:ascii="Century Gothic" w:hAnsi="Century Gothic"/>
        </w:rPr>
        <w:t>2</w:t>
      </w:r>
      <w:r w:rsidR="00686154" w:rsidRPr="00E94619">
        <w:rPr>
          <w:rFonts w:ascii="Century Gothic" w:hAnsi="Century Gothic"/>
        </w:rPr>
        <w:t>0.664</w:t>
      </w:r>
      <w:r w:rsidR="003832AE" w:rsidRPr="00E94619">
        <w:rPr>
          <w:rFonts w:ascii="Century Gothic" w:hAnsi="Century Gothic"/>
        </w:rPr>
        <w:t xml:space="preserve"> casos)</w:t>
      </w:r>
      <w:r w:rsidRPr="00E94619">
        <w:rPr>
          <w:rFonts w:ascii="Century Gothic" w:hAnsi="Century Gothic"/>
        </w:rPr>
        <w:t xml:space="preserve"> </w:t>
      </w:r>
      <w:r w:rsidR="003832AE" w:rsidRPr="00E94619">
        <w:rPr>
          <w:rFonts w:ascii="Century Gothic" w:hAnsi="Century Gothic"/>
        </w:rPr>
        <w:t xml:space="preserve">de </w:t>
      </w:r>
      <w:r w:rsidR="00F516DD" w:rsidRPr="00E94619">
        <w:rPr>
          <w:rFonts w:ascii="Century Gothic" w:hAnsi="Century Gothic"/>
        </w:rPr>
        <w:t>1.859</w:t>
      </w:r>
      <w:r w:rsidRPr="00E94619">
        <w:rPr>
          <w:rFonts w:ascii="Century Gothic" w:hAnsi="Century Gothic"/>
        </w:rPr>
        <w:t xml:space="preserve"> caso</w:t>
      </w:r>
      <w:r w:rsidR="003832AE" w:rsidRPr="00E94619">
        <w:rPr>
          <w:rFonts w:ascii="Century Gothic" w:hAnsi="Century Gothic"/>
        </w:rPr>
        <w:t>s</w:t>
      </w:r>
      <w:r w:rsidR="006C4C0D" w:rsidRPr="00E94619">
        <w:rPr>
          <w:rStyle w:val="Refdenotaalpie"/>
          <w:rFonts w:ascii="Century Gothic" w:hAnsi="Century Gothic"/>
        </w:rPr>
        <w:footnoteReference w:id="14"/>
      </w:r>
      <w:r w:rsidRPr="00E94619">
        <w:rPr>
          <w:rFonts w:ascii="Century Gothic" w:hAnsi="Century Gothic"/>
        </w:rPr>
        <w:t>, evidenciando que</w:t>
      </w:r>
      <w:r w:rsidR="003832AE" w:rsidRPr="00E94619">
        <w:rPr>
          <w:rFonts w:ascii="Century Gothic" w:hAnsi="Century Gothic"/>
        </w:rPr>
        <w:t xml:space="preserve"> el riesgo de ser víctima</w:t>
      </w:r>
      <w:r w:rsidRPr="00E94619">
        <w:rPr>
          <w:rFonts w:ascii="Century Gothic" w:hAnsi="Century Gothic"/>
        </w:rPr>
        <w:t xml:space="preserve"> </w:t>
      </w:r>
      <w:r w:rsidR="003832AE" w:rsidRPr="00E94619">
        <w:rPr>
          <w:rFonts w:ascii="Century Gothic" w:hAnsi="Century Gothic"/>
        </w:rPr>
        <w:t xml:space="preserve">de </w:t>
      </w:r>
      <w:r w:rsidRPr="00E94619">
        <w:rPr>
          <w:rFonts w:ascii="Century Gothic" w:hAnsi="Century Gothic"/>
        </w:rPr>
        <w:t xml:space="preserve">violencia sexual es un problema </w:t>
      </w:r>
      <w:r w:rsidR="003832AE" w:rsidRPr="00E94619">
        <w:rPr>
          <w:rFonts w:ascii="Century Gothic" w:hAnsi="Century Gothic"/>
        </w:rPr>
        <w:t>persistente y que continúa afectando de manera desmedida</w:t>
      </w:r>
      <w:r w:rsidRPr="00E94619">
        <w:rPr>
          <w:rFonts w:ascii="Century Gothic" w:hAnsi="Century Gothic"/>
        </w:rPr>
        <w:t xml:space="preserve"> </w:t>
      </w:r>
      <w:r w:rsidR="003832AE" w:rsidRPr="00E94619">
        <w:rPr>
          <w:rFonts w:ascii="Century Gothic" w:hAnsi="Century Gothic"/>
        </w:rPr>
        <w:t xml:space="preserve">a </w:t>
      </w:r>
      <w:r w:rsidRPr="00E94619">
        <w:rPr>
          <w:rFonts w:ascii="Century Gothic" w:hAnsi="Century Gothic"/>
        </w:rPr>
        <w:t>las mujeres. En relación con los agresores</w:t>
      </w:r>
      <w:r w:rsidR="003832AE" w:rsidRPr="00E94619">
        <w:rPr>
          <w:rFonts w:ascii="Century Gothic" w:hAnsi="Century Gothic"/>
        </w:rPr>
        <w:t xml:space="preserve">, en el </w:t>
      </w:r>
      <w:r w:rsidRPr="00E94619">
        <w:rPr>
          <w:rFonts w:ascii="Century Gothic" w:hAnsi="Century Gothic"/>
        </w:rPr>
        <w:t xml:space="preserve">80% de los casos fue una persona cercana a la víctima </w:t>
      </w:r>
      <w:r w:rsidR="003832AE" w:rsidRPr="00E94619">
        <w:rPr>
          <w:rFonts w:ascii="Century Gothic" w:hAnsi="Century Gothic"/>
        </w:rPr>
        <w:t xml:space="preserve">(un </w:t>
      </w:r>
      <w:r w:rsidRPr="00E94619">
        <w:rPr>
          <w:rFonts w:ascii="Century Gothic" w:hAnsi="Century Gothic"/>
        </w:rPr>
        <w:t>familiar, pareja, ex pareja, amigo o cuidador</w:t>
      </w:r>
      <w:r w:rsidR="003832AE" w:rsidRPr="00E94619">
        <w:rPr>
          <w:rFonts w:ascii="Century Gothic" w:hAnsi="Century Gothic"/>
        </w:rPr>
        <w:t>)</w:t>
      </w:r>
      <w:r w:rsidRPr="00E94619">
        <w:rPr>
          <w:rFonts w:ascii="Century Gothic" w:hAnsi="Century Gothic"/>
        </w:rPr>
        <w:t>.</w:t>
      </w:r>
    </w:p>
    <w:p w14:paraId="654D3D69" w14:textId="162065B0" w:rsidR="007224C1" w:rsidRPr="000042BF" w:rsidRDefault="007224C1" w:rsidP="000042BF">
      <w:pPr>
        <w:spacing w:after="0" w:line="240" w:lineRule="auto"/>
        <w:jc w:val="center"/>
        <w:rPr>
          <w:rFonts w:ascii="Century Gothic" w:hAnsi="Century Gothic"/>
          <w:b/>
          <w:sz w:val="16"/>
          <w:szCs w:val="16"/>
        </w:rPr>
      </w:pPr>
      <w:r w:rsidRPr="000042BF">
        <w:rPr>
          <w:rFonts w:ascii="Century Gothic" w:hAnsi="Century Gothic"/>
          <w:b/>
          <w:sz w:val="16"/>
          <w:szCs w:val="16"/>
        </w:rPr>
        <w:t>Gráfica 6</w:t>
      </w:r>
      <w:r w:rsidR="000042BF" w:rsidRPr="000042BF">
        <w:rPr>
          <w:rFonts w:ascii="Century Gothic" w:hAnsi="Century Gothic"/>
          <w:b/>
          <w:sz w:val="16"/>
          <w:szCs w:val="16"/>
        </w:rPr>
        <w:t>. Examenes medicos legales por presunto delito sexual (2017-2019)</w:t>
      </w:r>
    </w:p>
    <w:p w14:paraId="5F39DC21" w14:textId="287E57C5" w:rsidR="001238D7" w:rsidRPr="00E94619" w:rsidRDefault="00830DBC" w:rsidP="000E5AC0">
      <w:pPr>
        <w:spacing w:after="0" w:line="240" w:lineRule="auto"/>
        <w:rPr>
          <w:rFonts w:ascii="Century Gothic" w:hAnsi="Century Gothic"/>
          <w:sz w:val="16"/>
          <w:szCs w:val="16"/>
        </w:rPr>
      </w:pPr>
      <w:sdt>
        <w:sdtPr>
          <w:rPr>
            <w:rFonts w:ascii="Century Gothic" w:hAnsi="Century Gothic"/>
          </w:rPr>
          <w:tag w:val="goog_rdk_7"/>
          <w:id w:val="-1042213"/>
          <w:showingPlcHdr/>
        </w:sdtPr>
        <w:sdtContent>
          <w:r w:rsidR="00332568" w:rsidRPr="00E94619">
            <w:rPr>
              <w:rFonts w:ascii="Century Gothic" w:hAnsi="Century Gothic"/>
            </w:rPr>
            <w:t xml:space="preserve">     </w:t>
          </w:r>
        </w:sdtContent>
      </w:sdt>
    </w:p>
    <w:p w14:paraId="674A87EB" w14:textId="2222F64C" w:rsidR="000042BF" w:rsidRDefault="000042BF" w:rsidP="000E5AC0">
      <w:pPr>
        <w:spacing w:after="0" w:line="240" w:lineRule="auto"/>
        <w:rPr>
          <w:rFonts w:ascii="Century Gothic" w:hAnsi="Century Gothic"/>
          <w:sz w:val="16"/>
          <w:szCs w:val="16"/>
        </w:rPr>
      </w:pPr>
      <w:r w:rsidRPr="00E94619">
        <w:rPr>
          <w:rFonts w:ascii="Century Gothic" w:hAnsi="Century Gothic"/>
          <w:noProof/>
          <w:sz w:val="24"/>
          <w:szCs w:val="24"/>
          <w:lang w:val="es-ES" w:eastAsia="es-ES"/>
        </w:rPr>
        <w:drawing>
          <wp:anchor distT="0" distB="0" distL="114300" distR="114300" simplePos="0" relativeHeight="251669504" behindDoc="0" locked="0" layoutInCell="1" allowOverlap="1" wp14:anchorId="0C819859" wp14:editId="324F94A2">
            <wp:simplePos x="0" y="0"/>
            <wp:positionH relativeFrom="column">
              <wp:posOffset>1257300</wp:posOffset>
            </wp:positionH>
            <wp:positionV relativeFrom="paragraph">
              <wp:posOffset>81915</wp:posOffset>
            </wp:positionV>
            <wp:extent cx="2858770" cy="1245870"/>
            <wp:effectExtent l="0" t="0" r="1143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877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D2055" w14:textId="77777777" w:rsidR="000042BF" w:rsidRDefault="000042BF" w:rsidP="000E5AC0">
      <w:pPr>
        <w:spacing w:after="0" w:line="240" w:lineRule="auto"/>
        <w:rPr>
          <w:rFonts w:ascii="Century Gothic" w:hAnsi="Century Gothic"/>
          <w:sz w:val="16"/>
          <w:szCs w:val="16"/>
        </w:rPr>
      </w:pPr>
    </w:p>
    <w:p w14:paraId="76DE2E2C" w14:textId="77777777" w:rsidR="000042BF" w:rsidRDefault="000042BF" w:rsidP="000E5AC0">
      <w:pPr>
        <w:spacing w:after="0" w:line="240" w:lineRule="auto"/>
        <w:rPr>
          <w:rFonts w:ascii="Century Gothic" w:hAnsi="Century Gothic"/>
          <w:sz w:val="16"/>
          <w:szCs w:val="16"/>
        </w:rPr>
      </w:pPr>
    </w:p>
    <w:p w14:paraId="449E5142" w14:textId="77777777" w:rsidR="000042BF" w:rsidRDefault="000042BF" w:rsidP="000E5AC0">
      <w:pPr>
        <w:spacing w:after="0" w:line="240" w:lineRule="auto"/>
        <w:rPr>
          <w:rFonts w:ascii="Century Gothic" w:hAnsi="Century Gothic"/>
          <w:sz w:val="16"/>
          <w:szCs w:val="16"/>
        </w:rPr>
      </w:pPr>
    </w:p>
    <w:p w14:paraId="08A033D0" w14:textId="77777777" w:rsidR="000042BF" w:rsidRDefault="000042BF" w:rsidP="000E5AC0">
      <w:pPr>
        <w:spacing w:after="0" w:line="240" w:lineRule="auto"/>
        <w:rPr>
          <w:rFonts w:ascii="Century Gothic" w:hAnsi="Century Gothic"/>
          <w:sz w:val="16"/>
          <w:szCs w:val="16"/>
        </w:rPr>
      </w:pPr>
    </w:p>
    <w:p w14:paraId="04F05615" w14:textId="77777777" w:rsidR="000042BF" w:rsidRDefault="000042BF" w:rsidP="000E5AC0">
      <w:pPr>
        <w:spacing w:after="0" w:line="240" w:lineRule="auto"/>
        <w:rPr>
          <w:rFonts w:ascii="Century Gothic" w:hAnsi="Century Gothic"/>
          <w:sz w:val="16"/>
          <w:szCs w:val="16"/>
        </w:rPr>
      </w:pPr>
    </w:p>
    <w:p w14:paraId="13231ADB" w14:textId="77777777" w:rsidR="000042BF" w:rsidRDefault="000042BF" w:rsidP="000E5AC0">
      <w:pPr>
        <w:spacing w:after="0" w:line="240" w:lineRule="auto"/>
        <w:rPr>
          <w:rFonts w:ascii="Century Gothic" w:hAnsi="Century Gothic"/>
          <w:sz w:val="16"/>
          <w:szCs w:val="16"/>
        </w:rPr>
      </w:pPr>
    </w:p>
    <w:p w14:paraId="3205C838" w14:textId="77777777" w:rsidR="000042BF" w:rsidRDefault="000042BF" w:rsidP="000E5AC0">
      <w:pPr>
        <w:spacing w:after="0" w:line="240" w:lineRule="auto"/>
        <w:rPr>
          <w:rFonts w:ascii="Century Gothic" w:hAnsi="Century Gothic"/>
          <w:sz w:val="16"/>
          <w:szCs w:val="16"/>
        </w:rPr>
      </w:pPr>
    </w:p>
    <w:p w14:paraId="22DEDD1E" w14:textId="77777777" w:rsidR="000042BF" w:rsidRDefault="000042BF" w:rsidP="000E5AC0">
      <w:pPr>
        <w:spacing w:after="0" w:line="240" w:lineRule="auto"/>
        <w:rPr>
          <w:rFonts w:ascii="Century Gothic" w:hAnsi="Century Gothic"/>
          <w:sz w:val="16"/>
          <w:szCs w:val="16"/>
        </w:rPr>
      </w:pPr>
    </w:p>
    <w:p w14:paraId="5AD59A65" w14:textId="77777777" w:rsidR="000042BF" w:rsidRDefault="000042BF" w:rsidP="000E5AC0">
      <w:pPr>
        <w:spacing w:after="0" w:line="240" w:lineRule="auto"/>
        <w:rPr>
          <w:rFonts w:ascii="Century Gothic" w:hAnsi="Century Gothic"/>
          <w:sz w:val="16"/>
          <w:szCs w:val="16"/>
        </w:rPr>
      </w:pPr>
    </w:p>
    <w:p w14:paraId="4F90EE01" w14:textId="77777777" w:rsidR="000042BF" w:rsidRDefault="000042BF" w:rsidP="000E5AC0">
      <w:pPr>
        <w:spacing w:after="0" w:line="240" w:lineRule="auto"/>
        <w:rPr>
          <w:rFonts w:ascii="Century Gothic" w:hAnsi="Century Gothic"/>
          <w:sz w:val="16"/>
          <w:szCs w:val="16"/>
        </w:rPr>
      </w:pPr>
    </w:p>
    <w:p w14:paraId="060789FD" w14:textId="77777777" w:rsidR="000042BF" w:rsidRDefault="000042BF" w:rsidP="000E5AC0">
      <w:pPr>
        <w:spacing w:after="0" w:line="240" w:lineRule="auto"/>
        <w:rPr>
          <w:rFonts w:ascii="Century Gothic" w:hAnsi="Century Gothic"/>
          <w:sz w:val="16"/>
          <w:szCs w:val="16"/>
        </w:rPr>
      </w:pPr>
    </w:p>
    <w:p w14:paraId="49BEC8E9" w14:textId="49822DC7" w:rsidR="001238D7" w:rsidRPr="00E94619" w:rsidRDefault="003832AE" w:rsidP="000042BF">
      <w:pPr>
        <w:spacing w:after="0" w:line="240" w:lineRule="auto"/>
        <w:jc w:val="center"/>
        <w:rPr>
          <w:rFonts w:ascii="Century Gothic" w:eastAsia="Calibri" w:hAnsi="Century Gothic" w:cs="Calibri"/>
          <w:color w:val="000000"/>
          <w:sz w:val="16"/>
          <w:szCs w:val="16"/>
        </w:rPr>
      </w:pPr>
      <w:r w:rsidRPr="00E94619">
        <w:rPr>
          <w:rFonts w:ascii="Century Gothic" w:hAnsi="Century Gothic"/>
          <w:sz w:val="16"/>
          <w:szCs w:val="16"/>
        </w:rPr>
        <w:t xml:space="preserve">Fuente: </w:t>
      </w:r>
      <w:r w:rsidR="0036411F" w:rsidRPr="00E94619">
        <w:rPr>
          <w:rFonts w:ascii="Century Gothic" w:eastAsia="Calibri" w:hAnsi="Century Gothic" w:cs="Calibri"/>
          <w:color w:val="000000"/>
          <w:sz w:val="16"/>
          <w:szCs w:val="16"/>
        </w:rPr>
        <w:t>Instituto Nacional de Medicina Legal y Ciencias Forenses</w:t>
      </w:r>
      <w:r w:rsidR="001441C2" w:rsidRPr="00E94619">
        <w:rPr>
          <w:rFonts w:ascii="Century Gothic" w:eastAsia="Calibri" w:hAnsi="Century Gothic" w:cs="Calibri"/>
          <w:color w:val="000000"/>
          <w:sz w:val="16"/>
          <w:szCs w:val="16"/>
        </w:rPr>
        <w:t xml:space="preserve">. Forensis </w:t>
      </w:r>
      <w:r w:rsidR="00B3256E" w:rsidRPr="00E94619">
        <w:rPr>
          <w:rFonts w:ascii="Century Gothic" w:hAnsi="Century Gothic"/>
          <w:noProof/>
          <w:sz w:val="16"/>
          <w:szCs w:val="16"/>
          <w:bdr w:val="none" w:sz="0" w:space="0" w:color="auto" w:frame="1"/>
        </w:rPr>
        <w:t>2017, 2018, 2019</w:t>
      </w:r>
    </w:p>
    <w:p w14:paraId="372E7434" w14:textId="77777777" w:rsidR="001238D7" w:rsidRPr="00E94619" w:rsidRDefault="001238D7" w:rsidP="000E5AC0">
      <w:pPr>
        <w:spacing w:after="0" w:line="240" w:lineRule="auto"/>
        <w:rPr>
          <w:rFonts w:ascii="Century Gothic" w:hAnsi="Century Gothic"/>
          <w:b/>
        </w:rPr>
      </w:pPr>
    </w:p>
    <w:p w14:paraId="4F6CA5C5" w14:textId="12160255" w:rsidR="000042BF" w:rsidRPr="00E94619" w:rsidRDefault="00830DBC" w:rsidP="000E5AC0">
      <w:pPr>
        <w:jc w:val="both"/>
        <w:rPr>
          <w:rFonts w:ascii="Century Gothic" w:hAnsi="Century Gothic"/>
        </w:rPr>
      </w:pPr>
      <w:r>
        <w:rPr>
          <w:rFonts w:ascii="Century Gothic" w:hAnsi="Century Gothic"/>
          <w:b/>
          <w:noProof/>
          <w:szCs w:val="24"/>
          <w:lang w:val="es-ES"/>
        </w:rPr>
        <w:drawing>
          <wp:anchor distT="0" distB="0" distL="114300" distR="114300" simplePos="0" relativeHeight="251778048" behindDoc="0" locked="0" layoutInCell="1" allowOverlap="1" wp14:anchorId="569F3D2B" wp14:editId="71642C73">
            <wp:simplePos x="0" y="0"/>
            <wp:positionH relativeFrom="column">
              <wp:posOffset>-1080135</wp:posOffset>
            </wp:positionH>
            <wp:positionV relativeFrom="paragraph">
              <wp:posOffset>-7180580</wp:posOffset>
            </wp:positionV>
            <wp:extent cx="965835" cy="708660"/>
            <wp:effectExtent l="0" t="0" r="0" b="0"/>
            <wp:wrapNone/>
            <wp:docPr id="360" name="Imagen 36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 xml:space="preserve">La mayoría de </w:t>
      </w:r>
      <w:r w:rsidR="00F56BEE" w:rsidRPr="00E94619">
        <w:rPr>
          <w:rFonts w:ascii="Century Gothic" w:hAnsi="Century Gothic"/>
        </w:rPr>
        <w:t>las víctimas</w:t>
      </w:r>
      <w:r w:rsidR="0036411F" w:rsidRPr="00E94619">
        <w:rPr>
          <w:rFonts w:ascii="Century Gothic" w:hAnsi="Century Gothic"/>
        </w:rPr>
        <w:t xml:space="preserve"> de violencia sexual son las niñas, niños y adolescentes, con aproximadamente un 86% de los casos registrados para este delito. Dentro de este grupo de población las niñas y las adolescentes son también las principales víctimas, en particular las que tienen entre 10 y 14 años. Con respecto a niños y adolescentes, estos representan cerca del 90% de las víctimas del sexo masculino y la edad en la que se presenta el mayor número de casos está en el rango de 5 a 9 años. El número de casos reportados por violencia sexual contra NNA no tiene disminuciones significativas entre el 201</w:t>
      </w:r>
      <w:r w:rsidR="00FC118C" w:rsidRPr="00E94619">
        <w:rPr>
          <w:rFonts w:ascii="Century Gothic" w:hAnsi="Century Gothic"/>
        </w:rPr>
        <w:t>7</w:t>
      </w:r>
      <w:r w:rsidR="0036411F" w:rsidRPr="00E94619">
        <w:rPr>
          <w:rFonts w:ascii="Century Gothic" w:hAnsi="Century Gothic"/>
        </w:rPr>
        <w:t xml:space="preserve"> y el 201</w:t>
      </w:r>
      <w:r w:rsidR="00FC118C" w:rsidRPr="00E94619">
        <w:rPr>
          <w:rFonts w:ascii="Century Gothic" w:hAnsi="Century Gothic"/>
        </w:rPr>
        <w:t>9</w:t>
      </w:r>
      <w:r w:rsidR="0036411F" w:rsidRPr="00E94619">
        <w:rPr>
          <w:rFonts w:ascii="Century Gothic" w:hAnsi="Century Gothic"/>
        </w:rPr>
        <w:t xml:space="preserve">. </w:t>
      </w:r>
    </w:p>
    <w:p w14:paraId="2A37E0F9" w14:textId="4AA1CEE4" w:rsidR="001238D7" w:rsidRDefault="00830DBC" w:rsidP="000042BF">
      <w:pPr>
        <w:spacing w:after="0" w:line="240" w:lineRule="auto"/>
        <w:jc w:val="center"/>
        <w:rPr>
          <w:rFonts w:ascii="Century Gothic" w:hAnsi="Century Gothic"/>
          <w:b/>
          <w:noProof/>
          <w:sz w:val="16"/>
          <w:szCs w:val="16"/>
        </w:rPr>
      </w:pPr>
      <w:sdt>
        <w:sdtPr>
          <w:rPr>
            <w:rFonts w:ascii="Century Gothic" w:hAnsi="Century Gothic"/>
            <w:sz w:val="16"/>
            <w:szCs w:val="16"/>
          </w:rPr>
          <w:tag w:val="goog_rdk_8"/>
          <w:id w:val="146715761"/>
          <w:showingPlcHdr/>
        </w:sdtPr>
        <w:sdtContent>
          <w:r w:rsidR="00B3256E" w:rsidRPr="00E94619">
            <w:rPr>
              <w:rFonts w:ascii="Century Gothic" w:hAnsi="Century Gothic"/>
              <w:sz w:val="16"/>
              <w:szCs w:val="16"/>
            </w:rPr>
            <w:t xml:space="preserve">     </w:t>
          </w:r>
        </w:sdtContent>
      </w:sdt>
      <w:r w:rsidR="00B3256E" w:rsidRPr="000042BF">
        <w:rPr>
          <w:rFonts w:ascii="Century Gothic" w:hAnsi="Century Gothic"/>
          <w:b/>
          <w:noProof/>
          <w:sz w:val="16"/>
          <w:szCs w:val="16"/>
        </w:rPr>
        <w:t>Gráfica 7</w:t>
      </w:r>
      <w:r w:rsidR="000042BF" w:rsidRPr="000042BF">
        <w:rPr>
          <w:rFonts w:ascii="Century Gothic" w:hAnsi="Century Gothic"/>
          <w:b/>
          <w:noProof/>
          <w:sz w:val="16"/>
          <w:szCs w:val="16"/>
        </w:rPr>
        <w:t>. Examenes médicos legales a niñas</w:t>
      </w:r>
    </w:p>
    <w:p w14:paraId="21DF9DF3" w14:textId="77777777" w:rsidR="000042BF" w:rsidRPr="00E94619" w:rsidRDefault="000042BF" w:rsidP="000042BF">
      <w:pPr>
        <w:spacing w:after="0" w:line="240" w:lineRule="auto"/>
        <w:jc w:val="center"/>
        <w:rPr>
          <w:rFonts w:ascii="Century Gothic" w:hAnsi="Century Gothic"/>
          <w:noProof/>
          <w:sz w:val="16"/>
          <w:szCs w:val="16"/>
        </w:rPr>
      </w:pPr>
    </w:p>
    <w:p w14:paraId="3CBE7EE8" w14:textId="77777777" w:rsidR="00AF6E58" w:rsidRPr="00E94619" w:rsidRDefault="00AF6E58" w:rsidP="000E5AC0">
      <w:pPr>
        <w:spacing w:after="0" w:line="240" w:lineRule="auto"/>
        <w:rPr>
          <w:rFonts w:ascii="Century Gothic" w:hAnsi="Century Gothic"/>
          <w:noProof/>
          <w:sz w:val="16"/>
          <w:szCs w:val="16"/>
        </w:rPr>
      </w:pPr>
      <w:r w:rsidRPr="00E94619">
        <w:rPr>
          <w:rFonts w:ascii="Century Gothic" w:hAnsi="Century Gothic"/>
          <w:noProof/>
          <w:lang w:val="es-ES" w:eastAsia="es-ES"/>
        </w:rPr>
        <w:drawing>
          <wp:anchor distT="0" distB="0" distL="114300" distR="114300" simplePos="0" relativeHeight="251670528" behindDoc="0" locked="0" layoutInCell="1" allowOverlap="1" wp14:anchorId="429B0CE1" wp14:editId="1DC932EA">
            <wp:simplePos x="0" y="0"/>
            <wp:positionH relativeFrom="column">
              <wp:posOffset>1257300</wp:posOffset>
            </wp:positionH>
            <wp:positionV relativeFrom="paragraph">
              <wp:posOffset>36195</wp:posOffset>
            </wp:positionV>
            <wp:extent cx="3111500" cy="1574165"/>
            <wp:effectExtent l="0" t="0" r="12700" b="63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1500" cy="1574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76AF0" w14:textId="77777777" w:rsidR="00B3256E" w:rsidRPr="00E94619" w:rsidRDefault="00B3256E" w:rsidP="000E5AC0">
      <w:pPr>
        <w:spacing w:after="0" w:line="240" w:lineRule="auto"/>
        <w:rPr>
          <w:rFonts w:ascii="Century Gothic" w:hAnsi="Century Gothic"/>
          <w:noProof/>
          <w:sz w:val="16"/>
          <w:szCs w:val="16"/>
        </w:rPr>
      </w:pPr>
    </w:p>
    <w:p w14:paraId="4AB30CD4" w14:textId="77777777" w:rsidR="000042BF" w:rsidRDefault="000042BF" w:rsidP="000E5AC0">
      <w:pPr>
        <w:spacing w:after="0" w:line="240" w:lineRule="auto"/>
        <w:rPr>
          <w:rFonts w:ascii="Century Gothic" w:hAnsi="Century Gothic"/>
          <w:sz w:val="16"/>
          <w:szCs w:val="16"/>
        </w:rPr>
      </w:pPr>
    </w:p>
    <w:p w14:paraId="52000857" w14:textId="77777777" w:rsidR="000042BF" w:rsidRDefault="000042BF" w:rsidP="000E5AC0">
      <w:pPr>
        <w:spacing w:after="0" w:line="240" w:lineRule="auto"/>
        <w:rPr>
          <w:rFonts w:ascii="Century Gothic" w:hAnsi="Century Gothic"/>
          <w:sz w:val="16"/>
          <w:szCs w:val="16"/>
        </w:rPr>
      </w:pPr>
    </w:p>
    <w:p w14:paraId="664CDDF3" w14:textId="77777777" w:rsidR="000042BF" w:rsidRDefault="000042BF" w:rsidP="000E5AC0">
      <w:pPr>
        <w:spacing w:after="0" w:line="240" w:lineRule="auto"/>
        <w:rPr>
          <w:rFonts w:ascii="Century Gothic" w:hAnsi="Century Gothic"/>
          <w:sz w:val="16"/>
          <w:szCs w:val="16"/>
        </w:rPr>
      </w:pPr>
    </w:p>
    <w:p w14:paraId="2DEBA625" w14:textId="77777777" w:rsidR="000042BF" w:rsidRDefault="000042BF" w:rsidP="000E5AC0">
      <w:pPr>
        <w:spacing w:after="0" w:line="240" w:lineRule="auto"/>
        <w:rPr>
          <w:rFonts w:ascii="Century Gothic" w:hAnsi="Century Gothic"/>
          <w:sz w:val="16"/>
          <w:szCs w:val="16"/>
        </w:rPr>
      </w:pPr>
    </w:p>
    <w:p w14:paraId="44519E60" w14:textId="77777777" w:rsidR="000042BF" w:rsidRDefault="000042BF" w:rsidP="000E5AC0">
      <w:pPr>
        <w:spacing w:after="0" w:line="240" w:lineRule="auto"/>
        <w:rPr>
          <w:rFonts w:ascii="Century Gothic" w:hAnsi="Century Gothic"/>
          <w:sz w:val="16"/>
          <w:szCs w:val="16"/>
        </w:rPr>
      </w:pPr>
    </w:p>
    <w:p w14:paraId="0A35A6EA" w14:textId="77777777" w:rsidR="000042BF" w:rsidRDefault="000042BF" w:rsidP="000E5AC0">
      <w:pPr>
        <w:spacing w:after="0" w:line="240" w:lineRule="auto"/>
        <w:rPr>
          <w:rFonts w:ascii="Century Gothic" w:hAnsi="Century Gothic"/>
          <w:sz w:val="16"/>
          <w:szCs w:val="16"/>
        </w:rPr>
      </w:pPr>
    </w:p>
    <w:p w14:paraId="475110E9" w14:textId="77777777" w:rsidR="000042BF" w:rsidRDefault="000042BF" w:rsidP="000E5AC0">
      <w:pPr>
        <w:spacing w:after="0" w:line="240" w:lineRule="auto"/>
        <w:rPr>
          <w:rFonts w:ascii="Century Gothic" w:hAnsi="Century Gothic"/>
          <w:sz w:val="16"/>
          <w:szCs w:val="16"/>
        </w:rPr>
      </w:pPr>
    </w:p>
    <w:p w14:paraId="0C029370" w14:textId="77777777" w:rsidR="000042BF" w:rsidRDefault="000042BF" w:rsidP="000E5AC0">
      <w:pPr>
        <w:spacing w:after="0" w:line="240" w:lineRule="auto"/>
        <w:rPr>
          <w:rFonts w:ascii="Century Gothic" w:hAnsi="Century Gothic"/>
          <w:sz w:val="16"/>
          <w:szCs w:val="16"/>
        </w:rPr>
      </w:pPr>
    </w:p>
    <w:p w14:paraId="59DEEC87" w14:textId="77777777" w:rsidR="000042BF" w:rsidRDefault="000042BF" w:rsidP="000E5AC0">
      <w:pPr>
        <w:spacing w:after="0" w:line="240" w:lineRule="auto"/>
        <w:rPr>
          <w:rFonts w:ascii="Century Gothic" w:hAnsi="Century Gothic"/>
          <w:sz w:val="16"/>
          <w:szCs w:val="16"/>
        </w:rPr>
      </w:pPr>
    </w:p>
    <w:p w14:paraId="5824E3C3" w14:textId="77777777" w:rsidR="000042BF" w:rsidRDefault="000042BF" w:rsidP="000E5AC0">
      <w:pPr>
        <w:spacing w:after="0" w:line="240" w:lineRule="auto"/>
        <w:rPr>
          <w:rFonts w:ascii="Century Gothic" w:hAnsi="Century Gothic"/>
          <w:sz w:val="16"/>
          <w:szCs w:val="16"/>
        </w:rPr>
      </w:pPr>
    </w:p>
    <w:p w14:paraId="1A429F30" w14:textId="77777777" w:rsidR="000042BF" w:rsidRDefault="000042BF" w:rsidP="000E5AC0">
      <w:pPr>
        <w:spacing w:after="0" w:line="240" w:lineRule="auto"/>
        <w:rPr>
          <w:rFonts w:ascii="Century Gothic" w:hAnsi="Century Gothic"/>
          <w:sz w:val="16"/>
          <w:szCs w:val="16"/>
        </w:rPr>
      </w:pPr>
    </w:p>
    <w:p w14:paraId="08E1A4C5" w14:textId="77777777" w:rsidR="000042BF" w:rsidRDefault="000042BF" w:rsidP="000E5AC0">
      <w:pPr>
        <w:spacing w:after="0" w:line="240" w:lineRule="auto"/>
        <w:rPr>
          <w:rFonts w:ascii="Century Gothic" w:hAnsi="Century Gothic"/>
          <w:sz w:val="16"/>
          <w:szCs w:val="16"/>
        </w:rPr>
      </w:pPr>
    </w:p>
    <w:p w14:paraId="7945B056" w14:textId="56B93958" w:rsidR="00AF6E58" w:rsidRDefault="001441C2" w:rsidP="005C1EE1">
      <w:pPr>
        <w:spacing w:after="0" w:line="240" w:lineRule="auto"/>
        <w:jc w:val="center"/>
        <w:rPr>
          <w:rFonts w:ascii="Century Gothic" w:hAnsi="Century Gothic"/>
          <w:noProof/>
          <w:sz w:val="16"/>
          <w:szCs w:val="16"/>
          <w:bdr w:val="none" w:sz="0" w:space="0" w:color="auto" w:frame="1"/>
        </w:rPr>
      </w:pPr>
      <w:r w:rsidRPr="00E94619">
        <w:rPr>
          <w:rFonts w:ascii="Century Gothic" w:hAnsi="Century Gothic"/>
          <w:sz w:val="16"/>
          <w:szCs w:val="16"/>
        </w:rPr>
        <w:t xml:space="preserve">Fuente: </w:t>
      </w:r>
      <w:r w:rsidR="0036411F" w:rsidRPr="00E94619">
        <w:rPr>
          <w:rFonts w:ascii="Century Gothic" w:eastAsia="Calibri" w:hAnsi="Century Gothic" w:cs="Calibri"/>
          <w:color w:val="000000"/>
          <w:sz w:val="16"/>
          <w:szCs w:val="16"/>
        </w:rPr>
        <w:t>Instituto Nacional de Medicina Legal y Ciencias Forenses</w:t>
      </w:r>
      <w:r w:rsidR="00AF6E58" w:rsidRPr="00E94619">
        <w:rPr>
          <w:rFonts w:ascii="Century Gothic" w:eastAsia="Calibri" w:hAnsi="Century Gothic" w:cs="Calibri"/>
          <w:color w:val="000000"/>
          <w:sz w:val="16"/>
          <w:szCs w:val="16"/>
        </w:rPr>
        <w:t xml:space="preserve">. </w:t>
      </w:r>
      <w:r w:rsidRPr="00E94619">
        <w:rPr>
          <w:rFonts w:ascii="Century Gothic" w:eastAsia="Calibri" w:hAnsi="Century Gothic" w:cs="Calibri"/>
          <w:color w:val="000000"/>
          <w:sz w:val="16"/>
          <w:szCs w:val="16"/>
        </w:rPr>
        <w:t xml:space="preserve">Forensis </w:t>
      </w:r>
      <w:r w:rsidR="00AF6E58" w:rsidRPr="00E94619">
        <w:rPr>
          <w:rFonts w:ascii="Century Gothic" w:hAnsi="Century Gothic"/>
          <w:noProof/>
          <w:sz w:val="16"/>
          <w:szCs w:val="16"/>
          <w:bdr w:val="none" w:sz="0" w:space="0" w:color="auto" w:frame="1"/>
        </w:rPr>
        <w:t>2017, 2018, 2019</w:t>
      </w:r>
      <w:r w:rsidRPr="00E94619">
        <w:rPr>
          <w:rFonts w:ascii="Century Gothic" w:hAnsi="Century Gothic"/>
          <w:noProof/>
          <w:sz w:val="16"/>
          <w:szCs w:val="16"/>
          <w:bdr w:val="none" w:sz="0" w:space="0" w:color="auto" w:frame="1"/>
        </w:rPr>
        <w:t>.</w:t>
      </w:r>
    </w:p>
    <w:p w14:paraId="2EA21B10" w14:textId="77777777" w:rsidR="005C1EE1" w:rsidRPr="005C1EE1" w:rsidRDefault="005C1EE1" w:rsidP="005C1EE1">
      <w:pPr>
        <w:spacing w:after="0" w:line="240" w:lineRule="auto"/>
        <w:jc w:val="center"/>
        <w:rPr>
          <w:rFonts w:ascii="Century Gothic" w:eastAsia="Calibri" w:hAnsi="Century Gothic" w:cs="Calibri"/>
          <w:color w:val="000000"/>
          <w:sz w:val="16"/>
          <w:szCs w:val="16"/>
        </w:rPr>
      </w:pPr>
    </w:p>
    <w:p w14:paraId="43428265" w14:textId="6FC79558" w:rsidR="001238D7" w:rsidRDefault="0036411F" w:rsidP="000E5AC0">
      <w:pPr>
        <w:spacing w:after="0" w:line="240" w:lineRule="auto"/>
        <w:jc w:val="both"/>
        <w:rPr>
          <w:rFonts w:ascii="Century Gothic" w:hAnsi="Century Gothic"/>
        </w:rPr>
      </w:pPr>
      <w:r w:rsidRPr="00E94619">
        <w:rPr>
          <w:rFonts w:ascii="Century Gothic" w:hAnsi="Century Gothic"/>
        </w:rPr>
        <w:t>Los registros por presunto delito sexual en personas con pertenencia a grupos étnicos mantienen la tendencia frente a la mayor vulnerabilidad de las mujeres en este delito, ya que entre los años 201</w:t>
      </w:r>
      <w:r w:rsidR="003D451B" w:rsidRPr="00E94619">
        <w:rPr>
          <w:rFonts w:ascii="Century Gothic" w:hAnsi="Century Gothic"/>
        </w:rPr>
        <w:t>7</w:t>
      </w:r>
      <w:r w:rsidRPr="00E94619">
        <w:rPr>
          <w:rFonts w:ascii="Century Gothic" w:hAnsi="Century Gothic"/>
        </w:rPr>
        <w:t xml:space="preserve"> y 201</w:t>
      </w:r>
      <w:r w:rsidR="003D451B" w:rsidRPr="00E94619">
        <w:rPr>
          <w:rFonts w:ascii="Century Gothic" w:hAnsi="Century Gothic"/>
        </w:rPr>
        <w:t>9</w:t>
      </w:r>
      <w:r w:rsidRPr="00E94619">
        <w:rPr>
          <w:rFonts w:ascii="Century Gothic" w:hAnsi="Century Gothic"/>
        </w:rPr>
        <w:t xml:space="preserve"> representaron cerca del </w:t>
      </w:r>
      <w:r w:rsidR="005B3F4E" w:rsidRPr="00E94619">
        <w:rPr>
          <w:rFonts w:ascii="Century Gothic" w:hAnsi="Century Gothic"/>
        </w:rPr>
        <w:t>94%</w:t>
      </w:r>
      <w:r w:rsidR="00C51041" w:rsidRPr="00E94619">
        <w:rPr>
          <w:rFonts w:ascii="Century Gothic" w:hAnsi="Century Gothic"/>
        </w:rPr>
        <w:t xml:space="preserve"> del total de casos</w:t>
      </w:r>
      <w:r w:rsidRPr="00E94619">
        <w:rPr>
          <w:rFonts w:ascii="Century Gothic" w:hAnsi="Century Gothic"/>
        </w:rPr>
        <w:t>.</w:t>
      </w:r>
      <w:r w:rsidR="00537C83" w:rsidRPr="00E94619">
        <w:rPr>
          <w:rStyle w:val="Refdenotaalpie"/>
          <w:rFonts w:ascii="Century Gothic" w:hAnsi="Century Gothic"/>
        </w:rPr>
        <w:footnoteReference w:id="15"/>
      </w:r>
    </w:p>
    <w:p w14:paraId="1BF4FADF" w14:textId="77777777" w:rsidR="005C1EE1" w:rsidRPr="00E94619" w:rsidRDefault="005C1EE1" w:rsidP="000E5AC0">
      <w:pPr>
        <w:spacing w:after="0" w:line="240" w:lineRule="auto"/>
        <w:jc w:val="both"/>
        <w:rPr>
          <w:rFonts w:ascii="Century Gothic" w:hAnsi="Century Gothic"/>
        </w:rPr>
      </w:pPr>
    </w:p>
    <w:p w14:paraId="42B6CD37" w14:textId="6AC860FF" w:rsidR="005C1EE1" w:rsidRDefault="0036411F" w:rsidP="000042BF">
      <w:pPr>
        <w:spacing w:after="0" w:line="240" w:lineRule="auto"/>
        <w:jc w:val="center"/>
        <w:rPr>
          <w:rFonts w:ascii="Century Gothic" w:hAnsi="Century Gothic"/>
          <w:b/>
          <w:sz w:val="16"/>
          <w:szCs w:val="16"/>
        </w:rPr>
      </w:pPr>
      <w:r w:rsidRPr="000042BF">
        <w:rPr>
          <w:rFonts w:ascii="Century Gothic" w:hAnsi="Century Gothic"/>
          <w:b/>
          <w:sz w:val="16"/>
          <w:szCs w:val="16"/>
        </w:rPr>
        <w:t>Gráfica 8</w:t>
      </w:r>
      <w:sdt>
        <w:sdtPr>
          <w:rPr>
            <w:rFonts w:ascii="Century Gothic" w:hAnsi="Century Gothic"/>
            <w:b/>
            <w:sz w:val="16"/>
            <w:szCs w:val="16"/>
          </w:rPr>
          <w:tag w:val="goog_rdk_9"/>
          <w:id w:val="-43055503"/>
        </w:sdtPr>
        <w:sdtContent>
          <w:r w:rsidR="000042BF" w:rsidRPr="000042BF">
            <w:rPr>
              <w:rFonts w:ascii="Century Gothic" w:hAnsi="Century Gothic"/>
              <w:b/>
              <w:sz w:val="16"/>
              <w:szCs w:val="16"/>
            </w:rPr>
            <w:t>. Examenes médicos legales presunto delito sexual pertenencia a grupos etnicos</w:t>
          </w:r>
        </w:sdtContent>
      </w:sdt>
    </w:p>
    <w:p w14:paraId="69913029" w14:textId="4734640A" w:rsidR="001238D7" w:rsidRPr="000042BF" w:rsidRDefault="005C1EE1" w:rsidP="000042BF">
      <w:pPr>
        <w:spacing w:after="0"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671552" behindDoc="0" locked="0" layoutInCell="1" allowOverlap="1" wp14:anchorId="7930939E" wp14:editId="3FEEC034">
            <wp:simplePos x="0" y="0"/>
            <wp:positionH relativeFrom="column">
              <wp:posOffset>1600200</wp:posOffset>
            </wp:positionH>
            <wp:positionV relativeFrom="paragraph">
              <wp:posOffset>100965</wp:posOffset>
            </wp:positionV>
            <wp:extent cx="2204085" cy="1285875"/>
            <wp:effectExtent l="0" t="0" r="5715"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408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17C13" w14:textId="33C928F1" w:rsidR="001238D7" w:rsidRPr="00E94619" w:rsidRDefault="001238D7" w:rsidP="000E5AC0">
      <w:pPr>
        <w:jc w:val="both"/>
        <w:rPr>
          <w:rFonts w:ascii="Century Gothic" w:hAnsi="Century Gothic"/>
          <w:sz w:val="16"/>
          <w:szCs w:val="16"/>
        </w:rPr>
      </w:pPr>
    </w:p>
    <w:p w14:paraId="6409DA97" w14:textId="77777777" w:rsidR="005C1EE1" w:rsidRDefault="005C1EE1" w:rsidP="000E5AC0">
      <w:pPr>
        <w:rPr>
          <w:rFonts w:ascii="Century Gothic" w:hAnsi="Century Gothic"/>
          <w:noProof/>
          <w:sz w:val="16"/>
          <w:szCs w:val="16"/>
          <w:bdr w:val="none" w:sz="0" w:space="0" w:color="auto" w:frame="1"/>
        </w:rPr>
      </w:pPr>
    </w:p>
    <w:p w14:paraId="6913C0FF" w14:textId="77777777" w:rsidR="005C1EE1" w:rsidRDefault="005C1EE1" w:rsidP="000E5AC0">
      <w:pPr>
        <w:rPr>
          <w:rFonts w:ascii="Century Gothic" w:hAnsi="Century Gothic"/>
          <w:noProof/>
          <w:sz w:val="16"/>
          <w:szCs w:val="16"/>
          <w:bdr w:val="none" w:sz="0" w:space="0" w:color="auto" w:frame="1"/>
        </w:rPr>
      </w:pPr>
    </w:p>
    <w:p w14:paraId="35DFF74A" w14:textId="77777777" w:rsidR="005C1EE1" w:rsidRDefault="005C1EE1" w:rsidP="000E5AC0">
      <w:pPr>
        <w:rPr>
          <w:rFonts w:ascii="Century Gothic" w:hAnsi="Century Gothic"/>
          <w:noProof/>
          <w:sz w:val="16"/>
          <w:szCs w:val="16"/>
          <w:bdr w:val="none" w:sz="0" w:space="0" w:color="auto" w:frame="1"/>
        </w:rPr>
      </w:pPr>
    </w:p>
    <w:p w14:paraId="6C1EA700" w14:textId="77777777" w:rsidR="005C1EE1" w:rsidRDefault="005C1EE1" w:rsidP="000E5AC0">
      <w:pPr>
        <w:rPr>
          <w:rFonts w:ascii="Century Gothic" w:hAnsi="Century Gothic"/>
          <w:noProof/>
          <w:sz w:val="16"/>
          <w:szCs w:val="16"/>
          <w:bdr w:val="none" w:sz="0" w:space="0" w:color="auto" w:frame="1"/>
        </w:rPr>
      </w:pPr>
    </w:p>
    <w:p w14:paraId="6EF99206" w14:textId="77777777" w:rsidR="005C1EE1" w:rsidRDefault="005C1EE1" w:rsidP="000E5AC0">
      <w:pPr>
        <w:rPr>
          <w:rFonts w:ascii="Century Gothic" w:hAnsi="Century Gothic"/>
          <w:noProof/>
          <w:sz w:val="16"/>
          <w:szCs w:val="16"/>
          <w:bdr w:val="none" w:sz="0" w:space="0" w:color="auto" w:frame="1"/>
        </w:rPr>
      </w:pPr>
    </w:p>
    <w:p w14:paraId="28319CF3" w14:textId="77777777" w:rsidR="00A30042" w:rsidRPr="00E94619" w:rsidRDefault="001441C2" w:rsidP="005C1EE1">
      <w:pPr>
        <w:jc w:val="center"/>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Fuente:</w:t>
      </w:r>
      <w:r w:rsidR="00A30042" w:rsidRPr="00E94619">
        <w:rPr>
          <w:rFonts w:ascii="Century Gothic" w:hAnsi="Century Gothic"/>
          <w:noProof/>
          <w:sz w:val="16"/>
          <w:szCs w:val="16"/>
          <w:bdr w:val="none" w:sz="0" w:space="0" w:color="auto" w:frame="1"/>
        </w:rPr>
        <w:t xml:space="preserve"> Instituto Nacional de Medicina Legal y Ciencias Forenses</w:t>
      </w:r>
      <w:r w:rsidRPr="00E94619">
        <w:rPr>
          <w:rFonts w:ascii="Century Gothic" w:hAnsi="Century Gothic"/>
          <w:sz w:val="16"/>
          <w:szCs w:val="16"/>
        </w:rPr>
        <w:t xml:space="preserve">. Forensis </w:t>
      </w:r>
      <w:r w:rsidR="00A30042" w:rsidRPr="00E94619">
        <w:rPr>
          <w:rFonts w:ascii="Century Gothic" w:hAnsi="Century Gothic"/>
          <w:noProof/>
          <w:sz w:val="16"/>
          <w:szCs w:val="16"/>
          <w:bdr w:val="none" w:sz="0" w:space="0" w:color="auto" w:frame="1"/>
        </w:rPr>
        <w:t xml:space="preserve"> 2019.</w:t>
      </w:r>
    </w:p>
    <w:p w14:paraId="5E6B205E" w14:textId="77777777" w:rsidR="001238D7" w:rsidRPr="00E94619" w:rsidRDefault="0036411F" w:rsidP="000E5AC0">
      <w:pPr>
        <w:spacing w:after="0" w:line="240" w:lineRule="auto"/>
        <w:jc w:val="both"/>
        <w:rPr>
          <w:rFonts w:ascii="Century Gothic" w:hAnsi="Century Gothic"/>
          <w:color w:val="000000"/>
        </w:rPr>
      </w:pPr>
      <w:r w:rsidRPr="00E94619">
        <w:rPr>
          <w:rFonts w:ascii="Century Gothic" w:hAnsi="Century Gothic"/>
          <w:color w:val="000000"/>
        </w:rPr>
        <w:t xml:space="preserve">Con respecto a los casos por presunto delito sexual a personas con orientación sexual diversa, los datos de Medicina Legal reflejan un cambio en la tendencia frente al sexo de la víctima, ya que durante el </w:t>
      </w:r>
      <w:r w:rsidR="008C0C2B" w:rsidRPr="00E94619">
        <w:rPr>
          <w:rFonts w:ascii="Century Gothic" w:hAnsi="Century Gothic"/>
          <w:color w:val="000000"/>
        </w:rPr>
        <w:t xml:space="preserve">2017 </w:t>
      </w:r>
      <w:r w:rsidR="00827B88" w:rsidRPr="00E94619">
        <w:rPr>
          <w:rFonts w:ascii="Century Gothic" w:hAnsi="Century Gothic"/>
          <w:color w:val="000000"/>
        </w:rPr>
        <w:t xml:space="preserve">las mujeres fueron las principales </w:t>
      </w:r>
      <w:r w:rsidR="00CD3FAB" w:rsidRPr="00E94619">
        <w:rPr>
          <w:rFonts w:ascii="Century Gothic" w:hAnsi="Century Gothic"/>
          <w:color w:val="000000"/>
        </w:rPr>
        <w:t>víctimas</w:t>
      </w:r>
      <w:r w:rsidR="00827B88" w:rsidRPr="00E94619">
        <w:rPr>
          <w:rFonts w:ascii="Century Gothic" w:hAnsi="Century Gothic"/>
          <w:color w:val="000000"/>
        </w:rPr>
        <w:t xml:space="preserve"> con un porcentaje de 53,</w:t>
      </w:r>
      <w:r w:rsidR="00555514" w:rsidRPr="00E94619">
        <w:rPr>
          <w:rFonts w:ascii="Century Gothic" w:hAnsi="Century Gothic"/>
          <w:color w:val="000000"/>
        </w:rPr>
        <w:t>12%</w:t>
      </w:r>
      <w:r w:rsidRPr="00E94619">
        <w:rPr>
          <w:rFonts w:ascii="Century Gothic" w:hAnsi="Century Gothic"/>
          <w:color w:val="000000"/>
        </w:rPr>
        <w:t xml:space="preserve"> en promedio</w:t>
      </w:r>
      <w:r w:rsidR="00555514" w:rsidRPr="00E94619">
        <w:rPr>
          <w:rFonts w:ascii="Century Gothic" w:hAnsi="Century Gothic"/>
          <w:color w:val="000000"/>
        </w:rPr>
        <w:t xml:space="preserve">, sin embargo, en el 2018 y 2019 fueron los hombres con un promedio del </w:t>
      </w:r>
      <w:r w:rsidR="005B74F6" w:rsidRPr="00E94619">
        <w:rPr>
          <w:rFonts w:ascii="Century Gothic" w:hAnsi="Century Gothic"/>
          <w:color w:val="000000"/>
        </w:rPr>
        <w:t>65,44%</w:t>
      </w:r>
      <w:r w:rsidRPr="00E94619">
        <w:rPr>
          <w:rFonts w:ascii="Century Gothic" w:hAnsi="Century Gothic"/>
          <w:color w:val="000000"/>
        </w:rPr>
        <w:t xml:space="preserve">. </w:t>
      </w:r>
    </w:p>
    <w:p w14:paraId="4EC59229" w14:textId="77777777" w:rsidR="001238D7" w:rsidRPr="00E94619" w:rsidRDefault="001238D7" w:rsidP="000E5AC0">
      <w:pPr>
        <w:spacing w:after="0" w:line="240" w:lineRule="auto"/>
        <w:jc w:val="both"/>
        <w:rPr>
          <w:rFonts w:ascii="Century Gothic" w:hAnsi="Century Gothic"/>
          <w:sz w:val="16"/>
          <w:szCs w:val="16"/>
        </w:rPr>
      </w:pPr>
    </w:p>
    <w:p w14:paraId="0C850AD6" w14:textId="0898FA50" w:rsidR="001238D7" w:rsidRPr="005C1EE1" w:rsidRDefault="00830DBC" w:rsidP="005C1EE1">
      <w:pPr>
        <w:spacing w:after="0" w:line="240" w:lineRule="auto"/>
        <w:jc w:val="center"/>
        <w:rPr>
          <w:rFonts w:ascii="Century Gothic" w:hAnsi="Century Gothic"/>
          <w:b/>
          <w:noProof/>
          <w:sz w:val="16"/>
          <w:szCs w:val="16"/>
        </w:rPr>
      </w:pPr>
      <w:sdt>
        <w:sdtPr>
          <w:rPr>
            <w:rFonts w:ascii="Century Gothic" w:hAnsi="Century Gothic"/>
            <w:b/>
            <w:sz w:val="16"/>
            <w:szCs w:val="16"/>
          </w:rPr>
          <w:tag w:val="goog_rdk_10"/>
          <w:id w:val="1306193676"/>
          <w:showingPlcHdr/>
        </w:sdtPr>
        <w:sdtContent>
          <w:r w:rsidR="00A30042" w:rsidRPr="005C1EE1">
            <w:rPr>
              <w:rFonts w:ascii="Century Gothic" w:hAnsi="Century Gothic"/>
              <w:b/>
              <w:sz w:val="16"/>
              <w:szCs w:val="16"/>
            </w:rPr>
            <w:t xml:space="preserve">     </w:t>
          </w:r>
        </w:sdtContent>
      </w:sdt>
      <w:r w:rsidR="00A30042" w:rsidRPr="005C1EE1">
        <w:rPr>
          <w:rFonts w:ascii="Century Gothic" w:hAnsi="Century Gothic"/>
          <w:b/>
          <w:noProof/>
          <w:sz w:val="16"/>
          <w:szCs w:val="16"/>
        </w:rPr>
        <w:t>Gráfica 9</w:t>
      </w:r>
      <w:r w:rsidR="005C1EE1" w:rsidRPr="005C1EE1">
        <w:rPr>
          <w:rFonts w:ascii="Century Gothic" w:hAnsi="Century Gothic"/>
          <w:b/>
          <w:noProof/>
          <w:sz w:val="16"/>
          <w:szCs w:val="16"/>
        </w:rPr>
        <w:t>. Examenes médicos legales presunto delito sexual personas con orientación sexual diversa (2017-2018)</w:t>
      </w:r>
    </w:p>
    <w:p w14:paraId="66FD6258" w14:textId="1D62379C" w:rsidR="00A30042" w:rsidRPr="00E94619" w:rsidRDefault="005C1EE1" w:rsidP="000E5AC0">
      <w:pPr>
        <w:spacing w:after="0" w:line="240" w:lineRule="auto"/>
        <w:jc w:val="both"/>
        <w:rPr>
          <w:rFonts w:ascii="Century Gothic" w:hAnsi="Century Gothic"/>
          <w:noProof/>
        </w:rPr>
      </w:pPr>
      <w:r w:rsidRPr="00E94619">
        <w:rPr>
          <w:rFonts w:ascii="Century Gothic" w:hAnsi="Century Gothic"/>
          <w:noProof/>
          <w:lang w:val="es-ES" w:eastAsia="es-ES"/>
        </w:rPr>
        <w:drawing>
          <wp:anchor distT="0" distB="0" distL="114300" distR="114300" simplePos="0" relativeHeight="251672576" behindDoc="0" locked="0" layoutInCell="1" allowOverlap="1" wp14:anchorId="2049107C" wp14:editId="33BE0535">
            <wp:simplePos x="0" y="0"/>
            <wp:positionH relativeFrom="column">
              <wp:posOffset>1485900</wp:posOffset>
            </wp:positionH>
            <wp:positionV relativeFrom="paragraph">
              <wp:posOffset>56515</wp:posOffset>
            </wp:positionV>
            <wp:extent cx="2253615" cy="1143000"/>
            <wp:effectExtent l="0" t="0" r="698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61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2C96D" w14:textId="20775770" w:rsidR="00A30042" w:rsidRPr="00E94619" w:rsidRDefault="00A30042" w:rsidP="000E5AC0">
      <w:pPr>
        <w:spacing w:after="0" w:line="240" w:lineRule="auto"/>
        <w:jc w:val="both"/>
        <w:rPr>
          <w:rFonts w:ascii="Century Gothic" w:hAnsi="Century Gothic"/>
          <w:noProof/>
        </w:rPr>
      </w:pPr>
    </w:p>
    <w:p w14:paraId="7261D981" w14:textId="77777777" w:rsidR="005C1EE1" w:rsidRDefault="005C1EE1" w:rsidP="000E5AC0">
      <w:pPr>
        <w:rPr>
          <w:rFonts w:ascii="Century Gothic" w:hAnsi="Century Gothic"/>
          <w:noProof/>
          <w:sz w:val="16"/>
          <w:szCs w:val="16"/>
          <w:bdr w:val="none" w:sz="0" w:space="0" w:color="auto" w:frame="1"/>
        </w:rPr>
      </w:pPr>
    </w:p>
    <w:p w14:paraId="2EE22738" w14:textId="77777777" w:rsidR="005C1EE1" w:rsidRDefault="005C1EE1" w:rsidP="000E5AC0">
      <w:pPr>
        <w:rPr>
          <w:rFonts w:ascii="Century Gothic" w:hAnsi="Century Gothic"/>
          <w:noProof/>
          <w:sz w:val="16"/>
          <w:szCs w:val="16"/>
          <w:bdr w:val="none" w:sz="0" w:space="0" w:color="auto" w:frame="1"/>
        </w:rPr>
      </w:pPr>
    </w:p>
    <w:p w14:paraId="350764D7" w14:textId="77777777" w:rsidR="005C1EE1" w:rsidRDefault="005C1EE1" w:rsidP="000E5AC0">
      <w:pPr>
        <w:rPr>
          <w:rFonts w:ascii="Century Gothic" w:hAnsi="Century Gothic"/>
          <w:noProof/>
          <w:sz w:val="16"/>
          <w:szCs w:val="16"/>
          <w:bdr w:val="none" w:sz="0" w:space="0" w:color="auto" w:frame="1"/>
        </w:rPr>
      </w:pPr>
    </w:p>
    <w:p w14:paraId="5A6AD81E" w14:textId="77777777" w:rsidR="005C1EE1" w:rsidRDefault="005C1EE1" w:rsidP="005C1EE1">
      <w:pPr>
        <w:jc w:val="center"/>
        <w:rPr>
          <w:rFonts w:ascii="Century Gothic" w:hAnsi="Century Gothic"/>
          <w:noProof/>
          <w:sz w:val="16"/>
          <w:szCs w:val="16"/>
          <w:bdr w:val="none" w:sz="0" w:space="0" w:color="auto" w:frame="1"/>
        </w:rPr>
      </w:pPr>
    </w:p>
    <w:p w14:paraId="62E60CF3" w14:textId="7070B4F0" w:rsidR="00E31D29" w:rsidRPr="00E94619" w:rsidRDefault="00D2173C" w:rsidP="005C1EE1">
      <w:pPr>
        <w:jc w:val="center"/>
        <w:rPr>
          <w:rFonts w:ascii="Century Gothic" w:hAnsi="Century Gothic"/>
          <w:noProof/>
          <w:sz w:val="16"/>
          <w:szCs w:val="16"/>
          <w:bdr w:val="none" w:sz="0" w:space="0" w:color="auto" w:frame="1"/>
        </w:rPr>
      </w:pPr>
      <w:r>
        <w:rPr>
          <w:rFonts w:ascii="Century Gothic" w:hAnsi="Century Gothic"/>
          <w:b/>
          <w:noProof/>
          <w:szCs w:val="24"/>
          <w:lang w:val="es-ES"/>
        </w:rPr>
        <w:drawing>
          <wp:anchor distT="0" distB="0" distL="114300" distR="114300" simplePos="0" relativeHeight="251780096" behindDoc="0" locked="0" layoutInCell="1" allowOverlap="1" wp14:anchorId="607FC244" wp14:editId="2EDA4044">
            <wp:simplePos x="0" y="0"/>
            <wp:positionH relativeFrom="column">
              <wp:posOffset>-1080135</wp:posOffset>
            </wp:positionH>
            <wp:positionV relativeFrom="paragraph">
              <wp:posOffset>-8416925</wp:posOffset>
            </wp:positionV>
            <wp:extent cx="965835" cy="708660"/>
            <wp:effectExtent l="0" t="0" r="0" b="0"/>
            <wp:wrapNone/>
            <wp:docPr id="361" name="Imagen 36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1441C2" w:rsidRPr="00E94619">
        <w:rPr>
          <w:rFonts w:ascii="Century Gothic" w:hAnsi="Century Gothic"/>
          <w:noProof/>
          <w:sz w:val="16"/>
          <w:szCs w:val="16"/>
          <w:bdr w:val="none" w:sz="0" w:space="0" w:color="auto" w:frame="1"/>
        </w:rPr>
        <w:t xml:space="preserve">Fuente: </w:t>
      </w:r>
      <w:r w:rsidR="00E31D29" w:rsidRPr="00E94619">
        <w:rPr>
          <w:rFonts w:ascii="Century Gothic" w:hAnsi="Century Gothic"/>
          <w:noProof/>
          <w:sz w:val="16"/>
          <w:szCs w:val="16"/>
          <w:bdr w:val="none" w:sz="0" w:space="0" w:color="auto" w:frame="1"/>
        </w:rPr>
        <w:t>Instituto Nacional de Medicina Legal y Ciencias Forenses</w:t>
      </w:r>
      <w:r w:rsidR="001441C2" w:rsidRPr="00E94619">
        <w:rPr>
          <w:rFonts w:ascii="Century Gothic" w:hAnsi="Century Gothic"/>
          <w:noProof/>
          <w:sz w:val="16"/>
          <w:szCs w:val="16"/>
          <w:bdr w:val="none" w:sz="0" w:space="0" w:color="auto" w:frame="1"/>
        </w:rPr>
        <w:t xml:space="preserve">. </w:t>
      </w:r>
      <w:r w:rsidR="00E31D29" w:rsidRPr="00E94619">
        <w:rPr>
          <w:rFonts w:ascii="Century Gothic" w:hAnsi="Century Gothic"/>
          <w:noProof/>
          <w:sz w:val="16"/>
          <w:szCs w:val="16"/>
          <w:bdr w:val="none" w:sz="0" w:space="0" w:color="auto" w:frame="1"/>
        </w:rPr>
        <w:t>Forensis 2017, 2018.</w:t>
      </w:r>
    </w:p>
    <w:p w14:paraId="2E8BA284" w14:textId="2C31B7D1" w:rsidR="001238D7" w:rsidRPr="005C1EE1" w:rsidRDefault="00D2173C" w:rsidP="000E5AC0">
      <w:pPr>
        <w:pStyle w:val="Ttulo4"/>
        <w:rPr>
          <w:rFonts w:ascii="Century Gothic" w:eastAsia="Cambria" w:hAnsi="Century Gothic" w:cs="Cambria"/>
          <w:b w:val="0"/>
          <w:i w:val="0"/>
          <w:color w:val="CC3366"/>
          <w:u w:val="single"/>
        </w:rPr>
      </w:pPr>
      <w:bookmarkStart w:id="33" w:name="_Toc488624250"/>
      <w:r>
        <w:rPr>
          <w:rFonts w:ascii="Century Gothic" w:hAnsi="Century Gothic"/>
          <w:b w:val="0"/>
          <w:noProof/>
          <w:szCs w:val="24"/>
          <w:lang w:val="es-ES"/>
        </w:rPr>
        <w:lastRenderedPageBreak/>
        <w:drawing>
          <wp:anchor distT="0" distB="0" distL="114300" distR="114300" simplePos="0" relativeHeight="251782144" behindDoc="0" locked="0" layoutInCell="1" allowOverlap="1" wp14:anchorId="1169C002" wp14:editId="77F527CC">
            <wp:simplePos x="0" y="0"/>
            <wp:positionH relativeFrom="column">
              <wp:posOffset>-1080135</wp:posOffset>
            </wp:positionH>
            <wp:positionV relativeFrom="paragraph">
              <wp:posOffset>-822960</wp:posOffset>
            </wp:positionV>
            <wp:extent cx="965835" cy="708660"/>
            <wp:effectExtent l="0" t="0" r="0" b="0"/>
            <wp:wrapNone/>
            <wp:docPr id="362" name="Imagen 36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5C1EE1">
        <w:rPr>
          <w:rFonts w:ascii="Century Gothic" w:eastAsia="Cambria" w:hAnsi="Century Gothic" w:cs="Cambria"/>
          <w:b w:val="0"/>
          <w:i w:val="0"/>
          <w:color w:val="CC3366"/>
          <w:u w:val="single"/>
        </w:rPr>
        <w:t>1.1.5 Violencia Obstétrica</w:t>
      </w:r>
      <w:bookmarkEnd w:id="33"/>
    </w:p>
    <w:p w14:paraId="3DE66C6F" w14:textId="77777777" w:rsidR="001238D7" w:rsidRPr="00E94619" w:rsidRDefault="001238D7" w:rsidP="000E5AC0">
      <w:pPr>
        <w:spacing w:after="0" w:line="240" w:lineRule="auto"/>
        <w:rPr>
          <w:rFonts w:ascii="Century Gothic" w:hAnsi="Century Gothic"/>
          <w:b/>
        </w:rPr>
      </w:pPr>
    </w:p>
    <w:p w14:paraId="4BDAA6EE" w14:textId="77777777" w:rsidR="001238D7" w:rsidRPr="00E94619" w:rsidRDefault="0036411F" w:rsidP="000E5AC0">
      <w:pPr>
        <w:spacing w:after="0" w:line="240" w:lineRule="auto"/>
        <w:jc w:val="both"/>
        <w:rPr>
          <w:rFonts w:ascii="Century Gothic" w:hAnsi="Century Gothic"/>
          <w:b/>
        </w:rPr>
      </w:pPr>
      <w:r w:rsidRPr="00E94619">
        <w:rPr>
          <w:rFonts w:ascii="Century Gothic" w:hAnsi="Century Gothic"/>
        </w:rPr>
        <w:t>Está relacionada con la negación a las mujeres a tener una atención digna y respetuosa durante el embarazo, parto y el puerperio en los sistemas de salud público y privado. Es una violencia que han vivido las mujeres históricamente, sin embargo, es una forma de violencia naturalizada e invisibilizada. En Colombia hay pocas experiencias de trabajo en el tema y no se cuenta con documentación ni un marco jurídico para hacer seguimiento a las denuncias y prevención</w:t>
      </w:r>
      <w:r w:rsidRPr="00E94619">
        <w:rPr>
          <w:rFonts w:ascii="Century Gothic" w:hAnsi="Century Gothic"/>
          <w:b/>
        </w:rPr>
        <w:t>.</w:t>
      </w:r>
    </w:p>
    <w:p w14:paraId="1E42D2AD" w14:textId="77777777" w:rsidR="001238D7" w:rsidRPr="00E94619" w:rsidRDefault="001238D7" w:rsidP="000E5AC0">
      <w:pPr>
        <w:spacing w:after="0" w:line="240" w:lineRule="auto"/>
        <w:rPr>
          <w:rFonts w:ascii="Century Gothic" w:hAnsi="Century Gothic"/>
          <w:b/>
        </w:rPr>
      </w:pPr>
    </w:p>
    <w:p w14:paraId="04990500" w14:textId="77777777" w:rsidR="001238D7" w:rsidRPr="00E94619" w:rsidRDefault="0036411F" w:rsidP="000E5AC0">
      <w:pPr>
        <w:rPr>
          <w:rFonts w:ascii="Century Gothic" w:hAnsi="Century Gothic"/>
          <w:b/>
          <w:bCs/>
        </w:rPr>
      </w:pPr>
      <w:r w:rsidRPr="00E94619">
        <w:rPr>
          <w:rFonts w:ascii="Century Gothic" w:hAnsi="Century Gothic"/>
          <w:b/>
          <w:bCs/>
        </w:rPr>
        <w:t>Respuesta del Estado</w:t>
      </w:r>
    </w:p>
    <w:tbl>
      <w:tblPr>
        <w:tblStyle w:val="afff1"/>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1238D7" w:rsidRPr="00E94619" w14:paraId="23BC101F" w14:textId="77777777" w:rsidTr="00281050">
        <w:tc>
          <w:tcPr>
            <w:tcW w:w="9180" w:type="dxa"/>
            <w:tcBorders>
              <w:top w:val="single" w:sz="4" w:space="0" w:color="CC0066"/>
              <w:bottom w:val="single" w:sz="4" w:space="0" w:color="CC0066"/>
              <w:right w:val="single" w:sz="4" w:space="0" w:color="CC0066"/>
            </w:tcBorders>
            <w:shd w:val="clear" w:color="auto" w:fill="FF99CC"/>
          </w:tcPr>
          <w:p w14:paraId="7D6195C8"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MARCO LEGAL Y POLÍTICO VIOLENCIAS CONTRA LAS MUJERES</w:t>
            </w:r>
          </w:p>
        </w:tc>
      </w:tr>
      <w:tr w:rsidR="001238D7" w:rsidRPr="00E94619" w14:paraId="1B364629" w14:textId="77777777" w:rsidTr="00281050">
        <w:tc>
          <w:tcPr>
            <w:tcW w:w="9180" w:type="dxa"/>
            <w:tcBorders>
              <w:top w:val="single" w:sz="4" w:space="0" w:color="CC0066"/>
              <w:left w:val="single" w:sz="4" w:space="0" w:color="CC0066"/>
              <w:bottom w:val="single" w:sz="4" w:space="0" w:color="CC0066"/>
              <w:right w:val="single" w:sz="4" w:space="0" w:color="CC0066"/>
            </w:tcBorders>
          </w:tcPr>
          <w:p w14:paraId="00C32F7C" w14:textId="77777777" w:rsidR="000D02AD"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1257 de 2008: </w:t>
            </w:r>
            <w:r w:rsidRPr="00E94619">
              <w:rPr>
                <w:rFonts w:ascii="Century Gothic" w:hAnsi="Century Gothic"/>
                <w:sz w:val="16"/>
                <w:szCs w:val="16"/>
              </w:rPr>
              <w:t>se dictan normas de sensibilización, prevención y sanción de formas de violencia y discriminación contra las mujeres.</w:t>
            </w:r>
          </w:p>
          <w:p w14:paraId="5B0160B1" w14:textId="77777777" w:rsidR="00010204" w:rsidRPr="00E94619" w:rsidRDefault="00010204" w:rsidP="000E5AC0">
            <w:pPr>
              <w:spacing w:after="0" w:line="240" w:lineRule="auto"/>
              <w:jc w:val="both"/>
              <w:rPr>
                <w:rFonts w:ascii="Century Gothic" w:hAnsi="Century Gothic"/>
                <w:sz w:val="16"/>
                <w:szCs w:val="16"/>
              </w:rPr>
            </w:pPr>
            <w:r w:rsidRPr="00E94619">
              <w:rPr>
                <w:rFonts w:ascii="Century Gothic" w:hAnsi="Century Gothic"/>
                <w:b/>
                <w:bCs/>
                <w:sz w:val="16"/>
                <w:szCs w:val="16"/>
              </w:rPr>
              <w:t xml:space="preserve">-Ley 1448 de 2011 </w:t>
            </w:r>
            <w:r w:rsidRPr="00E94619">
              <w:rPr>
                <w:rFonts w:ascii="Century Gothic" w:hAnsi="Century Gothic"/>
                <w:sz w:val="16"/>
                <w:szCs w:val="16"/>
              </w:rPr>
              <w:t xml:space="preserve">“Por la cual se dictan medidas de atención, asistencia y reparación a las victimas del conflicto armado interno y se dictan otras disposiciones para la protección y </w:t>
            </w:r>
            <w:r w:rsidR="00A00812" w:rsidRPr="00E94619">
              <w:rPr>
                <w:rFonts w:ascii="Century Gothic" w:hAnsi="Century Gothic"/>
                <w:sz w:val="16"/>
                <w:szCs w:val="16"/>
              </w:rPr>
              <w:t>garantía</w:t>
            </w:r>
            <w:r w:rsidRPr="00E94619">
              <w:rPr>
                <w:rFonts w:ascii="Century Gothic" w:hAnsi="Century Gothic"/>
                <w:sz w:val="16"/>
                <w:szCs w:val="16"/>
              </w:rPr>
              <w:t xml:space="preserve"> de las niñas y mujeres </w:t>
            </w:r>
            <w:r w:rsidR="00A00812" w:rsidRPr="00E94619">
              <w:rPr>
                <w:rFonts w:ascii="Century Gothic" w:hAnsi="Century Gothic"/>
                <w:sz w:val="16"/>
                <w:szCs w:val="16"/>
              </w:rPr>
              <w:t>en el marco del conflicto”</w:t>
            </w:r>
          </w:p>
          <w:p w14:paraId="5EE74C6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-Decreto 4796 de 2011:</w:t>
            </w:r>
            <w:r w:rsidRPr="00E94619">
              <w:rPr>
                <w:rFonts w:ascii="Century Gothic" w:hAnsi="Century Gothic"/>
                <w:sz w:val="16"/>
                <w:szCs w:val="16"/>
              </w:rPr>
              <w:t xml:space="preserve"> tiene por objeto definir las acciones necesarias para detectar, prevenir y atender integralmente a las mujeres víctimas de violencia a través de los servicios que garantiza el Sistema General de Seguridad Social en Salud.</w:t>
            </w:r>
          </w:p>
          <w:p w14:paraId="6A6BED0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-Decreto 4799 de 2011:</w:t>
            </w:r>
            <w:r w:rsidRPr="00E94619">
              <w:rPr>
                <w:rFonts w:ascii="Century Gothic" w:hAnsi="Century Gothic"/>
                <w:sz w:val="16"/>
                <w:szCs w:val="16"/>
              </w:rPr>
              <w:t xml:space="preserve"> se reglamenta las Leyes 294 de 1996, 575 de 2000 y 1257 de 2008, en relación con las competencias de las Comisarías de Familia, la Fiscalía General de la Nación, los Juzgados Civiles y los Jueces de Control de Garantías, de manera que se garantice el efectivo acceso de las mujeres a los mecanismos y recursos que establece la ley para su protección.</w:t>
            </w:r>
          </w:p>
          <w:p w14:paraId="49701F6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-Decreto 2734 de 2012:</w:t>
            </w:r>
            <w:r w:rsidRPr="00E94619">
              <w:rPr>
                <w:rFonts w:ascii="Century Gothic" w:hAnsi="Century Gothic"/>
                <w:sz w:val="16"/>
                <w:szCs w:val="16"/>
              </w:rPr>
              <w:t xml:space="preserve"> tiene por objeto establecer los criterios, condiciones y procedimiento para el otorgamiento de las medidas de atención definidas en el artículo 19 de la Ley 1257 de 2008</w:t>
            </w:r>
            <w:r w:rsidRPr="00E94619">
              <w:rPr>
                <w:rFonts w:ascii="Century Gothic" w:hAnsi="Century Gothic"/>
                <w:b/>
                <w:sz w:val="16"/>
                <w:szCs w:val="16"/>
              </w:rPr>
              <w:t>.</w:t>
            </w:r>
          </w:p>
          <w:p w14:paraId="6D7246D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-Plan Integral para Garantizar a las Mujeres una Vida Libre de Violencias (2012-2022): </w:t>
            </w:r>
            <w:r w:rsidRPr="00E94619">
              <w:rPr>
                <w:rFonts w:ascii="Century Gothic" w:hAnsi="Century Gothic"/>
                <w:sz w:val="16"/>
                <w:szCs w:val="16"/>
              </w:rPr>
              <w:t>Eje seis de</w:t>
            </w:r>
            <w:r w:rsidRPr="00E94619">
              <w:rPr>
                <w:rFonts w:ascii="Century Gothic" w:hAnsi="Century Gothic"/>
                <w:b/>
                <w:sz w:val="16"/>
                <w:szCs w:val="16"/>
              </w:rPr>
              <w:t xml:space="preserve"> </w:t>
            </w:r>
            <w:r w:rsidRPr="00E94619">
              <w:rPr>
                <w:rFonts w:ascii="Century Gothic" w:hAnsi="Century Gothic"/>
                <w:sz w:val="16"/>
                <w:szCs w:val="16"/>
              </w:rPr>
              <w:t>la Política Pública de Equidad de Género para las Mujeres.</w:t>
            </w:r>
          </w:p>
          <w:p w14:paraId="54140FA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sz w:val="16"/>
                <w:szCs w:val="16"/>
              </w:rPr>
              <w:t>Conpes 161, eje 6:</w:t>
            </w:r>
            <w:r w:rsidRPr="00E94619">
              <w:rPr>
                <w:rFonts w:ascii="Century Gothic" w:hAnsi="Century Gothic"/>
                <w:sz w:val="16"/>
                <w:szCs w:val="16"/>
              </w:rPr>
              <w:t xml:space="preserve"> Plan Integral para Garantizar a la Mujeres una Vida Libre de Violencias.</w:t>
            </w:r>
          </w:p>
          <w:p w14:paraId="20A85A7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-Resolución 459 de 2012: </w:t>
            </w:r>
            <w:r w:rsidRPr="00E94619">
              <w:rPr>
                <w:rFonts w:ascii="Century Gothic" w:hAnsi="Century Gothic"/>
                <w:sz w:val="16"/>
                <w:szCs w:val="16"/>
              </w:rPr>
              <w:t>se adopta el Protocolo y Modelo de Atención Integral en Salud para Víctimas de Violencia Sexual.</w:t>
            </w:r>
          </w:p>
          <w:p w14:paraId="75A2A1C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sz w:val="16"/>
                <w:szCs w:val="16"/>
              </w:rPr>
              <w:t xml:space="preserve">Resolución No. 163 de 2013: </w:t>
            </w:r>
            <w:r w:rsidRPr="00E94619">
              <w:rPr>
                <w:rFonts w:ascii="Century Gothic" w:hAnsi="Century Gothic"/>
                <w:sz w:val="16"/>
                <w:szCs w:val="16"/>
              </w:rPr>
              <w:t>lineamientos técnicos en materia de competencias, procedimientos y acciones relacionadas con las funciones de la atención a las víctimas de la violencia basada en género, por parte de las Comisarías de Familia y otras autoridades administrativas con funciones jurisdiccionales.</w:t>
            </w:r>
          </w:p>
          <w:p w14:paraId="7B252B6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sz w:val="16"/>
                <w:szCs w:val="16"/>
              </w:rPr>
              <w:t>Resolución No. 1895 de 2013:</w:t>
            </w:r>
            <w:r w:rsidRPr="00E94619">
              <w:rPr>
                <w:rFonts w:ascii="Century Gothic" w:hAnsi="Century Gothic"/>
              </w:rPr>
              <w:t xml:space="preserve"> </w:t>
            </w:r>
            <w:r w:rsidRPr="00E94619">
              <w:rPr>
                <w:rFonts w:ascii="Century Gothic" w:hAnsi="Century Gothic"/>
                <w:sz w:val="16"/>
                <w:szCs w:val="16"/>
              </w:rPr>
              <w:t>se asignan recursos para la financiación de las medidas de atención a las mujeres víctimas de violencia.</w:t>
            </w:r>
          </w:p>
          <w:p w14:paraId="5BFE0B38" w14:textId="77777777" w:rsidR="001441C2" w:rsidRPr="00E94619" w:rsidRDefault="001441C2" w:rsidP="000E5AC0">
            <w:pPr>
              <w:spacing w:after="0" w:line="240" w:lineRule="auto"/>
              <w:jc w:val="both"/>
              <w:rPr>
                <w:rFonts w:ascii="Century Gothic" w:hAnsi="Century Gothic"/>
                <w:sz w:val="16"/>
                <w:szCs w:val="16"/>
              </w:rPr>
            </w:pPr>
            <w:r w:rsidRPr="00E94619">
              <w:rPr>
                <w:rFonts w:ascii="Century Gothic" w:hAnsi="Century Gothic"/>
                <w:b/>
                <w:bCs/>
                <w:sz w:val="16"/>
                <w:szCs w:val="16"/>
              </w:rPr>
              <w:t xml:space="preserve">-Ley 1719 de 2014 </w:t>
            </w:r>
            <w:r w:rsidRPr="00E94619">
              <w:rPr>
                <w:rFonts w:ascii="Century Gothic" w:hAnsi="Century Gothic"/>
                <w:sz w:val="16"/>
                <w:szCs w:val="16"/>
              </w:rPr>
              <w:t>“Por la cual se modifican algunos artículos de las leyes 599 de 2000 y 906 de 2004 y se adoptan medidas para garantizar el acceso a la justicia de víctimas de violencia sexual, en especial la violencia con ocasión del conflicto armado.</w:t>
            </w:r>
          </w:p>
          <w:p w14:paraId="3C013B3C" w14:textId="77777777" w:rsidR="001441C2" w:rsidRPr="00E94619" w:rsidRDefault="001441C2"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bCs/>
                <w:sz w:val="16"/>
                <w:szCs w:val="16"/>
              </w:rPr>
              <w:t>Ley 1761 de 2015 Rosa Elvira Cely “</w:t>
            </w:r>
            <w:r w:rsidRPr="00E94619">
              <w:rPr>
                <w:rFonts w:ascii="Century Gothic" w:hAnsi="Century Gothic"/>
                <w:sz w:val="16"/>
                <w:szCs w:val="16"/>
              </w:rPr>
              <w:t>Por la cual se crea el tipo penal de feminicidio como delito autónomo y se dictan otras disposiciones”</w:t>
            </w:r>
          </w:p>
          <w:p w14:paraId="15FF4B7A" w14:textId="26FB77B1" w:rsidR="008C37B7" w:rsidRPr="00E94619" w:rsidRDefault="001441C2"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bCs/>
                <w:sz w:val="16"/>
                <w:szCs w:val="16"/>
              </w:rPr>
              <w:t xml:space="preserve">Ley 1773 de 2016 Natalia Ponce </w:t>
            </w:r>
            <w:r w:rsidRPr="00E94619">
              <w:rPr>
                <w:rFonts w:ascii="Century Gothic" w:hAnsi="Century Gothic"/>
                <w:sz w:val="16"/>
                <w:szCs w:val="16"/>
              </w:rPr>
              <w:t>Por la cual se dictan medidas sobre Lesiones con agentes químicos, ácido y/o sustancias similares</w:t>
            </w:r>
          </w:p>
          <w:p w14:paraId="7DFF51F2" w14:textId="77777777" w:rsidR="001238D7" w:rsidRPr="00E94619" w:rsidRDefault="001238D7" w:rsidP="000E5AC0">
            <w:pPr>
              <w:spacing w:after="0" w:line="240" w:lineRule="auto"/>
              <w:jc w:val="both"/>
              <w:rPr>
                <w:rFonts w:ascii="Century Gothic" w:hAnsi="Century Gothic"/>
                <w:sz w:val="16"/>
                <w:szCs w:val="16"/>
              </w:rPr>
            </w:pPr>
          </w:p>
          <w:p w14:paraId="46F7ADD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VIOLENCIA ECONÓMICA Y PATRIMONIAL</w:t>
            </w:r>
          </w:p>
          <w:p w14:paraId="26D4235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-Ley 599 de 2000 (Código Penal):</w:t>
            </w:r>
            <w:r w:rsidRPr="00E94619">
              <w:rPr>
                <w:rFonts w:ascii="Century Gothic" w:hAnsi="Century Gothic"/>
                <w:sz w:val="16"/>
                <w:szCs w:val="16"/>
              </w:rPr>
              <w:t xml:space="preserve"> </w:t>
            </w:r>
            <w:r w:rsidRPr="00E94619">
              <w:rPr>
                <w:rFonts w:ascii="Century Gothic" w:hAnsi="Century Gothic"/>
                <w:b/>
                <w:sz w:val="16"/>
                <w:szCs w:val="16"/>
              </w:rPr>
              <w:t>Artículo 233</w:t>
            </w:r>
            <w:r w:rsidRPr="00E94619">
              <w:rPr>
                <w:rFonts w:ascii="Century Gothic" w:hAnsi="Century Gothic"/>
                <w:sz w:val="16"/>
                <w:szCs w:val="16"/>
              </w:rPr>
              <w:t>. Establece sanciones contra la inasistencia alimentaria.</w:t>
            </w:r>
          </w:p>
          <w:p w14:paraId="335C701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1542 de 2012: </w:t>
            </w:r>
            <w:r w:rsidRPr="00E94619">
              <w:rPr>
                <w:rFonts w:ascii="Century Gothic" w:hAnsi="Century Gothic"/>
                <w:sz w:val="16"/>
                <w:szCs w:val="16"/>
              </w:rPr>
              <w:t>tiene por objeto garantizar la protección y diligencia de las autoridades en la investigación de los presuntos delitos de violencia contra la mujer y eliminar el carácter de querellables y desistibles de los delitos de violencia intrafamiliar e inasistencia alimentaria.</w:t>
            </w:r>
          </w:p>
          <w:p w14:paraId="7C45C22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sz w:val="16"/>
                <w:szCs w:val="16"/>
              </w:rPr>
              <w:t>Sentencia T-012/16:</w:t>
            </w:r>
            <w:r w:rsidRPr="00E94619">
              <w:rPr>
                <w:rFonts w:ascii="Century Gothic" w:hAnsi="Century Gothic"/>
                <w:sz w:val="16"/>
                <w:szCs w:val="16"/>
              </w:rPr>
              <w:t xml:space="preserve"> Establece que en la violencia patrimonial el hombre utiliza su poder económico para controlar las decisiones y proyecto de vida de su pareja. </w:t>
            </w:r>
          </w:p>
        </w:tc>
      </w:tr>
    </w:tbl>
    <w:p w14:paraId="0C2E4D44" w14:textId="77777777" w:rsidR="001238D7" w:rsidRPr="00E94619" w:rsidRDefault="001238D7" w:rsidP="000E5AC0">
      <w:pPr>
        <w:spacing w:after="0" w:line="240" w:lineRule="auto"/>
        <w:rPr>
          <w:rFonts w:ascii="Century Gothic" w:hAnsi="Century Gothic"/>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1238D7" w:rsidRPr="00E94619" w14:paraId="0D4CFE68" w14:textId="77777777" w:rsidTr="00CA5E8F">
        <w:tc>
          <w:tcPr>
            <w:tcW w:w="9180" w:type="dxa"/>
            <w:tcBorders>
              <w:top w:val="single" w:sz="4" w:space="0" w:color="CC0066"/>
              <w:bottom w:val="single" w:sz="4" w:space="0" w:color="CC0066"/>
            </w:tcBorders>
            <w:shd w:val="clear" w:color="auto" w:fill="FF99CC"/>
          </w:tcPr>
          <w:p w14:paraId="6756F049" w14:textId="77777777" w:rsidR="001238D7" w:rsidRPr="00E94619" w:rsidRDefault="0036411F" w:rsidP="000E5AC0">
            <w:pPr>
              <w:spacing w:after="0" w:line="240" w:lineRule="auto"/>
              <w:rPr>
                <w:rFonts w:ascii="Century Gothic" w:hAnsi="Century Gothic"/>
                <w:b/>
              </w:rPr>
            </w:pPr>
            <w:r w:rsidRPr="00E94619">
              <w:rPr>
                <w:rFonts w:ascii="Century Gothic" w:hAnsi="Century Gothic"/>
                <w:b/>
                <w:sz w:val="16"/>
                <w:szCs w:val="16"/>
              </w:rPr>
              <w:t>MARCO NORMATIVO VIOLENCIAS SEXUALES CONTRA LAS NIÑAS, NIÑOS Y ADOLESCENTES</w:t>
            </w:r>
          </w:p>
        </w:tc>
      </w:tr>
      <w:tr w:rsidR="001238D7" w:rsidRPr="00E94619" w14:paraId="387B9781" w14:textId="77777777" w:rsidTr="00CA5E8F">
        <w:tc>
          <w:tcPr>
            <w:tcW w:w="9180" w:type="dxa"/>
            <w:tcBorders>
              <w:top w:val="single" w:sz="4" w:space="0" w:color="CC0066"/>
              <w:left w:val="single" w:sz="4" w:space="0" w:color="CC0066"/>
              <w:bottom w:val="single" w:sz="4" w:space="0" w:color="CC0066"/>
              <w:right w:val="single" w:sz="4" w:space="0" w:color="CC0066"/>
            </w:tcBorders>
          </w:tcPr>
          <w:p w14:paraId="5DC8A61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-Ley 1098 de 2006 (Código de la Infancia y la Adolescencia):</w:t>
            </w:r>
            <w:r w:rsidRPr="00E94619">
              <w:rPr>
                <w:rFonts w:ascii="Century Gothic" w:hAnsi="Century Gothic"/>
                <w:sz w:val="16"/>
                <w:szCs w:val="16"/>
              </w:rPr>
              <w:t xml:space="preserve"> En el artículo 18 se estipula que los niños, las niñas y los adolescentes tienen derecho a ser protegidos contra todas las acciones o conductas que causen muerte, daño o sufrimiento físico, sexual o psicológico. </w:t>
            </w:r>
          </w:p>
          <w:p w14:paraId="75996133"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sz w:val="16"/>
                <w:szCs w:val="16"/>
              </w:rPr>
              <w:t>-</w:t>
            </w:r>
            <w:r w:rsidRPr="00E94619">
              <w:rPr>
                <w:rFonts w:ascii="Century Gothic" w:hAnsi="Century Gothic"/>
                <w:b/>
                <w:sz w:val="16"/>
                <w:szCs w:val="16"/>
              </w:rPr>
              <w:t xml:space="preserve">Ley 1146 de 2007: </w:t>
            </w:r>
            <w:r w:rsidRPr="00E94619">
              <w:rPr>
                <w:rFonts w:ascii="Century Gothic" w:hAnsi="Century Gothic"/>
                <w:sz w:val="16"/>
                <w:szCs w:val="16"/>
              </w:rPr>
              <w:t>se expiden normas para la prevención de la violencia sexual y atención integral de los niños, niñas y adolescentes abusados sexualmente.</w:t>
            </w:r>
          </w:p>
          <w:p w14:paraId="1832EA5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-Ley 1236 de 2008</w:t>
            </w:r>
            <w:r w:rsidRPr="00E94619">
              <w:rPr>
                <w:rFonts w:ascii="Century Gothic" w:hAnsi="Century Gothic"/>
                <w:sz w:val="16"/>
                <w:szCs w:val="16"/>
              </w:rPr>
              <w:t xml:space="preserve">: se robustecen las medidas para sancionar los Delitos Contra la Libertad, Integridad y Formación Sexuales cometidos contra niños y niñas. </w:t>
            </w:r>
          </w:p>
          <w:p w14:paraId="745525E1" w14:textId="77777777" w:rsidR="005A4927" w:rsidRPr="00E94619" w:rsidRDefault="005A4927"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Fonts w:ascii="Century Gothic" w:hAnsi="Century Gothic"/>
                <w:b/>
                <w:bCs/>
                <w:sz w:val="16"/>
                <w:szCs w:val="16"/>
              </w:rPr>
              <w:t xml:space="preserve"> Ley 1620 de 2013: </w:t>
            </w:r>
            <w:r w:rsidR="00070AEC" w:rsidRPr="00E94619">
              <w:rPr>
                <w:rFonts w:ascii="Century Gothic" w:hAnsi="Century Gothic"/>
                <w:b/>
                <w:bCs/>
                <w:sz w:val="16"/>
                <w:szCs w:val="16"/>
              </w:rPr>
              <w:t>“</w:t>
            </w:r>
            <w:r w:rsidRPr="00E94619">
              <w:rPr>
                <w:rFonts w:ascii="Century Gothic" w:hAnsi="Century Gothic"/>
                <w:sz w:val="16"/>
                <w:szCs w:val="16"/>
              </w:rPr>
              <w:t xml:space="preserve">por la cual  se crea en </w:t>
            </w:r>
            <w:r w:rsidR="00006154" w:rsidRPr="00E94619">
              <w:rPr>
                <w:rFonts w:ascii="Century Gothic" w:hAnsi="Century Gothic"/>
                <w:sz w:val="16"/>
                <w:szCs w:val="16"/>
              </w:rPr>
              <w:t>Sistema Nacional de Convivencia Escolar y Formación para el ejercicio de los Derechos Humanos</w:t>
            </w:r>
            <w:r w:rsidR="008F176B" w:rsidRPr="00E94619">
              <w:rPr>
                <w:rFonts w:ascii="Century Gothic" w:hAnsi="Century Gothic"/>
                <w:sz w:val="16"/>
                <w:szCs w:val="16"/>
              </w:rPr>
              <w:t>, La Educación para la sexualidad y la Prevención y Mitigación de la Violencia Escolar”</w:t>
            </w:r>
          </w:p>
          <w:p w14:paraId="019B28DF" w14:textId="77777777" w:rsidR="001238D7" w:rsidRPr="00E94619" w:rsidRDefault="0036411F" w:rsidP="000E5AC0">
            <w:pPr>
              <w:spacing w:after="0" w:line="240" w:lineRule="auto"/>
              <w:jc w:val="both"/>
              <w:rPr>
                <w:rFonts w:ascii="Century Gothic" w:hAnsi="Century Gothic"/>
                <w:b/>
              </w:rPr>
            </w:pPr>
            <w:r w:rsidRPr="00E94619">
              <w:rPr>
                <w:rFonts w:ascii="Century Gothic" w:hAnsi="Century Gothic"/>
                <w:b/>
                <w:sz w:val="16"/>
                <w:szCs w:val="16"/>
              </w:rPr>
              <w:t>-Ley 1652 de 2013:</w:t>
            </w:r>
            <w:r w:rsidRPr="00E94619">
              <w:rPr>
                <w:rFonts w:ascii="Century Gothic" w:eastAsia="Times" w:hAnsi="Century Gothic" w:cs="Times"/>
                <w:sz w:val="20"/>
                <w:szCs w:val="20"/>
              </w:rPr>
              <w:t xml:space="preserve"> </w:t>
            </w:r>
            <w:r w:rsidRPr="00E94619">
              <w:rPr>
                <w:rFonts w:ascii="Century Gothic" w:hAnsi="Century Gothic"/>
                <w:sz w:val="16"/>
                <w:szCs w:val="16"/>
              </w:rPr>
              <w:t>se dictan disposiciones acerca de la entrevista y el testimonio en procesos penales de niños, niñas y adolescentes víctimas de delitos contra la libertad, integridad y formación sexuales.</w:t>
            </w:r>
          </w:p>
        </w:tc>
      </w:tr>
    </w:tbl>
    <w:p w14:paraId="786FF4F2" w14:textId="626BD2BD" w:rsidR="001238D7" w:rsidRPr="00E94619" w:rsidRDefault="001238D7" w:rsidP="000E5AC0">
      <w:pPr>
        <w:spacing w:after="0" w:line="240" w:lineRule="auto"/>
        <w:rPr>
          <w:rFonts w:ascii="Century Gothic" w:hAnsi="Century Gothic"/>
          <w:b/>
        </w:rPr>
      </w:pPr>
    </w:p>
    <w:p w14:paraId="0DC947DB" w14:textId="186361C2" w:rsidR="001238D7" w:rsidRPr="005C1EE1" w:rsidRDefault="00D2173C" w:rsidP="005C1EE1">
      <w:pPr>
        <w:rPr>
          <w:rFonts w:ascii="Century Gothic" w:hAnsi="Century Gothic"/>
          <w:b/>
          <w:bCs/>
        </w:rPr>
      </w:pPr>
      <w:r>
        <w:rPr>
          <w:rFonts w:ascii="Century Gothic" w:hAnsi="Century Gothic"/>
          <w:b/>
          <w:noProof/>
          <w:szCs w:val="24"/>
          <w:lang w:val="es-ES"/>
        </w:rPr>
        <w:lastRenderedPageBreak/>
        <w:drawing>
          <wp:anchor distT="0" distB="0" distL="114300" distR="114300" simplePos="0" relativeHeight="251784192" behindDoc="0" locked="0" layoutInCell="1" allowOverlap="1" wp14:anchorId="050CE67B" wp14:editId="0FB062C8">
            <wp:simplePos x="0" y="0"/>
            <wp:positionH relativeFrom="column">
              <wp:posOffset>-1080135</wp:posOffset>
            </wp:positionH>
            <wp:positionV relativeFrom="paragraph">
              <wp:posOffset>-822960</wp:posOffset>
            </wp:positionV>
            <wp:extent cx="965835" cy="708660"/>
            <wp:effectExtent l="0" t="0" r="0" b="0"/>
            <wp:wrapNone/>
            <wp:docPr id="363" name="Imagen 36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bCs/>
        </w:rPr>
        <w:t>Entidades competentes</w:t>
      </w:r>
    </w:p>
    <w:p w14:paraId="7DD64D09"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Para el efectivo y oportuno funcionamiento de la implementación de esta normatividad se ha determinado que debe existir una actuación articulada de las entidades estatales con responsabilidades en la atención de las violencias, tanto a nivel nacional como territorial (ver anexo tabla 2).</w:t>
      </w:r>
    </w:p>
    <w:p w14:paraId="2156401E" w14:textId="77777777" w:rsidR="001238D7" w:rsidRPr="00E94619" w:rsidRDefault="001238D7" w:rsidP="000E5AC0">
      <w:pPr>
        <w:spacing w:after="0" w:line="240" w:lineRule="auto"/>
        <w:jc w:val="both"/>
        <w:rPr>
          <w:rFonts w:ascii="Century Gothic" w:hAnsi="Century Gothic"/>
          <w:sz w:val="16"/>
          <w:szCs w:val="16"/>
        </w:rPr>
      </w:pPr>
    </w:p>
    <w:p w14:paraId="04E67D78" w14:textId="77777777" w:rsidR="001238D7" w:rsidRPr="00E94619" w:rsidRDefault="0036411F" w:rsidP="000E5AC0">
      <w:pPr>
        <w:rPr>
          <w:rFonts w:ascii="Century Gothic" w:hAnsi="Century Gothic"/>
          <w:b/>
          <w:bCs/>
        </w:rPr>
      </w:pPr>
      <w:r w:rsidRPr="00E94619">
        <w:rPr>
          <w:rFonts w:ascii="Century Gothic" w:hAnsi="Century Gothic"/>
          <w:b/>
          <w:bCs/>
        </w:rPr>
        <w:t xml:space="preserve">Respuesta de la sociedad civil </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641"/>
      </w:tblGrid>
      <w:tr w:rsidR="001238D7" w:rsidRPr="00E94619" w14:paraId="2978D1B0" w14:textId="77777777" w:rsidTr="005C1EE1">
        <w:tc>
          <w:tcPr>
            <w:tcW w:w="1413" w:type="dxa"/>
            <w:tcBorders>
              <w:top w:val="single" w:sz="4" w:space="0" w:color="CC0066"/>
              <w:left w:val="single" w:sz="4" w:space="0" w:color="CC0066"/>
              <w:bottom w:val="single" w:sz="4" w:space="0" w:color="CC0066"/>
              <w:right w:val="single" w:sz="4" w:space="0" w:color="CC0066"/>
            </w:tcBorders>
            <w:shd w:val="clear" w:color="auto" w:fill="FF99CC"/>
          </w:tcPr>
          <w:p w14:paraId="19680B69" w14:textId="77777777" w:rsidR="001238D7" w:rsidRPr="00E94619" w:rsidRDefault="0036411F" w:rsidP="000E5AC0">
            <w:pPr>
              <w:rPr>
                <w:rFonts w:ascii="Century Gothic" w:hAnsi="Century Gothic"/>
                <w:b/>
                <w:sz w:val="16"/>
                <w:szCs w:val="16"/>
              </w:rPr>
            </w:pPr>
            <w:r w:rsidRPr="00E94619">
              <w:rPr>
                <w:rFonts w:ascii="Century Gothic" w:hAnsi="Century Gothic"/>
                <w:b/>
                <w:sz w:val="16"/>
                <w:szCs w:val="16"/>
              </w:rPr>
              <w:t>Organizaciones de la sociedad civil</w:t>
            </w:r>
          </w:p>
        </w:tc>
        <w:tc>
          <w:tcPr>
            <w:tcW w:w="7641" w:type="dxa"/>
            <w:tcBorders>
              <w:top w:val="single" w:sz="4" w:space="0" w:color="CC0066"/>
              <w:left w:val="single" w:sz="4" w:space="0" w:color="CC0066"/>
              <w:bottom w:val="single" w:sz="4" w:space="0" w:color="CC0066"/>
              <w:right w:val="single" w:sz="4" w:space="0" w:color="CC0066"/>
            </w:tcBorders>
          </w:tcPr>
          <w:p w14:paraId="478A7211"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-Mesa por el Derecho de las Mujeres a una Vida Libre de Violencias:</w:t>
            </w:r>
            <w:r w:rsidRPr="00E94619">
              <w:rPr>
                <w:rFonts w:ascii="Century Gothic" w:hAnsi="Century Gothic"/>
                <w:sz w:val="16"/>
                <w:szCs w:val="16"/>
              </w:rPr>
              <w:t xml:space="preserve"> han elaborado 3 informes de seguimiento a la implementación de la ley 1257 de 2008. </w:t>
            </w:r>
          </w:p>
          <w:p w14:paraId="2546D57D" w14:textId="77777777" w:rsidR="001238D7" w:rsidRPr="00E94619" w:rsidRDefault="0036411F" w:rsidP="000E5AC0">
            <w:pPr>
              <w:jc w:val="both"/>
              <w:rPr>
                <w:rFonts w:ascii="Century Gothic" w:hAnsi="Century Gothic"/>
                <w:sz w:val="16"/>
                <w:szCs w:val="16"/>
              </w:rPr>
            </w:pPr>
            <w:r w:rsidRPr="00E94619">
              <w:rPr>
                <w:rFonts w:ascii="Century Gothic" w:hAnsi="Century Gothic"/>
                <w:sz w:val="16"/>
                <w:szCs w:val="16"/>
              </w:rPr>
              <w:t>-27 Organizaciones de la sociedad civil presentaron en el año 2013 el Informe “Una mirada a los Derechos de las Mujeres en Colombia. Informe Alternativo presentado al Comité de la CEDAW”.</w:t>
            </w:r>
          </w:p>
        </w:tc>
      </w:tr>
      <w:tr w:rsidR="001238D7" w:rsidRPr="00E94619" w14:paraId="2BC8ADAA" w14:textId="77777777" w:rsidTr="005C1EE1">
        <w:tc>
          <w:tcPr>
            <w:tcW w:w="1413" w:type="dxa"/>
            <w:tcBorders>
              <w:top w:val="single" w:sz="4" w:space="0" w:color="CC0066"/>
              <w:left w:val="single" w:sz="4" w:space="0" w:color="CC0066"/>
              <w:bottom w:val="single" w:sz="4" w:space="0" w:color="CC0066"/>
              <w:right w:val="single" w:sz="4" w:space="0" w:color="CC0066"/>
            </w:tcBorders>
            <w:shd w:val="clear" w:color="auto" w:fill="FF99CC"/>
          </w:tcPr>
          <w:p w14:paraId="1B110609" w14:textId="77777777" w:rsidR="001238D7" w:rsidRPr="00E94619" w:rsidRDefault="0036411F" w:rsidP="000E5AC0">
            <w:pPr>
              <w:rPr>
                <w:rFonts w:ascii="Century Gothic" w:hAnsi="Century Gothic"/>
                <w:b/>
                <w:sz w:val="16"/>
                <w:szCs w:val="16"/>
              </w:rPr>
            </w:pPr>
            <w:r w:rsidRPr="00E94619">
              <w:rPr>
                <w:rFonts w:ascii="Century Gothic" w:hAnsi="Century Gothic"/>
                <w:b/>
                <w:sz w:val="16"/>
                <w:szCs w:val="16"/>
              </w:rPr>
              <w:t>Cooperación Internacional</w:t>
            </w:r>
          </w:p>
        </w:tc>
        <w:tc>
          <w:tcPr>
            <w:tcW w:w="7641" w:type="dxa"/>
            <w:tcBorders>
              <w:top w:val="single" w:sz="4" w:space="0" w:color="CC0066"/>
              <w:left w:val="single" w:sz="4" w:space="0" w:color="CC0066"/>
              <w:bottom w:val="single" w:sz="4" w:space="0" w:color="CC0066"/>
              <w:right w:val="single" w:sz="4" w:space="0" w:color="CC0066"/>
            </w:tcBorders>
          </w:tcPr>
          <w:p w14:paraId="77214A7A" w14:textId="77777777" w:rsidR="001238D7" w:rsidRPr="00E94619" w:rsidRDefault="0036411F" w:rsidP="000E5AC0">
            <w:pPr>
              <w:jc w:val="both"/>
              <w:rPr>
                <w:rFonts w:ascii="Century Gothic" w:hAnsi="Century Gothic"/>
                <w:b/>
                <w:sz w:val="16"/>
                <w:szCs w:val="16"/>
              </w:rPr>
            </w:pPr>
            <w:r w:rsidRPr="00E94619">
              <w:rPr>
                <w:rFonts w:ascii="Century Gothic" w:hAnsi="Century Gothic"/>
                <w:b/>
                <w:sz w:val="16"/>
                <w:szCs w:val="16"/>
              </w:rPr>
              <w:t>Sistema de Naciones Unidas:</w:t>
            </w:r>
          </w:p>
          <w:p w14:paraId="533327E6" w14:textId="77777777" w:rsidR="001238D7" w:rsidRPr="00E94619" w:rsidRDefault="00830DBC" w:rsidP="000E5AC0">
            <w:pPr>
              <w:jc w:val="both"/>
              <w:rPr>
                <w:rFonts w:ascii="Century Gothic" w:hAnsi="Century Gothic"/>
                <w:sz w:val="16"/>
                <w:szCs w:val="16"/>
              </w:rPr>
            </w:pPr>
            <w:sdt>
              <w:sdtPr>
                <w:rPr>
                  <w:rFonts w:ascii="Century Gothic" w:hAnsi="Century Gothic"/>
                </w:rPr>
                <w:tag w:val="goog_rdk_11"/>
                <w:id w:val="-16008309"/>
              </w:sdtPr>
              <w:sdtContent/>
            </w:sdt>
            <w:r w:rsidR="0036411F" w:rsidRPr="00E94619">
              <w:rPr>
                <w:rFonts w:ascii="Century Gothic" w:hAnsi="Century Gothic"/>
                <w:b/>
                <w:sz w:val="16"/>
                <w:szCs w:val="16"/>
              </w:rPr>
              <w:t xml:space="preserve">-ONU-Mujeres: </w:t>
            </w:r>
            <w:r w:rsidR="001441C2" w:rsidRPr="00E94619">
              <w:rPr>
                <w:rFonts w:ascii="Century Gothic" w:hAnsi="Century Gothic"/>
                <w:bCs/>
                <w:sz w:val="16"/>
                <w:szCs w:val="16"/>
              </w:rPr>
              <w:t>M</w:t>
            </w:r>
            <w:r w:rsidR="00CD3FAB" w:rsidRPr="00E94619">
              <w:rPr>
                <w:rFonts w:ascii="Century Gothic" w:hAnsi="Century Gothic"/>
                <w:bCs/>
                <w:sz w:val="16"/>
                <w:szCs w:val="16"/>
              </w:rPr>
              <w:t>antiene una colaboración clave con la Organización Mundial de la Salud (OMS) en un programa quinquenal mundial (2018-2022) para reforzar las metodologías de medición de la violencia contra las mujeres y para mejorar la recopilación de datos a nivel regional y de país.</w:t>
            </w:r>
            <w:sdt>
              <w:sdtPr>
                <w:rPr>
                  <w:rFonts w:ascii="Century Gothic" w:hAnsi="Century Gothic"/>
                  <w:bCs/>
                  <w:sz w:val="16"/>
                  <w:szCs w:val="16"/>
                </w:rPr>
                <w:id w:val="-1568791312"/>
                <w:citation/>
              </w:sdtPr>
              <w:sdtContent>
                <w:r w:rsidR="00B66E84" w:rsidRPr="00E94619">
                  <w:rPr>
                    <w:rFonts w:ascii="Century Gothic" w:hAnsi="Century Gothic"/>
                    <w:bCs/>
                    <w:sz w:val="16"/>
                    <w:szCs w:val="16"/>
                  </w:rPr>
                  <w:fldChar w:fldCharType="begin"/>
                </w:r>
                <w:r w:rsidR="00B66E84" w:rsidRPr="00E94619">
                  <w:rPr>
                    <w:rFonts w:ascii="Century Gothic" w:hAnsi="Century Gothic"/>
                    <w:bCs/>
                    <w:sz w:val="16"/>
                    <w:szCs w:val="16"/>
                    <w:lang w:val="es-MX"/>
                  </w:rPr>
                  <w:instrText xml:space="preserve"> CITATION ONU19 \l 2058 </w:instrText>
                </w:r>
                <w:r w:rsidR="00B66E84" w:rsidRPr="00E94619">
                  <w:rPr>
                    <w:rFonts w:ascii="Century Gothic" w:hAnsi="Century Gothic"/>
                    <w:bCs/>
                    <w:sz w:val="16"/>
                    <w:szCs w:val="16"/>
                  </w:rPr>
                  <w:fldChar w:fldCharType="separate"/>
                </w:r>
                <w:r w:rsidR="00B66E84" w:rsidRPr="00E94619">
                  <w:rPr>
                    <w:rFonts w:ascii="Century Gothic" w:hAnsi="Century Gothic"/>
                    <w:bCs/>
                    <w:noProof/>
                    <w:sz w:val="16"/>
                    <w:szCs w:val="16"/>
                    <w:lang w:val="es-MX"/>
                  </w:rPr>
                  <w:t xml:space="preserve"> </w:t>
                </w:r>
                <w:r w:rsidR="00B66E84" w:rsidRPr="00E94619">
                  <w:rPr>
                    <w:rFonts w:ascii="Century Gothic" w:hAnsi="Century Gothic"/>
                    <w:noProof/>
                    <w:sz w:val="16"/>
                    <w:szCs w:val="16"/>
                    <w:lang w:val="es-MX"/>
                  </w:rPr>
                  <w:t>(ONU Mujeres, 2019)</w:t>
                </w:r>
                <w:r w:rsidR="00B66E84" w:rsidRPr="00E94619">
                  <w:rPr>
                    <w:rFonts w:ascii="Century Gothic" w:hAnsi="Century Gothic"/>
                    <w:bCs/>
                    <w:sz w:val="16"/>
                    <w:szCs w:val="16"/>
                  </w:rPr>
                  <w:fldChar w:fldCharType="end"/>
                </w:r>
              </w:sdtContent>
            </w:sdt>
            <w:r w:rsidR="00B66E84" w:rsidRPr="00E94619">
              <w:rPr>
                <w:rStyle w:val="Refdenotaalpie"/>
                <w:rFonts w:ascii="Century Gothic" w:hAnsi="Century Gothic"/>
                <w:bCs/>
                <w:sz w:val="16"/>
                <w:szCs w:val="16"/>
              </w:rPr>
              <w:footnoteReference w:id="16"/>
            </w:r>
          </w:p>
          <w:p w14:paraId="33BF63EA"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-UNFPA</w:t>
            </w:r>
            <w:r w:rsidRPr="00E94619">
              <w:rPr>
                <w:rFonts w:ascii="Century Gothic" w:hAnsi="Century Gothic"/>
                <w:color w:val="000000"/>
                <w:sz w:val="16"/>
                <w:szCs w:val="16"/>
              </w:rPr>
              <w:t xml:space="preserve"> (Fondo de Población de las naciones Unidas)</w:t>
            </w:r>
            <w:r w:rsidRPr="00E94619">
              <w:rPr>
                <w:rFonts w:ascii="Century Gothic" w:hAnsi="Century Gothic"/>
                <w:b/>
                <w:sz w:val="16"/>
                <w:szCs w:val="16"/>
              </w:rPr>
              <w:t>:</w:t>
            </w:r>
            <w:r w:rsidRPr="00E94619">
              <w:rPr>
                <w:rFonts w:ascii="Century Gothic" w:eastAsia="Arial" w:hAnsi="Century Gothic" w:cs="Arial"/>
                <w:color w:val="808080"/>
                <w:sz w:val="16"/>
                <w:szCs w:val="16"/>
              </w:rPr>
              <w:t xml:space="preserve"> </w:t>
            </w:r>
            <w:r w:rsidR="001441C2" w:rsidRPr="00E94619">
              <w:rPr>
                <w:rFonts w:ascii="Century Gothic" w:hAnsi="Century Gothic"/>
                <w:sz w:val="16"/>
                <w:szCs w:val="16"/>
              </w:rPr>
              <w:t>E</w:t>
            </w:r>
            <w:r w:rsidRPr="00E94619">
              <w:rPr>
                <w:rFonts w:ascii="Century Gothic" w:hAnsi="Century Gothic"/>
                <w:sz w:val="16"/>
                <w:szCs w:val="16"/>
              </w:rPr>
              <w:t>n su VI Programa de Cooperación con Colombia, de octubre de 2015, estableció una línea de acción para prevenir la discriminación por razón de orientación sexual y la violencia por razón de género, así como las prácticas culturales nocivas para la vida y la salud de las niñas y las mujeres.</w:t>
            </w:r>
          </w:p>
          <w:p w14:paraId="5068C945"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PNUD</w:t>
            </w:r>
            <w:r w:rsidRPr="00E94619">
              <w:rPr>
                <w:rFonts w:ascii="Century Gothic" w:hAnsi="Century Gothic"/>
                <w:sz w:val="16"/>
                <w:szCs w:val="16"/>
              </w:rPr>
              <w:t>: en su Plan de Acción contiene la línea de acción “E</w:t>
            </w:r>
            <w:r w:rsidRPr="00E94619">
              <w:rPr>
                <w:rFonts w:ascii="Century Gothic" w:hAnsi="Century Gothic"/>
                <w:i/>
                <w:sz w:val="16"/>
                <w:szCs w:val="16"/>
              </w:rPr>
              <w:t xml:space="preserve">strategias de prevención y respuesta integral a la violencia basada en género” </w:t>
            </w:r>
          </w:p>
          <w:p w14:paraId="5EFE3DEC"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ACNUR:</w:t>
            </w:r>
            <w:r w:rsidRPr="00E94619">
              <w:rPr>
                <w:rFonts w:ascii="Century Gothic" w:hAnsi="Century Gothic"/>
                <w:sz w:val="16"/>
                <w:szCs w:val="16"/>
              </w:rPr>
              <w:t xml:space="preserve"> Sistema de gestión de datos sobre violencia basada en género.</w:t>
            </w:r>
          </w:p>
          <w:p w14:paraId="5A9A691D"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Cooperación española:</w:t>
            </w:r>
            <w:r w:rsidRPr="00E94619">
              <w:rPr>
                <w:rFonts w:ascii="Century Gothic" w:hAnsi="Century Gothic"/>
                <w:sz w:val="16"/>
                <w:szCs w:val="16"/>
              </w:rPr>
              <w:t xml:space="preserve"> definió una segunda fase de acompañamiento en el Marco de Asociación Colombia España 2015 -2019, en el cual se establecieron líneas de acción para fomentar la equidad de género y la erradicación de la violencia contra las mujeres. </w:t>
            </w:r>
          </w:p>
          <w:p w14:paraId="70BF6A54"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Cooperación de los Estados Unidos en alianza con ONU-Mujeres:</w:t>
            </w:r>
            <w:r w:rsidRPr="00E94619">
              <w:rPr>
                <w:rFonts w:ascii="Century Gothic" w:hAnsi="Century Gothic"/>
                <w:sz w:val="16"/>
                <w:szCs w:val="16"/>
              </w:rPr>
              <w:t xml:space="preserve"> adelantaron acciones para implementar la Política Pública Nacional para la Equidad de Género y la Ley 1257.</w:t>
            </w:r>
          </w:p>
          <w:p w14:paraId="7A5F0ED3" w14:textId="77777777" w:rsidR="001238D7" w:rsidRPr="00E94619" w:rsidRDefault="0036411F" w:rsidP="000E5AC0">
            <w:pPr>
              <w:jc w:val="both"/>
              <w:rPr>
                <w:rFonts w:ascii="Century Gothic" w:hAnsi="Century Gothic"/>
                <w:sz w:val="16"/>
                <w:szCs w:val="16"/>
              </w:rPr>
            </w:pPr>
            <w:r w:rsidRPr="00E94619">
              <w:rPr>
                <w:rFonts w:ascii="Century Gothic" w:hAnsi="Century Gothic"/>
                <w:b/>
                <w:sz w:val="16"/>
                <w:szCs w:val="16"/>
              </w:rPr>
              <w:t>Cooperación canadiense:</w:t>
            </w:r>
            <w:r w:rsidRPr="00E94619">
              <w:rPr>
                <w:rFonts w:ascii="Century Gothic" w:hAnsi="Century Gothic"/>
                <w:sz w:val="16"/>
                <w:szCs w:val="16"/>
              </w:rPr>
              <w:t xml:space="preserve"> centró su apoyo en la aplicación de las leyes, decretos y resoluciones que han sido aprobadas para combatir la violencia contra las mujeres y las niñas y para garantizar el acceso a la justicia.</w:t>
            </w:r>
          </w:p>
        </w:tc>
      </w:tr>
    </w:tbl>
    <w:p w14:paraId="4CBB13B8" w14:textId="77777777" w:rsidR="001238D7" w:rsidRPr="00E94619" w:rsidRDefault="001238D7" w:rsidP="000E5AC0">
      <w:pPr>
        <w:spacing w:after="0" w:line="240" w:lineRule="auto"/>
        <w:jc w:val="both"/>
        <w:rPr>
          <w:rFonts w:ascii="Century Gothic" w:hAnsi="Century Gothic"/>
          <w:b/>
          <w:color w:val="000000"/>
        </w:rPr>
      </w:pPr>
    </w:p>
    <w:p w14:paraId="3FF06631" w14:textId="77777777" w:rsidR="001238D7" w:rsidRDefault="0036411F" w:rsidP="000E5AC0">
      <w:pPr>
        <w:rPr>
          <w:rFonts w:ascii="Century Gothic" w:hAnsi="Century Gothic"/>
          <w:b/>
          <w:bCs/>
        </w:rPr>
      </w:pPr>
      <w:r w:rsidRPr="00E94619">
        <w:rPr>
          <w:rFonts w:ascii="Century Gothic" w:hAnsi="Century Gothic"/>
          <w:b/>
          <w:bCs/>
        </w:rPr>
        <w:t>Avances y retos para garantizar a las mujeres y niñas una vida libre de violencias</w:t>
      </w:r>
    </w:p>
    <w:p w14:paraId="5DC68D75" w14:textId="77777777" w:rsidR="00C060F9" w:rsidRDefault="00C060F9" w:rsidP="000E5AC0">
      <w:pPr>
        <w:rPr>
          <w:rFonts w:ascii="Century Gothic" w:hAnsi="Century Gothic"/>
          <w:b/>
          <w:bCs/>
        </w:rPr>
      </w:pPr>
    </w:p>
    <w:p w14:paraId="252DA2D6" w14:textId="77777777" w:rsidR="00C060F9" w:rsidRDefault="00C060F9" w:rsidP="000E5AC0">
      <w:pPr>
        <w:rPr>
          <w:rFonts w:ascii="Century Gothic" w:hAnsi="Century Gothic"/>
          <w:b/>
          <w:bCs/>
        </w:rPr>
      </w:pPr>
    </w:p>
    <w:p w14:paraId="62CCC3B5" w14:textId="77777777" w:rsidR="00C060F9" w:rsidRDefault="00C060F9" w:rsidP="000E5AC0">
      <w:pPr>
        <w:rPr>
          <w:rFonts w:ascii="Century Gothic" w:hAnsi="Century Gothic"/>
          <w:b/>
          <w:bCs/>
        </w:rPr>
      </w:pPr>
    </w:p>
    <w:p w14:paraId="647CDA08" w14:textId="77777777" w:rsidR="00C060F9" w:rsidRDefault="00C060F9" w:rsidP="000E5AC0">
      <w:pPr>
        <w:rPr>
          <w:rFonts w:ascii="Century Gothic" w:hAnsi="Century Gothic"/>
          <w:b/>
          <w:bCs/>
        </w:rPr>
      </w:pPr>
    </w:p>
    <w:p w14:paraId="24C55899" w14:textId="77777777" w:rsidR="00C060F9" w:rsidRDefault="00C060F9" w:rsidP="000E5AC0">
      <w:pPr>
        <w:rPr>
          <w:rFonts w:ascii="Century Gothic" w:hAnsi="Century Gothic"/>
          <w:b/>
          <w:bCs/>
        </w:rPr>
      </w:pPr>
    </w:p>
    <w:p w14:paraId="41E4AA71" w14:textId="77777777" w:rsidR="00C060F9" w:rsidRDefault="00C060F9" w:rsidP="000E5AC0">
      <w:pPr>
        <w:rPr>
          <w:rFonts w:ascii="Century Gothic" w:hAnsi="Century Gothic"/>
          <w:b/>
          <w:bCs/>
        </w:rPr>
      </w:pPr>
    </w:p>
    <w:p w14:paraId="7C6B881D" w14:textId="2BD29591" w:rsidR="00C060F9" w:rsidRPr="00E94619" w:rsidRDefault="00C060F9" w:rsidP="000E5AC0">
      <w:pPr>
        <w:rPr>
          <w:rFonts w:ascii="Century Gothic" w:hAnsi="Century Gothic"/>
          <w:b/>
          <w:bCs/>
        </w:rPr>
      </w:pPr>
    </w:p>
    <w:tbl>
      <w:tblPr>
        <w:tblStyle w:val="afff2"/>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2261"/>
        <w:gridCol w:w="5245"/>
      </w:tblGrid>
      <w:tr w:rsidR="001238D7" w:rsidRPr="00E94619" w14:paraId="1FC3D5B7" w14:textId="77777777" w:rsidTr="005C1EE1">
        <w:tc>
          <w:tcPr>
            <w:tcW w:w="1533" w:type="dxa"/>
            <w:tcBorders>
              <w:top w:val="single" w:sz="4" w:space="0" w:color="CC0066"/>
              <w:left w:val="single" w:sz="4" w:space="0" w:color="CC0066"/>
              <w:bottom w:val="single" w:sz="4" w:space="0" w:color="CC0066"/>
            </w:tcBorders>
            <w:shd w:val="clear" w:color="auto" w:fill="FF99CC"/>
          </w:tcPr>
          <w:p w14:paraId="048D324E" w14:textId="255795FF" w:rsidR="001238D7" w:rsidRPr="00E94619" w:rsidRDefault="00D2173C" w:rsidP="000E5AC0">
            <w:pPr>
              <w:spacing w:after="0" w:line="240" w:lineRule="auto"/>
              <w:jc w:val="both"/>
              <w:rPr>
                <w:rFonts w:ascii="Century Gothic" w:hAnsi="Century Gothic"/>
                <w:b/>
                <w:color w:val="000000"/>
                <w:sz w:val="16"/>
                <w:szCs w:val="16"/>
              </w:rPr>
            </w:pPr>
            <w:r>
              <w:rPr>
                <w:rFonts w:ascii="Century Gothic" w:hAnsi="Century Gothic"/>
                <w:b/>
                <w:noProof/>
                <w:szCs w:val="24"/>
                <w:lang w:val="es-ES"/>
              </w:rPr>
              <w:lastRenderedPageBreak/>
              <w:drawing>
                <wp:anchor distT="0" distB="0" distL="114300" distR="114300" simplePos="0" relativeHeight="251786240" behindDoc="0" locked="0" layoutInCell="1" allowOverlap="1" wp14:anchorId="6C591607" wp14:editId="35FC3090">
                  <wp:simplePos x="0" y="0"/>
                  <wp:positionH relativeFrom="column">
                    <wp:posOffset>-1080135</wp:posOffset>
                  </wp:positionH>
                  <wp:positionV relativeFrom="paragraph">
                    <wp:posOffset>-829310</wp:posOffset>
                  </wp:positionV>
                  <wp:extent cx="965835" cy="708660"/>
                  <wp:effectExtent l="0" t="0" r="0" b="0"/>
                  <wp:wrapNone/>
                  <wp:docPr id="364" name="Imagen 36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tc>
        <w:tc>
          <w:tcPr>
            <w:tcW w:w="2261" w:type="dxa"/>
            <w:tcBorders>
              <w:top w:val="single" w:sz="4" w:space="0" w:color="CC0066"/>
              <w:bottom w:val="single" w:sz="4" w:space="0" w:color="CC0066"/>
            </w:tcBorders>
            <w:shd w:val="clear" w:color="auto" w:fill="FF99CC"/>
          </w:tcPr>
          <w:p w14:paraId="37CF9F45" w14:textId="6DA4EE02"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5245" w:type="dxa"/>
            <w:tcBorders>
              <w:top w:val="single" w:sz="4" w:space="0" w:color="CC0066"/>
              <w:bottom w:val="single" w:sz="4" w:space="0" w:color="CC0066"/>
              <w:right w:val="single" w:sz="4" w:space="0" w:color="CC0066"/>
            </w:tcBorders>
            <w:shd w:val="clear" w:color="auto" w:fill="FF99CC"/>
          </w:tcPr>
          <w:p w14:paraId="331DF81A"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42185429" w14:textId="77777777" w:rsidTr="005C1EE1">
        <w:trPr>
          <w:trHeight w:val="4509"/>
        </w:trPr>
        <w:tc>
          <w:tcPr>
            <w:tcW w:w="1533" w:type="dxa"/>
            <w:tcBorders>
              <w:top w:val="single" w:sz="4" w:space="0" w:color="CC0066"/>
              <w:left w:val="single" w:sz="4" w:space="0" w:color="CC0066"/>
              <w:bottom w:val="single" w:sz="4" w:space="0" w:color="CC0066"/>
              <w:right w:val="single" w:sz="4" w:space="0" w:color="CC0066"/>
            </w:tcBorders>
          </w:tcPr>
          <w:p w14:paraId="36EA7FE8"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Transversales </w:t>
            </w:r>
          </w:p>
        </w:tc>
        <w:tc>
          <w:tcPr>
            <w:tcW w:w="2261" w:type="dxa"/>
            <w:tcBorders>
              <w:top w:val="single" w:sz="4" w:space="0" w:color="CC0066"/>
              <w:left w:val="single" w:sz="4" w:space="0" w:color="CC0066"/>
              <w:bottom w:val="single" w:sz="4" w:space="0" w:color="CC0066"/>
              <w:right w:val="single" w:sz="4" w:space="0" w:color="CC0066"/>
            </w:tcBorders>
          </w:tcPr>
          <w:p w14:paraId="5D39CA7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-Un marco jurídico amplio para atender las diferentes violencias contra las mujeres.</w:t>
            </w:r>
          </w:p>
          <w:p w14:paraId="0D19E3C5"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-Seguimiento anual y presentación al Congreso de la República </w:t>
            </w:r>
            <w:r w:rsidRPr="00E94619">
              <w:rPr>
                <w:rFonts w:ascii="Century Gothic" w:hAnsi="Century Gothic"/>
                <w:sz w:val="16"/>
                <w:szCs w:val="16"/>
              </w:rPr>
              <w:t>del informe</w:t>
            </w:r>
            <w:r w:rsidRPr="00E94619">
              <w:rPr>
                <w:rFonts w:ascii="Century Gothic" w:hAnsi="Century Gothic"/>
                <w:color w:val="000000"/>
                <w:sz w:val="16"/>
                <w:szCs w:val="16"/>
              </w:rPr>
              <w:t xml:space="preserve"> de país sobre los avances y dificultades en la implementación de la Ley 1257 de 2008.</w:t>
            </w:r>
          </w:p>
          <w:p w14:paraId="3543C58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Elaboración de </w:t>
            </w:r>
            <w:r w:rsidRPr="00E94619">
              <w:rPr>
                <w:rFonts w:ascii="Century Gothic" w:hAnsi="Century Gothic"/>
                <w:sz w:val="16"/>
                <w:szCs w:val="16"/>
              </w:rPr>
              <w:t>un</w:t>
            </w:r>
            <w:r w:rsidRPr="00E94619">
              <w:rPr>
                <w:rFonts w:ascii="Century Gothic" w:hAnsi="Century Gothic"/>
                <w:color w:val="000000"/>
                <w:sz w:val="16"/>
                <w:szCs w:val="16"/>
              </w:rPr>
              <w:t xml:space="preserve"> Plan Indicativo (2013-2016) como parte del Conpes 161 con 70 acciones concretas y asignación de responsabilidades en 17 Entidades del nivel nacional.</w:t>
            </w:r>
          </w:p>
          <w:p w14:paraId="03FE628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De acuerdo con el cuarto informe de seguimiento del Conpes 161(2014):</w:t>
            </w:r>
          </w:p>
          <w:p w14:paraId="7F6D0555" w14:textId="150D9860"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Espacios de articulación</w:t>
            </w:r>
          </w:p>
        </w:tc>
        <w:tc>
          <w:tcPr>
            <w:tcW w:w="5245" w:type="dxa"/>
            <w:tcBorders>
              <w:top w:val="single" w:sz="4" w:space="0" w:color="CC0066"/>
              <w:left w:val="single" w:sz="4" w:space="0" w:color="CC0066"/>
              <w:bottom w:val="single" w:sz="4" w:space="0" w:color="CC0066"/>
              <w:right w:val="single" w:sz="4" w:space="0" w:color="CC0066"/>
            </w:tcBorders>
          </w:tcPr>
          <w:p w14:paraId="354B2359" w14:textId="77777777" w:rsidR="00272173" w:rsidRPr="00E94619" w:rsidRDefault="00272173"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Estudio sobre la Tolerancia Social de las Violencias contra las Mujeres</w:t>
            </w:r>
            <w:r w:rsidRPr="00E94619">
              <w:rPr>
                <w:rFonts w:ascii="Century Gothic" w:hAnsi="Century Gothic"/>
                <w:color w:val="000000"/>
                <w:sz w:val="16"/>
                <w:szCs w:val="16"/>
              </w:rPr>
              <w:t xml:space="preserve"> </w:t>
            </w:r>
            <w:r w:rsidRPr="00E94619">
              <w:rPr>
                <w:rFonts w:ascii="Century Gothic" w:hAnsi="Century Gothic"/>
                <w:b/>
                <w:color w:val="000000"/>
                <w:sz w:val="16"/>
                <w:szCs w:val="16"/>
              </w:rPr>
              <w:t>2021:</w:t>
            </w:r>
          </w:p>
          <w:p w14:paraId="1E97E9B9" w14:textId="77777777" w:rsidR="00272173" w:rsidRPr="00E94619" w:rsidRDefault="00272173"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cambios significativos en los imaginarios que sustentan violencias contra las mujeres a nivel social e institucional, sobre todo sectores salud, educación y protección.</w:t>
            </w:r>
          </w:p>
          <w:p w14:paraId="44EE1042" w14:textId="77777777" w:rsidR="00272173" w:rsidRPr="00E94619" w:rsidRDefault="00272173"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-Fortalecer los conocimientos de leyes, decretos y resoluciones sobre las diferentes formas de violencias contra las mujeres entre quienes tienen competencias en su aplicación.</w:t>
            </w:r>
          </w:p>
          <w:p w14:paraId="1FD50E7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Cuarto informe de seguimiento del Conpes 161(2014):</w:t>
            </w:r>
          </w:p>
          <w:p w14:paraId="4B99B91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-Generar estrategias de comunicación con pertinencia cultural para las mujeres de los diferentes grupos étnicos sobre su derecho a una vida libre de violencias.</w:t>
            </w:r>
          </w:p>
          <w:p w14:paraId="635F4FFF"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-Construir indicadores en los programas y proyectos que se formulan para la prevención de las violencias contra las mujeres, así como en los planes de formación a funcionarios, que permitan identificar los efectos en la calidad de la información que reciben.</w:t>
            </w:r>
          </w:p>
          <w:p w14:paraId="5A8CC7E5"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-Las entidades con compromisos en el CONPES 161 deben incluir dichos compromisos en sus planes de acción anuales para la asignación de recursos.</w:t>
            </w:r>
          </w:p>
          <w:p w14:paraId="65DD895C"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la Ley 1257 de 2008 al Congreso en el año 2015:</w:t>
            </w:r>
          </w:p>
          <w:p w14:paraId="7511AC9F" w14:textId="00F18B94"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Mejorar la articulación entre las entidades con competencias para atender las violencias contra las mujeres, a nivel nacional y</w:t>
            </w:r>
          </w:p>
        </w:tc>
      </w:tr>
      <w:tr w:rsidR="005C1EE1" w:rsidRPr="00E94619" w14:paraId="59D5ECCE" w14:textId="77777777" w:rsidTr="005C1EE1">
        <w:tc>
          <w:tcPr>
            <w:tcW w:w="1533" w:type="dxa"/>
            <w:tcBorders>
              <w:top w:val="single" w:sz="4" w:space="0" w:color="CC0066"/>
              <w:left w:val="single" w:sz="4" w:space="0" w:color="CC0066"/>
              <w:bottom w:val="single" w:sz="4" w:space="0" w:color="CC0066"/>
              <w:right w:val="single" w:sz="4" w:space="0" w:color="CC0066"/>
            </w:tcBorders>
          </w:tcPr>
          <w:p w14:paraId="0B171304" w14:textId="77777777" w:rsidR="005C1EE1" w:rsidRPr="00E94619" w:rsidRDefault="005C1EE1" w:rsidP="000E5AC0">
            <w:pPr>
              <w:spacing w:after="0" w:line="240" w:lineRule="auto"/>
              <w:jc w:val="both"/>
              <w:rPr>
                <w:rFonts w:ascii="Century Gothic" w:hAnsi="Century Gothic"/>
                <w:b/>
                <w:color w:val="000000"/>
                <w:sz w:val="16"/>
                <w:szCs w:val="16"/>
              </w:rPr>
            </w:pPr>
          </w:p>
        </w:tc>
        <w:tc>
          <w:tcPr>
            <w:tcW w:w="2261" w:type="dxa"/>
            <w:tcBorders>
              <w:top w:val="single" w:sz="4" w:space="0" w:color="CC0066"/>
              <w:left w:val="single" w:sz="4" w:space="0" w:color="CC0066"/>
              <w:bottom w:val="single" w:sz="4" w:space="0" w:color="CC0066"/>
              <w:right w:val="single" w:sz="4" w:space="0" w:color="CC0066"/>
            </w:tcBorders>
          </w:tcPr>
          <w:p w14:paraId="14F65FEC" w14:textId="77777777" w:rsidR="005C1EE1" w:rsidRPr="00E94619" w:rsidRDefault="005C1EE1"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nacional para la prevención y la atención de la violencia contra las mujeres (comités departamentales para hacer seguimiento a la implementación de la Ley 1257 de 2008).</w:t>
            </w:r>
          </w:p>
          <w:p w14:paraId="4ACA9D0D" w14:textId="77777777" w:rsidR="005C1EE1" w:rsidRPr="00E94619" w:rsidRDefault="005C1EE1"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-Dos estudios sobre la Tolerancia Social de las Violencias contra las Mujeres 2009 y 2014.</w:t>
            </w:r>
          </w:p>
          <w:p w14:paraId="59F7DE07" w14:textId="77777777" w:rsidR="005C1EE1" w:rsidRPr="00E94619" w:rsidRDefault="005C1EE1" w:rsidP="000E5AC0">
            <w:pPr>
              <w:spacing w:after="0" w:line="240" w:lineRule="auto"/>
              <w:jc w:val="both"/>
              <w:rPr>
                <w:rFonts w:ascii="Century Gothic" w:hAnsi="Century Gothic"/>
                <w:color w:val="000000"/>
                <w:sz w:val="16"/>
                <w:szCs w:val="16"/>
              </w:rPr>
            </w:pPr>
          </w:p>
          <w:p w14:paraId="0F4136A1" w14:textId="77777777" w:rsidR="005C1EE1" w:rsidRPr="00E94619" w:rsidRDefault="005C1EE1" w:rsidP="000E5AC0">
            <w:pPr>
              <w:spacing w:after="0" w:line="240" w:lineRule="auto"/>
              <w:jc w:val="both"/>
              <w:rPr>
                <w:rFonts w:ascii="Century Gothic" w:hAnsi="Century Gothic"/>
                <w:color w:val="000000"/>
                <w:sz w:val="16"/>
                <w:szCs w:val="16"/>
              </w:rPr>
            </w:pPr>
          </w:p>
        </w:tc>
        <w:tc>
          <w:tcPr>
            <w:tcW w:w="5245" w:type="dxa"/>
            <w:tcBorders>
              <w:top w:val="single" w:sz="4" w:space="0" w:color="CC0066"/>
              <w:left w:val="single" w:sz="4" w:space="0" w:color="CC0066"/>
              <w:bottom w:val="single" w:sz="4" w:space="0" w:color="CC0066"/>
              <w:right w:val="single" w:sz="4" w:space="0" w:color="CC0066"/>
            </w:tcBorders>
          </w:tcPr>
          <w:p w14:paraId="43BA8604" w14:textId="77777777" w:rsidR="005C1EE1" w:rsidRPr="00E94619" w:rsidRDefault="005C1EE1" w:rsidP="000E5AC0">
            <w:pPr>
              <w:spacing w:after="0" w:line="240" w:lineRule="auto"/>
              <w:jc w:val="both"/>
              <w:rPr>
                <w:rFonts w:ascii="Century Gothic" w:hAnsi="Century Gothic"/>
                <w:b/>
                <w:color w:val="000000"/>
                <w:sz w:val="16"/>
                <w:szCs w:val="16"/>
              </w:rPr>
            </w:pPr>
            <w:r w:rsidRPr="00E94619">
              <w:rPr>
                <w:rFonts w:ascii="Century Gothic" w:hAnsi="Century Gothic"/>
                <w:color w:val="000000"/>
                <w:sz w:val="16"/>
                <w:szCs w:val="16"/>
              </w:rPr>
              <w:t xml:space="preserve"> local</w:t>
            </w:r>
            <w:r w:rsidRPr="00E94619">
              <w:rPr>
                <w:rFonts w:ascii="Century Gothic" w:hAnsi="Century Gothic"/>
                <w:b/>
                <w:color w:val="000000"/>
                <w:sz w:val="16"/>
                <w:szCs w:val="16"/>
              </w:rPr>
              <w:t>.</w:t>
            </w:r>
          </w:p>
          <w:p w14:paraId="65B424A5" w14:textId="77777777" w:rsidR="005C1EE1" w:rsidRPr="00E94619" w:rsidRDefault="005C1EE1"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 xml:space="preserve">- </w:t>
            </w:r>
            <w:r w:rsidRPr="00E94619">
              <w:rPr>
                <w:rFonts w:ascii="Century Gothic" w:hAnsi="Century Gothic"/>
                <w:color w:val="000000"/>
                <w:sz w:val="16"/>
                <w:szCs w:val="16"/>
              </w:rPr>
              <w:t>Establecer una ruta de atención integral clara para el restablecimiento de derechos de menores de 14 años embarazadas.</w:t>
            </w:r>
          </w:p>
          <w:p w14:paraId="4AEEAE26" w14:textId="77777777" w:rsidR="005C1EE1" w:rsidRPr="00E94619" w:rsidRDefault="005C1EE1" w:rsidP="000E5AC0">
            <w:pPr>
              <w:spacing w:after="0" w:line="240" w:lineRule="auto"/>
              <w:jc w:val="both"/>
              <w:rPr>
                <w:rFonts w:ascii="Century Gothic" w:hAnsi="Century Gothic"/>
                <w:sz w:val="16"/>
                <w:szCs w:val="16"/>
              </w:rPr>
            </w:pPr>
            <w:r w:rsidRPr="00E94619">
              <w:rPr>
                <w:rFonts w:ascii="Century Gothic" w:hAnsi="Century Gothic"/>
                <w:color w:val="000000"/>
                <w:sz w:val="16"/>
                <w:szCs w:val="16"/>
              </w:rPr>
              <w:t>-</w:t>
            </w:r>
            <w:r w:rsidRPr="00E94619">
              <w:rPr>
                <w:rFonts w:ascii="Century Gothic" w:hAnsi="Century Gothic"/>
                <w:sz w:val="16"/>
                <w:szCs w:val="16"/>
              </w:rPr>
              <w:t>Establecer mecanismos de formación permanentes en atención a las violencias contra las mujeres que respondan a la a</w:t>
            </w:r>
            <w:r w:rsidRPr="00E94619">
              <w:rPr>
                <w:rFonts w:ascii="Century Gothic" w:hAnsi="Century Gothic"/>
                <w:color w:val="000000"/>
                <w:sz w:val="16"/>
                <w:szCs w:val="16"/>
              </w:rPr>
              <w:t>lta rotación de lo-as funcionario-as en las diferentes entidades del Estado.</w:t>
            </w:r>
          </w:p>
          <w:p w14:paraId="419BCA56" w14:textId="77777777" w:rsidR="005C1EE1" w:rsidRPr="00E94619" w:rsidRDefault="005C1EE1"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Primer Informe Sombra Específico de Mujeres Rurales y Campesinas en Colombia presentado a la 72ª Sesión del Comité CEDAW" 2019:</w:t>
            </w:r>
          </w:p>
          <w:p w14:paraId="10AE199D" w14:textId="77777777" w:rsidR="005C1EE1" w:rsidRPr="00E94619" w:rsidRDefault="005C1EE1" w:rsidP="000E5AC0">
            <w:pPr>
              <w:spacing w:after="0" w:line="240" w:lineRule="auto"/>
              <w:rPr>
                <w:rFonts w:ascii="Century Gothic" w:hAnsi="Century Gothic" w:cs="Tahoma"/>
                <w:color w:val="0A0A0A"/>
                <w:spacing w:val="4"/>
                <w:sz w:val="16"/>
                <w:szCs w:val="16"/>
              </w:rPr>
            </w:pPr>
            <w:r w:rsidRPr="00E94619">
              <w:rPr>
                <w:rFonts w:ascii="Century Gothic" w:hAnsi="Century Gothic" w:cs="Tahoma"/>
                <w:color w:val="0A0A0A"/>
                <w:spacing w:val="4"/>
                <w:sz w:val="16"/>
                <w:szCs w:val="16"/>
              </w:rPr>
              <w:t>-Revisar las leyes alrededor de las semillas</w:t>
            </w:r>
          </w:p>
          <w:p w14:paraId="021963BF" w14:textId="77777777" w:rsidR="005C1EE1" w:rsidRPr="00E94619" w:rsidRDefault="005C1EE1" w:rsidP="000E5AC0">
            <w:pPr>
              <w:spacing w:after="0" w:line="240" w:lineRule="auto"/>
              <w:rPr>
                <w:rFonts w:ascii="Century Gothic" w:hAnsi="Century Gothic" w:cs="Tahoma"/>
                <w:color w:val="0A0A0A"/>
                <w:spacing w:val="4"/>
                <w:sz w:val="16"/>
                <w:szCs w:val="16"/>
              </w:rPr>
            </w:pPr>
            <w:r w:rsidRPr="00E94619">
              <w:rPr>
                <w:rFonts w:ascii="Century Gothic" w:hAnsi="Century Gothic" w:cs="Tahoma"/>
                <w:color w:val="0A0A0A"/>
                <w:spacing w:val="4"/>
                <w:sz w:val="16"/>
                <w:szCs w:val="16"/>
              </w:rPr>
              <w:t xml:space="preserve">-Adopción de medidas efectivas con enfoque de género en materia de salud pública </w:t>
            </w:r>
          </w:p>
          <w:p w14:paraId="23144359" w14:textId="77777777" w:rsidR="005C1EE1" w:rsidRPr="00E94619" w:rsidRDefault="005C1EE1" w:rsidP="000E5AC0">
            <w:pPr>
              <w:spacing w:after="0" w:line="240" w:lineRule="auto"/>
              <w:rPr>
                <w:rFonts w:ascii="Century Gothic" w:hAnsi="Century Gothic" w:cs="Tahoma"/>
                <w:color w:val="0A0A0A"/>
                <w:spacing w:val="4"/>
                <w:sz w:val="16"/>
                <w:szCs w:val="16"/>
              </w:rPr>
            </w:pPr>
            <w:r w:rsidRPr="00E94619">
              <w:rPr>
                <w:rFonts w:ascii="Century Gothic" w:hAnsi="Century Gothic" w:cs="Tahoma"/>
                <w:color w:val="0A0A0A"/>
                <w:spacing w:val="4"/>
                <w:sz w:val="16"/>
                <w:szCs w:val="16"/>
              </w:rPr>
              <w:t>-En virtud de lo pactado en el Acuerdo de Paz se implemente el Punto 1 (Reforma Rural Integral) en su totalidad, respetando los DD. HH. de las mujeres rurales y campesinas se avance en materia de titulación de tierras.</w:t>
            </w:r>
          </w:p>
          <w:p w14:paraId="5B686036" w14:textId="77777777" w:rsidR="005C1EE1" w:rsidRPr="00E94619" w:rsidRDefault="005C1EE1" w:rsidP="000E5AC0">
            <w:pPr>
              <w:spacing w:after="0" w:line="240" w:lineRule="auto"/>
              <w:rPr>
                <w:rFonts w:ascii="Century Gothic" w:hAnsi="Century Gothic" w:cs="Tahoma"/>
                <w:color w:val="0A0A0A"/>
                <w:spacing w:val="4"/>
                <w:sz w:val="16"/>
                <w:szCs w:val="16"/>
              </w:rPr>
            </w:pPr>
            <w:r w:rsidRPr="00E94619">
              <w:rPr>
                <w:rFonts w:ascii="Century Gothic" w:hAnsi="Century Gothic" w:cs="Tahoma"/>
                <w:color w:val="0A0A0A"/>
                <w:spacing w:val="4"/>
                <w:sz w:val="16"/>
                <w:szCs w:val="16"/>
              </w:rPr>
              <w:t>-Eliminar las barreras que enfrentan las mujeres para acceder a la restitución de tierras en el marco de la Ley 1448</w:t>
            </w:r>
          </w:p>
          <w:p w14:paraId="4E3FCEE8" w14:textId="77777777" w:rsidR="005C1EE1" w:rsidRPr="00E94619" w:rsidRDefault="005C1EE1" w:rsidP="000E5AC0">
            <w:pPr>
              <w:spacing w:after="0" w:line="240" w:lineRule="auto"/>
              <w:rPr>
                <w:rFonts w:ascii="Century Gothic" w:hAnsi="Century Gothic" w:cs="Tahoma"/>
                <w:color w:val="0A0A0A"/>
                <w:spacing w:val="4"/>
                <w:sz w:val="16"/>
                <w:szCs w:val="16"/>
              </w:rPr>
            </w:pPr>
            <w:r w:rsidRPr="00E94619">
              <w:rPr>
                <w:rFonts w:ascii="Century Gothic" w:hAnsi="Century Gothic" w:cs="Tahoma"/>
                <w:color w:val="0A0A0A"/>
                <w:spacing w:val="4"/>
                <w:sz w:val="16"/>
                <w:szCs w:val="16"/>
              </w:rPr>
              <w:t xml:space="preserve">-Fortalecer la participación de las mujeres rurales y campesinas en todas las instancias nacionales y en los espacios de planeación territorial </w:t>
            </w:r>
          </w:p>
          <w:p w14:paraId="53D97E7A" w14:textId="77777777" w:rsidR="005C1EE1" w:rsidRPr="00E94619" w:rsidRDefault="005C1EE1" w:rsidP="000E5AC0">
            <w:pPr>
              <w:spacing w:after="0" w:line="240" w:lineRule="auto"/>
              <w:jc w:val="both"/>
              <w:rPr>
                <w:rFonts w:ascii="Century Gothic" w:hAnsi="Century Gothic"/>
                <w:b/>
                <w:color w:val="000000"/>
                <w:sz w:val="16"/>
                <w:szCs w:val="16"/>
              </w:rPr>
            </w:pPr>
          </w:p>
        </w:tc>
      </w:tr>
      <w:tr w:rsidR="001238D7" w:rsidRPr="00E94619" w14:paraId="2B67E2B6" w14:textId="77777777" w:rsidTr="005C1EE1">
        <w:tc>
          <w:tcPr>
            <w:tcW w:w="1533" w:type="dxa"/>
            <w:tcBorders>
              <w:top w:val="single" w:sz="4" w:space="0" w:color="CC0066"/>
              <w:left w:val="single" w:sz="4" w:space="0" w:color="CC0066"/>
              <w:bottom w:val="single" w:sz="4" w:space="0" w:color="CC0066"/>
              <w:right w:val="single" w:sz="4" w:space="0" w:color="CC0066"/>
            </w:tcBorders>
          </w:tcPr>
          <w:p w14:paraId="3A61813C"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Prevención</w:t>
            </w:r>
          </w:p>
        </w:tc>
        <w:tc>
          <w:tcPr>
            <w:tcW w:w="2261" w:type="dxa"/>
            <w:tcBorders>
              <w:top w:val="single" w:sz="4" w:space="0" w:color="CC0066"/>
              <w:left w:val="single" w:sz="4" w:space="0" w:color="CC0066"/>
              <w:bottom w:val="single" w:sz="4" w:space="0" w:color="CC0066"/>
              <w:right w:val="single" w:sz="4" w:space="0" w:color="CC0066"/>
            </w:tcBorders>
          </w:tcPr>
          <w:p w14:paraId="49A7BA8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Cuarto informe de seguimiento del Conpes 161(2014):</w:t>
            </w:r>
          </w:p>
          <w:p w14:paraId="42ACB8A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-Inclusión del enfoque de género en políticas institucionales.</w:t>
            </w:r>
          </w:p>
          <w:p w14:paraId="77356537"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color w:val="000000"/>
                <w:sz w:val="16"/>
                <w:szCs w:val="16"/>
              </w:rPr>
              <w:t xml:space="preserve">-Estrategias para superar la tolerancia social frente a las violencias a través de: mensajes para radio y televisión, campañas, movilizaciones, guías para ajustar manuales de convivencia en el sector educativo. </w:t>
            </w:r>
          </w:p>
        </w:tc>
        <w:tc>
          <w:tcPr>
            <w:tcW w:w="5245" w:type="dxa"/>
            <w:tcBorders>
              <w:top w:val="single" w:sz="4" w:space="0" w:color="CC0066"/>
              <w:left w:val="single" w:sz="4" w:space="0" w:color="CC0066"/>
              <w:bottom w:val="single" w:sz="4" w:space="0" w:color="CC0066"/>
              <w:right w:val="single" w:sz="4" w:space="0" w:color="CC0066"/>
            </w:tcBorders>
          </w:tcPr>
          <w:p w14:paraId="63709660" w14:textId="77777777" w:rsidR="00582550" w:rsidRPr="00E94619" w:rsidRDefault="00582550"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 xml:space="preserve">Estudio sobre la Tolerancia Social de las Violencias contra las Mujeres 2021: </w:t>
            </w:r>
          </w:p>
          <w:p w14:paraId="7145C4AD" w14:textId="77777777" w:rsidR="00582550" w:rsidRPr="00E94619" w:rsidRDefault="00582550" w:rsidP="000E5AC0">
            <w:pPr>
              <w:spacing w:after="0" w:line="240" w:lineRule="auto"/>
              <w:rPr>
                <w:rFonts w:ascii="Century Gothic" w:hAnsi="Century Gothic"/>
                <w:sz w:val="16"/>
                <w:szCs w:val="16"/>
              </w:rPr>
            </w:pPr>
            <w:r w:rsidRPr="00E94619">
              <w:rPr>
                <w:rFonts w:ascii="Century Gothic" w:hAnsi="Century Gothic"/>
                <w:color w:val="000000"/>
                <w:sz w:val="16"/>
                <w:szCs w:val="16"/>
              </w:rPr>
              <w:t>-</w:t>
            </w:r>
            <w:r w:rsidRPr="00E94619">
              <w:rPr>
                <w:rFonts w:ascii="Century Gothic" w:hAnsi="Century Gothic"/>
                <w:sz w:val="16"/>
                <w:szCs w:val="16"/>
              </w:rPr>
              <w:t xml:space="preserve"> Seguir trabajando en la transformación de los prejuicios, creencias e imaginarios culturales que justifican la Violencia Contra las Mujeres</w:t>
            </w:r>
          </w:p>
          <w:p w14:paraId="1C971EF4" w14:textId="77777777" w:rsidR="00582550" w:rsidRPr="00E94619" w:rsidRDefault="00582550" w:rsidP="000E5AC0">
            <w:pPr>
              <w:spacing w:after="0" w:line="240" w:lineRule="auto"/>
              <w:rPr>
                <w:rFonts w:ascii="Century Gothic" w:hAnsi="Century Gothic"/>
                <w:sz w:val="16"/>
                <w:szCs w:val="16"/>
              </w:rPr>
            </w:pPr>
            <w:r w:rsidRPr="00E94619">
              <w:rPr>
                <w:rFonts w:ascii="Century Gothic" w:hAnsi="Century Gothic"/>
                <w:sz w:val="16"/>
                <w:szCs w:val="16"/>
              </w:rPr>
              <w:t>-Afianzar el trato humanizado, garantizar una atención oportuna y efectiva ante los hechos de violencia contra las mujeres y las niñas.</w:t>
            </w:r>
          </w:p>
          <w:p w14:paraId="6C8B4517" w14:textId="77777777" w:rsidR="00582550" w:rsidRPr="00E94619" w:rsidRDefault="00582550" w:rsidP="000E5AC0">
            <w:pPr>
              <w:spacing w:after="0" w:line="240" w:lineRule="auto"/>
              <w:rPr>
                <w:rFonts w:ascii="Century Gothic" w:hAnsi="Century Gothic"/>
                <w:sz w:val="16"/>
                <w:szCs w:val="16"/>
              </w:rPr>
            </w:pPr>
            <w:r w:rsidRPr="00E94619">
              <w:rPr>
                <w:rFonts w:ascii="Century Gothic" w:hAnsi="Century Gothic"/>
                <w:sz w:val="16"/>
                <w:szCs w:val="16"/>
              </w:rPr>
              <w:t>-Continuar trabajando para disminuir la aceptación de conductas de VCM, ya que algunas afirmaciones arrojaron porcentajes altos de aceptación</w:t>
            </w:r>
          </w:p>
          <w:p w14:paraId="32707C1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Informe de la Ley 1257 de 2008 al Congreso en el año 2015:</w:t>
            </w:r>
          </w:p>
          <w:p w14:paraId="20564D23"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-En el ámbito laboral incluir el tema de acoso sexual en la agenda del Ministerio del Trabajo.</w:t>
            </w:r>
          </w:p>
          <w:p w14:paraId="29DA0112"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 Policía Nacional debe fortalecer las capacidades de su personal para atender a las mujeres víctimas de violencia, ya que éstas son insuficientes</w:t>
            </w:r>
          </w:p>
        </w:tc>
      </w:tr>
      <w:tr w:rsidR="001238D7" w:rsidRPr="00E94619" w14:paraId="3CFC3E74" w14:textId="77777777" w:rsidTr="005C1EE1">
        <w:tc>
          <w:tcPr>
            <w:tcW w:w="1533" w:type="dxa"/>
            <w:tcBorders>
              <w:top w:val="single" w:sz="4" w:space="0" w:color="CC0066"/>
              <w:left w:val="single" w:sz="4" w:space="0" w:color="CC0066"/>
              <w:right w:val="single" w:sz="4" w:space="0" w:color="CC0066"/>
            </w:tcBorders>
          </w:tcPr>
          <w:p w14:paraId="4B712B6B" w14:textId="0FDE133B"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Atención</w:t>
            </w:r>
          </w:p>
        </w:tc>
        <w:tc>
          <w:tcPr>
            <w:tcW w:w="2261" w:type="dxa"/>
            <w:tcBorders>
              <w:top w:val="single" w:sz="4" w:space="0" w:color="CC0066"/>
              <w:left w:val="single" w:sz="4" w:space="0" w:color="CC0066"/>
              <w:bottom w:val="single" w:sz="4" w:space="0" w:color="CC0066"/>
              <w:right w:val="single" w:sz="4" w:space="0" w:color="CC0066"/>
            </w:tcBorders>
          </w:tcPr>
          <w:p w14:paraId="4F9B96C4" w14:textId="33D01505"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 xml:space="preserve">Existencia de sistemas de información en diferentes entidades estatales que capturan datos sobre víctimas atendidas </w:t>
            </w:r>
            <w:r w:rsidRPr="00E94619">
              <w:rPr>
                <w:rFonts w:ascii="Century Gothic" w:hAnsi="Century Gothic"/>
                <w:color w:val="000000"/>
                <w:sz w:val="16"/>
                <w:szCs w:val="16"/>
              </w:rPr>
              <w:lastRenderedPageBreak/>
              <w:t>(SIVIGILA en salud, PARD en el ICBF, SPOA en la Fiscalía, etc).</w:t>
            </w:r>
          </w:p>
          <w:p w14:paraId="1EF3B073" w14:textId="08FA1B9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Cuarto informe de seguimiento del Conpes 161(2014):</w:t>
            </w:r>
          </w:p>
          <w:p w14:paraId="05C4FE0D"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Fortalecimiento de capacidades de</w:t>
            </w:r>
            <w:r w:rsidRPr="00E94619">
              <w:rPr>
                <w:rFonts w:ascii="Century Gothic" w:hAnsi="Century Gothic"/>
                <w:b/>
                <w:color w:val="000000"/>
                <w:sz w:val="16"/>
                <w:szCs w:val="16"/>
              </w:rPr>
              <w:t xml:space="preserve"> </w:t>
            </w:r>
            <w:r w:rsidRPr="00E94619">
              <w:rPr>
                <w:rFonts w:ascii="Century Gothic" w:hAnsi="Century Gothic"/>
                <w:color w:val="000000"/>
                <w:sz w:val="16"/>
                <w:szCs w:val="16"/>
              </w:rPr>
              <w:t xml:space="preserve">los-as profesionales vinculados a las entidades con competencias en la prevención y la atención a las violencias contra las mujeres, a través de: capacitación a jueces, fiscales, comisario-as, policías, personero-as municipales, secretarías de despacho, funcionarios de alcaldías y gobernaciones, Puntos Focales de Género del Instituto Nacional de Medicina Legal y Ciencias Forenses, funcionarios de los CAIVAS, CAVIF y CAV y personal de urgencias del sector salud. </w:t>
            </w:r>
          </w:p>
          <w:p w14:paraId="7152FD2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-Diseño y operación de la línea nacional 155 de orientación a mujeres víctimas de violencia.</w:t>
            </w:r>
          </w:p>
          <w:p w14:paraId="17C5D4F9"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Disposición de Defensorías de Familia en los 35 CAIVAS que existen en el País que dependen del</w:t>
            </w:r>
            <w:r w:rsidRPr="00E94619">
              <w:rPr>
                <w:rFonts w:ascii="Century Gothic" w:hAnsi="Century Gothic"/>
                <w:b/>
                <w:color w:val="000000"/>
                <w:sz w:val="16"/>
                <w:szCs w:val="16"/>
              </w:rPr>
              <w:t xml:space="preserve"> </w:t>
            </w:r>
            <w:r w:rsidRPr="00E94619">
              <w:rPr>
                <w:rFonts w:ascii="Century Gothic" w:hAnsi="Century Gothic"/>
                <w:color w:val="000000"/>
                <w:sz w:val="16"/>
                <w:szCs w:val="16"/>
              </w:rPr>
              <w:t xml:space="preserve">ICBF. </w:t>
            </w:r>
            <w:r w:rsidRPr="00E94619">
              <w:rPr>
                <w:rFonts w:ascii="Century Gothic" w:hAnsi="Century Gothic"/>
                <w:color w:val="000000"/>
                <w:sz w:val="16"/>
                <w:szCs w:val="16"/>
              </w:rPr>
              <w:br/>
              <w:t xml:space="preserve"> -Existencia de un Subcomité de Sistemas de Información, para articular la información sobre violencia sexual en niños, niñas y adolescentes.</w:t>
            </w:r>
            <w:r w:rsidRPr="00E94619">
              <w:rPr>
                <w:rFonts w:ascii="Century Gothic" w:hAnsi="Century Gothic"/>
                <w:b/>
                <w:color w:val="000000"/>
                <w:sz w:val="16"/>
                <w:szCs w:val="16"/>
              </w:rPr>
              <w:t xml:space="preserve"> </w:t>
            </w:r>
          </w:p>
        </w:tc>
        <w:tc>
          <w:tcPr>
            <w:tcW w:w="5245" w:type="dxa"/>
            <w:tcBorders>
              <w:top w:val="single" w:sz="4" w:space="0" w:color="CC0066"/>
              <w:left w:val="single" w:sz="4" w:space="0" w:color="CC0066"/>
              <w:bottom w:val="single" w:sz="4" w:space="0" w:color="CC0066"/>
              <w:right w:val="single" w:sz="4" w:space="0" w:color="CC0066"/>
            </w:tcBorders>
          </w:tcPr>
          <w:p w14:paraId="1B88233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lastRenderedPageBreak/>
              <w:t>Cuarto informe de seguimiento del Conpes 161(2014):</w:t>
            </w:r>
          </w:p>
          <w:p w14:paraId="50BB7E6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Falta capacitación en género a profesionales de salud en lugares donde no existe el INMLCF para que tengan las herramientas necesarias para atender a mujeres víctimas de violencias.</w:t>
            </w:r>
          </w:p>
          <w:p w14:paraId="43EDCABA"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 xml:space="preserve">-Las acciones implementadas en los CAV, CAVIF, CAIVAS no siempre se ajustan a las necesidades específicas de la población. </w:t>
            </w:r>
          </w:p>
          <w:p w14:paraId="14872514"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-Consolidar un sistema unificado de información para las violencias contra la mujer.</w:t>
            </w:r>
          </w:p>
          <w:p w14:paraId="14C877F8" w14:textId="77777777" w:rsidR="009528B9" w:rsidRPr="00E94619" w:rsidRDefault="009528B9"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Estudio sobre la Tolerancia Social de las Violencias contra las Mujeres 2021:</w:t>
            </w:r>
          </w:p>
          <w:p w14:paraId="69AF26BB" w14:textId="77777777" w:rsidR="009528B9" w:rsidRPr="00E94619" w:rsidRDefault="009528B9" w:rsidP="000E5AC0">
            <w:pPr>
              <w:spacing w:after="0"/>
              <w:rPr>
                <w:rFonts w:ascii="Century Gothic" w:hAnsi="Century Gothic"/>
                <w:sz w:val="16"/>
                <w:szCs w:val="16"/>
              </w:rPr>
            </w:pPr>
            <w:r w:rsidRPr="00E94619">
              <w:rPr>
                <w:rFonts w:ascii="Century Gothic" w:hAnsi="Century Gothic"/>
                <w:sz w:val="16"/>
                <w:szCs w:val="16"/>
              </w:rPr>
              <w:t>-Promover la transformación social y cultural que privilegia un orden social de género que establece jerarquías entre lo femenino y lo masculino, así como formas de pensar una masculinidad corresponsable y no violenta, y que elimine toda forma de discriminación asociada al sexo, al género, a la identidad y otros factores diferenciales.</w:t>
            </w:r>
          </w:p>
          <w:p w14:paraId="7F6DB244" w14:textId="77777777" w:rsidR="009528B9" w:rsidRPr="00E94619" w:rsidRDefault="009528B9" w:rsidP="000E5AC0">
            <w:pPr>
              <w:spacing w:after="0"/>
              <w:rPr>
                <w:rFonts w:ascii="Century Gothic" w:hAnsi="Century Gothic"/>
                <w:sz w:val="16"/>
                <w:szCs w:val="16"/>
              </w:rPr>
            </w:pPr>
            <w:r w:rsidRPr="00E94619">
              <w:rPr>
                <w:rFonts w:ascii="Century Gothic" w:hAnsi="Century Gothic"/>
                <w:sz w:val="16"/>
                <w:szCs w:val="16"/>
              </w:rPr>
              <w:t>-Implementar campañas publicitarias como herramienta para la prevención de la VCM, que sean sostenidas en el tiempo y basadas en evidencias, es una responsabilidad del sector público, los datos permiten inferir que es posible ampliar la emisión de dichos mensajes si se vincula al sector privado para que en sus parrillas fomente mensajes de rechazo a la violencia y promueva la denuncia.</w:t>
            </w:r>
          </w:p>
          <w:p w14:paraId="2E5CCED8" w14:textId="77777777" w:rsidR="009528B9" w:rsidRPr="00E94619" w:rsidRDefault="009528B9" w:rsidP="000E5AC0">
            <w:pPr>
              <w:spacing w:after="0"/>
              <w:rPr>
                <w:rFonts w:ascii="Century Gothic" w:hAnsi="Century Gothic"/>
                <w:sz w:val="16"/>
                <w:szCs w:val="16"/>
              </w:rPr>
            </w:pPr>
            <w:r w:rsidRPr="00E94619">
              <w:rPr>
                <w:rFonts w:ascii="Century Gothic" w:hAnsi="Century Gothic"/>
                <w:sz w:val="16"/>
                <w:szCs w:val="16"/>
              </w:rPr>
              <w:t>-Continuar y fortalecer el trabajo con servidoras públicas y servidores públicos, pues sus creencias pueden interferir en la forma en que tramitan y atienden los casos de VCM e impedir que se cumplan los principios de oportunidad, pertinencia y debida diligencia con los que debe actuar el Estado en este tipo de casos.</w:t>
            </w:r>
          </w:p>
          <w:p w14:paraId="3977FCED" w14:textId="77777777" w:rsidR="009528B9" w:rsidRPr="00E94619" w:rsidRDefault="009528B9" w:rsidP="000E5AC0">
            <w:pPr>
              <w:spacing w:after="0"/>
              <w:rPr>
                <w:rFonts w:ascii="Century Gothic" w:hAnsi="Century Gothic"/>
                <w:sz w:val="16"/>
                <w:szCs w:val="16"/>
              </w:rPr>
            </w:pPr>
            <w:r w:rsidRPr="00E94619">
              <w:rPr>
                <w:rFonts w:ascii="Century Gothic" w:hAnsi="Century Gothic"/>
                <w:sz w:val="16"/>
                <w:szCs w:val="16"/>
              </w:rPr>
              <w:t>-Promover la visibilidad de las entidades en relación con sus competencias y funciones, de acuerdo con la ruta de atención</w:t>
            </w:r>
          </w:p>
          <w:p w14:paraId="1B621847"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la Ley 1257 de 2008 al Congreso en el año 2015:</w:t>
            </w:r>
          </w:p>
          <w:p w14:paraId="1D4A0DB3"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 xml:space="preserve"> Establecer mecanismos para exigir a las EPS información sobre la implementación de medidas de atención para las mujeres, niñas y adolescentes víctimas de violencias.</w:t>
            </w:r>
          </w:p>
        </w:tc>
      </w:tr>
      <w:tr w:rsidR="001238D7" w:rsidRPr="00E94619" w14:paraId="1729F734" w14:textId="77777777" w:rsidTr="005C1EE1">
        <w:tc>
          <w:tcPr>
            <w:tcW w:w="1533" w:type="dxa"/>
            <w:tcBorders>
              <w:top w:val="single" w:sz="4" w:space="0" w:color="CC0066"/>
              <w:left w:val="single" w:sz="4" w:space="0" w:color="CC0066"/>
              <w:bottom w:val="single" w:sz="4" w:space="0" w:color="CC0066"/>
              <w:right w:val="single" w:sz="4" w:space="0" w:color="CC0066"/>
            </w:tcBorders>
          </w:tcPr>
          <w:p w14:paraId="33F4CB59" w14:textId="2C222BEF" w:rsidR="001238D7" w:rsidRPr="00E94619" w:rsidRDefault="00D2173C" w:rsidP="000E5AC0">
            <w:pPr>
              <w:spacing w:after="0" w:line="240" w:lineRule="auto"/>
              <w:jc w:val="both"/>
              <w:rPr>
                <w:rFonts w:ascii="Century Gothic" w:hAnsi="Century Gothic"/>
                <w:b/>
                <w:color w:val="000000"/>
                <w:sz w:val="16"/>
                <w:szCs w:val="16"/>
              </w:rPr>
            </w:pPr>
            <w:r>
              <w:rPr>
                <w:rFonts w:ascii="Century Gothic" w:hAnsi="Century Gothic"/>
                <w:b/>
                <w:noProof/>
                <w:szCs w:val="24"/>
                <w:lang w:val="es-ES"/>
              </w:rPr>
              <w:lastRenderedPageBreak/>
              <w:drawing>
                <wp:anchor distT="0" distB="0" distL="114300" distR="114300" simplePos="0" relativeHeight="251788288" behindDoc="0" locked="0" layoutInCell="1" allowOverlap="1" wp14:anchorId="15862AE9" wp14:editId="26DFDBC1">
                  <wp:simplePos x="0" y="0"/>
                  <wp:positionH relativeFrom="column">
                    <wp:posOffset>-1080135</wp:posOffset>
                  </wp:positionH>
                  <wp:positionV relativeFrom="paragraph">
                    <wp:posOffset>-6518275</wp:posOffset>
                  </wp:positionV>
                  <wp:extent cx="965835" cy="708660"/>
                  <wp:effectExtent l="0" t="0" r="0" b="0"/>
                  <wp:wrapNone/>
                  <wp:docPr id="365" name="Imagen 36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color w:val="000000"/>
                <w:sz w:val="16"/>
                <w:szCs w:val="16"/>
              </w:rPr>
              <w:t>Protección</w:t>
            </w:r>
          </w:p>
        </w:tc>
        <w:tc>
          <w:tcPr>
            <w:tcW w:w="2261" w:type="dxa"/>
            <w:tcBorders>
              <w:top w:val="single" w:sz="4" w:space="0" w:color="CC0066"/>
              <w:left w:val="single" w:sz="4" w:space="0" w:color="CC0066"/>
              <w:bottom w:val="single" w:sz="4" w:space="0" w:color="CC0066"/>
              <w:right w:val="single" w:sz="4" w:space="0" w:color="CC0066"/>
            </w:tcBorders>
          </w:tcPr>
          <w:p w14:paraId="5129DBB0" w14:textId="77777777" w:rsidR="001238D7" w:rsidRPr="00E94619" w:rsidRDefault="001238D7" w:rsidP="000E5AC0">
            <w:pPr>
              <w:spacing w:after="0" w:line="240" w:lineRule="auto"/>
              <w:jc w:val="both"/>
              <w:rPr>
                <w:rFonts w:ascii="Century Gothic" w:hAnsi="Century Gothic"/>
                <w:b/>
                <w:color w:val="000000"/>
                <w:sz w:val="16"/>
                <w:szCs w:val="16"/>
              </w:rPr>
            </w:pPr>
          </w:p>
        </w:tc>
        <w:tc>
          <w:tcPr>
            <w:tcW w:w="5245" w:type="dxa"/>
            <w:tcBorders>
              <w:top w:val="single" w:sz="4" w:space="0" w:color="CC0066"/>
              <w:left w:val="single" w:sz="4" w:space="0" w:color="CC0066"/>
              <w:bottom w:val="single" w:sz="4" w:space="0" w:color="CC0066"/>
              <w:right w:val="single" w:sz="4" w:space="0" w:color="CC0066"/>
            </w:tcBorders>
          </w:tcPr>
          <w:p w14:paraId="349CBF82" w14:textId="77777777" w:rsidR="004C0A38" w:rsidRPr="00E94619" w:rsidRDefault="004C0A38"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Estudio sobre la Tolerancia Social de las Violencias contra las Mujeres 2021:</w:t>
            </w:r>
          </w:p>
          <w:p w14:paraId="7C6BBF7B" w14:textId="77777777" w:rsidR="004C0A38" w:rsidRPr="00E94619" w:rsidRDefault="004C0A38" w:rsidP="000E5AC0">
            <w:pPr>
              <w:spacing w:after="0" w:line="240" w:lineRule="auto"/>
              <w:rPr>
                <w:rFonts w:ascii="Century Gothic" w:hAnsi="Century Gothic"/>
                <w:sz w:val="16"/>
                <w:szCs w:val="16"/>
              </w:rPr>
            </w:pPr>
            <w:r w:rsidRPr="00E94619">
              <w:rPr>
                <w:rFonts w:ascii="Century Gothic" w:hAnsi="Century Gothic"/>
                <w:color w:val="000000"/>
                <w:sz w:val="16"/>
                <w:szCs w:val="16"/>
              </w:rPr>
              <w:t>-</w:t>
            </w:r>
            <w:r w:rsidRPr="00E94619">
              <w:rPr>
                <w:rFonts w:ascii="Century Gothic" w:hAnsi="Century Gothic"/>
                <w:sz w:val="16"/>
                <w:szCs w:val="16"/>
              </w:rPr>
              <w:t xml:space="preserve"> Asegurar que la información sobre prevención de VCM sea clara y de fácil retención.</w:t>
            </w:r>
          </w:p>
          <w:p w14:paraId="4C9DC90B" w14:textId="77777777" w:rsidR="004C0A38" w:rsidRPr="00E94619" w:rsidRDefault="004C0A38" w:rsidP="000E5AC0">
            <w:pPr>
              <w:spacing w:after="0" w:line="240" w:lineRule="auto"/>
              <w:rPr>
                <w:rFonts w:ascii="Century Gothic" w:hAnsi="Century Gothic"/>
                <w:sz w:val="16"/>
                <w:szCs w:val="16"/>
              </w:rPr>
            </w:pPr>
            <w:r w:rsidRPr="00E94619">
              <w:rPr>
                <w:rFonts w:ascii="Century Gothic" w:hAnsi="Century Gothic"/>
                <w:sz w:val="16"/>
                <w:szCs w:val="16"/>
              </w:rPr>
              <w:t>- Reconocer que las instituciones del Estado integran sociedades concretas, “están conformadas por actores sociales que pertenecen a una cultura y en esa medida comparten las representaciones, actitudes y prácticas relativas a la violencia contra las mujeres</w:t>
            </w:r>
          </w:p>
          <w:p w14:paraId="5C369278" w14:textId="77777777" w:rsidR="004C0A38" w:rsidRPr="00E94619" w:rsidRDefault="004C0A38" w:rsidP="000E5AC0">
            <w:pPr>
              <w:spacing w:after="0" w:line="240" w:lineRule="auto"/>
              <w:rPr>
                <w:rFonts w:ascii="Century Gothic" w:hAnsi="Century Gothic"/>
                <w:sz w:val="16"/>
                <w:szCs w:val="16"/>
              </w:rPr>
            </w:pPr>
            <w:r w:rsidRPr="00E94619">
              <w:rPr>
                <w:rFonts w:ascii="Century Gothic" w:hAnsi="Century Gothic"/>
                <w:sz w:val="16"/>
                <w:szCs w:val="16"/>
              </w:rPr>
              <w:t>-Invitar a la ciudadanía a no tener una postura pasiva de observar la violencia, sino activa de naturalizar la injerencia de personas externas a la familia cuando se presente un caso de violencia.</w:t>
            </w:r>
          </w:p>
          <w:p w14:paraId="349DFFE1" w14:textId="77777777" w:rsidR="004C0A38" w:rsidRPr="00E94619" w:rsidRDefault="004C0A38" w:rsidP="000E5AC0">
            <w:pPr>
              <w:spacing w:after="0" w:line="240" w:lineRule="auto"/>
              <w:rPr>
                <w:rFonts w:ascii="Century Gothic" w:hAnsi="Century Gothic"/>
                <w:color w:val="000000"/>
                <w:sz w:val="16"/>
                <w:szCs w:val="16"/>
              </w:rPr>
            </w:pPr>
            <w:r w:rsidRPr="00E94619">
              <w:rPr>
                <w:rFonts w:ascii="Century Gothic" w:hAnsi="Century Gothic"/>
                <w:sz w:val="16"/>
                <w:szCs w:val="16"/>
              </w:rPr>
              <w:t>-Reforzar las apuestas relacionadas con la resolución de los conflictos y la gestión de las emociones con mujeres y hombres de todas las edades, con el fin normalizar el trámite de los conflictos por medios no violentos</w:t>
            </w:r>
            <w:r w:rsidRPr="00E94619">
              <w:rPr>
                <w:rFonts w:ascii="Century Gothic" w:hAnsi="Century Gothic"/>
                <w:color w:val="000000"/>
                <w:sz w:val="16"/>
                <w:szCs w:val="16"/>
              </w:rPr>
              <w:t xml:space="preserve"> </w:t>
            </w:r>
          </w:p>
          <w:p w14:paraId="00DEBD12"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Alternativo presentado al Comité de la CEDAW 2013:</w:t>
            </w:r>
          </w:p>
          <w:p w14:paraId="7C07FB6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-Los Decretos reglamentarios de la Ley 1257 de 2008 (</w:t>
            </w:r>
            <w:r w:rsidRPr="00E94619">
              <w:rPr>
                <w:rFonts w:ascii="Century Gothic" w:hAnsi="Century Gothic"/>
                <w:i/>
                <w:color w:val="000000"/>
                <w:sz w:val="16"/>
                <w:szCs w:val="16"/>
              </w:rPr>
              <w:t xml:space="preserve">2734 de 2012 y 4796 de 2011) </w:t>
            </w:r>
            <w:r w:rsidRPr="00E94619">
              <w:rPr>
                <w:rFonts w:ascii="Century Gothic" w:hAnsi="Century Gothic"/>
                <w:color w:val="000000"/>
                <w:sz w:val="16"/>
                <w:szCs w:val="16"/>
              </w:rPr>
              <w:t xml:space="preserve">fueron expedidos sin consultarlos previamente con el Comité de seguimiento a la Ley 1257, ni con las Organizaciones de Mujeres. También sucedió con los lineamientos para la implementación de las medidas de protección de justicia para las Comisarias de Familia en el marco del decreto reglamentario 4799 de 2011, lo anterior impidió corregir los serios obstáculos de acceso a las medidas </w:t>
            </w:r>
            <w:r w:rsidRPr="00E94619">
              <w:rPr>
                <w:rFonts w:ascii="Century Gothic" w:hAnsi="Century Gothic"/>
                <w:color w:val="000000"/>
                <w:sz w:val="16"/>
                <w:szCs w:val="16"/>
              </w:rPr>
              <w:lastRenderedPageBreak/>
              <w:t>de protección en salud y justicia que contienen los Decretos y lineamiento</w:t>
            </w:r>
            <w:r w:rsidRPr="00E94619">
              <w:rPr>
                <w:rFonts w:ascii="Century Gothic" w:hAnsi="Century Gothic"/>
                <w:i/>
                <w:color w:val="000000"/>
                <w:sz w:val="16"/>
                <w:szCs w:val="16"/>
              </w:rPr>
              <w:t>s</w:t>
            </w:r>
            <w:r w:rsidRPr="00E94619">
              <w:rPr>
                <w:rFonts w:ascii="Century Gothic" w:hAnsi="Century Gothic"/>
                <w:color w:val="000000"/>
                <w:sz w:val="16"/>
                <w:szCs w:val="16"/>
              </w:rPr>
              <w:t>.</w:t>
            </w:r>
          </w:p>
          <w:p w14:paraId="5943C002" w14:textId="79F44B20"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w:t>
            </w:r>
            <w:r w:rsidRPr="00E94619">
              <w:rPr>
                <w:rFonts w:ascii="Century Gothic" w:hAnsi="Century Gothic"/>
                <w:sz w:val="16"/>
                <w:szCs w:val="16"/>
              </w:rPr>
              <w:t xml:space="preserve">Solucionar las </w:t>
            </w:r>
            <w:r w:rsidRPr="00E94619">
              <w:rPr>
                <w:rFonts w:ascii="Century Gothic" w:hAnsi="Century Gothic"/>
                <w:color w:val="000000"/>
                <w:sz w:val="16"/>
                <w:szCs w:val="16"/>
              </w:rPr>
              <w:t xml:space="preserve">deficiencias en el Sistema de Salud para implementar el mecanismo de refugio para las mujeres víctimas de violencia. </w:t>
            </w:r>
          </w:p>
        </w:tc>
      </w:tr>
      <w:tr w:rsidR="001238D7" w:rsidRPr="00E94619" w14:paraId="0E73B94D" w14:textId="77777777" w:rsidTr="005C1EE1">
        <w:tc>
          <w:tcPr>
            <w:tcW w:w="1533" w:type="dxa"/>
            <w:tcBorders>
              <w:top w:val="single" w:sz="4" w:space="0" w:color="CC0066"/>
              <w:left w:val="single" w:sz="4" w:space="0" w:color="CC0066"/>
              <w:bottom w:val="single" w:sz="4" w:space="0" w:color="CC0066"/>
              <w:right w:val="single" w:sz="4" w:space="0" w:color="CC0066"/>
            </w:tcBorders>
          </w:tcPr>
          <w:p w14:paraId="3FFD3DA3"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lastRenderedPageBreak/>
              <w:t>Judicialización</w:t>
            </w:r>
          </w:p>
        </w:tc>
        <w:tc>
          <w:tcPr>
            <w:tcW w:w="2261" w:type="dxa"/>
            <w:tcBorders>
              <w:top w:val="single" w:sz="4" w:space="0" w:color="CC0066"/>
              <w:left w:val="single" w:sz="4" w:space="0" w:color="CC0066"/>
              <w:bottom w:val="single" w:sz="4" w:space="0" w:color="CC0066"/>
              <w:right w:val="single" w:sz="4" w:space="0" w:color="CC0066"/>
            </w:tcBorders>
          </w:tcPr>
          <w:p w14:paraId="71327572" w14:textId="072A7759"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la Ley 1257 de 2008 al Congreso en el año 2015:</w:t>
            </w:r>
            <w:r w:rsidR="00D2173C">
              <w:rPr>
                <w:rFonts w:ascii="Century Gothic" w:hAnsi="Century Gothic"/>
                <w:b/>
                <w:noProof/>
                <w:szCs w:val="24"/>
                <w:lang w:val="es-ES"/>
              </w:rPr>
              <w:t xml:space="preserve"> </w:t>
            </w:r>
          </w:p>
          <w:p w14:paraId="37D09172"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Existencia de un Plan Nacional de Formación para Fiscales, orientado a garantizar el acceso a la justicia de las mujeres víctimas de violencia.</w:t>
            </w:r>
            <w:r w:rsidRPr="00E94619">
              <w:rPr>
                <w:rFonts w:ascii="Century Gothic" w:hAnsi="Century Gothic"/>
                <w:b/>
                <w:color w:val="000000"/>
                <w:sz w:val="16"/>
                <w:szCs w:val="16"/>
              </w:rPr>
              <w:t xml:space="preserve"> </w:t>
            </w:r>
          </w:p>
          <w:p w14:paraId="5768A624"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 Fiscalía General de la Nación cuenta con guías para la atención e investigación de casos por violencia, sexual y violencia intrafamiliar con los criterios para tramitar las medidas de protección y/o atención y adelantar la investigación de forma urgente en casos de delitos sexuales sin importar el tiempo que haya transcurrido desde la comisión del hecho.</w:t>
            </w:r>
          </w:p>
        </w:tc>
        <w:tc>
          <w:tcPr>
            <w:tcW w:w="5245" w:type="dxa"/>
            <w:tcBorders>
              <w:top w:val="single" w:sz="4" w:space="0" w:color="CC0066"/>
              <w:left w:val="single" w:sz="4" w:space="0" w:color="CC0066"/>
              <w:bottom w:val="single" w:sz="4" w:space="0" w:color="CC0066"/>
              <w:right w:val="single" w:sz="4" w:space="0" w:color="CC0066"/>
            </w:tcBorders>
          </w:tcPr>
          <w:p w14:paraId="64BAAA3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la Ley 1257 de 2008 al Congreso en el año 2015:</w:t>
            </w:r>
          </w:p>
          <w:p w14:paraId="6820D279"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la capacitad institucional para atender toda la demanda referida a violencia contra las mujeres.</w:t>
            </w:r>
          </w:p>
          <w:p w14:paraId="4E376BA2"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Alternativo presentado al Comité de la CEDAW 2013:</w:t>
            </w:r>
          </w:p>
          <w:p w14:paraId="3F291379"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Mejorar la representación jurídica para las mujeres víctimas de violencias, ya que la Defensoría del Pueblo, que es la entidad encargada, no cuenta con personal suficiente para esto.</w:t>
            </w:r>
          </w:p>
          <w:p w14:paraId="25DCD8D5"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-Reducir los índices de impunidad frente a casos de violencia contra las mujeres, ya que durante el 2014 en Fiscalía General de la Nación: </w:t>
            </w:r>
          </w:p>
          <w:p w14:paraId="24772EF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La información no se presenta desagregada por sexo.</w:t>
            </w:r>
          </w:p>
          <w:p w14:paraId="0B523797"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De 90.700 casos por violencia intrafamiliar sólo fueron cancelados 2.445</w:t>
            </w:r>
          </w:p>
          <w:p w14:paraId="6C2B5E9D"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De 21.115 casos por violencia sexual sólo fueron cancelados 501.</w:t>
            </w:r>
          </w:p>
          <w:p w14:paraId="56D9A72B"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De 24.774 casos de violencia sexual contra NNA sólo fueron cancelados 903 (Anuario Estadístico año 2014).</w:t>
            </w:r>
          </w:p>
          <w:p w14:paraId="76EEF97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Durante el 2014 en el Instituto Colombiano de Bienestar Familiar: </w:t>
            </w:r>
          </w:p>
          <w:p w14:paraId="48E4D95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Frente a 10.402 casos violencia hacia NNA reportados por IMLCF, ingresaron a Proceso administrativo de Restablecimiento de derechos (PARD) 4.900.</w:t>
            </w:r>
            <w:r w:rsidRPr="00E94619">
              <w:rPr>
                <w:rFonts w:ascii="Century Gothic" w:hAnsi="Century Gothic"/>
                <w:b/>
                <w:color w:val="000000"/>
                <w:sz w:val="16"/>
                <w:szCs w:val="16"/>
              </w:rPr>
              <w:t xml:space="preserve"> </w:t>
            </w:r>
          </w:p>
        </w:tc>
      </w:tr>
    </w:tbl>
    <w:p w14:paraId="089883C3" w14:textId="77777777" w:rsidR="001238D7" w:rsidRPr="00E94619" w:rsidRDefault="001238D7" w:rsidP="000E5AC0">
      <w:pPr>
        <w:spacing w:after="0" w:line="240" w:lineRule="auto"/>
        <w:jc w:val="both"/>
        <w:rPr>
          <w:rFonts w:ascii="Century Gothic" w:hAnsi="Century Gothic"/>
        </w:rPr>
      </w:pPr>
    </w:p>
    <w:p w14:paraId="5E037993" w14:textId="77777777" w:rsidR="001238D7" w:rsidRPr="005C1EE1" w:rsidRDefault="0036411F" w:rsidP="000E5AC0">
      <w:pPr>
        <w:pStyle w:val="Ttulo2"/>
        <w:rPr>
          <w:rFonts w:ascii="Century Gothic" w:hAnsi="Century Gothic"/>
          <w:b w:val="0"/>
          <w:color w:val="CC3366"/>
        </w:rPr>
      </w:pPr>
      <w:bookmarkStart w:id="34" w:name="_Toc488624251"/>
      <w:r w:rsidRPr="005C1EE1">
        <w:rPr>
          <w:rFonts w:ascii="Century Gothic" w:hAnsi="Century Gothic"/>
          <w:b w:val="0"/>
          <w:color w:val="CC3366"/>
        </w:rPr>
        <w:t>1.2 Explotación sexual comercial de niñas, niños y adolescentes</w:t>
      </w:r>
      <w:bookmarkEnd w:id="34"/>
    </w:p>
    <w:p w14:paraId="465BDCE9" w14:textId="77777777" w:rsidR="001238D7" w:rsidRPr="00E94619" w:rsidRDefault="001238D7" w:rsidP="000E5AC0">
      <w:pPr>
        <w:spacing w:after="0" w:line="240" w:lineRule="auto"/>
        <w:rPr>
          <w:rFonts w:ascii="Century Gothic" w:hAnsi="Century Gothic"/>
          <w:b/>
          <w:u w:val="single"/>
        </w:rPr>
      </w:pPr>
    </w:p>
    <w:p w14:paraId="4D36AEAF"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La explotación sexual comercial de niñas, niños y adolescentes (ESCNNA) </w:t>
      </w:r>
      <w:r w:rsidRPr="00E94619">
        <w:rPr>
          <w:rFonts w:ascii="Century Gothic" w:hAnsi="Century Gothic"/>
          <w:i/>
        </w:rPr>
        <w:t>es una violación fundamental de los derechos del niño-a. Comprende el abuso sexual por adultos y la remuneración en efectivo o en especie para el niño-a o una tercera persona o personas. El niño-a es tratado como un objeto sexual y como un objeto comercial. La explotación sexual comercial de niños constituye una forma de coerción y violencia y es una forma contemporánea de esclavitud¨ (I congreso Mundial contra la ESCNNA, Estocolmo, 1996)</w:t>
      </w:r>
      <w:r w:rsidRPr="00E94619">
        <w:rPr>
          <w:rFonts w:ascii="Century Gothic" w:hAnsi="Century Gothic"/>
        </w:rPr>
        <w:t>.</w:t>
      </w:r>
    </w:p>
    <w:p w14:paraId="45D859D3" w14:textId="77777777" w:rsidR="001238D7" w:rsidRPr="00E94619" w:rsidRDefault="001238D7" w:rsidP="000E5AC0">
      <w:pPr>
        <w:spacing w:after="0" w:line="240" w:lineRule="auto"/>
        <w:jc w:val="both"/>
        <w:rPr>
          <w:rFonts w:ascii="Century Gothic" w:hAnsi="Century Gothic"/>
        </w:rPr>
      </w:pPr>
    </w:p>
    <w:p w14:paraId="17FABCDC" w14:textId="77777777" w:rsidR="001238D7" w:rsidRPr="00E94619" w:rsidRDefault="0036411F" w:rsidP="000E5AC0">
      <w:pPr>
        <w:spacing w:after="0" w:line="240" w:lineRule="auto"/>
        <w:jc w:val="both"/>
        <w:rPr>
          <w:rFonts w:ascii="Century Gothic" w:hAnsi="Century Gothic"/>
          <w:b/>
        </w:rPr>
      </w:pPr>
      <w:r w:rsidRPr="00E94619">
        <w:rPr>
          <w:rFonts w:ascii="Century Gothic" w:hAnsi="Century Gothic"/>
        </w:rPr>
        <w:t>La ESCNNA en Colombia se presenta en seis modalidades en todo el territorio nacional. Niñas, niños y adolescentes – incluidos indígenas, víctimas del desplazamiento forzado, campesinos, LGBTI – son utilizados en la prostitución, en la producción de materiales pornográficos, son víctimas de trata dentro y fuera del territorio nacional, explotados/as sexualmente en contextos de viajes y turismo, utilizados/as por grupos armados ilegales y sometidos/as a casamientos tempranos o a uniones serviles.</w:t>
      </w:r>
    </w:p>
    <w:p w14:paraId="092C0929" w14:textId="77777777" w:rsidR="001238D7" w:rsidRPr="00E94619" w:rsidRDefault="001238D7" w:rsidP="000E5AC0">
      <w:pPr>
        <w:spacing w:after="0" w:line="240" w:lineRule="auto"/>
        <w:rPr>
          <w:rFonts w:ascii="Century Gothic" w:hAnsi="Century Gothic"/>
          <w:b/>
        </w:rPr>
      </w:pPr>
    </w:p>
    <w:p w14:paraId="79681713" w14:textId="3464AADC" w:rsidR="001238D7" w:rsidRPr="00E94619" w:rsidRDefault="00D2173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790336" behindDoc="0" locked="0" layoutInCell="1" allowOverlap="1" wp14:anchorId="7B26CC50" wp14:editId="0E781E85">
            <wp:simplePos x="0" y="0"/>
            <wp:positionH relativeFrom="column">
              <wp:posOffset>-1080135</wp:posOffset>
            </wp:positionH>
            <wp:positionV relativeFrom="paragraph">
              <wp:posOffset>-7935595</wp:posOffset>
            </wp:positionV>
            <wp:extent cx="965835" cy="708660"/>
            <wp:effectExtent l="0" t="0" r="0" b="0"/>
            <wp:wrapNone/>
            <wp:docPr id="366" name="Imagen 36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La ESCNNA es una violencia basada en género que afecta de manera dramática a niñas y adolescentes, sin embargo, se caracteriza por ser aún más invisibilizada que otras formas de violencia como el abuso. Esto lleva a una baja denuncia de casos y a que no se tengan datos sobre la magnitud de la problemática. Las víctimas tienden a ser culpabilizadas con base en imaginarios socioculturales en los que se justifica esta práctica argumentando que es “un trabajo” y que se decide de manera autónoma. Lo anterior, negando la responsabilidad de los explotadores, quienes se aprovechan de la situación de vulnerabilidad de los NNA y los desconocen como sujetos de derechos de especial protección.</w:t>
      </w:r>
    </w:p>
    <w:p w14:paraId="294A220C" w14:textId="0D66B84C" w:rsidR="001238D7" w:rsidRPr="00E94619" w:rsidRDefault="001238D7" w:rsidP="000E5AC0">
      <w:pPr>
        <w:spacing w:after="0" w:line="240" w:lineRule="auto"/>
        <w:jc w:val="both"/>
        <w:rPr>
          <w:rFonts w:ascii="Century Gothic" w:hAnsi="Century Gothic"/>
        </w:rPr>
      </w:pPr>
    </w:p>
    <w:p w14:paraId="52438282" w14:textId="6EACDBF0" w:rsidR="00593CE7" w:rsidRPr="00E94619" w:rsidRDefault="0036411F" w:rsidP="000E5AC0">
      <w:pPr>
        <w:spacing w:after="0" w:line="240" w:lineRule="auto"/>
        <w:jc w:val="both"/>
        <w:rPr>
          <w:rFonts w:ascii="Century Gothic" w:hAnsi="Century Gothic"/>
        </w:rPr>
      </w:pPr>
      <w:r w:rsidRPr="00E94619">
        <w:rPr>
          <w:rFonts w:ascii="Century Gothic" w:hAnsi="Century Gothic"/>
        </w:rPr>
        <w:t xml:space="preserve">Aunque no se tiene una cifra oficial del total de víctimas por este delito, de acuerdo con el sistema de información del Instituto Colombiano de Bienestar Familiar denominado ‘Proceso Administrativo de Restablecimiento de Derechos’ (PARD), </w:t>
      </w:r>
      <w:r w:rsidR="0011747E" w:rsidRPr="00E94619">
        <w:rPr>
          <w:rFonts w:ascii="Century Gothic" w:hAnsi="Century Gothic"/>
        </w:rPr>
        <w:t>Durante el primer semestre del año (enero a junio de 2019) el I</w:t>
      </w:r>
      <w:r w:rsidR="001441C2" w:rsidRPr="00E94619">
        <w:rPr>
          <w:rFonts w:ascii="Century Gothic" w:hAnsi="Century Gothic"/>
        </w:rPr>
        <w:t xml:space="preserve">CBF </w:t>
      </w:r>
      <w:r w:rsidR="0011747E" w:rsidRPr="00E94619">
        <w:rPr>
          <w:rFonts w:ascii="Century Gothic" w:hAnsi="Century Gothic"/>
        </w:rPr>
        <w:t>abrió un total de 9.569 procesos de restablecimiento de derechos, una cifra que, aunque bajó con relación al mismo periodo de  los dos años inmediatamente anteriores</w:t>
      </w:r>
      <w:r w:rsidR="001441C2" w:rsidRPr="00E94619">
        <w:rPr>
          <w:rFonts w:ascii="Century Gothic" w:hAnsi="Century Gothic"/>
        </w:rPr>
        <w:t>,</w:t>
      </w:r>
      <w:r w:rsidR="0011747E" w:rsidRPr="00E94619">
        <w:rPr>
          <w:rFonts w:ascii="Century Gothic" w:hAnsi="Century Gothic"/>
        </w:rPr>
        <w:t xml:space="preserve"> sigue siendo alta</w:t>
      </w:r>
      <w:r w:rsidR="00802AA7" w:rsidRPr="00E94619">
        <w:rPr>
          <w:rStyle w:val="Refdenotaalpie"/>
          <w:rFonts w:ascii="Century Gothic" w:hAnsi="Century Gothic"/>
        </w:rPr>
        <w:footnoteReference w:id="17"/>
      </w:r>
      <w:sdt>
        <w:sdtPr>
          <w:rPr>
            <w:rFonts w:ascii="Century Gothic" w:hAnsi="Century Gothic"/>
          </w:rPr>
          <w:id w:val="-1779713650"/>
          <w:citation/>
        </w:sdtPr>
        <w:sdtContent>
          <w:r w:rsidR="00802AA7" w:rsidRPr="00E94619">
            <w:rPr>
              <w:rFonts w:ascii="Century Gothic" w:hAnsi="Century Gothic"/>
            </w:rPr>
            <w:fldChar w:fldCharType="begin"/>
          </w:r>
          <w:r w:rsidR="00802AA7" w:rsidRPr="00E94619">
            <w:rPr>
              <w:rFonts w:ascii="Century Gothic" w:hAnsi="Century Gothic"/>
              <w:lang w:val="es-MX"/>
            </w:rPr>
            <w:instrText xml:space="preserve"> CITATION ICB19 \l 2058 </w:instrText>
          </w:r>
          <w:r w:rsidR="00802AA7" w:rsidRPr="00E94619">
            <w:rPr>
              <w:rFonts w:ascii="Century Gothic" w:hAnsi="Century Gothic"/>
            </w:rPr>
            <w:fldChar w:fldCharType="separate"/>
          </w:r>
          <w:r w:rsidR="00802AA7" w:rsidRPr="00E94619">
            <w:rPr>
              <w:rFonts w:ascii="Century Gothic" w:hAnsi="Century Gothic"/>
              <w:noProof/>
              <w:lang w:val="es-MX"/>
            </w:rPr>
            <w:t xml:space="preserve"> (ICBF, 2019)</w:t>
          </w:r>
          <w:r w:rsidR="00802AA7" w:rsidRPr="00E94619">
            <w:rPr>
              <w:rFonts w:ascii="Century Gothic" w:hAnsi="Century Gothic"/>
            </w:rPr>
            <w:fldChar w:fldCharType="end"/>
          </w:r>
        </w:sdtContent>
      </w:sdt>
      <w:r w:rsidR="0011747E" w:rsidRPr="00E94619">
        <w:rPr>
          <w:rFonts w:ascii="Century Gothic" w:hAnsi="Century Gothic"/>
        </w:rPr>
        <w:t xml:space="preserve">. </w:t>
      </w:r>
      <w:r w:rsidRPr="00E94619">
        <w:rPr>
          <w:rFonts w:ascii="Century Gothic" w:hAnsi="Century Gothic"/>
        </w:rPr>
        <w:t>Con relación a la pertenencia étnica</w:t>
      </w:r>
      <w:r w:rsidR="001441C2" w:rsidRPr="00E94619">
        <w:rPr>
          <w:rFonts w:ascii="Century Gothic" w:hAnsi="Century Gothic"/>
        </w:rPr>
        <w:t>,</w:t>
      </w:r>
      <w:r w:rsidR="00C77833" w:rsidRPr="00E94619">
        <w:rPr>
          <w:rFonts w:ascii="Century Gothic" w:hAnsi="Century Gothic"/>
        </w:rPr>
        <w:t xml:space="preserve"> 127 casos</w:t>
      </w:r>
      <w:r w:rsidRPr="00E94619">
        <w:rPr>
          <w:rFonts w:ascii="Century Gothic" w:hAnsi="Century Gothic"/>
        </w:rPr>
        <w:t xml:space="preserve"> pertenecía</w:t>
      </w:r>
      <w:r w:rsidR="001441C2" w:rsidRPr="00E94619">
        <w:rPr>
          <w:rFonts w:ascii="Century Gothic" w:hAnsi="Century Gothic"/>
        </w:rPr>
        <w:t>n</w:t>
      </w:r>
      <w:r w:rsidRPr="00E94619">
        <w:rPr>
          <w:rFonts w:ascii="Century Gothic" w:hAnsi="Century Gothic"/>
        </w:rPr>
        <w:t xml:space="preserve"> a comunidades indígenas, </w:t>
      </w:r>
      <w:r w:rsidR="00C77833" w:rsidRPr="00E94619">
        <w:rPr>
          <w:rFonts w:ascii="Century Gothic" w:hAnsi="Century Gothic"/>
        </w:rPr>
        <w:t>841 casos</w:t>
      </w:r>
      <w:r w:rsidRPr="00E94619">
        <w:rPr>
          <w:rFonts w:ascii="Century Gothic" w:hAnsi="Century Gothic"/>
        </w:rPr>
        <w:t xml:space="preserve"> a afrocolombianos y </w:t>
      </w:r>
      <w:r w:rsidR="00C77833" w:rsidRPr="00E94619">
        <w:rPr>
          <w:rFonts w:ascii="Century Gothic" w:hAnsi="Century Gothic"/>
        </w:rPr>
        <w:t>28</w:t>
      </w:r>
      <w:r w:rsidR="001C0E92" w:rsidRPr="00E94619">
        <w:rPr>
          <w:rFonts w:ascii="Century Gothic" w:hAnsi="Century Gothic"/>
        </w:rPr>
        <w:t xml:space="preserve"> casos</w:t>
      </w:r>
      <w:r w:rsidRPr="00E94619">
        <w:rPr>
          <w:rFonts w:ascii="Century Gothic" w:hAnsi="Century Gothic"/>
        </w:rPr>
        <w:t xml:space="preserve"> a raizales</w:t>
      </w:r>
      <w:r w:rsidR="00C77833" w:rsidRPr="00E94619">
        <w:rPr>
          <w:rStyle w:val="Refdenotaalpie"/>
          <w:rFonts w:ascii="Century Gothic" w:hAnsi="Century Gothic"/>
        </w:rPr>
        <w:footnoteReference w:id="18"/>
      </w:r>
      <w:r w:rsidRPr="00E94619">
        <w:rPr>
          <w:rFonts w:ascii="Century Gothic" w:hAnsi="Century Gothic"/>
        </w:rPr>
        <w:t>.</w:t>
      </w:r>
      <w:r w:rsidR="00593CE7" w:rsidRPr="00E94619">
        <w:rPr>
          <w:rFonts w:ascii="Century Gothic" w:hAnsi="Century Gothic"/>
        </w:rPr>
        <w:t>Entre 2012 y 2019, del total de niñas, niños y adolescentes que ingresaron al PARD por ser víctimas de algún tipo de violencia en el país, el 54 %, equivalente a 76.881, ingresaron por motivo de violencia sexual, la mayoría de los ingresos se presentó en niñas y adolescentes mujeres reportando un 85% y un menor porcentaje de hombres15%.</w:t>
      </w:r>
      <w:sdt>
        <w:sdtPr>
          <w:rPr>
            <w:rFonts w:ascii="Century Gothic" w:hAnsi="Century Gothic"/>
          </w:rPr>
          <w:id w:val="1481885658"/>
          <w:citation/>
        </w:sdtPr>
        <w:sdtContent>
          <w:r w:rsidR="00593CE7" w:rsidRPr="00E94619">
            <w:rPr>
              <w:rFonts w:ascii="Century Gothic" w:hAnsi="Century Gothic"/>
            </w:rPr>
            <w:fldChar w:fldCharType="begin"/>
          </w:r>
          <w:r w:rsidR="00593CE7" w:rsidRPr="00E94619">
            <w:rPr>
              <w:rFonts w:ascii="Century Gothic" w:hAnsi="Century Gothic"/>
              <w:lang w:val="es-ES"/>
            </w:rPr>
            <w:instrText xml:space="preserve"> CITATION ICB9b \l 3082 </w:instrText>
          </w:r>
          <w:r w:rsidR="00593CE7" w:rsidRPr="00E94619">
            <w:rPr>
              <w:rFonts w:ascii="Century Gothic" w:hAnsi="Century Gothic"/>
            </w:rPr>
            <w:fldChar w:fldCharType="separate"/>
          </w:r>
          <w:r w:rsidR="00593CE7" w:rsidRPr="00E94619">
            <w:rPr>
              <w:rFonts w:ascii="Century Gothic" w:hAnsi="Century Gothic"/>
              <w:noProof/>
              <w:lang w:val="es-ES"/>
            </w:rPr>
            <w:t xml:space="preserve"> (ICBF, 2019b)</w:t>
          </w:r>
          <w:r w:rsidR="00593CE7" w:rsidRPr="00E94619">
            <w:rPr>
              <w:rFonts w:ascii="Century Gothic" w:hAnsi="Century Gothic"/>
            </w:rPr>
            <w:fldChar w:fldCharType="end"/>
          </w:r>
        </w:sdtContent>
      </w:sdt>
    </w:p>
    <w:p w14:paraId="1C0900CD" w14:textId="02F286E7" w:rsidR="001238D7" w:rsidRPr="00E94619" w:rsidRDefault="001238D7" w:rsidP="000E5AC0">
      <w:pPr>
        <w:spacing w:after="0" w:line="240" w:lineRule="auto"/>
        <w:jc w:val="both"/>
        <w:rPr>
          <w:rFonts w:ascii="Century Gothic" w:hAnsi="Century Gothic"/>
        </w:rPr>
      </w:pPr>
    </w:p>
    <w:p w14:paraId="3FA8B849" w14:textId="330058A4" w:rsidR="00A51DCD" w:rsidRPr="005C1EE1" w:rsidRDefault="00A51DCD" w:rsidP="005C1EE1">
      <w:pPr>
        <w:spacing w:after="0" w:line="240" w:lineRule="auto"/>
        <w:jc w:val="center"/>
        <w:rPr>
          <w:rFonts w:ascii="Century Gothic" w:hAnsi="Century Gothic"/>
          <w:b/>
          <w:sz w:val="16"/>
          <w:szCs w:val="16"/>
        </w:rPr>
      </w:pPr>
      <w:r w:rsidRPr="005C1EE1">
        <w:rPr>
          <w:rFonts w:ascii="Century Gothic" w:hAnsi="Century Gothic"/>
          <w:b/>
          <w:sz w:val="16"/>
          <w:szCs w:val="16"/>
        </w:rPr>
        <w:t>Gráfica 1</w:t>
      </w:r>
      <w:r w:rsidR="006437D1" w:rsidRPr="005C1EE1">
        <w:rPr>
          <w:rFonts w:ascii="Century Gothic" w:hAnsi="Century Gothic"/>
          <w:b/>
          <w:sz w:val="16"/>
          <w:szCs w:val="16"/>
        </w:rPr>
        <w:t>0</w:t>
      </w:r>
      <w:r w:rsidR="005C1EE1" w:rsidRPr="005C1EE1">
        <w:rPr>
          <w:rFonts w:ascii="Century Gothic" w:hAnsi="Century Gothic"/>
          <w:b/>
          <w:sz w:val="16"/>
          <w:szCs w:val="16"/>
        </w:rPr>
        <w:t xml:space="preserve">. Ingresos de niñas, niños </w:t>
      </w:r>
      <w:r w:rsidR="005C1EE1">
        <w:rPr>
          <w:rFonts w:ascii="Century Gothic" w:hAnsi="Century Gothic"/>
          <w:b/>
          <w:sz w:val="16"/>
          <w:szCs w:val="16"/>
        </w:rPr>
        <w:t>y adolescentes APARD</w:t>
      </w:r>
      <w:r w:rsidR="005C1EE1" w:rsidRPr="005C1EE1">
        <w:rPr>
          <w:rFonts w:ascii="Century Gothic" w:hAnsi="Century Gothic"/>
          <w:b/>
          <w:sz w:val="16"/>
          <w:szCs w:val="16"/>
        </w:rPr>
        <w:t xml:space="preserve"> según pertenencia étnica (2012-2019)</w:t>
      </w:r>
    </w:p>
    <w:p w14:paraId="2E90494F" w14:textId="41D58D59" w:rsidR="006437D1" w:rsidRPr="00E94619" w:rsidRDefault="005C1EE1" w:rsidP="000E5AC0">
      <w:pPr>
        <w:spacing w:after="0" w:line="240" w:lineRule="auto"/>
        <w:jc w:val="both"/>
        <w:rPr>
          <w:rFonts w:ascii="Century Gothic" w:hAnsi="Century Gothic"/>
          <w:sz w:val="16"/>
          <w:szCs w:val="16"/>
        </w:rPr>
      </w:pPr>
      <w:r w:rsidRPr="00E94619">
        <w:rPr>
          <w:rFonts w:ascii="Century Gothic" w:hAnsi="Century Gothic"/>
          <w:noProof/>
          <w:lang w:val="es-ES" w:eastAsia="es-ES"/>
        </w:rPr>
        <w:drawing>
          <wp:anchor distT="0" distB="0" distL="114300" distR="114300" simplePos="0" relativeHeight="251673600" behindDoc="0" locked="0" layoutInCell="1" allowOverlap="1" wp14:anchorId="2F555C5A" wp14:editId="389C759C">
            <wp:simplePos x="0" y="0"/>
            <wp:positionH relativeFrom="column">
              <wp:posOffset>1371600</wp:posOffset>
            </wp:positionH>
            <wp:positionV relativeFrom="paragraph">
              <wp:posOffset>46990</wp:posOffset>
            </wp:positionV>
            <wp:extent cx="2743200" cy="142430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320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E9A6A" w14:textId="6F30E531" w:rsidR="006437D1" w:rsidRPr="00E94619" w:rsidRDefault="006437D1" w:rsidP="000E5AC0">
      <w:pPr>
        <w:spacing w:after="0" w:line="240" w:lineRule="auto"/>
        <w:jc w:val="both"/>
        <w:rPr>
          <w:rFonts w:ascii="Century Gothic" w:hAnsi="Century Gothic"/>
          <w:sz w:val="16"/>
          <w:szCs w:val="16"/>
        </w:rPr>
      </w:pPr>
    </w:p>
    <w:p w14:paraId="46B2AF79" w14:textId="77777777" w:rsidR="001238D7" w:rsidRPr="00E94619" w:rsidRDefault="001238D7" w:rsidP="000E5AC0">
      <w:pPr>
        <w:spacing w:after="0" w:line="240" w:lineRule="auto"/>
        <w:rPr>
          <w:rFonts w:ascii="Century Gothic" w:hAnsi="Century Gothic"/>
          <w:color w:val="000000"/>
          <w:sz w:val="16"/>
          <w:szCs w:val="16"/>
        </w:rPr>
      </w:pPr>
    </w:p>
    <w:p w14:paraId="6558B930" w14:textId="77777777" w:rsidR="005C1EE1" w:rsidRDefault="005C1EE1" w:rsidP="000E5AC0">
      <w:pPr>
        <w:rPr>
          <w:rFonts w:ascii="Century Gothic" w:hAnsi="Century Gothic"/>
          <w:noProof/>
          <w:sz w:val="16"/>
          <w:szCs w:val="16"/>
          <w:bdr w:val="none" w:sz="0" w:space="0" w:color="auto" w:frame="1"/>
        </w:rPr>
      </w:pPr>
    </w:p>
    <w:p w14:paraId="17C54646" w14:textId="77777777" w:rsidR="005C1EE1" w:rsidRDefault="005C1EE1" w:rsidP="000E5AC0">
      <w:pPr>
        <w:rPr>
          <w:rFonts w:ascii="Century Gothic" w:hAnsi="Century Gothic"/>
          <w:noProof/>
          <w:sz w:val="16"/>
          <w:szCs w:val="16"/>
          <w:bdr w:val="none" w:sz="0" w:space="0" w:color="auto" w:frame="1"/>
        </w:rPr>
      </w:pPr>
    </w:p>
    <w:p w14:paraId="0625AB1F" w14:textId="77777777" w:rsidR="005C1EE1" w:rsidRDefault="005C1EE1" w:rsidP="000E5AC0">
      <w:pPr>
        <w:rPr>
          <w:rFonts w:ascii="Century Gothic" w:hAnsi="Century Gothic"/>
          <w:noProof/>
          <w:sz w:val="16"/>
          <w:szCs w:val="16"/>
          <w:bdr w:val="none" w:sz="0" w:space="0" w:color="auto" w:frame="1"/>
        </w:rPr>
      </w:pPr>
    </w:p>
    <w:p w14:paraId="6E2286DF" w14:textId="77777777" w:rsidR="005C1EE1" w:rsidRDefault="005C1EE1" w:rsidP="000E5AC0">
      <w:pPr>
        <w:rPr>
          <w:rFonts w:ascii="Century Gothic" w:hAnsi="Century Gothic"/>
          <w:noProof/>
          <w:sz w:val="16"/>
          <w:szCs w:val="16"/>
          <w:bdr w:val="none" w:sz="0" w:space="0" w:color="auto" w:frame="1"/>
        </w:rPr>
      </w:pPr>
    </w:p>
    <w:p w14:paraId="3D9D0535" w14:textId="77777777" w:rsidR="005C1EE1" w:rsidRDefault="005C1EE1" w:rsidP="000E5AC0">
      <w:pPr>
        <w:rPr>
          <w:rFonts w:ascii="Century Gothic" w:hAnsi="Century Gothic"/>
          <w:noProof/>
          <w:sz w:val="16"/>
          <w:szCs w:val="16"/>
          <w:bdr w:val="none" w:sz="0" w:space="0" w:color="auto" w:frame="1"/>
        </w:rPr>
      </w:pPr>
    </w:p>
    <w:p w14:paraId="2D108D48" w14:textId="77777777" w:rsidR="005979D8" w:rsidRPr="00E94619" w:rsidRDefault="005979D8" w:rsidP="005C1EE1">
      <w:pPr>
        <w:jc w:val="center"/>
        <w:rPr>
          <w:rFonts w:ascii="Century Gothic" w:hAnsi="Century Gothic"/>
          <w:sz w:val="16"/>
          <w:szCs w:val="16"/>
        </w:rPr>
      </w:pPr>
      <w:r w:rsidRPr="00E94619">
        <w:rPr>
          <w:rFonts w:ascii="Century Gothic" w:hAnsi="Century Gothic"/>
          <w:noProof/>
          <w:sz w:val="16"/>
          <w:szCs w:val="16"/>
          <w:bdr w:val="none" w:sz="0" w:space="0" w:color="auto" w:frame="1"/>
        </w:rPr>
        <w:t>Fuente: Instituto Colombiano de Bienestar Familiar_ICBF_</w:t>
      </w:r>
      <w:r w:rsidRPr="00E94619">
        <w:rPr>
          <w:rFonts w:ascii="Century Gothic" w:hAnsi="Century Gothic"/>
          <w:sz w:val="16"/>
          <w:szCs w:val="16"/>
        </w:rPr>
        <w:t xml:space="preserve"> Observatorio de Bienestar de la Niñez_</w:t>
      </w:r>
      <w:r w:rsidRPr="00E94619">
        <w:rPr>
          <w:rFonts w:ascii="Century Gothic" w:hAnsi="Century Gothic"/>
          <w:noProof/>
          <w:sz w:val="16"/>
          <w:szCs w:val="16"/>
          <w:bdr w:val="none" w:sz="0" w:space="0" w:color="auto" w:frame="1"/>
        </w:rPr>
        <w:t xml:space="preserve"> 2019</w:t>
      </w:r>
      <w:r w:rsidRPr="00E94619">
        <w:rPr>
          <w:rFonts w:ascii="Century Gothic" w:hAnsi="Century Gothic"/>
          <w:noProof/>
          <w:sz w:val="24"/>
          <w:szCs w:val="24"/>
          <w:bdr w:val="none" w:sz="0" w:space="0" w:color="auto" w:frame="1"/>
        </w:rPr>
        <w:t>.</w:t>
      </w:r>
      <w:sdt>
        <w:sdtPr>
          <w:rPr>
            <w:rFonts w:ascii="Century Gothic" w:hAnsi="Century Gothic"/>
          </w:rPr>
          <w:tag w:val="goog_rdk_12"/>
          <w:id w:val="-1593692106"/>
          <w:showingPlcHdr/>
        </w:sdtPr>
        <w:sdtContent>
          <w:r w:rsidRPr="00E94619">
            <w:rPr>
              <w:rFonts w:ascii="Century Gothic" w:hAnsi="Century Gothic"/>
            </w:rPr>
            <w:t xml:space="preserve">     </w:t>
          </w:r>
        </w:sdtContent>
      </w:sdt>
    </w:p>
    <w:p w14:paraId="0ABA55FA" w14:textId="77777777" w:rsidR="00A51DCD" w:rsidRPr="00E94619" w:rsidRDefault="00A51DCD" w:rsidP="000E5AC0">
      <w:pPr>
        <w:spacing w:after="0" w:line="240" w:lineRule="auto"/>
        <w:rPr>
          <w:rFonts w:ascii="Century Gothic" w:hAnsi="Century Gothic"/>
          <w:color w:val="000000"/>
          <w:sz w:val="16"/>
          <w:szCs w:val="16"/>
        </w:rPr>
      </w:pPr>
    </w:p>
    <w:p w14:paraId="58F11961" w14:textId="77777777" w:rsidR="001238D7" w:rsidRDefault="0036411F" w:rsidP="000E5AC0">
      <w:pPr>
        <w:spacing w:after="0" w:line="240" w:lineRule="auto"/>
        <w:jc w:val="both"/>
        <w:rPr>
          <w:rFonts w:ascii="Century Gothic" w:hAnsi="Century Gothic"/>
          <w:b/>
        </w:rPr>
      </w:pPr>
      <w:r w:rsidRPr="00E94619">
        <w:rPr>
          <w:rFonts w:ascii="Century Gothic" w:hAnsi="Century Gothic"/>
          <w:b/>
        </w:rPr>
        <w:t>Respuesta del Estado</w:t>
      </w:r>
    </w:p>
    <w:p w14:paraId="7A530E0E" w14:textId="77777777" w:rsidR="005C1EE1" w:rsidRPr="00E94619" w:rsidRDefault="005C1EE1" w:rsidP="000E5AC0">
      <w:pPr>
        <w:spacing w:after="0" w:line="240" w:lineRule="auto"/>
        <w:jc w:val="both"/>
        <w:rPr>
          <w:rFonts w:ascii="Century Gothic" w:hAnsi="Century Gothic"/>
          <w:b/>
        </w:rPr>
      </w:pPr>
    </w:p>
    <w:tbl>
      <w:tblPr>
        <w:tblStyle w:val="afff3"/>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0"/>
      </w:tblGrid>
      <w:tr w:rsidR="001238D7" w:rsidRPr="00E94619" w14:paraId="042AFE44" w14:textId="77777777" w:rsidTr="005C1EE1">
        <w:tc>
          <w:tcPr>
            <w:tcW w:w="9210" w:type="dxa"/>
            <w:tcBorders>
              <w:top w:val="single" w:sz="4" w:space="0" w:color="CC0066"/>
              <w:left w:val="single" w:sz="4" w:space="0" w:color="CC0066"/>
              <w:bottom w:val="single" w:sz="4" w:space="0" w:color="CC0066"/>
              <w:right w:val="single" w:sz="4" w:space="0" w:color="CC0066"/>
            </w:tcBorders>
            <w:shd w:val="clear" w:color="auto" w:fill="FF99CC"/>
          </w:tcPr>
          <w:p w14:paraId="346790CE"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 xml:space="preserve">MARCO NORMATIVO </w:t>
            </w:r>
          </w:p>
        </w:tc>
      </w:tr>
      <w:tr w:rsidR="001238D7" w:rsidRPr="00E94619" w14:paraId="497F9DAE" w14:textId="77777777" w:rsidTr="005C1EE1">
        <w:tc>
          <w:tcPr>
            <w:tcW w:w="9210" w:type="dxa"/>
            <w:tcBorders>
              <w:top w:val="single" w:sz="4" w:space="0" w:color="CC0066"/>
              <w:left w:val="single" w:sz="4" w:space="0" w:color="CC0066"/>
              <w:bottom w:val="single" w:sz="4" w:space="0" w:color="CC0066"/>
              <w:right w:val="single" w:sz="4" w:space="0" w:color="CC0066"/>
            </w:tcBorders>
          </w:tcPr>
          <w:p w14:paraId="0069188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1336 de 2009: </w:t>
            </w:r>
            <w:r w:rsidRPr="00E94619">
              <w:rPr>
                <w:rFonts w:ascii="Century Gothic" w:hAnsi="Century Gothic"/>
                <w:sz w:val="16"/>
                <w:szCs w:val="16"/>
              </w:rPr>
              <w:t>por medio de la cual se adiciona y robustece la Ley 679 de 2001.</w:t>
            </w:r>
          </w:p>
          <w:p w14:paraId="5ADD96E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-Ley 1329 de 2009:</w:t>
            </w:r>
            <w:r w:rsidRPr="00E94619">
              <w:rPr>
                <w:rFonts w:ascii="Century Gothic" w:eastAsia="Arial" w:hAnsi="Century Gothic" w:cs="Arial"/>
                <w:b/>
                <w:sz w:val="16"/>
                <w:szCs w:val="16"/>
              </w:rPr>
              <w:t xml:space="preserve"> </w:t>
            </w:r>
            <w:r w:rsidRPr="00E94619">
              <w:rPr>
                <w:rFonts w:ascii="Century Gothic" w:hAnsi="Century Gothic"/>
                <w:sz w:val="16"/>
                <w:szCs w:val="16"/>
              </w:rPr>
              <w:t>se dictan otras disposiciones para contrarrestar la explotación sexual comercial de niños, niñas y adolescentes.</w:t>
            </w:r>
          </w:p>
          <w:p w14:paraId="01F302CD" w14:textId="77777777" w:rsidR="002153B4"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679 de 2001: </w:t>
            </w:r>
            <w:r w:rsidRPr="00E94619">
              <w:rPr>
                <w:rFonts w:ascii="Century Gothic" w:hAnsi="Century Gothic"/>
                <w:sz w:val="16"/>
                <w:szCs w:val="16"/>
              </w:rPr>
              <w:t>por medio de la cual se expide un estatuto para prevenir y contrarrestar la explotación, la pornografía y el turismo sexual con menores.</w:t>
            </w:r>
          </w:p>
          <w:p w14:paraId="62BF1D08" w14:textId="77777777" w:rsidR="002153B4" w:rsidRPr="00E94619" w:rsidRDefault="002153B4" w:rsidP="000E5AC0">
            <w:pPr>
              <w:spacing w:after="0" w:line="240" w:lineRule="auto"/>
              <w:jc w:val="both"/>
              <w:rPr>
                <w:rFonts w:ascii="Century Gothic" w:hAnsi="Century Gothic"/>
                <w:sz w:val="16"/>
                <w:szCs w:val="16"/>
              </w:rPr>
            </w:pPr>
            <w:r w:rsidRPr="00E94619">
              <w:rPr>
                <w:rFonts w:ascii="Century Gothic" w:hAnsi="Century Gothic"/>
                <w:sz w:val="16"/>
                <w:szCs w:val="16"/>
              </w:rPr>
              <w:t>-</w:t>
            </w:r>
            <w:r w:rsidRPr="00E94619">
              <w:rPr>
                <w:rStyle w:val="cf01"/>
                <w:rFonts w:ascii="Century Gothic" w:hAnsi="Century Gothic"/>
                <w:b/>
                <w:bCs/>
                <w:sz w:val="16"/>
                <w:szCs w:val="16"/>
              </w:rPr>
              <w:t xml:space="preserve">Línea de política pública para la prevención y erradicación de la explotación sexual comercial de niñas, niños y adolescentes 2018 </w:t>
            </w:r>
            <w:r w:rsidR="00796B87" w:rsidRPr="00E94619">
              <w:rPr>
                <w:rStyle w:val="cf01"/>
                <w:rFonts w:ascii="Century Gothic" w:hAnsi="Century Gothic"/>
                <w:b/>
                <w:bCs/>
                <w:sz w:val="16"/>
                <w:szCs w:val="16"/>
              </w:rPr>
              <w:t>–</w:t>
            </w:r>
            <w:r w:rsidRPr="00E94619">
              <w:rPr>
                <w:rStyle w:val="cf01"/>
                <w:rFonts w:ascii="Century Gothic" w:hAnsi="Century Gothic"/>
                <w:b/>
                <w:bCs/>
                <w:sz w:val="16"/>
                <w:szCs w:val="16"/>
              </w:rPr>
              <w:t xml:space="preserve"> 2028</w:t>
            </w:r>
            <w:r w:rsidR="00796B87" w:rsidRPr="00E94619">
              <w:rPr>
                <w:rStyle w:val="cf01"/>
                <w:rFonts w:ascii="Century Gothic" w:hAnsi="Century Gothic"/>
                <w:b/>
                <w:bCs/>
                <w:sz w:val="16"/>
                <w:szCs w:val="16"/>
              </w:rPr>
              <w:t xml:space="preserve"> </w:t>
            </w:r>
            <w:r w:rsidR="009C73E3" w:rsidRPr="00E94619">
              <w:rPr>
                <w:rStyle w:val="cf01"/>
                <w:rFonts w:ascii="Century Gothic" w:hAnsi="Century Gothic"/>
                <w:sz w:val="16"/>
                <w:szCs w:val="16"/>
              </w:rPr>
              <w:t xml:space="preserve">Esta Línea hace parte de la Política Nacional de Infancia y Adolescencia por lo que adopta sus principios y enfoques; con el objeto de prevenir y erradicar la explotación sexual comercial y de esta manera contribuir en la garantía del desarrollo integral de niñas, niños y adolescentes. </w:t>
            </w:r>
            <w:r w:rsidR="009C73E3" w:rsidRPr="00E94619">
              <w:rPr>
                <w:rStyle w:val="Refdenotaalpie"/>
                <w:rFonts w:ascii="Century Gothic" w:hAnsi="Century Gothic" w:cs="Segoe UI"/>
                <w:sz w:val="16"/>
                <w:szCs w:val="16"/>
              </w:rPr>
              <w:footnoteReference w:id="19"/>
            </w:r>
            <w:sdt>
              <w:sdtPr>
                <w:rPr>
                  <w:rStyle w:val="cf01"/>
                  <w:rFonts w:ascii="Century Gothic" w:hAnsi="Century Gothic"/>
                  <w:sz w:val="16"/>
                  <w:szCs w:val="16"/>
                </w:rPr>
                <w:id w:val="1065691914"/>
                <w:citation/>
              </w:sdtPr>
              <w:sdtContent>
                <w:r w:rsidR="00CD4278" w:rsidRPr="00E94619">
                  <w:rPr>
                    <w:rStyle w:val="cf01"/>
                    <w:rFonts w:ascii="Century Gothic" w:hAnsi="Century Gothic"/>
                    <w:sz w:val="16"/>
                    <w:szCs w:val="16"/>
                  </w:rPr>
                  <w:fldChar w:fldCharType="begin"/>
                </w:r>
                <w:r w:rsidR="00CD4278" w:rsidRPr="00E94619">
                  <w:rPr>
                    <w:rStyle w:val="cf01"/>
                    <w:rFonts w:ascii="Century Gothic" w:hAnsi="Century Gothic"/>
                    <w:sz w:val="16"/>
                    <w:szCs w:val="16"/>
                    <w:lang w:val="es-MX"/>
                  </w:rPr>
                  <w:instrText xml:space="preserve"> CITATION Min18 \l 2058 </w:instrText>
                </w:r>
                <w:r w:rsidR="00CD4278" w:rsidRPr="00E94619">
                  <w:rPr>
                    <w:rStyle w:val="cf01"/>
                    <w:rFonts w:ascii="Century Gothic" w:hAnsi="Century Gothic"/>
                    <w:sz w:val="16"/>
                    <w:szCs w:val="16"/>
                  </w:rPr>
                  <w:fldChar w:fldCharType="separate"/>
                </w:r>
                <w:r w:rsidR="00CD4278" w:rsidRPr="00E94619">
                  <w:rPr>
                    <w:rStyle w:val="cf01"/>
                    <w:rFonts w:ascii="Century Gothic" w:hAnsi="Century Gothic"/>
                    <w:noProof/>
                    <w:sz w:val="16"/>
                    <w:szCs w:val="16"/>
                    <w:lang w:val="es-MX"/>
                  </w:rPr>
                  <w:t xml:space="preserve"> </w:t>
                </w:r>
                <w:r w:rsidR="00CD4278" w:rsidRPr="00E94619">
                  <w:rPr>
                    <w:rFonts w:ascii="Century Gothic" w:hAnsi="Century Gothic" w:cs="Segoe UI"/>
                    <w:noProof/>
                    <w:sz w:val="16"/>
                    <w:szCs w:val="16"/>
                    <w:lang w:val="es-MX"/>
                  </w:rPr>
                  <w:t>(Ministerio de Trabajo, 2018)</w:t>
                </w:r>
                <w:r w:rsidR="00CD4278" w:rsidRPr="00E94619">
                  <w:rPr>
                    <w:rStyle w:val="cf01"/>
                    <w:rFonts w:ascii="Century Gothic" w:hAnsi="Century Gothic"/>
                    <w:sz w:val="16"/>
                    <w:szCs w:val="16"/>
                  </w:rPr>
                  <w:fldChar w:fldCharType="end"/>
                </w:r>
              </w:sdtContent>
            </w:sdt>
          </w:p>
        </w:tc>
      </w:tr>
    </w:tbl>
    <w:p w14:paraId="3FD10184" w14:textId="77777777" w:rsidR="001238D7" w:rsidRPr="00E94619" w:rsidRDefault="001238D7" w:rsidP="000E5AC0">
      <w:pPr>
        <w:spacing w:after="0" w:line="240" w:lineRule="auto"/>
        <w:jc w:val="both"/>
        <w:rPr>
          <w:rFonts w:ascii="Century Gothic" w:hAnsi="Century Gothic"/>
          <w:b/>
        </w:rPr>
      </w:pPr>
    </w:p>
    <w:p w14:paraId="5033EE9B" w14:textId="77777777" w:rsidR="001238D7" w:rsidRDefault="0036411F" w:rsidP="000E5AC0">
      <w:pPr>
        <w:spacing w:after="0" w:line="240" w:lineRule="auto"/>
        <w:jc w:val="both"/>
        <w:rPr>
          <w:rFonts w:ascii="Century Gothic" w:hAnsi="Century Gothic"/>
          <w:b/>
        </w:rPr>
      </w:pPr>
      <w:r w:rsidRPr="00E94619">
        <w:rPr>
          <w:rFonts w:ascii="Century Gothic" w:hAnsi="Century Gothic"/>
          <w:b/>
        </w:rPr>
        <w:t>Respuesta de la sociedad civil</w:t>
      </w:r>
    </w:p>
    <w:p w14:paraId="34AD6045" w14:textId="77777777" w:rsidR="005C1EE1" w:rsidRPr="00E94619" w:rsidRDefault="005C1EE1" w:rsidP="000E5AC0">
      <w:pPr>
        <w:spacing w:after="0" w:line="240" w:lineRule="auto"/>
        <w:jc w:val="both"/>
        <w:rPr>
          <w:rFonts w:ascii="Century Gothic" w:hAnsi="Century Gothic"/>
          <w:b/>
        </w:rPr>
      </w:pPr>
    </w:p>
    <w:tbl>
      <w:tblPr>
        <w:tblStyle w:val="afff4"/>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7635"/>
      </w:tblGrid>
      <w:tr w:rsidR="001238D7" w:rsidRPr="00E94619" w14:paraId="0D2D08EA" w14:textId="77777777" w:rsidTr="005C1EE1">
        <w:trPr>
          <w:trHeight w:val="1131"/>
        </w:trPr>
        <w:tc>
          <w:tcPr>
            <w:tcW w:w="1650" w:type="dxa"/>
            <w:tcBorders>
              <w:top w:val="single" w:sz="4" w:space="0" w:color="CC0066"/>
              <w:left w:val="single" w:sz="4" w:space="0" w:color="CC0066"/>
              <w:bottom w:val="single" w:sz="4" w:space="0" w:color="CC0066"/>
              <w:right w:val="single" w:sz="4" w:space="0" w:color="CC0066"/>
            </w:tcBorders>
            <w:shd w:val="clear" w:color="auto" w:fill="FF99CC"/>
          </w:tcPr>
          <w:p w14:paraId="73559F59" w14:textId="14FB79B0" w:rsidR="001238D7" w:rsidRPr="00E94619" w:rsidRDefault="00D2173C" w:rsidP="000E5AC0">
            <w:pPr>
              <w:spacing w:after="0" w:line="240" w:lineRule="auto"/>
              <w:rPr>
                <w:rFonts w:ascii="Century Gothic" w:hAnsi="Century Gothic"/>
                <w:b/>
                <w:sz w:val="16"/>
                <w:szCs w:val="16"/>
              </w:rPr>
            </w:pPr>
            <w:r>
              <w:rPr>
                <w:rFonts w:ascii="Century Gothic" w:hAnsi="Century Gothic"/>
                <w:b/>
                <w:noProof/>
                <w:szCs w:val="24"/>
                <w:lang w:val="es-ES"/>
              </w:rPr>
              <w:drawing>
                <wp:anchor distT="0" distB="0" distL="114300" distR="114300" simplePos="0" relativeHeight="251792384" behindDoc="0" locked="0" layoutInCell="1" allowOverlap="1" wp14:anchorId="5A912D31" wp14:editId="31379608">
                  <wp:simplePos x="0" y="0"/>
                  <wp:positionH relativeFrom="column">
                    <wp:posOffset>-1080135</wp:posOffset>
                  </wp:positionH>
                  <wp:positionV relativeFrom="paragraph">
                    <wp:posOffset>-7998460</wp:posOffset>
                  </wp:positionV>
                  <wp:extent cx="965835" cy="708660"/>
                  <wp:effectExtent l="0" t="0" r="0" b="0"/>
                  <wp:wrapNone/>
                  <wp:docPr id="367" name="Imagen 36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sz w:val="16"/>
                <w:szCs w:val="16"/>
              </w:rPr>
              <w:t>Organizaciones de la sociedad civil</w:t>
            </w:r>
          </w:p>
        </w:tc>
        <w:tc>
          <w:tcPr>
            <w:tcW w:w="7635" w:type="dxa"/>
            <w:tcBorders>
              <w:top w:val="single" w:sz="4" w:space="0" w:color="CC0066"/>
              <w:left w:val="single" w:sz="4" w:space="0" w:color="CC0066"/>
              <w:bottom w:val="single" w:sz="4" w:space="0" w:color="CC0066"/>
              <w:right w:val="single" w:sz="4" w:space="0" w:color="CC0066"/>
            </w:tcBorders>
          </w:tcPr>
          <w:p w14:paraId="36CF20E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-Fundación Renacer: </w:t>
            </w:r>
            <w:r w:rsidRPr="00E94619">
              <w:rPr>
                <w:rFonts w:ascii="Century Gothic" w:hAnsi="Century Gothic"/>
                <w:sz w:val="16"/>
                <w:szCs w:val="16"/>
              </w:rPr>
              <w:t xml:space="preserve">trabaja para contribuir a la erradicación de la Explotación Sexual Comercial de Niños, Niñas y Adolescentes (ESCNNA). </w:t>
            </w:r>
          </w:p>
          <w:p w14:paraId="432D21D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-Red Papaz: </w:t>
            </w:r>
            <w:r w:rsidRPr="00E94619">
              <w:rPr>
                <w:rFonts w:ascii="Century Gothic" w:hAnsi="Century Gothic"/>
                <w:sz w:val="16"/>
                <w:szCs w:val="16"/>
              </w:rPr>
              <w:t xml:space="preserve">trabaja en la prevención de la pornografía infantil y abuso sexual. </w:t>
            </w:r>
          </w:p>
          <w:p w14:paraId="3578279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-Red te protejo: </w:t>
            </w:r>
            <w:r w:rsidRPr="00E94619">
              <w:rPr>
                <w:rFonts w:ascii="Century Gothic" w:hAnsi="Century Gothic"/>
                <w:sz w:val="16"/>
                <w:szCs w:val="16"/>
              </w:rPr>
              <w:t>trabaja en la prevención de la pornografía infantil y abuso sexual.</w:t>
            </w:r>
          </w:p>
          <w:p w14:paraId="5D93E10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-Asociación Hotelera y Turística de Colombia – COTELCO: </w:t>
            </w:r>
            <w:r w:rsidRPr="00E94619">
              <w:rPr>
                <w:rFonts w:ascii="Century Gothic" w:hAnsi="Century Gothic"/>
                <w:sz w:val="16"/>
                <w:szCs w:val="16"/>
              </w:rPr>
              <w:t xml:space="preserve">asociación encargada de representar al sector hotelero y turístico que trabaja en la prevención de la ESCNNA ligada a viajes y turismo. </w:t>
            </w:r>
          </w:p>
        </w:tc>
      </w:tr>
      <w:tr w:rsidR="001238D7" w:rsidRPr="00E94619" w14:paraId="2AADAE1B" w14:textId="77777777" w:rsidTr="005C1EE1">
        <w:tc>
          <w:tcPr>
            <w:tcW w:w="1650" w:type="dxa"/>
            <w:tcBorders>
              <w:top w:val="single" w:sz="4" w:space="0" w:color="CC0066"/>
              <w:left w:val="single" w:sz="4" w:space="0" w:color="CC0066"/>
              <w:bottom w:val="single" w:sz="4" w:space="0" w:color="CC0066"/>
              <w:right w:val="single" w:sz="4" w:space="0" w:color="CC0066"/>
            </w:tcBorders>
            <w:shd w:val="clear" w:color="auto" w:fill="FF99CC"/>
          </w:tcPr>
          <w:p w14:paraId="13BBA90A" w14:textId="7289C4E4"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lastRenderedPageBreak/>
              <w:t>Cooperación Internacional</w:t>
            </w:r>
          </w:p>
        </w:tc>
        <w:tc>
          <w:tcPr>
            <w:tcW w:w="7635" w:type="dxa"/>
            <w:tcBorders>
              <w:top w:val="single" w:sz="4" w:space="0" w:color="CC0066"/>
              <w:left w:val="single" w:sz="4" w:space="0" w:color="CC0066"/>
              <w:bottom w:val="single" w:sz="4" w:space="0" w:color="CC0066"/>
              <w:right w:val="single" w:sz="4" w:space="0" w:color="CC0066"/>
            </w:tcBorders>
          </w:tcPr>
          <w:p w14:paraId="2150A8AB"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-UNICEF</w:t>
            </w:r>
            <w:r w:rsidRPr="00E94619">
              <w:rPr>
                <w:rFonts w:ascii="Century Gothic" w:eastAsia="Times" w:hAnsi="Century Gothic" w:cs="Times"/>
                <w:sz w:val="20"/>
                <w:szCs w:val="20"/>
              </w:rPr>
              <w:t xml:space="preserve"> </w:t>
            </w:r>
            <w:r w:rsidRPr="00E94619">
              <w:rPr>
                <w:rFonts w:ascii="Century Gothic" w:hAnsi="Century Gothic"/>
                <w:sz w:val="16"/>
                <w:szCs w:val="16"/>
              </w:rPr>
              <w:t>(Fondo de las Naciones Unidas para la Infancia):</w:t>
            </w:r>
            <w:r w:rsidRPr="00E94619">
              <w:rPr>
                <w:rFonts w:ascii="Century Gothic" w:hAnsi="Century Gothic"/>
                <w:b/>
                <w:sz w:val="16"/>
                <w:szCs w:val="16"/>
              </w:rPr>
              <w:t xml:space="preserve"> </w:t>
            </w:r>
            <w:r w:rsidRPr="00E94619">
              <w:rPr>
                <w:rFonts w:ascii="Century Gothic" w:hAnsi="Century Gothic"/>
                <w:sz w:val="16"/>
                <w:szCs w:val="16"/>
              </w:rPr>
              <w:t>acompaña estrategias integrales de prevención con el sector turístico para eliminar la ESCNNA asociadas a viajes y turismo.</w:t>
            </w:r>
          </w:p>
          <w:p w14:paraId="2E637F44" w14:textId="084A18D2"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UNODC </w:t>
            </w:r>
            <w:r w:rsidRPr="00E94619">
              <w:rPr>
                <w:rFonts w:ascii="Century Gothic" w:hAnsi="Century Gothic"/>
                <w:sz w:val="16"/>
                <w:szCs w:val="16"/>
              </w:rPr>
              <w:t>(Oficina de las Naciones Unidas contra la Droga y el Delito): acompaña estrategias para prevenir la ESCNNA asociadas al turismo.</w:t>
            </w:r>
          </w:p>
          <w:p w14:paraId="3A1610B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OIM </w:t>
            </w:r>
            <w:r w:rsidRPr="00E94619">
              <w:rPr>
                <w:rFonts w:ascii="Century Gothic" w:hAnsi="Century Gothic"/>
                <w:sz w:val="16"/>
                <w:szCs w:val="16"/>
              </w:rPr>
              <w:t>(Organización Internacional de Migraciones): estrategias contra la trata de personas con fines de explotación sexual.</w:t>
            </w:r>
          </w:p>
          <w:p w14:paraId="7B8B50F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ECPAT internacional: </w:t>
            </w:r>
            <w:r w:rsidRPr="00E94619">
              <w:rPr>
                <w:rFonts w:ascii="Century Gothic" w:hAnsi="Century Gothic"/>
                <w:sz w:val="16"/>
                <w:szCs w:val="16"/>
              </w:rPr>
              <w:t>red internacional contra la ESCNNA.</w:t>
            </w:r>
          </w:p>
        </w:tc>
      </w:tr>
    </w:tbl>
    <w:p w14:paraId="63FD193F" w14:textId="77777777" w:rsidR="001238D7" w:rsidRPr="00E94619" w:rsidRDefault="001238D7" w:rsidP="000E5AC0">
      <w:pPr>
        <w:spacing w:after="0" w:line="240" w:lineRule="auto"/>
        <w:jc w:val="both"/>
        <w:rPr>
          <w:rFonts w:ascii="Century Gothic" w:hAnsi="Century Gothic"/>
          <w:b/>
          <w:color w:val="000000"/>
        </w:rPr>
      </w:pPr>
    </w:p>
    <w:p w14:paraId="7FBE851D" w14:textId="77777777" w:rsidR="001238D7" w:rsidRDefault="0036411F" w:rsidP="000E5AC0">
      <w:pPr>
        <w:spacing w:after="0" w:line="240" w:lineRule="auto"/>
        <w:jc w:val="both"/>
        <w:rPr>
          <w:rFonts w:ascii="Century Gothic" w:hAnsi="Century Gothic"/>
          <w:b/>
          <w:color w:val="000000"/>
        </w:rPr>
      </w:pPr>
      <w:r w:rsidRPr="00E94619">
        <w:rPr>
          <w:rFonts w:ascii="Century Gothic" w:hAnsi="Century Gothic"/>
          <w:b/>
          <w:color w:val="000000"/>
        </w:rPr>
        <w:t>Avances y retos para erradicar la ESCNNA</w:t>
      </w:r>
    </w:p>
    <w:p w14:paraId="5F4F2ADE" w14:textId="77777777" w:rsidR="005C1EE1" w:rsidRPr="00E94619" w:rsidRDefault="005C1EE1" w:rsidP="000E5AC0">
      <w:pPr>
        <w:spacing w:after="0" w:line="240" w:lineRule="auto"/>
        <w:jc w:val="both"/>
        <w:rPr>
          <w:rFonts w:ascii="Century Gothic" w:hAnsi="Century Gothic"/>
          <w:b/>
          <w:color w:val="000000"/>
        </w:rPr>
      </w:pPr>
    </w:p>
    <w:tbl>
      <w:tblPr>
        <w:tblStyle w:val="afff5"/>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3402"/>
        <w:gridCol w:w="4260"/>
      </w:tblGrid>
      <w:tr w:rsidR="001238D7" w:rsidRPr="00E94619" w14:paraId="214E8292" w14:textId="77777777" w:rsidTr="000130CA">
        <w:tc>
          <w:tcPr>
            <w:tcW w:w="1384" w:type="dxa"/>
            <w:tcBorders>
              <w:top w:val="single" w:sz="4" w:space="0" w:color="CC0066"/>
              <w:left w:val="single" w:sz="4" w:space="0" w:color="CC0066"/>
              <w:bottom w:val="single" w:sz="4" w:space="0" w:color="CC0066"/>
              <w:right w:val="single" w:sz="4" w:space="0" w:color="CC0066"/>
            </w:tcBorders>
            <w:shd w:val="clear" w:color="auto" w:fill="FF99CC"/>
          </w:tcPr>
          <w:p w14:paraId="4B0593B5" w14:textId="77777777" w:rsidR="001238D7" w:rsidRPr="00E94619" w:rsidRDefault="00830DBC" w:rsidP="000E5AC0">
            <w:pPr>
              <w:spacing w:after="0" w:line="240" w:lineRule="auto"/>
              <w:jc w:val="both"/>
              <w:rPr>
                <w:rFonts w:ascii="Century Gothic" w:hAnsi="Century Gothic"/>
                <w:b/>
                <w:color w:val="000000"/>
                <w:sz w:val="16"/>
                <w:szCs w:val="16"/>
              </w:rPr>
            </w:pPr>
            <w:sdt>
              <w:sdtPr>
                <w:rPr>
                  <w:rFonts w:ascii="Century Gothic" w:hAnsi="Century Gothic"/>
                </w:rPr>
                <w:tag w:val="goog_rdk_14"/>
                <w:id w:val="-1042826489"/>
              </w:sdtPr>
              <w:sdtContent/>
            </w:sdt>
          </w:p>
        </w:tc>
        <w:tc>
          <w:tcPr>
            <w:tcW w:w="3402" w:type="dxa"/>
            <w:tcBorders>
              <w:top w:val="single" w:sz="4" w:space="0" w:color="CC0066"/>
              <w:left w:val="single" w:sz="4" w:space="0" w:color="CC0066"/>
              <w:bottom w:val="single" w:sz="4" w:space="0" w:color="CC0066"/>
              <w:right w:val="single" w:sz="4" w:space="0" w:color="CC0066"/>
            </w:tcBorders>
            <w:shd w:val="clear" w:color="auto" w:fill="FF99CC"/>
          </w:tcPr>
          <w:p w14:paraId="30006F6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4260" w:type="dxa"/>
            <w:tcBorders>
              <w:top w:val="single" w:sz="4" w:space="0" w:color="CC0066"/>
              <w:left w:val="single" w:sz="4" w:space="0" w:color="CC0066"/>
              <w:bottom w:val="single" w:sz="4" w:space="0" w:color="CC0066"/>
              <w:right w:val="single" w:sz="4" w:space="0" w:color="CC0066"/>
            </w:tcBorders>
            <w:shd w:val="clear" w:color="auto" w:fill="FF99CC"/>
          </w:tcPr>
          <w:p w14:paraId="1BBF9F49"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70D39808" w14:textId="77777777" w:rsidTr="000130CA">
        <w:trPr>
          <w:trHeight w:val="2145"/>
        </w:trPr>
        <w:tc>
          <w:tcPr>
            <w:tcW w:w="1384" w:type="dxa"/>
            <w:tcBorders>
              <w:top w:val="single" w:sz="4" w:space="0" w:color="CC0066"/>
              <w:left w:val="single" w:sz="4" w:space="0" w:color="CC0066"/>
              <w:bottom w:val="single" w:sz="4" w:space="0" w:color="CC0066"/>
              <w:right w:val="single" w:sz="4" w:space="0" w:color="CC0066"/>
            </w:tcBorders>
          </w:tcPr>
          <w:p w14:paraId="5BF3E6B7"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Transversales </w:t>
            </w:r>
          </w:p>
        </w:tc>
        <w:tc>
          <w:tcPr>
            <w:tcW w:w="3402" w:type="dxa"/>
            <w:tcBorders>
              <w:top w:val="single" w:sz="4" w:space="0" w:color="CC0066"/>
              <w:left w:val="single" w:sz="4" w:space="0" w:color="CC0066"/>
              <w:bottom w:val="single" w:sz="4" w:space="0" w:color="CC0066"/>
              <w:right w:val="single" w:sz="4" w:space="0" w:color="CC0066"/>
            </w:tcBorders>
          </w:tcPr>
          <w:p w14:paraId="36E6E5DB"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w:t>
            </w:r>
            <w:r w:rsidRPr="00E94619">
              <w:rPr>
                <w:rFonts w:ascii="Century Gothic" w:hAnsi="Century Gothic"/>
                <w:sz w:val="16"/>
                <w:szCs w:val="16"/>
              </w:rPr>
              <w:t xml:space="preserve">La ESCNNA </w:t>
            </w:r>
            <w:r w:rsidRPr="00E94619">
              <w:rPr>
                <w:rFonts w:ascii="Century Gothic" w:hAnsi="Century Gothic"/>
                <w:color w:val="000000"/>
                <w:sz w:val="16"/>
                <w:szCs w:val="16"/>
              </w:rPr>
              <w:t>está tipificada en una diversidad de delitos en el Código Penal.</w:t>
            </w:r>
          </w:p>
          <w:p w14:paraId="530CC13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-Se cuenta con leyes específicas para sancionar este delito.</w:t>
            </w:r>
          </w:p>
          <w:p w14:paraId="2B5C95AC" w14:textId="77777777" w:rsidR="001238D7" w:rsidRPr="00E94619" w:rsidRDefault="001238D7" w:rsidP="000E5AC0">
            <w:pPr>
              <w:spacing w:after="0" w:line="240" w:lineRule="auto"/>
              <w:jc w:val="both"/>
              <w:rPr>
                <w:rFonts w:ascii="Century Gothic" w:hAnsi="Century Gothic"/>
                <w:color w:val="000000"/>
                <w:sz w:val="16"/>
                <w:szCs w:val="16"/>
              </w:rPr>
            </w:pPr>
          </w:p>
          <w:p w14:paraId="19E6C0A7" w14:textId="77777777" w:rsidR="001238D7" w:rsidRPr="00E94619" w:rsidRDefault="001238D7" w:rsidP="000E5AC0">
            <w:pPr>
              <w:spacing w:after="0" w:line="240" w:lineRule="auto"/>
              <w:jc w:val="both"/>
              <w:rPr>
                <w:rFonts w:ascii="Century Gothic" w:hAnsi="Century Gothic"/>
                <w:color w:val="000000"/>
                <w:sz w:val="16"/>
                <w:szCs w:val="16"/>
              </w:rPr>
            </w:pPr>
          </w:p>
          <w:p w14:paraId="44797FFD" w14:textId="77777777" w:rsidR="001238D7" w:rsidRPr="00E94619" w:rsidRDefault="001238D7" w:rsidP="000E5AC0">
            <w:pPr>
              <w:spacing w:after="0" w:line="240" w:lineRule="auto"/>
              <w:jc w:val="both"/>
              <w:rPr>
                <w:rFonts w:ascii="Century Gothic" w:hAnsi="Century Gothic"/>
                <w:color w:val="000000"/>
                <w:sz w:val="16"/>
                <w:szCs w:val="16"/>
              </w:rPr>
            </w:pPr>
          </w:p>
        </w:tc>
        <w:tc>
          <w:tcPr>
            <w:tcW w:w="4260" w:type="dxa"/>
            <w:tcBorders>
              <w:top w:val="single" w:sz="4" w:space="0" w:color="CC0066"/>
              <w:left w:val="single" w:sz="4" w:space="0" w:color="CC0066"/>
              <w:bottom w:val="single" w:sz="4" w:space="0" w:color="CC0066"/>
              <w:right w:val="single" w:sz="4" w:space="0" w:color="CC0066"/>
            </w:tcBorders>
          </w:tcPr>
          <w:p w14:paraId="042FE508"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3C72086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color w:val="000000"/>
                <w:sz w:val="16"/>
                <w:szCs w:val="16"/>
              </w:rPr>
              <w:t>-Evaluar el</w:t>
            </w:r>
            <w:r w:rsidRPr="00E94619">
              <w:rPr>
                <w:rFonts w:ascii="Century Gothic" w:hAnsi="Century Gothic"/>
                <w:sz w:val="16"/>
                <w:szCs w:val="16"/>
              </w:rPr>
              <w:t xml:space="preserve"> Plan Nacional 2006-2011, divulgar sus resultados y formular, a partir de las lecciones aprendidas, un nuevo plan de acción que integre los ejes definidos en la Agenda para la Acción de Estocolmo y determine acciones específicas a nivel nacional y local.</w:t>
            </w:r>
          </w:p>
          <w:p w14:paraId="3BC788B0" w14:textId="7904A032"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-No se han tipificado nuevas conductas que pueden constituir modalidades de explotación sexual comercia</w:t>
            </w:r>
          </w:p>
        </w:tc>
      </w:tr>
      <w:tr w:rsidR="005C1EE1" w:rsidRPr="00E94619" w14:paraId="56D71ADE" w14:textId="77777777" w:rsidTr="000130CA">
        <w:trPr>
          <w:trHeight w:val="20"/>
        </w:trPr>
        <w:tc>
          <w:tcPr>
            <w:tcW w:w="1384" w:type="dxa"/>
            <w:tcBorders>
              <w:top w:val="single" w:sz="4" w:space="0" w:color="CC0066"/>
              <w:left w:val="single" w:sz="4" w:space="0" w:color="CC0066"/>
              <w:bottom w:val="single" w:sz="4" w:space="0" w:color="CC0066"/>
              <w:right w:val="single" w:sz="4" w:space="0" w:color="CC0066"/>
            </w:tcBorders>
          </w:tcPr>
          <w:p w14:paraId="4CB04B0D" w14:textId="77777777" w:rsidR="005C1EE1" w:rsidRPr="00E94619" w:rsidRDefault="005C1EE1" w:rsidP="000E5AC0">
            <w:pPr>
              <w:spacing w:after="0" w:line="240" w:lineRule="auto"/>
              <w:jc w:val="both"/>
              <w:rPr>
                <w:rFonts w:ascii="Century Gothic" w:hAnsi="Century Gothic"/>
                <w:b/>
                <w:color w:val="000000"/>
                <w:sz w:val="16"/>
                <w:szCs w:val="16"/>
              </w:rPr>
            </w:pPr>
          </w:p>
        </w:tc>
        <w:tc>
          <w:tcPr>
            <w:tcW w:w="3402" w:type="dxa"/>
            <w:tcBorders>
              <w:top w:val="single" w:sz="4" w:space="0" w:color="CC0066"/>
              <w:left w:val="single" w:sz="4" w:space="0" w:color="CC0066"/>
              <w:bottom w:val="single" w:sz="4" w:space="0" w:color="CC0066"/>
              <w:right w:val="single" w:sz="4" w:space="0" w:color="CC0066"/>
            </w:tcBorders>
          </w:tcPr>
          <w:p w14:paraId="223BFF47" w14:textId="77777777" w:rsidR="005C1EE1" w:rsidRPr="00E94619" w:rsidRDefault="005C1EE1" w:rsidP="000E5AC0">
            <w:pPr>
              <w:spacing w:after="0" w:line="240" w:lineRule="auto"/>
              <w:jc w:val="both"/>
              <w:rPr>
                <w:rFonts w:ascii="Century Gothic" w:hAnsi="Century Gothic"/>
                <w:color w:val="000000"/>
                <w:sz w:val="16"/>
                <w:szCs w:val="16"/>
              </w:rPr>
            </w:pPr>
          </w:p>
        </w:tc>
        <w:tc>
          <w:tcPr>
            <w:tcW w:w="4260" w:type="dxa"/>
            <w:tcBorders>
              <w:top w:val="single" w:sz="4" w:space="0" w:color="CC0066"/>
              <w:left w:val="single" w:sz="4" w:space="0" w:color="CC0066"/>
              <w:bottom w:val="single" w:sz="4" w:space="0" w:color="CC0066"/>
              <w:right w:val="single" w:sz="4" w:space="0" w:color="CC0066"/>
            </w:tcBorders>
          </w:tcPr>
          <w:p w14:paraId="2013F68E" w14:textId="77777777" w:rsidR="005C1EE1" w:rsidRPr="00E94619" w:rsidRDefault="005C1EE1"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 de niños, niñas y adolescentes asociadas a la utilización de las Tics o a medios de comunicación masivos.</w:t>
            </w:r>
          </w:p>
          <w:p w14:paraId="72BCFA31" w14:textId="38E6602E" w:rsidR="005C1EE1" w:rsidRPr="00E94619" w:rsidRDefault="005C1EE1" w:rsidP="000E5AC0">
            <w:pPr>
              <w:spacing w:after="0" w:line="240" w:lineRule="auto"/>
              <w:jc w:val="both"/>
              <w:rPr>
                <w:rFonts w:ascii="Century Gothic" w:hAnsi="Century Gothic"/>
                <w:b/>
                <w:color w:val="000000"/>
                <w:sz w:val="16"/>
                <w:szCs w:val="16"/>
              </w:rPr>
            </w:pPr>
            <w:r w:rsidRPr="00E94619">
              <w:rPr>
                <w:rFonts w:ascii="Century Gothic" w:hAnsi="Century Gothic"/>
                <w:color w:val="000000"/>
                <w:sz w:val="16"/>
                <w:szCs w:val="16"/>
              </w:rPr>
              <w:t>-Falta de conocimiento especializado sobre el tema por parte de los Defensores y los equipos psicosociales.</w:t>
            </w:r>
          </w:p>
        </w:tc>
      </w:tr>
      <w:tr w:rsidR="001238D7" w:rsidRPr="00E94619" w14:paraId="5A587042" w14:textId="77777777" w:rsidTr="000130CA">
        <w:tc>
          <w:tcPr>
            <w:tcW w:w="1384" w:type="dxa"/>
            <w:tcBorders>
              <w:top w:val="single" w:sz="4" w:space="0" w:color="CC0066"/>
              <w:left w:val="single" w:sz="4" w:space="0" w:color="CC0066"/>
              <w:bottom w:val="single" w:sz="4" w:space="0" w:color="CC0066"/>
              <w:right w:val="single" w:sz="4" w:space="0" w:color="CC0066"/>
            </w:tcBorders>
          </w:tcPr>
          <w:p w14:paraId="007C71C8"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Prevención</w:t>
            </w:r>
          </w:p>
        </w:tc>
        <w:tc>
          <w:tcPr>
            <w:tcW w:w="3402" w:type="dxa"/>
            <w:tcBorders>
              <w:top w:val="single" w:sz="4" w:space="0" w:color="CC0066"/>
              <w:left w:val="single" w:sz="4" w:space="0" w:color="CC0066"/>
              <w:bottom w:val="single" w:sz="4" w:space="0" w:color="CC0066"/>
              <w:right w:val="single" w:sz="4" w:space="0" w:color="CC0066"/>
            </w:tcBorders>
          </w:tcPr>
          <w:p w14:paraId="4125B755"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5EF72220"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-En algunos municipios, algunas entidades del Estado han llevado a cabo estrategias de prevención, a pesar de contar con recursos limitados.</w:t>
            </w:r>
          </w:p>
          <w:p w14:paraId="49E520A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-En Bogotá, Cartagena, Barranquilla, Medellín, Leticia, Santa Marta y Girardot, empresas privadas del sector turístico, hotelero y de viajes han realizado acciones para construir entornos protectores para la niñez frente a la ESCNNA.</w:t>
            </w:r>
          </w:p>
          <w:p w14:paraId="7622B09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-Lanzamiento del sitio web “Te Protejo” que tiene como fin recibir denuncias sobre pornografía infantil y explotación sexual.</w:t>
            </w:r>
          </w:p>
        </w:tc>
        <w:tc>
          <w:tcPr>
            <w:tcW w:w="4260" w:type="dxa"/>
            <w:tcBorders>
              <w:top w:val="single" w:sz="4" w:space="0" w:color="CC0066"/>
              <w:left w:val="single" w:sz="4" w:space="0" w:color="CC0066"/>
              <w:bottom w:val="single" w:sz="4" w:space="0" w:color="CC0066"/>
              <w:right w:val="single" w:sz="4" w:space="0" w:color="CC0066"/>
            </w:tcBorders>
          </w:tcPr>
          <w:p w14:paraId="2BDE39DF"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075EFAC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-Evaluar los impactos de las campañas de prevención de ESCNNA.</w:t>
            </w:r>
          </w:p>
          <w:p w14:paraId="61C6705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-Continuar llevando a cabo procesos para crear entornos protectores en más municipios y ciudades del país, en compañía del sector, público, privado y de la sociedad civil. </w:t>
            </w:r>
          </w:p>
          <w:p w14:paraId="14CFA1BB"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-Es necesario que el Estado invierta más recursos en la realización y difusión de investigaciones sobre el tema.</w:t>
            </w:r>
          </w:p>
          <w:p w14:paraId="7C7C2F4A" w14:textId="77777777" w:rsidR="001238D7" w:rsidRPr="00E94619" w:rsidRDefault="001238D7" w:rsidP="000E5AC0">
            <w:pPr>
              <w:spacing w:after="0" w:line="240" w:lineRule="auto"/>
              <w:jc w:val="both"/>
              <w:rPr>
                <w:rFonts w:ascii="Century Gothic" w:hAnsi="Century Gothic"/>
                <w:b/>
                <w:color w:val="000000"/>
                <w:sz w:val="16"/>
                <w:szCs w:val="16"/>
              </w:rPr>
            </w:pPr>
          </w:p>
          <w:p w14:paraId="432F181A" w14:textId="77777777" w:rsidR="001238D7" w:rsidRPr="00E94619" w:rsidRDefault="001238D7" w:rsidP="000E5AC0">
            <w:pPr>
              <w:spacing w:after="0" w:line="240" w:lineRule="auto"/>
              <w:jc w:val="both"/>
              <w:rPr>
                <w:rFonts w:ascii="Century Gothic" w:hAnsi="Century Gothic"/>
                <w:b/>
                <w:color w:val="000000"/>
                <w:sz w:val="16"/>
                <w:szCs w:val="16"/>
              </w:rPr>
            </w:pPr>
          </w:p>
          <w:p w14:paraId="00BC7EC8" w14:textId="77777777" w:rsidR="001238D7" w:rsidRPr="00E94619" w:rsidRDefault="001238D7" w:rsidP="000E5AC0">
            <w:pPr>
              <w:spacing w:after="0" w:line="240" w:lineRule="auto"/>
              <w:jc w:val="both"/>
              <w:rPr>
                <w:rFonts w:ascii="Century Gothic" w:hAnsi="Century Gothic"/>
                <w:color w:val="000000"/>
                <w:sz w:val="16"/>
                <w:szCs w:val="16"/>
              </w:rPr>
            </w:pPr>
          </w:p>
        </w:tc>
      </w:tr>
      <w:tr w:rsidR="001238D7" w:rsidRPr="00E94619" w14:paraId="3DEFA0A1" w14:textId="77777777" w:rsidTr="000130CA">
        <w:tc>
          <w:tcPr>
            <w:tcW w:w="1384" w:type="dxa"/>
            <w:tcBorders>
              <w:top w:val="single" w:sz="4" w:space="0" w:color="CC0066"/>
              <w:left w:val="single" w:sz="4" w:space="0" w:color="CC0066"/>
              <w:bottom w:val="single" w:sz="4" w:space="0" w:color="CC0066"/>
              <w:right w:val="single" w:sz="4" w:space="0" w:color="CC0066"/>
            </w:tcBorders>
          </w:tcPr>
          <w:p w14:paraId="0DD77743"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Atención y protección</w:t>
            </w:r>
          </w:p>
        </w:tc>
        <w:tc>
          <w:tcPr>
            <w:tcW w:w="3402" w:type="dxa"/>
            <w:tcBorders>
              <w:top w:val="single" w:sz="4" w:space="0" w:color="CC0066"/>
              <w:left w:val="single" w:sz="4" w:space="0" w:color="CC0066"/>
              <w:bottom w:val="single" w:sz="4" w:space="0" w:color="CC0066"/>
              <w:right w:val="single" w:sz="4" w:space="0" w:color="CC0066"/>
            </w:tcBorders>
          </w:tcPr>
          <w:p w14:paraId="1E06F7C5" w14:textId="77777777" w:rsidR="001238D7" w:rsidRPr="00E94619" w:rsidRDefault="001238D7" w:rsidP="000E5AC0">
            <w:pPr>
              <w:spacing w:after="0" w:line="240" w:lineRule="auto"/>
              <w:jc w:val="both"/>
              <w:rPr>
                <w:rFonts w:ascii="Century Gothic" w:hAnsi="Century Gothic"/>
                <w:b/>
                <w:color w:val="000000"/>
                <w:sz w:val="16"/>
                <w:szCs w:val="16"/>
              </w:rPr>
            </w:pPr>
          </w:p>
        </w:tc>
        <w:tc>
          <w:tcPr>
            <w:tcW w:w="4260" w:type="dxa"/>
            <w:tcBorders>
              <w:top w:val="single" w:sz="4" w:space="0" w:color="CC0066"/>
              <w:left w:val="single" w:sz="4" w:space="0" w:color="CC0066"/>
              <w:bottom w:val="single" w:sz="4" w:space="0" w:color="CC0066"/>
              <w:right w:val="single" w:sz="4" w:space="0" w:color="CC0066"/>
            </w:tcBorders>
          </w:tcPr>
          <w:p w14:paraId="0C5BFD69"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40156B8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-Es urgente dar una mayor cobertura de atención a NNA víctimas o en riego de ESCNNA. </w:t>
            </w:r>
          </w:p>
          <w:p w14:paraId="10C9FCD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-Mejorar la infraestructura y las capacidades del personal de los Centros Zonales del Instituto Colombiano de Bienestar Familiar (ICBF) y Centros de Atención Integral a Víctimas de Violencia Sexual (CAIVAS) en las diferentes ciudades.</w:t>
            </w:r>
          </w:p>
          <w:p w14:paraId="2FF5C12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-Generar estrategias para atender victimas de ESCNNA que pertenecen a grupos étnicos. </w:t>
            </w:r>
          </w:p>
          <w:p w14:paraId="020021C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-Mejorar las medidas de protección para los NNA víctimas. </w:t>
            </w:r>
          </w:p>
          <w:p w14:paraId="5A1DA27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sz w:val="16"/>
                <w:szCs w:val="16"/>
              </w:rPr>
              <w:t>-Crear un sistema de información unificado sobre casos de ESCNNA</w:t>
            </w:r>
          </w:p>
        </w:tc>
      </w:tr>
      <w:tr w:rsidR="001238D7" w:rsidRPr="00E94619" w14:paraId="2CD47891" w14:textId="77777777" w:rsidTr="000130CA">
        <w:tc>
          <w:tcPr>
            <w:tcW w:w="1384" w:type="dxa"/>
            <w:tcBorders>
              <w:top w:val="single" w:sz="4" w:space="0" w:color="CC0066"/>
              <w:left w:val="single" w:sz="4" w:space="0" w:color="CC0066"/>
              <w:bottom w:val="single" w:sz="4" w:space="0" w:color="CC0066"/>
              <w:right w:val="single" w:sz="4" w:space="0" w:color="CC0066"/>
            </w:tcBorders>
          </w:tcPr>
          <w:p w14:paraId="2CF21DB3" w14:textId="38B8E472" w:rsidR="001238D7" w:rsidRPr="00E94619" w:rsidRDefault="00D2173C" w:rsidP="000E5AC0">
            <w:pPr>
              <w:spacing w:after="0" w:line="240" w:lineRule="auto"/>
              <w:jc w:val="both"/>
              <w:rPr>
                <w:rFonts w:ascii="Century Gothic" w:hAnsi="Century Gothic"/>
                <w:b/>
                <w:color w:val="000000"/>
                <w:sz w:val="16"/>
                <w:szCs w:val="16"/>
              </w:rPr>
            </w:pPr>
            <w:r>
              <w:rPr>
                <w:rFonts w:ascii="Century Gothic" w:hAnsi="Century Gothic"/>
                <w:b/>
                <w:noProof/>
                <w:szCs w:val="24"/>
                <w:lang w:val="es-ES"/>
              </w:rPr>
              <w:drawing>
                <wp:anchor distT="0" distB="0" distL="114300" distR="114300" simplePos="0" relativeHeight="251794432" behindDoc="0" locked="0" layoutInCell="1" allowOverlap="1" wp14:anchorId="4271D86B" wp14:editId="2820C308">
                  <wp:simplePos x="0" y="0"/>
                  <wp:positionH relativeFrom="column">
                    <wp:posOffset>-1080135</wp:posOffset>
                  </wp:positionH>
                  <wp:positionV relativeFrom="paragraph">
                    <wp:posOffset>-8985250</wp:posOffset>
                  </wp:positionV>
                  <wp:extent cx="965835" cy="708660"/>
                  <wp:effectExtent l="0" t="0" r="0" b="0"/>
                  <wp:wrapNone/>
                  <wp:docPr id="368" name="Imagen 36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color w:val="000000"/>
                <w:sz w:val="16"/>
                <w:szCs w:val="16"/>
              </w:rPr>
              <w:t>Judicialización</w:t>
            </w:r>
          </w:p>
        </w:tc>
        <w:tc>
          <w:tcPr>
            <w:tcW w:w="3402" w:type="dxa"/>
            <w:tcBorders>
              <w:top w:val="single" w:sz="4" w:space="0" w:color="CC0066"/>
              <w:left w:val="single" w:sz="4" w:space="0" w:color="CC0066"/>
              <w:bottom w:val="single" w:sz="4" w:space="0" w:color="CC0066"/>
              <w:right w:val="single" w:sz="4" w:space="0" w:color="CC0066"/>
            </w:tcBorders>
          </w:tcPr>
          <w:p w14:paraId="5F6A345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0867D9E9" w14:textId="63B87518"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Interpol comparte con la Policía Nacional y Migración Colombia una base de datos sobre delincuentes y los </w:t>
            </w:r>
            <w:r w:rsidRPr="00E94619">
              <w:rPr>
                <w:rFonts w:ascii="Century Gothic" w:hAnsi="Century Gothic"/>
                <w:color w:val="000000"/>
                <w:sz w:val="16"/>
                <w:szCs w:val="16"/>
              </w:rPr>
              <w:lastRenderedPageBreak/>
              <w:t>delitos que cometieron, para emitir órdenes de búsqueda y captura a nivel internacional. Se cuenta con una Base de Datos Internacional sobre Explotación Sexual de Niños que permite identificar a los NNA víctimas de tráfico de personas y pornografía.</w:t>
            </w:r>
          </w:p>
          <w:p w14:paraId="131F785E" w14:textId="40DC68F7" w:rsidR="00CD4278" w:rsidRPr="00E94619" w:rsidRDefault="00D2173C" w:rsidP="000E5AC0">
            <w:pPr>
              <w:spacing w:after="0" w:line="240" w:lineRule="auto"/>
              <w:jc w:val="both"/>
              <w:rPr>
                <w:rFonts w:ascii="Century Gothic" w:hAnsi="Century Gothic"/>
                <w:color w:val="000000"/>
                <w:sz w:val="16"/>
                <w:szCs w:val="16"/>
              </w:rPr>
            </w:pPr>
            <w:r>
              <w:rPr>
                <w:rFonts w:ascii="Century Gothic" w:hAnsi="Century Gothic"/>
                <w:b/>
                <w:noProof/>
                <w:szCs w:val="24"/>
                <w:lang w:val="es-ES"/>
              </w:rPr>
              <w:drawing>
                <wp:anchor distT="0" distB="0" distL="114300" distR="114300" simplePos="0" relativeHeight="251796480" behindDoc="0" locked="0" layoutInCell="1" allowOverlap="1" wp14:anchorId="0131A922" wp14:editId="22D20D78">
                  <wp:simplePos x="0" y="0"/>
                  <wp:positionH relativeFrom="column">
                    <wp:posOffset>-1958975</wp:posOffset>
                  </wp:positionH>
                  <wp:positionV relativeFrom="paragraph">
                    <wp:posOffset>-1701165</wp:posOffset>
                  </wp:positionV>
                  <wp:extent cx="965835" cy="708660"/>
                  <wp:effectExtent l="0" t="0" r="0" b="0"/>
                  <wp:wrapNone/>
                  <wp:docPr id="369" name="Imagen 36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CD4278" w:rsidRPr="00E94619">
              <w:rPr>
                <w:rFonts w:ascii="Century Gothic" w:hAnsi="Century Gothic"/>
                <w:sz w:val="16"/>
                <w:szCs w:val="16"/>
              </w:rPr>
              <w:t>-</w:t>
            </w:r>
            <w:r w:rsidR="00CD4278" w:rsidRPr="00E94619">
              <w:rPr>
                <w:rStyle w:val="cf01"/>
                <w:rFonts w:ascii="Century Gothic" w:hAnsi="Century Gothic"/>
                <w:b/>
                <w:bCs/>
                <w:sz w:val="16"/>
                <w:szCs w:val="16"/>
              </w:rPr>
              <w:t xml:space="preserve">Línea de política pública para la prevención y erradicación de la explotación sexual comercial de niñas, niños y adolescentes 2018 – 2028 </w:t>
            </w:r>
            <w:r w:rsidR="00CD4278" w:rsidRPr="00E94619">
              <w:rPr>
                <w:rStyle w:val="cf01"/>
                <w:rFonts w:ascii="Century Gothic" w:hAnsi="Century Gothic"/>
                <w:sz w:val="16"/>
                <w:szCs w:val="16"/>
              </w:rPr>
              <w:t xml:space="preserve">Esta Línea hace parte de la Política Nacional de Infancia y Adolescencia por lo que adopta sus principios y enfoques; con el objeto de prevenir y erradicar la explotación sexual comercial y de esta manera contribuir en la garantía del desarrollo integral de niñas, niños y adolescentes. </w:t>
            </w:r>
            <w:r w:rsidR="00CD4278" w:rsidRPr="00E94619">
              <w:rPr>
                <w:rStyle w:val="Refdenotaalpie"/>
                <w:rFonts w:ascii="Century Gothic" w:hAnsi="Century Gothic" w:cs="Segoe UI"/>
                <w:sz w:val="16"/>
                <w:szCs w:val="16"/>
              </w:rPr>
              <w:footnoteReference w:id="20"/>
            </w:r>
            <w:sdt>
              <w:sdtPr>
                <w:rPr>
                  <w:rStyle w:val="cf01"/>
                  <w:rFonts w:ascii="Century Gothic" w:hAnsi="Century Gothic"/>
                  <w:sz w:val="16"/>
                  <w:szCs w:val="16"/>
                </w:rPr>
                <w:id w:val="1740522806"/>
                <w:citation/>
              </w:sdtPr>
              <w:sdtContent>
                <w:r w:rsidR="00CD4278" w:rsidRPr="00E94619">
                  <w:rPr>
                    <w:rStyle w:val="cf01"/>
                    <w:rFonts w:ascii="Century Gothic" w:hAnsi="Century Gothic"/>
                    <w:sz w:val="16"/>
                    <w:szCs w:val="16"/>
                  </w:rPr>
                  <w:fldChar w:fldCharType="begin"/>
                </w:r>
                <w:r w:rsidR="00CD4278" w:rsidRPr="00E94619">
                  <w:rPr>
                    <w:rStyle w:val="cf01"/>
                    <w:rFonts w:ascii="Century Gothic" w:hAnsi="Century Gothic"/>
                    <w:sz w:val="16"/>
                    <w:szCs w:val="16"/>
                    <w:lang w:val="es-MX"/>
                  </w:rPr>
                  <w:instrText xml:space="preserve"> CITATION Min18 \l 2058 </w:instrText>
                </w:r>
                <w:r w:rsidR="00CD4278" w:rsidRPr="00E94619">
                  <w:rPr>
                    <w:rStyle w:val="cf01"/>
                    <w:rFonts w:ascii="Century Gothic" w:hAnsi="Century Gothic"/>
                    <w:sz w:val="16"/>
                    <w:szCs w:val="16"/>
                  </w:rPr>
                  <w:fldChar w:fldCharType="separate"/>
                </w:r>
                <w:r w:rsidR="00CD4278" w:rsidRPr="00E94619">
                  <w:rPr>
                    <w:rStyle w:val="cf01"/>
                    <w:rFonts w:ascii="Century Gothic" w:hAnsi="Century Gothic"/>
                    <w:noProof/>
                    <w:sz w:val="16"/>
                    <w:szCs w:val="16"/>
                    <w:lang w:val="es-MX"/>
                  </w:rPr>
                  <w:t xml:space="preserve"> </w:t>
                </w:r>
                <w:r w:rsidR="00CD4278" w:rsidRPr="00E94619">
                  <w:rPr>
                    <w:rFonts w:ascii="Century Gothic" w:hAnsi="Century Gothic" w:cs="Segoe UI"/>
                    <w:noProof/>
                    <w:sz w:val="16"/>
                    <w:szCs w:val="16"/>
                    <w:lang w:val="es-MX"/>
                  </w:rPr>
                  <w:t>(Ministerio de Trabajo, 2018)</w:t>
                </w:r>
                <w:r w:rsidR="00CD4278" w:rsidRPr="00E94619">
                  <w:rPr>
                    <w:rStyle w:val="cf01"/>
                    <w:rFonts w:ascii="Century Gothic" w:hAnsi="Century Gothic"/>
                    <w:sz w:val="16"/>
                    <w:szCs w:val="16"/>
                  </w:rPr>
                  <w:fldChar w:fldCharType="end"/>
                </w:r>
              </w:sdtContent>
            </w:sdt>
          </w:p>
          <w:p w14:paraId="37E5C790" w14:textId="77777777" w:rsidR="001238D7" w:rsidRPr="00E94619" w:rsidRDefault="001238D7" w:rsidP="000E5AC0">
            <w:pPr>
              <w:spacing w:after="0" w:line="240" w:lineRule="auto"/>
              <w:jc w:val="both"/>
              <w:rPr>
                <w:rFonts w:ascii="Century Gothic" w:hAnsi="Century Gothic"/>
                <w:color w:val="000000"/>
                <w:sz w:val="16"/>
                <w:szCs w:val="16"/>
              </w:rPr>
            </w:pPr>
          </w:p>
        </w:tc>
        <w:tc>
          <w:tcPr>
            <w:tcW w:w="4260" w:type="dxa"/>
            <w:tcBorders>
              <w:top w:val="single" w:sz="4" w:space="0" w:color="CC0066"/>
              <w:left w:val="single" w:sz="4" w:space="0" w:color="CC0066"/>
              <w:bottom w:val="single" w:sz="4" w:space="0" w:color="CC0066"/>
              <w:right w:val="single" w:sz="4" w:space="0" w:color="CC0066"/>
            </w:tcBorders>
          </w:tcPr>
          <w:p w14:paraId="0525A167"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lastRenderedPageBreak/>
              <w:t>Informe de monitoreo de país sobre la explotación sexual comercial de niños, niñas y adolescentes (ESCNNA) 2014:</w:t>
            </w:r>
          </w:p>
          <w:p w14:paraId="0FADA7D7"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-Reducir los índices de impunidad frente a casos de ESCNNA, ya que hasta el 2013 el ICBF reportó el ingreso de 2.135 casos. La Fiscalía General de la </w:t>
            </w:r>
            <w:r w:rsidRPr="00E94619">
              <w:rPr>
                <w:rFonts w:ascii="Century Gothic" w:hAnsi="Century Gothic"/>
                <w:color w:val="000000"/>
                <w:sz w:val="16"/>
                <w:szCs w:val="16"/>
              </w:rPr>
              <w:lastRenderedPageBreak/>
              <w:t>Nación (Anuario Estadístico año 2014) informó la entrada de 551 casos de ESCNNA para el 2014 y sólo 25 fueron cancelados en el mismo año. Llama la atención que no aparecen casos por matrimonio servil, si bien se sabe que esta práctica sigue siendo común en el país.</w:t>
            </w:r>
          </w:p>
          <w:p w14:paraId="140C982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-En muchos municipios y Departamentos las víctimas carecen de representante judicial y son limitados los recursos humanos y técnicos estatales para la investigación de los procesos.</w:t>
            </w:r>
          </w:p>
          <w:p w14:paraId="42360116"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-Alguno funcionarios no diferencian entre los tipos de delito abuso sexual y ESCNNA.</w:t>
            </w:r>
          </w:p>
        </w:tc>
      </w:tr>
    </w:tbl>
    <w:p w14:paraId="6E2228C4" w14:textId="77777777" w:rsidR="001238D7" w:rsidRPr="00E94619" w:rsidRDefault="001238D7" w:rsidP="000E5AC0">
      <w:pPr>
        <w:spacing w:after="0" w:line="240" w:lineRule="auto"/>
        <w:jc w:val="both"/>
        <w:rPr>
          <w:rFonts w:ascii="Century Gothic" w:hAnsi="Century Gothic"/>
        </w:rPr>
      </w:pPr>
    </w:p>
    <w:p w14:paraId="2F82DC18" w14:textId="77777777" w:rsidR="001238D7" w:rsidRPr="005C1EE1" w:rsidRDefault="0036411F" w:rsidP="000E5AC0">
      <w:pPr>
        <w:pStyle w:val="Ttulo2"/>
        <w:rPr>
          <w:rFonts w:ascii="Century Gothic" w:hAnsi="Century Gothic"/>
          <w:b w:val="0"/>
          <w:color w:val="CC3366"/>
        </w:rPr>
      </w:pPr>
      <w:bookmarkStart w:id="35" w:name="_Toc488624252"/>
      <w:r w:rsidRPr="005C1EE1">
        <w:rPr>
          <w:rFonts w:ascii="Century Gothic" w:hAnsi="Century Gothic"/>
          <w:b w:val="0"/>
          <w:color w:val="CC3366"/>
        </w:rPr>
        <w:t>1.3 Trata de personas</w:t>
      </w:r>
      <w:bookmarkEnd w:id="35"/>
    </w:p>
    <w:p w14:paraId="4A4245FB" w14:textId="77777777" w:rsidR="001238D7" w:rsidRPr="00E94619" w:rsidRDefault="001238D7" w:rsidP="000E5AC0">
      <w:pPr>
        <w:spacing w:after="0" w:line="240" w:lineRule="auto"/>
        <w:rPr>
          <w:rFonts w:ascii="Century Gothic" w:hAnsi="Century Gothic"/>
          <w:b/>
          <w:u w:val="single"/>
        </w:rPr>
      </w:pPr>
    </w:p>
    <w:p w14:paraId="6B83900A" w14:textId="77777777" w:rsidR="001238D7" w:rsidRPr="00E94619" w:rsidRDefault="0036411F" w:rsidP="000E5AC0">
      <w:pPr>
        <w:spacing w:after="0" w:line="240" w:lineRule="auto"/>
        <w:jc w:val="both"/>
        <w:rPr>
          <w:rFonts w:ascii="Century Gothic" w:hAnsi="Century Gothic"/>
          <w:i/>
        </w:rPr>
      </w:pPr>
      <w:r w:rsidRPr="00E94619">
        <w:rPr>
          <w:rFonts w:ascii="Century Gothic" w:hAnsi="Century Gothic"/>
        </w:rPr>
        <w:t>La normatividad colombiana define como trata de personas la captación, traslado, acogida o recibida de una persona, dentro del territorio nacional o hacia el exterior, con fines de explotación. En esta ley se entiende por explotación el</w:t>
      </w:r>
      <w:r w:rsidRPr="00E94619">
        <w:rPr>
          <w:rFonts w:ascii="Century Gothic" w:hAnsi="Century Gothic"/>
          <w:i/>
        </w:rPr>
        <w:t xml:space="preserve"> obtener provecho económico o cualquier otro beneficio para sí o para otra persona, mediante la explotación de la prostitución ajena u otras formas de explotación sexual, los trabajos o servicios forzados, la esclavitud o las prácticas análogas a la esclavitud, la servidumbre, la explotación de la mendicidad ajena, el matrimonio servil, la extracción de órganos, el turismo sexual u otras formas de explotación. El consentimiento dado por la víctima a cualquier forma de explotación definida en este artículo no constituye causal de exoneración de la responsabilidad penal.</w:t>
      </w:r>
    </w:p>
    <w:p w14:paraId="3139B204" w14:textId="77777777" w:rsidR="001238D7" w:rsidRPr="00E94619" w:rsidRDefault="001238D7" w:rsidP="000E5AC0">
      <w:pPr>
        <w:spacing w:after="0" w:line="240" w:lineRule="auto"/>
        <w:jc w:val="both"/>
        <w:rPr>
          <w:rFonts w:ascii="Century Gothic" w:hAnsi="Century Gothic"/>
          <w:i/>
        </w:rPr>
      </w:pPr>
    </w:p>
    <w:p w14:paraId="0D6F09F7" w14:textId="77777777" w:rsidR="001238D7" w:rsidRPr="00E94619" w:rsidRDefault="00830DBC" w:rsidP="000E5AC0">
      <w:pPr>
        <w:spacing w:after="0" w:line="240" w:lineRule="auto"/>
        <w:jc w:val="both"/>
        <w:rPr>
          <w:rFonts w:ascii="Century Gothic" w:hAnsi="Century Gothic"/>
          <w:color w:val="000000"/>
        </w:rPr>
      </w:pPr>
      <w:sdt>
        <w:sdtPr>
          <w:rPr>
            <w:rFonts w:ascii="Century Gothic" w:hAnsi="Century Gothic"/>
          </w:rPr>
          <w:tag w:val="goog_rdk_15"/>
          <w:id w:val="1405035693"/>
        </w:sdtPr>
        <w:sdtContent/>
      </w:sdt>
      <w:r w:rsidR="0036411F" w:rsidRPr="00E94619">
        <w:rPr>
          <w:rFonts w:ascii="Century Gothic" w:hAnsi="Century Gothic"/>
          <w:color w:val="000000"/>
        </w:rPr>
        <w:t xml:space="preserve">Según el Informe sobre la </w:t>
      </w:r>
      <w:r w:rsidR="00722A2A" w:rsidRPr="00E94619">
        <w:rPr>
          <w:rFonts w:ascii="Century Gothic" w:hAnsi="Century Gothic"/>
          <w:color w:val="000000"/>
        </w:rPr>
        <w:t>T</w:t>
      </w:r>
      <w:r w:rsidR="0036411F" w:rsidRPr="00E94619">
        <w:rPr>
          <w:rFonts w:ascii="Century Gothic" w:hAnsi="Century Gothic"/>
          <w:color w:val="000000"/>
        </w:rPr>
        <w:t xml:space="preserve">rata de </w:t>
      </w:r>
      <w:r w:rsidR="00722A2A" w:rsidRPr="00E94619">
        <w:rPr>
          <w:rFonts w:ascii="Century Gothic" w:hAnsi="Century Gothic"/>
          <w:color w:val="000000"/>
        </w:rPr>
        <w:t>P</w:t>
      </w:r>
      <w:r w:rsidR="0036411F" w:rsidRPr="00E94619">
        <w:rPr>
          <w:rFonts w:ascii="Century Gothic" w:hAnsi="Century Gothic"/>
          <w:color w:val="000000"/>
        </w:rPr>
        <w:t>ersonas en Colombia realizado por la Embajada de Estados Unidos (</w:t>
      </w:r>
      <w:r w:rsidR="0075730D" w:rsidRPr="00E94619">
        <w:rPr>
          <w:rFonts w:ascii="Century Gothic" w:hAnsi="Century Gothic"/>
          <w:color w:val="000000"/>
        </w:rPr>
        <w:t>2020</w:t>
      </w:r>
      <w:r w:rsidR="0036411F" w:rsidRPr="00E94619">
        <w:rPr>
          <w:rFonts w:ascii="Century Gothic" w:hAnsi="Century Gothic"/>
          <w:color w:val="000000"/>
        </w:rPr>
        <w:t>)</w:t>
      </w:r>
      <w:r w:rsidR="00065CB3" w:rsidRPr="00E94619">
        <w:rPr>
          <w:rStyle w:val="Refdenotaalpie"/>
          <w:rFonts w:ascii="Century Gothic" w:hAnsi="Century Gothic"/>
          <w:color w:val="000000"/>
        </w:rPr>
        <w:footnoteReference w:id="21"/>
      </w:r>
      <w:r w:rsidR="0036411F" w:rsidRPr="00E94619">
        <w:rPr>
          <w:rFonts w:ascii="Century Gothic" w:hAnsi="Century Gothic"/>
          <w:color w:val="000000"/>
        </w:rPr>
        <w:t>, ésta se da en contextos de trabajo forzado en la minería, agricultura, servidumbre doméstica y explotación sexual, esta última afectando principalmente a mujeres y niñas. Las poblaciones más afectadas por la trata al interior del país son aquellas que presentan mayor vulnerabilidad por razones como el desplazamiento forzado, étnicas (afrocolombianos, indígenas), y familiares de miembro de organizaciones criminales. Redes de organizaciones criminales aprovechan la situación de vulnerabilidad de estas poblaciones para explotarlas sexualmente, laboralmente y utilizarlas en el comercio de narcóticos ilegales.</w:t>
      </w:r>
    </w:p>
    <w:p w14:paraId="19B133F9" w14:textId="77777777" w:rsidR="001238D7" w:rsidRPr="00E94619" w:rsidRDefault="001238D7" w:rsidP="000E5AC0">
      <w:pPr>
        <w:spacing w:after="0" w:line="240" w:lineRule="auto"/>
        <w:jc w:val="both"/>
        <w:rPr>
          <w:rFonts w:ascii="Century Gothic" w:hAnsi="Century Gothic"/>
          <w:color w:val="000000"/>
        </w:rPr>
      </w:pPr>
    </w:p>
    <w:p w14:paraId="694BC58D" w14:textId="08605AFF" w:rsidR="005E0D95" w:rsidRPr="00E94619" w:rsidRDefault="0036411F" w:rsidP="000E5AC0">
      <w:pPr>
        <w:spacing w:after="0" w:line="240" w:lineRule="auto"/>
        <w:jc w:val="both"/>
        <w:rPr>
          <w:rFonts w:ascii="Century Gothic" w:hAnsi="Century Gothic"/>
          <w:color w:val="000000"/>
        </w:rPr>
      </w:pPr>
      <w:r w:rsidRPr="00E94619">
        <w:rPr>
          <w:rFonts w:ascii="Century Gothic" w:hAnsi="Century Gothic"/>
          <w:color w:val="000000"/>
        </w:rPr>
        <w:t>La trata de personas también es un delito del que no se tienen cifras unificadas que permitan tener información precisa de la magnitud de la problemática y de sus diferentes modalidades</w:t>
      </w:r>
      <w:sdt>
        <w:sdtPr>
          <w:rPr>
            <w:rFonts w:ascii="Century Gothic" w:hAnsi="Century Gothic"/>
          </w:rPr>
          <w:tag w:val="goog_rdk_16"/>
          <w:id w:val="-877773450"/>
        </w:sdtPr>
        <w:sdtContent/>
      </w:sdt>
      <w:r w:rsidRPr="00E94619">
        <w:rPr>
          <w:rFonts w:ascii="Century Gothic" w:hAnsi="Century Gothic"/>
          <w:color w:val="000000"/>
        </w:rPr>
        <w:t xml:space="preserve">. </w:t>
      </w:r>
      <w:r w:rsidR="005E0D95" w:rsidRPr="00E94619">
        <w:rPr>
          <w:rFonts w:ascii="Century Gothic" w:hAnsi="Century Gothic"/>
          <w:color w:val="000000"/>
        </w:rPr>
        <w:t xml:space="preserve">El Ministerio del Interior mediante el Observatorio del Delito Trata de Personas durante el 2020 reportó 124 casos de trata de personas y en el 2020 reportó 96 casos, lo que muestra un descenso de casos. Las principales víctimas fueron mujeres, en el 2019 de los 124 casos </w:t>
      </w:r>
      <w:r w:rsidR="005E0D95" w:rsidRPr="00E94619">
        <w:rPr>
          <w:rFonts w:ascii="Century Gothic" w:hAnsi="Century Gothic"/>
          <w:color w:val="000000"/>
        </w:rPr>
        <w:lastRenderedPageBreak/>
        <w:t>reportados 109 fueron de mujeres y 15 hombres y en el 2020, 80 casos fueron de mujeres y 16 hombres.</w:t>
      </w:r>
      <w:r w:rsidR="005E0D95" w:rsidRPr="00E94619">
        <w:rPr>
          <w:rStyle w:val="Refdenotaalpie"/>
          <w:rFonts w:ascii="Century Gothic" w:hAnsi="Century Gothic"/>
          <w:color w:val="000000"/>
        </w:rPr>
        <w:footnoteReference w:id="22"/>
      </w:r>
    </w:p>
    <w:p w14:paraId="51EE2377" w14:textId="0B98E2F2" w:rsidR="007C595E" w:rsidRPr="00E94619" w:rsidRDefault="007C595E" w:rsidP="000E5AC0">
      <w:pPr>
        <w:spacing w:after="0" w:line="240" w:lineRule="auto"/>
        <w:jc w:val="both"/>
        <w:rPr>
          <w:rFonts w:ascii="Century Gothic" w:hAnsi="Century Gothic"/>
          <w:color w:val="000000"/>
        </w:rPr>
      </w:pPr>
    </w:p>
    <w:p w14:paraId="37D37D00" w14:textId="39BA32A7" w:rsidR="007C595E" w:rsidRPr="005C1EE1" w:rsidRDefault="007C595E" w:rsidP="005C1EE1">
      <w:pPr>
        <w:spacing w:after="0" w:line="240" w:lineRule="auto"/>
        <w:jc w:val="center"/>
        <w:rPr>
          <w:rFonts w:ascii="Century Gothic" w:hAnsi="Century Gothic"/>
          <w:b/>
          <w:color w:val="000000"/>
          <w:sz w:val="16"/>
          <w:szCs w:val="16"/>
        </w:rPr>
      </w:pPr>
      <w:r w:rsidRPr="005C1EE1">
        <w:rPr>
          <w:rFonts w:ascii="Century Gothic" w:hAnsi="Century Gothic"/>
          <w:b/>
          <w:color w:val="000000"/>
          <w:sz w:val="16"/>
          <w:szCs w:val="16"/>
        </w:rPr>
        <w:t>Gráfica 11</w:t>
      </w:r>
      <w:r w:rsidR="005C1EE1" w:rsidRPr="005C1EE1">
        <w:rPr>
          <w:rFonts w:ascii="Century Gothic" w:hAnsi="Century Gothic"/>
          <w:b/>
          <w:color w:val="000000"/>
          <w:sz w:val="16"/>
          <w:szCs w:val="16"/>
        </w:rPr>
        <w:t>. Trata de personas 2019 - 2020</w:t>
      </w:r>
    </w:p>
    <w:p w14:paraId="476F2AA3" w14:textId="77777777" w:rsidR="007C595E" w:rsidRPr="00E94619" w:rsidRDefault="00DC285C" w:rsidP="000E5AC0">
      <w:pPr>
        <w:spacing w:after="0" w:line="240" w:lineRule="auto"/>
        <w:jc w:val="both"/>
        <w:rPr>
          <w:rFonts w:ascii="Century Gothic" w:hAnsi="Century Gothic"/>
          <w:color w:val="000000"/>
        </w:rPr>
      </w:pPr>
      <w:r w:rsidRPr="00E94619">
        <w:rPr>
          <w:rFonts w:ascii="Century Gothic" w:hAnsi="Century Gothic"/>
          <w:noProof/>
          <w:lang w:val="es-ES" w:eastAsia="es-ES"/>
        </w:rPr>
        <w:drawing>
          <wp:anchor distT="0" distB="0" distL="114300" distR="114300" simplePos="0" relativeHeight="251674624" behindDoc="0" locked="0" layoutInCell="1" allowOverlap="1" wp14:anchorId="373609FC" wp14:editId="50F44995">
            <wp:simplePos x="0" y="0"/>
            <wp:positionH relativeFrom="column">
              <wp:posOffset>1371600</wp:posOffset>
            </wp:positionH>
            <wp:positionV relativeFrom="paragraph">
              <wp:posOffset>109855</wp:posOffset>
            </wp:positionV>
            <wp:extent cx="2497455" cy="145669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7455" cy="1456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38D8E" w14:textId="77777777" w:rsidR="001238D7" w:rsidRPr="00E94619" w:rsidRDefault="00830DBC" w:rsidP="000E5AC0">
      <w:pPr>
        <w:spacing w:after="0" w:line="240" w:lineRule="auto"/>
        <w:rPr>
          <w:rFonts w:ascii="Century Gothic" w:hAnsi="Century Gothic"/>
          <w:sz w:val="16"/>
          <w:szCs w:val="16"/>
        </w:rPr>
      </w:pPr>
      <w:sdt>
        <w:sdtPr>
          <w:rPr>
            <w:rFonts w:ascii="Century Gothic" w:hAnsi="Century Gothic"/>
          </w:rPr>
          <w:tag w:val="goog_rdk_17"/>
          <w:id w:val="742835590"/>
          <w:showingPlcHdr/>
        </w:sdtPr>
        <w:sdtContent>
          <w:r w:rsidR="00722A2A" w:rsidRPr="00E94619">
            <w:rPr>
              <w:rFonts w:ascii="Century Gothic" w:hAnsi="Century Gothic"/>
            </w:rPr>
            <w:t xml:space="preserve">     </w:t>
          </w:r>
        </w:sdtContent>
      </w:sdt>
    </w:p>
    <w:p w14:paraId="46B7C806" w14:textId="77777777" w:rsidR="005C1EE1" w:rsidRDefault="005C1EE1" w:rsidP="000E5AC0">
      <w:pPr>
        <w:spacing w:after="0" w:line="240" w:lineRule="auto"/>
        <w:rPr>
          <w:rFonts w:ascii="Century Gothic" w:hAnsi="Century Gothic"/>
          <w:noProof/>
          <w:sz w:val="16"/>
          <w:szCs w:val="16"/>
          <w:bdr w:val="none" w:sz="0" w:space="0" w:color="auto" w:frame="1"/>
        </w:rPr>
      </w:pPr>
    </w:p>
    <w:p w14:paraId="1381616E" w14:textId="77777777" w:rsidR="005C1EE1" w:rsidRDefault="005C1EE1" w:rsidP="000E5AC0">
      <w:pPr>
        <w:spacing w:after="0" w:line="240" w:lineRule="auto"/>
        <w:rPr>
          <w:rFonts w:ascii="Century Gothic" w:hAnsi="Century Gothic"/>
          <w:noProof/>
          <w:sz w:val="16"/>
          <w:szCs w:val="16"/>
          <w:bdr w:val="none" w:sz="0" w:space="0" w:color="auto" w:frame="1"/>
        </w:rPr>
      </w:pPr>
    </w:p>
    <w:p w14:paraId="658364DE" w14:textId="77777777" w:rsidR="005C1EE1" w:rsidRDefault="005C1EE1" w:rsidP="000E5AC0">
      <w:pPr>
        <w:spacing w:after="0" w:line="240" w:lineRule="auto"/>
        <w:rPr>
          <w:rFonts w:ascii="Century Gothic" w:hAnsi="Century Gothic"/>
          <w:noProof/>
          <w:sz w:val="16"/>
          <w:szCs w:val="16"/>
          <w:bdr w:val="none" w:sz="0" w:space="0" w:color="auto" w:frame="1"/>
        </w:rPr>
      </w:pPr>
    </w:p>
    <w:p w14:paraId="7CC1836B" w14:textId="77777777" w:rsidR="005C1EE1" w:rsidRDefault="005C1EE1" w:rsidP="000E5AC0">
      <w:pPr>
        <w:spacing w:after="0" w:line="240" w:lineRule="auto"/>
        <w:rPr>
          <w:rFonts w:ascii="Century Gothic" w:hAnsi="Century Gothic"/>
          <w:noProof/>
          <w:sz w:val="16"/>
          <w:szCs w:val="16"/>
          <w:bdr w:val="none" w:sz="0" w:space="0" w:color="auto" w:frame="1"/>
        </w:rPr>
      </w:pPr>
    </w:p>
    <w:p w14:paraId="26DB99DB" w14:textId="77777777" w:rsidR="005C1EE1" w:rsidRDefault="005C1EE1" w:rsidP="000E5AC0">
      <w:pPr>
        <w:spacing w:after="0" w:line="240" w:lineRule="auto"/>
        <w:rPr>
          <w:rFonts w:ascii="Century Gothic" w:hAnsi="Century Gothic"/>
          <w:noProof/>
          <w:sz w:val="16"/>
          <w:szCs w:val="16"/>
          <w:bdr w:val="none" w:sz="0" w:space="0" w:color="auto" w:frame="1"/>
        </w:rPr>
      </w:pPr>
    </w:p>
    <w:p w14:paraId="51AA354F" w14:textId="77777777" w:rsidR="005C1EE1" w:rsidRDefault="005C1EE1" w:rsidP="000E5AC0">
      <w:pPr>
        <w:spacing w:after="0" w:line="240" w:lineRule="auto"/>
        <w:rPr>
          <w:rFonts w:ascii="Century Gothic" w:hAnsi="Century Gothic"/>
          <w:noProof/>
          <w:sz w:val="16"/>
          <w:szCs w:val="16"/>
          <w:bdr w:val="none" w:sz="0" w:space="0" w:color="auto" w:frame="1"/>
        </w:rPr>
      </w:pPr>
    </w:p>
    <w:p w14:paraId="09CBEDDF" w14:textId="77777777" w:rsidR="005C1EE1" w:rsidRDefault="005C1EE1" w:rsidP="000E5AC0">
      <w:pPr>
        <w:spacing w:after="0" w:line="240" w:lineRule="auto"/>
        <w:rPr>
          <w:rFonts w:ascii="Century Gothic" w:hAnsi="Century Gothic"/>
          <w:noProof/>
          <w:sz w:val="16"/>
          <w:szCs w:val="16"/>
          <w:bdr w:val="none" w:sz="0" w:space="0" w:color="auto" w:frame="1"/>
        </w:rPr>
      </w:pPr>
    </w:p>
    <w:p w14:paraId="6F713324" w14:textId="77777777" w:rsidR="005C1EE1" w:rsidRDefault="005C1EE1" w:rsidP="000E5AC0">
      <w:pPr>
        <w:spacing w:after="0" w:line="240" w:lineRule="auto"/>
        <w:rPr>
          <w:rFonts w:ascii="Century Gothic" w:hAnsi="Century Gothic"/>
          <w:noProof/>
          <w:sz w:val="16"/>
          <w:szCs w:val="16"/>
          <w:bdr w:val="none" w:sz="0" w:space="0" w:color="auto" w:frame="1"/>
        </w:rPr>
      </w:pPr>
    </w:p>
    <w:p w14:paraId="64C3CF95" w14:textId="77777777" w:rsidR="005C1EE1" w:rsidRDefault="005C1EE1" w:rsidP="000E5AC0">
      <w:pPr>
        <w:spacing w:after="0" w:line="240" w:lineRule="auto"/>
        <w:rPr>
          <w:rFonts w:ascii="Century Gothic" w:hAnsi="Century Gothic"/>
          <w:noProof/>
          <w:sz w:val="16"/>
          <w:szCs w:val="16"/>
          <w:bdr w:val="none" w:sz="0" w:space="0" w:color="auto" w:frame="1"/>
        </w:rPr>
      </w:pPr>
    </w:p>
    <w:p w14:paraId="46FF695C" w14:textId="77777777" w:rsidR="005C1EE1" w:rsidRDefault="005C1EE1" w:rsidP="000E5AC0">
      <w:pPr>
        <w:spacing w:after="0" w:line="240" w:lineRule="auto"/>
        <w:rPr>
          <w:rFonts w:ascii="Century Gothic" w:hAnsi="Century Gothic"/>
          <w:noProof/>
          <w:sz w:val="16"/>
          <w:szCs w:val="16"/>
          <w:bdr w:val="none" w:sz="0" w:space="0" w:color="auto" w:frame="1"/>
        </w:rPr>
      </w:pPr>
    </w:p>
    <w:p w14:paraId="4F79CD48" w14:textId="77777777" w:rsidR="005C1EE1" w:rsidRDefault="005C1EE1" w:rsidP="000E5AC0">
      <w:pPr>
        <w:spacing w:after="0" w:line="240" w:lineRule="auto"/>
        <w:rPr>
          <w:rFonts w:ascii="Century Gothic" w:hAnsi="Century Gothic"/>
          <w:noProof/>
          <w:sz w:val="16"/>
          <w:szCs w:val="16"/>
          <w:bdr w:val="none" w:sz="0" w:space="0" w:color="auto" w:frame="1"/>
        </w:rPr>
      </w:pPr>
    </w:p>
    <w:p w14:paraId="0EC51B5A" w14:textId="18347A7F" w:rsidR="005C1EE1" w:rsidRDefault="00722A2A" w:rsidP="005C1EE1">
      <w:pPr>
        <w:spacing w:after="0" w:line="240" w:lineRule="auto"/>
        <w:jc w:val="center"/>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 xml:space="preserve">Fuente: </w:t>
      </w:r>
      <w:r w:rsidR="000B718B" w:rsidRPr="00E94619">
        <w:rPr>
          <w:rFonts w:ascii="Century Gothic" w:hAnsi="Century Gothic"/>
          <w:noProof/>
          <w:sz w:val="16"/>
          <w:szCs w:val="16"/>
          <w:bdr w:val="none" w:sz="0" w:space="0" w:color="auto" w:frame="1"/>
        </w:rPr>
        <w:t>Comité Interinstucional para la lucha contra la trata de personas. 2019-2020</w:t>
      </w:r>
    </w:p>
    <w:p w14:paraId="3AB6F728" w14:textId="77777777" w:rsidR="005C1EE1" w:rsidRPr="00E94619" w:rsidRDefault="005C1EE1" w:rsidP="005C1EE1">
      <w:pPr>
        <w:spacing w:after="0" w:line="240" w:lineRule="auto"/>
        <w:jc w:val="center"/>
        <w:rPr>
          <w:rFonts w:ascii="Century Gothic" w:hAnsi="Century Gothic"/>
          <w:noProof/>
          <w:sz w:val="16"/>
          <w:szCs w:val="16"/>
          <w:bdr w:val="none" w:sz="0" w:space="0" w:color="auto" w:frame="1"/>
        </w:rPr>
      </w:pPr>
    </w:p>
    <w:p w14:paraId="297D504F" w14:textId="048D6A14" w:rsidR="001238D7" w:rsidRPr="00E94619" w:rsidRDefault="00830DBC" w:rsidP="005C1EE1">
      <w:pPr>
        <w:spacing w:after="0" w:line="240" w:lineRule="auto"/>
        <w:jc w:val="center"/>
        <w:rPr>
          <w:rFonts w:ascii="Century Gothic" w:hAnsi="Century Gothic"/>
          <w:sz w:val="16"/>
          <w:szCs w:val="16"/>
        </w:rPr>
      </w:pPr>
      <w:hyperlink r:id="rId30">
        <w:r w:rsidR="0036411F" w:rsidRPr="00E94619">
          <w:rPr>
            <w:rFonts w:ascii="Century Gothic" w:hAnsi="Century Gothic"/>
            <w:color w:val="0000FF"/>
            <w:sz w:val="16"/>
            <w:szCs w:val="16"/>
            <w:u w:val="single"/>
          </w:rPr>
          <w:t>http://tratadepersonas.mininterior.gov.co/trata-de-personas/estadisticas</w:t>
        </w:r>
      </w:hyperlink>
    </w:p>
    <w:p w14:paraId="477EA51D" w14:textId="77777777" w:rsidR="001238D7" w:rsidRPr="00E94619" w:rsidRDefault="001238D7" w:rsidP="000E5AC0">
      <w:pPr>
        <w:spacing w:after="0" w:line="240" w:lineRule="auto"/>
        <w:rPr>
          <w:rFonts w:ascii="Century Gothic" w:hAnsi="Century Gothic"/>
          <w:sz w:val="16"/>
          <w:szCs w:val="16"/>
        </w:rPr>
      </w:pPr>
    </w:p>
    <w:p w14:paraId="60912F23"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Para el 20</w:t>
      </w:r>
      <w:r w:rsidR="00730A1D" w:rsidRPr="00E94619">
        <w:rPr>
          <w:rFonts w:ascii="Century Gothic" w:hAnsi="Century Gothic"/>
        </w:rPr>
        <w:t>20</w:t>
      </w:r>
      <w:r w:rsidRPr="00E94619">
        <w:rPr>
          <w:rFonts w:ascii="Century Gothic" w:hAnsi="Century Gothic"/>
        </w:rPr>
        <w:t xml:space="preserve">, Según el Ministerio del Interior, </w:t>
      </w:r>
      <w:r w:rsidR="00722A2A" w:rsidRPr="00E94619">
        <w:rPr>
          <w:rFonts w:ascii="Century Gothic" w:hAnsi="Century Gothic"/>
        </w:rPr>
        <w:t xml:space="preserve">las ciudades principales de </w:t>
      </w:r>
      <w:r w:rsidRPr="00E94619">
        <w:rPr>
          <w:rFonts w:ascii="Century Gothic" w:hAnsi="Century Gothic"/>
        </w:rPr>
        <w:t xml:space="preserve">origen de las víctimas </w:t>
      </w:r>
      <w:r w:rsidR="00722A2A" w:rsidRPr="00E94619">
        <w:rPr>
          <w:rFonts w:ascii="Century Gothic" w:hAnsi="Century Gothic"/>
        </w:rPr>
        <w:t xml:space="preserve">fueron </w:t>
      </w:r>
      <w:r w:rsidR="00730A1D" w:rsidRPr="00E94619">
        <w:rPr>
          <w:rFonts w:ascii="Century Gothic" w:hAnsi="Century Gothic"/>
        </w:rPr>
        <w:t>Bogotá</w:t>
      </w:r>
      <w:r w:rsidRPr="00E94619">
        <w:rPr>
          <w:rFonts w:ascii="Century Gothic" w:hAnsi="Century Gothic"/>
        </w:rPr>
        <w:t>, Valle del Cauca, Caldas</w:t>
      </w:r>
      <w:r w:rsidR="00964727" w:rsidRPr="00E94619">
        <w:rPr>
          <w:rFonts w:ascii="Century Gothic" w:hAnsi="Century Gothic"/>
        </w:rPr>
        <w:t>, Antioquia y Risaralda</w:t>
      </w:r>
      <w:r w:rsidRPr="00E94619">
        <w:rPr>
          <w:rFonts w:ascii="Century Gothic" w:hAnsi="Century Gothic"/>
        </w:rPr>
        <w:t>.</w:t>
      </w:r>
      <w:r w:rsidR="00022DFE" w:rsidRPr="00E94619">
        <w:rPr>
          <w:rFonts w:ascii="Century Gothic" w:hAnsi="Century Gothic"/>
        </w:rPr>
        <w:t xml:space="preserve"> </w:t>
      </w:r>
      <w:r w:rsidR="00722A2A" w:rsidRPr="00E94619">
        <w:rPr>
          <w:rFonts w:ascii="Century Gothic" w:hAnsi="Century Gothic"/>
        </w:rPr>
        <w:t>L</w:t>
      </w:r>
      <w:r w:rsidR="0038353D" w:rsidRPr="00E94619">
        <w:rPr>
          <w:rFonts w:ascii="Century Gothic" w:hAnsi="Century Gothic"/>
          <w:iCs/>
          <w:color w:val="000000"/>
        </w:rPr>
        <w:t xml:space="preserve">a mayoría de </w:t>
      </w:r>
      <w:r w:rsidRPr="00E94619">
        <w:rPr>
          <w:rFonts w:ascii="Century Gothic" w:hAnsi="Century Gothic"/>
          <w:iCs/>
          <w:color w:val="000000"/>
        </w:rPr>
        <w:t>las víctimas del país fueron explotadas sexualmente</w:t>
      </w:r>
      <w:r w:rsidR="00302C10" w:rsidRPr="00E94619">
        <w:rPr>
          <w:rFonts w:ascii="Century Gothic" w:hAnsi="Century Gothic"/>
          <w:iCs/>
          <w:color w:val="000000"/>
        </w:rPr>
        <w:t xml:space="preserve"> en</w:t>
      </w:r>
      <w:r w:rsidRPr="00E94619">
        <w:rPr>
          <w:rFonts w:ascii="Century Gothic" w:hAnsi="Century Gothic"/>
          <w:i/>
          <w:color w:val="000000"/>
        </w:rPr>
        <w:t xml:space="preserve"> </w:t>
      </w:r>
      <w:r w:rsidR="00302C10" w:rsidRPr="00E94619">
        <w:rPr>
          <w:rFonts w:ascii="Century Gothic" w:hAnsi="Century Gothic"/>
          <w:i/>
          <w:color w:val="000000"/>
        </w:rPr>
        <w:t xml:space="preserve">España, Ecuador, </w:t>
      </w:r>
      <w:r w:rsidR="0025400E" w:rsidRPr="00E94619">
        <w:rPr>
          <w:rFonts w:ascii="Century Gothic" w:hAnsi="Century Gothic"/>
          <w:i/>
          <w:color w:val="000000"/>
        </w:rPr>
        <w:t>Chile, Italia</w:t>
      </w:r>
      <w:r w:rsidRPr="00E94619">
        <w:rPr>
          <w:rFonts w:ascii="Century Gothic" w:hAnsi="Century Gothic"/>
          <w:i/>
          <w:color w:val="000000"/>
        </w:rPr>
        <w:t>,</w:t>
      </w:r>
      <w:r w:rsidR="00C046D4" w:rsidRPr="00E94619">
        <w:rPr>
          <w:rFonts w:ascii="Century Gothic" w:hAnsi="Century Gothic"/>
          <w:i/>
          <w:color w:val="000000"/>
        </w:rPr>
        <w:t xml:space="preserve"> Estados Unidos, México,</w:t>
      </w:r>
      <w:r w:rsidRPr="00E94619">
        <w:rPr>
          <w:rFonts w:ascii="Century Gothic" w:hAnsi="Century Gothic"/>
          <w:i/>
          <w:color w:val="000000"/>
        </w:rPr>
        <w:t xml:space="preserve"> </w:t>
      </w:r>
      <w:r w:rsidR="00BB1019" w:rsidRPr="00E94619">
        <w:rPr>
          <w:rFonts w:ascii="Century Gothic" w:hAnsi="Century Gothic"/>
          <w:i/>
          <w:color w:val="000000"/>
        </w:rPr>
        <w:t>O</w:t>
      </w:r>
      <w:r w:rsidR="00722A2A" w:rsidRPr="00E94619">
        <w:rPr>
          <w:rFonts w:ascii="Century Gothic" w:hAnsi="Century Gothic"/>
          <w:i/>
          <w:color w:val="000000"/>
        </w:rPr>
        <w:t>mán</w:t>
      </w:r>
      <w:r w:rsidR="00BB1019" w:rsidRPr="00E94619">
        <w:rPr>
          <w:rFonts w:ascii="Century Gothic" w:hAnsi="Century Gothic"/>
          <w:i/>
          <w:color w:val="000000"/>
        </w:rPr>
        <w:t xml:space="preserve"> </w:t>
      </w:r>
      <w:r w:rsidR="00BB1019" w:rsidRPr="00E94619">
        <w:rPr>
          <w:rFonts w:ascii="Century Gothic" w:hAnsi="Century Gothic"/>
          <w:iCs/>
          <w:color w:val="000000"/>
        </w:rPr>
        <w:t>y</w:t>
      </w:r>
      <w:r w:rsidR="00BB1019" w:rsidRPr="00E94619">
        <w:rPr>
          <w:rFonts w:ascii="Century Gothic" w:hAnsi="Century Gothic"/>
          <w:i/>
          <w:color w:val="000000"/>
        </w:rPr>
        <w:t xml:space="preserve"> Panamá, </w:t>
      </w:r>
      <w:r w:rsidRPr="00E94619">
        <w:rPr>
          <w:rFonts w:ascii="Century Gothic" w:hAnsi="Century Gothic"/>
          <w:iCs/>
          <w:color w:val="000000"/>
        </w:rPr>
        <w:t xml:space="preserve">países en donde más se presentaron casos </w:t>
      </w:r>
      <w:r w:rsidR="00722A2A" w:rsidRPr="00E94619">
        <w:rPr>
          <w:rFonts w:ascii="Century Gothic" w:hAnsi="Century Gothic"/>
          <w:iCs/>
          <w:color w:val="000000"/>
        </w:rPr>
        <w:t xml:space="preserve">de víctimas colombianas </w:t>
      </w:r>
      <w:r w:rsidRPr="00E94619">
        <w:rPr>
          <w:rFonts w:ascii="Century Gothic" w:hAnsi="Century Gothic"/>
          <w:iCs/>
          <w:color w:val="000000"/>
        </w:rPr>
        <w:t>de este delito</w:t>
      </w:r>
      <w:sdt>
        <w:sdtPr>
          <w:rPr>
            <w:rFonts w:ascii="Century Gothic" w:hAnsi="Century Gothic"/>
            <w:iCs/>
            <w:color w:val="000000"/>
          </w:rPr>
          <w:id w:val="-2041500129"/>
          <w:citation/>
        </w:sdtPr>
        <w:sdtContent>
          <w:r w:rsidR="000649E9" w:rsidRPr="00E94619">
            <w:rPr>
              <w:rFonts w:ascii="Century Gothic" w:hAnsi="Century Gothic"/>
              <w:iCs/>
              <w:color w:val="000000"/>
            </w:rPr>
            <w:fldChar w:fldCharType="begin"/>
          </w:r>
          <w:r w:rsidR="000649E9" w:rsidRPr="00E94619">
            <w:rPr>
              <w:rFonts w:ascii="Century Gothic" w:hAnsi="Century Gothic"/>
              <w:iCs/>
              <w:color w:val="000000"/>
              <w:lang w:val="es-MX"/>
            </w:rPr>
            <w:instrText xml:space="preserve"> CITATION Min20 \l 2058 </w:instrText>
          </w:r>
          <w:r w:rsidR="000649E9" w:rsidRPr="00E94619">
            <w:rPr>
              <w:rFonts w:ascii="Century Gothic" w:hAnsi="Century Gothic"/>
              <w:iCs/>
              <w:color w:val="000000"/>
            </w:rPr>
            <w:fldChar w:fldCharType="separate"/>
          </w:r>
          <w:r w:rsidR="000649E9" w:rsidRPr="00E94619">
            <w:rPr>
              <w:rFonts w:ascii="Century Gothic" w:hAnsi="Century Gothic"/>
              <w:iCs/>
              <w:noProof/>
              <w:color w:val="000000"/>
              <w:lang w:val="es-MX"/>
            </w:rPr>
            <w:t xml:space="preserve"> </w:t>
          </w:r>
          <w:r w:rsidR="000649E9" w:rsidRPr="00E94619">
            <w:rPr>
              <w:rFonts w:ascii="Century Gothic" w:hAnsi="Century Gothic"/>
              <w:noProof/>
              <w:color w:val="000000"/>
              <w:lang w:val="es-MX"/>
            </w:rPr>
            <w:t>(Ministerio del Interior, 2020)</w:t>
          </w:r>
          <w:r w:rsidR="000649E9" w:rsidRPr="00E94619">
            <w:rPr>
              <w:rFonts w:ascii="Century Gothic" w:hAnsi="Century Gothic"/>
              <w:iCs/>
              <w:color w:val="000000"/>
            </w:rPr>
            <w:fldChar w:fldCharType="end"/>
          </w:r>
        </w:sdtContent>
      </w:sdt>
    </w:p>
    <w:p w14:paraId="3CCA373E" w14:textId="77777777" w:rsidR="001238D7" w:rsidRPr="00E94619" w:rsidRDefault="001238D7" w:rsidP="000E5AC0">
      <w:pPr>
        <w:spacing w:after="0" w:line="240" w:lineRule="auto"/>
        <w:jc w:val="both"/>
        <w:rPr>
          <w:rFonts w:ascii="Century Gothic" w:hAnsi="Century Gothic"/>
          <w:iCs/>
        </w:rPr>
      </w:pPr>
    </w:p>
    <w:p w14:paraId="34B62415"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del Estado</w:t>
      </w:r>
    </w:p>
    <w:p w14:paraId="402B24A2" w14:textId="77777777" w:rsidR="005C1EE1" w:rsidRPr="00E94619" w:rsidRDefault="005C1EE1" w:rsidP="000E5AC0">
      <w:pPr>
        <w:spacing w:after="0" w:line="240" w:lineRule="auto"/>
        <w:rPr>
          <w:rFonts w:ascii="Century Gothic" w:hAnsi="Century Gothic"/>
          <w:b/>
        </w:rPr>
      </w:pPr>
    </w:p>
    <w:tbl>
      <w:tblPr>
        <w:tblStyle w:val="afff6"/>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6"/>
      </w:tblGrid>
      <w:tr w:rsidR="001238D7" w:rsidRPr="00E94619" w14:paraId="08B1E502" w14:textId="77777777" w:rsidTr="0089786B">
        <w:tc>
          <w:tcPr>
            <w:tcW w:w="9046" w:type="dxa"/>
            <w:tcBorders>
              <w:top w:val="single" w:sz="4" w:space="0" w:color="CC0066"/>
              <w:left w:val="single" w:sz="4" w:space="0" w:color="CC0066"/>
              <w:bottom w:val="single" w:sz="4" w:space="0" w:color="CC0066"/>
              <w:right w:val="single" w:sz="4" w:space="0" w:color="CC0066"/>
            </w:tcBorders>
            <w:shd w:val="clear" w:color="auto" w:fill="FF99CC"/>
          </w:tcPr>
          <w:p w14:paraId="4A931C4F"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MARCO NORMATIVO</w:t>
            </w:r>
          </w:p>
        </w:tc>
      </w:tr>
      <w:tr w:rsidR="001238D7" w:rsidRPr="00E94619" w14:paraId="683C8340" w14:textId="77777777" w:rsidTr="0089786B">
        <w:tc>
          <w:tcPr>
            <w:tcW w:w="9046" w:type="dxa"/>
            <w:tcBorders>
              <w:top w:val="single" w:sz="4" w:space="0" w:color="CC0066"/>
              <w:left w:val="single" w:sz="4" w:space="0" w:color="CC0066"/>
              <w:bottom w:val="single" w:sz="4" w:space="0" w:color="CC0066"/>
              <w:right w:val="single" w:sz="4" w:space="0" w:color="CC0066"/>
            </w:tcBorders>
          </w:tcPr>
          <w:p w14:paraId="2BAB3D31"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Ley 800 de 2003:</w:t>
            </w:r>
            <w:r w:rsidRPr="00E94619">
              <w:rPr>
                <w:rFonts w:ascii="Century Gothic" w:eastAsia="Calibri" w:hAnsi="Century Gothic" w:cs="Calibri"/>
                <w:color w:val="000000"/>
                <w:sz w:val="16"/>
                <w:szCs w:val="16"/>
              </w:rPr>
              <w:t xml:space="preserve"> </w:t>
            </w:r>
            <w:r w:rsidRPr="00E94619">
              <w:rPr>
                <w:rFonts w:ascii="Century Gothic" w:hAnsi="Century Gothic"/>
                <w:sz w:val="16"/>
                <w:szCs w:val="16"/>
              </w:rPr>
              <w:t>por medio de la cual se aprueban la convención de las Naciones Unidas contra la delincuencia Organizada trasnacional y el protocolo para prevenir, reprimir y sancionar la trata de personas, especialmente mujeres y niños.</w:t>
            </w:r>
          </w:p>
          <w:p w14:paraId="635754DE"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Ley 985 de 2005:</w:t>
            </w:r>
            <w:r w:rsidRPr="00E94619">
              <w:rPr>
                <w:rFonts w:ascii="Century Gothic" w:hAnsi="Century Gothic"/>
                <w:sz w:val="16"/>
                <w:szCs w:val="16"/>
              </w:rPr>
              <w:t xml:space="preserve"> tiene por objeto adoptar medidas de prevención, protección y asistencia necesarias para garantizar el respeto de los derechos humanos de las víctimas y posibles víctimas de la trata de personas.</w:t>
            </w:r>
          </w:p>
          <w:p w14:paraId="285FC13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 Decreto 4786 de 2008: </w:t>
            </w:r>
            <w:r w:rsidRPr="00E94619">
              <w:rPr>
                <w:rFonts w:ascii="Century Gothic" w:hAnsi="Century Gothic"/>
                <w:sz w:val="16"/>
                <w:szCs w:val="16"/>
              </w:rPr>
              <w:t>se adopta la Estrategia Nacional Integral contra la Trata de Personas 2007-2012.</w:t>
            </w:r>
          </w:p>
          <w:p w14:paraId="7C83F20E"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 Decreto 1069 de 2014: </w:t>
            </w:r>
            <w:r w:rsidRPr="00E94619">
              <w:rPr>
                <w:rFonts w:ascii="Century Gothic" w:hAnsi="Century Gothic"/>
                <w:sz w:val="16"/>
                <w:szCs w:val="16"/>
              </w:rPr>
              <w:t>se reglamentan las competencias, beneficios, procedimientos y trámites que deben adelantar las entidades responsables en la adopción de las medidas de protección y asistencia a las personas víctimas del delito de trata de personas.</w:t>
            </w:r>
          </w:p>
          <w:p w14:paraId="6CEA013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Decreto 1036 de 2016</w:t>
            </w:r>
            <w:r w:rsidRPr="00E94619">
              <w:rPr>
                <w:rFonts w:ascii="Century Gothic" w:hAnsi="Century Gothic"/>
                <w:sz w:val="16"/>
                <w:szCs w:val="16"/>
              </w:rPr>
              <w:t>: se adopta la Estrategia Nacional para la Lucha Contra la Trata de Personas.</w:t>
            </w:r>
          </w:p>
        </w:tc>
      </w:tr>
    </w:tbl>
    <w:p w14:paraId="74840EFB" w14:textId="77777777" w:rsidR="001238D7" w:rsidRPr="00E94619" w:rsidRDefault="001238D7" w:rsidP="000E5AC0">
      <w:pPr>
        <w:spacing w:after="0" w:line="240" w:lineRule="auto"/>
        <w:rPr>
          <w:rFonts w:ascii="Century Gothic" w:hAnsi="Century Gothic"/>
          <w:b/>
        </w:rPr>
      </w:pPr>
    </w:p>
    <w:p w14:paraId="093FA022"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 la sociedad civil</w:t>
      </w:r>
    </w:p>
    <w:p w14:paraId="73BC57B7" w14:textId="77777777" w:rsidR="00281050" w:rsidRPr="00E94619" w:rsidRDefault="00281050" w:rsidP="000E5AC0">
      <w:pPr>
        <w:spacing w:after="0" w:line="240" w:lineRule="auto"/>
        <w:rPr>
          <w:rFonts w:ascii="Century Gothic" w:hAnsi="Century Gothic"/>
          <w:b/>
        </w:rPr>
      </w:pPr>
    </w:p>
    <w:tbl>
      <w:tblPr>
        <w:tblStyle w:val="afff7"/>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6"/>
        <w:gridCol w:w="7120"/>
      </w:tblGrid>
      <w:tr w:rsidR="001238D7" w:rsidRPr="00E94619" w14:paraId="541A6434" w14:textId="77777777" w:rsidTr="0089786B">
        <w:tc>
          <w:tcPr>
            <w:tcW w:w="1926" w:type="dxa"/>
            <w:tcBorders>
              <w:top w:val="single" w:sz="4" w:space="0" w:color="CC0066"/>
              <w:left w:val="single" w:sz="4" w:space="0" w:color="CC0066"/>
              <w:bottom w:val="single" w:sz="4" w:space="0" w:color="CC0066"/>
              <w:right w:val="single" w:sz="4" w:space="0" w:color="CC0066"/>
            </w:tcBorders>
            <w:shd w:val="clear" w:color="auto" w:fill="FF99CC"/>
          </w:tcPr>
          <w:p w14:paraId="68EEF005"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Organizaciones de la sociedad civil</w:t>
            </w:r>
          </w:p>
        </w:tc>
        <w:tc>
          <w:tcPr>
            <w:tcW w:w="7120" w:type="dxa"/>
            <w:tcBorders>
              <w:top w:val="single" w:sz="4" w:space="0" w:color="CC0066"/>
              <w:left w:val="single" w:sz="4" w:space="0" w:color="CC0066"/>
              <w:bottom w:val="single" w:sz="4" w:space="0" w:color="CC0066"/>
              <w:right w:val="single" w:sz="4" w:space="0" w:color="CC0066"/>
            </w:tcBorders>
          </w:tcPr>
          <w:p w14:paraId="317AEE7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color w:val="000000"/>
                <w:sz w:val="16"/>
                <w:szCs w:val="16"/>
              </w:rPr>
              <w:t>Alianza Colombiana de Organizaciones de la Sociedad Civil en contra de la Trata de Personas:</w:t>
            </w:r>
            <w:r w:rsidRPr="00E94619">
              <w:rPr>
                <w:rFonts w:ascii="Century Gothic" w:hAnsi="Century Gothic"/>
                <w:color w:val="000000"/>
                <w:sz w:val="16"/>
                <w:szCs w:val="16"/>
              </w:rPr>
              <w:t xml:space="preserve"> Formar País, Corporación Espacios de Mujer, Fundación Esperanza, Corporación Carabantú, CODEHUC, Red Tamar, FUNDEPAZ, Red Kawsay (Defensores de Vida), Fundación Jhonatan, Fundación Dignitas, Centro de Pensamiento sobre la Trata de Personas, SINTRASEDOM, Fundación Mujer Sola, Corporación Hypatía, Corporación Tamar, Fundación Teknos, Fundación Renacer, Corporación Amiga Joven, Asociación Mundos Hermanos, Tierra de Hombres Lausanne, Women’s Link Worldwide, Corporación Anne Frank, Corporación Creser, Fundación Marcela Loaiza. Aliado Externo: CESCAMIG.</w:t>
            </w:r>
          </w:p>
        </w:tc>
      </w:tr>
      <w:tr w:rsidR="001238D7" w:rsidRPr="00E94619" w14:paraId="79BDC590" w14:textId="77777777" w:rsidTr="0089786B">
        <w:tc>
          <w:tcPr>
            <w:tcW w:w="1926" w:type="dxa"/>
            <w:tcBorders>
              <w:top w:val="single" w:sz="4" w:space="0" w:color="CC0066"/>
              <w:left w:val="single" w:sz="4" w:space="0" w:color="CC0066"/>
              <w:bottom w:val="single" w:sz="4" w:space="0" w:color="CC0066"/>
              <w:right w:val="single" w:sz="4" w:space="0" w:color="CC0066"/>
            </w:tcBorders>
            <w:shd w:val="clear" w:color="auto" w:fill="FF99CC"/>
          </w:tcPr>
          <w:p w14:paraId="13830219"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Cooperación Internacional</w:t>
            </w:r>
          </w:p>
        </w:tc>
        <w:tc>
          <w:tcPr>
            <w:tcW w:w="7120" w:type="dxa"/>
            <w:tcBorders>
              <w:top w:val="single" w:sz="4" w:space="0" w:color="CC0066"/>
              <w:left w:val="single" w:sz="4" w:space="0" w:color="CC0066"/>
              <w:bottom w:val="single" w:sz="4" w:space="0" w:color="CC0066"/>
              <w:right w:val="single" w:sz="4" w:space="0" w:color="CC0066"/>
            </w:tcBorders>
          </w:tcPr>
          <w:p w14:paraId="23F43F7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 xml:space="preserve">la OIM en Colombia: </w:t>
            </w:r>
            <w:r w:rsidRPr="00E94619">
              <w:rPr>
                <w:rFonts w:ascii="Century Gothic" w:hAnsi="Century Gothic"/>
                <w:color w:val="000000"/>
                <w:sz w:val="16"/>
                <w:szCs w:val="16"/>
              </w:rPr>
              <w:t xml:space="preserve">implementa el Programa Integral de Lucha contra la Trata de Personas. </w:t>
            </w:r>
          </w:p>
          <w:p w14:paraId="6C329B07" w14:textId="77777777" w:rsidR="001238D7" w:rsidRPr="00E94619" w:rsidRDefault="0036411F" w:rsidP="000E5AC0">
            <w:pPr>
              <w:spacing w:after="0" w:line="240" w:lineRule="auto"/>
              <w:rPr>
                <w:rFonts w:ascii="Century Gothic" w:hAnsi="Century Gothic"/>
                <w:color w:val="000000"/>
                <w:sz w:val="16"/>
                <w:szCs w:val="16"/>
              </w:rPr>
            </w:pPr>
            <w:r w:rsidRPr="00E94619">
              <w:rPr>
                <w:rFonts w:ascii="Century Gothic" w:hAnsi="Century Gothic"/>
                <w:b/>
                <w:color w:val="000000"/>
                <w:sz w:val="16"/>
                <w:szCs w:val="16"/>
              </w:rPr>
              <w:t>UNODC:</w:t>
            </w:r>
            <w:r w:rsidRPr="00E94619">
              <w:rPr>
                <w:rFonts w:ascii="Century Gothic" w:hAnsi="Century Gothic"/>
                <w:color w:val="000000"/>
                <w:sz w:val="16"/>
                <w:szCs w:val="16"/>
              </w:rPr>
              <w:t xml:space="preserve"> Campaña "Corazón Azul" para poner fin a la trata de personas.</w:t>
            </w:r>
          </w:p>
          <w:p w14:paraId="6C725899"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Embajada de los Estados Unidos de América en Colombia: </w:t>
            </w:r>
            <w:r w:rsidRPr="00E94619">
              <w:rPr>
                <w:rFonts w:ascii="Century Gothic" w:hAnsi="Century Gothic"/>
                <w:sz w:val="16"/>
                <w:szCs w:val="16"/>
              </w:rPr>
              <w:t>cooperante e informes sobre trata de personas en Colombia.</w:t>
            </w:r>
          </w:p>
        </w:tc>
      </w:tr>
    </w:tbl>
    <w:p w14:paraId="00511961" w14:textId="77777777" w:rsidR="001238D7" w:rsidRDefault="001238D7" w:rsidP="000E5AC0">
      <w:pPr>
        <w:spacing w:after="0" w:line="240" w:lineRule="auto"/>
        <w:jc w:val="both"/>
        <w:rPr>
          <w:rFonts w:ascii="Century Gothic" w:hAnsi="Century Gothic"/>
          <w:b/>
        </w:rPr>
      </w:pPr>
    </w:p>
    <w:p w14:paraId="4451C349" w14:textId="77777777" w:rsidR="00C060F9" w:rsidRDefault="00C060F9" w:rsidP="000E5AC0">
      <w:pPr>
        <w:spacing w:after="0" w:line="240" w:lineRule="auto"/>
        <w:jc w:val="both"/>
        <w:rPr>
          <w:rFonts w:ascii="Century Gothic" w:hAnsi="Century Gothic"/>
          <w:b/>
        </w:rPr>
      </w:pPr>
    </w:p>
    <w:p w14:paraId="0FBDA003" w14:textId="62B3B275" w:rsidR="00C060F9" w:rsidRPr="00E94619" w:rsidRDefault="00D2173C" w:rsidP="000E5AC0">
      <w:pPr>
        <w:spacing w:after="0" w:line="240" w:lineRule="auto"/>
        <w:jc w:val="both"/>
        <w:rPr>
          <w:rFonts w:ascii="Century Gothic" w:hAnsi="Century Gothic"/>
          <w:b/>
        </w:rPr>
      </w:pPr>
      <w:r>
        <w:rPr>
          <w:rFonts w:ascii="Century Gothic" w:hAnsi="Century Gothic"/>
          <w:b/>
          <w:noProof/>
          <w:szCs w:val="24"/>
          <w:lang w:val="es-ES"/>
        </w:rPr>
        <w:drawing>
          <wp:anchor distT="0" distB="0" distL="114300" distR="114300" simplePos="0" relativeHeight="251798528" behindDoc="0" locked="0" layoutInCell="1" allowOverlap="1" wp14:anchorId="729C1F4C" wp14:editId="6F5B7BB3">
            <wp:simplePos x="0" y="0"/>
            <wp:positionH relativeFrom="column">
              <wp:posOffset>-1080135</wp:posOffset>
            </wp:positionH>
            <wp:positionV relativeFrom="paragraph">
              <wp:posOffset>-9128125</wp:posOffset>
            </wp:positionV>
            <wp:extent cx="965835" cy="708660"/>
            <wp:effectExtent l="0" t="0" r="0" b="0"/>
            <wp:wrapNone/>
            <wp:docPr id="370" name="Imagen 37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42475FA7" w14:textId="526B4C41" w:rsidR="001238D7" w:rsidRDefault="0036411F" w:rsidP="000E5AC0">
      <w:pPr>
        <w:spacing w:after="0" w:line="240" w:lineRule="auto"/>
        <w:jc w:val="both"/>
        <w:rPr>
          <w:rFonts w:ascii="Century Gothic" w:hAnsi="Century Gothic"/>
          <w:b/>
          <w:color w:val="000000"/>
        </w:rPr>
      </w:pPr>
      <w:r w:rsidRPr="00E94619">
        <w:rPr>
          <w:rFonts w:ascii="Century Gothic" w:hAnsi="Century Gothic"/>
          <w:b/>
          <w:color w:val="000000"/>
        </w:rPr>
        <w:lastRenderedPageBreak/>
        <w:t>Avances y retos para erradicar la Trata de personas</w:t>
      </w:r>
    </w:p>
    <w:p w14:paraId="1B7DEF7C" w14:textId="77777777" w:rsidR="00281050" w:rsidRPr="00E94619" w:rsidRDefault="00281050" w:rsidP="000E5AC0">
      <w:pPr>
        <w:spacing w:after="0" w:line="240" w:lineRule="auto"/>
        <w:jc w:val="both"/>
        <w:rPr>
          <w:rFonts w:ascii="Century Gothic" w:hAnsi="Century Gothic"/>
          <w:b/>
          <w:color w:val="000000"/>
        </w:rPr>
      </w:pPr>
    </w:p>
    <w:tbl>
      <w:tblPr>
        <w:tblStyle w:val="afff8"/>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3118"/>
        <w:gridCol w:w="4395"/>
      </w:tblGrid>
      <w:tr w:rsidR="001238D7" w:rsidRPr="00E94619" w14:paraId="2E7A8BBE" w14:textId="77777777" w:rsidTr="0089786B">
        <w:tc>
          <w:tcPr>
            <w:tcW w:w="1533" w:type="dxa"/>
            <w:tcBorders>
              <w:top w:val="single" w:sz="4" w:space="0" w:color="CC0066"/>
              <w:left w:val="single" w:sz="4" w:space="0" w:color="CC0066"/>
              <w:bottom w:val="single" w:sz="4" w:space="0" w:color="CC0066"/>
              <w:right w:val="single" w:sz="4" w:space="0" w:color="CC0066"/>
            </w:tcBorders>
            <w:shd w:val="clear" w:color="auto" w:fill="FF99CC"/>
          </w:tcPr>
          <w:p w14:paraId="472D5319" w14:textId="77777777" w:rsidR="001238D7" w:rsidRPr="00E94619" w:rsidRDefault="001238D7" w:rsidP="000E5AC0">
            <w:pPr>
              <w:spacing w:after="0" w:line="240" w:lineRule="auto"/>
              <w:jc w:val="both"/>
              <w:rPr>
                <w:rFonts w:ascii="Century Gothic" w:hAnsi="Century Gothic"/>
                <w:b/>
                <w:color w:val="000000"/>
                <w:sz w:val="16"/>
                <w:szCs w:val="16"/>
              </w:rPr>
            </w:pPr>
          </w:p>
        </w:tc>
        <w:tc>
          <w:tcPr>
            <w:tcW w:w="3118" w:type="dxa"/>
            <w:tcBorders>
              <w:top w:val="single" w:sz="4" w:space="0" w:color="CC0066"/>
              <w:left w:val="single" w:sz="4" w:space="0" w:color="CC0066"/>
              <w:bottom w:val="single" w:sz="4" w:space="0" w:color="CC0066"/>
              <w:right w:val="single" w:sz="4" w:space="0" w:color="CC0066"/>
            </w:tcBorders>
            <w:shd w:val="clear" w:color="auto" w:fill="FF99CC"/>
          </w:tcPr>
          <w:p w14:paraId="30D9CE9C"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4395" w:type="dxa"/>
            <w:tcBorders>
              <w:top w:val="single" w:sz="4" w:space="0" w:color="CC0066"/>
              <w:left w:val="single" w:sz="4" w:space="0" w:color="CC0066"/>
              <w:bottom w:val="single" w:sz="4" w:space="0" w:color="CC0066"/>
              <w:right w:val="single" w:sz="4" w:space="0" w:color="CC0066"/>
            </w:tcBorders>
            <w:shd w:val="clear" w:color="auto" w:fill="FF99CC"/>
          </w:tcPr>
          <w:p w14:paraId="2ED7F90F"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42902BD6" w14:textId="77777777" w:rsidTr="0089786B">
        <w:tc>
          <w:tcPr>
            <w:tcW w:w="1533" w:type="dxa"/>
            <w:tcBorders>
              <w:top w:val="single" w:sz="4" w:space="0" w:color="CC0066"/>
              <w:left w:val="single" w:sz="4" w:space="0" w:color="CC0066"/>
              <w:bottom w:val="single" w:sz="4" w:space="0" w:color="CC0066"/>
              <w:right w:val="single" w:sz="4" w:space="0" w:color="CC0066"/>
            </w:tcBorders>
          </w:tcPr>
          <w:p w14:paraId="2E4FC2F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Transversales </w:t>
            </w:r>
          </w:p>
        </w:tc>
        <w:tc>
          <w:tcPr>
            <w:tcW w:w="3118" w:type="dxa"/>
            <w:tcBorders>
              <w:top w:val="single" w:sz="4" w:space="0" w:color="CC0066"/>
              <w:left w:val="single" w:sz="4" w:space="0" w:color="CC0066"/>
              <w:bottom w:val="single" w:sz="4" w:space="0" w:color="CC0066"/>
              <w:right w:val="single" w:sz="4" w:space="0" w:color="CC0066"/>
            </w:tcBorders>
          </w:tcPr>
          <w:p w14:paraId="44F6D6B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-Se cuenta con un marco jurídico para atender la trata de personas.</w:t>
            </w:r>
          </w:p>
          <w:p w14:paraId="4C972C27" w14:textId="77777777" w:rsidR="001238D7" w:rsidRPr="00E94619" w:rsidRDefault="001238D7" w:rsidP="000E5AC0">
            <w:pPr>
              <w:spacing w:after="0" w:line="240" w:lineRule="auto"/>
              <w:jc w:val="both"/>
              <w:rPr>
                <w:rFonts w:ascii="Century Gothic" w:hAnsi="Century Gothic"/>
                <w:color w:val="000000"/>
                <w:sz w:val="16"/>
                <w:szCs w:val="16"/>
              </w:rPr>
            </w:pPr>
          </w:p>
          <w:p w14:paraId="5E85A491" w14:textId="77777777" w:rsidR="001238D7" w:rsidRPr="00E94619" w:rsidRDefault="001238D7" w:rsidP="000E5AC0">
            <w:pPr>
              <w:spacing w:after="0" w:line="240" w:lineRule="auto"/>
              <w:jc w:val="both"/>
              <w:rPr>
                <w:rFonts w:ascii="Century Gothic" w:hAnsi="Century Gothic"/>
                <w:color w:val="000000"/>
                <w:sz w:val="16"/>
                <w:szCs w:val="16"/>
              </w:rPr>
            </w:pPr>
          </w:p>
        </w:tc>
        <w:tc>
          <w:tcPr>
            <w:tcW w:w="4395" w:type="dxa"/>
            <w:tcBorders>
              <w:top w:val="single" w:sz="4" w:space="0" w:color="CC0066"/>
              <w:left w:val="single" w:sz="4" w:space="0" w:color="CC0066"/>
              <w:bottom w:val="single" w:sz="4" w:space="0" w:color="CC0066"/>
              <w:right w:val="single" w:sz="4" w:space="0" w:color="CC0066"/>
            </w:tcBorders>
          </w:tcPr>
          <w:p w14:paraId="480724B1"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de monitoreo de país sobre la explotación sexual comercial de niños, niñas y adolescentes (ESCNNA) 2014:</w:t>
            </w:r>
          </w:p>
          <w:p w14:paraId="5517883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-Desconocimiento a nivel social e institucional sobre las características del delito y los derechos de las víctimas. </w:t>
            </w:r>
          </w:p>
          <w:p w14:paraId="02D1B81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-Crear un sistema de datos unificados sobre trata de personas, que no sólo incluya la trata transnacional, sino también la interna. </w:t>
            </w:r>
          </w:p>
        </w:tc>
      </w:tr>
      <w:tr w:rsidR="001238D7" w:rsidRPr="00E94619" w14:paraId="2858C5AA" w14:textId="77777777" w:rsidTr="0089786B">
        <w:tc>
          <w:tcPr>
            <w:tcW w:w="1533" w:type="dxa"/>
            <w:tcBorders>
              <w:top w:val="single" w:sz="4" w:space="0" w:color="CC0066"/>
              <w:left w:val="single" w:sz="4" w:space="0" w:color="CC0066"/>
              <w:bottom w:val="single" w:sz="4" w:space="0" w:color="CC0066"/>
              <w:right w:val="single" w:sz="4" w:space="0" w:color="CC0066"/>
            </w:tcBorders>
          </w:tcPr>
          <w:p w14:paraId="2FEE96A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Prevención</w:t>
            </w:r>
          </w:p>
        </w:tc>
        <w:tc>
          <w:tcPr>
            <w:tcW w:w="3118" w:type="dxa"/>
            <w:tcBorders>
              <w:top w:val="single" w:sz="4" w:space="0" w:color="CC0066"/>
              <w:left w:val="single" w:sz="4" w:space="0" w:color="CC0066"/>
              <w:bottom w:val="single" w:sz="4" w:space="0" w:color="CC0066"/>
              <w:right w:val="single" w:sz="4" w:space="0" w:color="CC0066"/>
            </w:tcBorders>
          </w:tcPr>
          <w:p w14:paraId="6F1629F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color w:val="000000"/>
                <w:sz w:val="16"/>
                <w:szCs w:val="16"/>
              </w:rPr>
              <w:t xml:space="preserve">-La Cancillería de Colombia lanzó la campaña “Ojo a la Trata” la cual busca sensibilizar a las personas sobre las modalidades y el alcance de este delito.  </w:t>
            </w:r>
          </w:p>
        </w:tc>
        <w:tc>
          <w:tcPr>
            <w:tcW w:w="4395" w:type="dxa"/>
            <w:tcBorders>
              <w:top w:val="single" w:sz="4" w:space="0" w:color="CC0066"/>
              <w:left w:val="single" w:sz="4" w:space="0" w:color="CC0066"/>
              <w:bottom w:val="single" w:sz="4" w:space="0" w:color="CC0066"/>
              <w:right w:val="single" w:sz="4" w:space="0" w:color="CC0066"/>
            </w:tcBorders>
          </w:tcPr>
          <w:p w14:paraId="40556D8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Continuar y fortalecer las estrategias de prevención de trata de personas a nivel nacional y transnacional. </w:t>
            </w:r>
          </w:p>
        </w:tc>
      </w:tr>
      <w:tr w:rsidR="001238D7" w:rsidRPr="00E94619" w14:paraId="276FA35E" w14:textId="77777777" w:rsidTr="0089786B">
        <w:tc>
          <w:tcPr>
            <w:tcW w:w="1533" w:type="dxa"/>
            <w:tcBorders>
              <w:top w:val="single" w:sz="4" w:space="0" w:color="CC0066"/>
              <w:left w:val="single" w:sz="4" w:space="0" w:color="CC0066"/>
              <w:right w:val="single" w:sz="4" w:space="0" w:color="CC0066"/>
            </w:tcBorders>
          </w:tcPr>
          <w:p w14:paraId="70A3E5D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Atención y protección </w:t>
            </w:r>
          </w:p>
        </w:tc>
        <w:tc>
          <w:tcPr>
            <w:tcW w:w="3118" w:type="dxa"/>
            <w:tcBorders>
              <w:top w:val="single" w:sz="4" w:space="0" w:color="CC0066"/>
              <w:left w:val="single" w:sz="4" w:space="0" w:color="CC0066"/>
              <w:right w:val="single" w:sz="4" w:space="0" w:color="CC0066"/>
            </w:tcBorders>
          </w:tcPr>
          <w:p w14:paraId="5AB6710E"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 xml:space="preserve">Se cuenta con una línea gratuita contra la trata de personas. </w:t>
            </w:r>
          </w:p>
          <w:p w14:paraId="241C0639"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 xml:space="preserve">El ministerio de Relaciones exteriores reportó </w:t>
            </w:r>
            <w:r w:rsidRPr="00E94619">
              <w:rPr>
                <w:rFonts w:ascii="Century Gothic" w:hAnsi="Century Gothic"/>
                <w:sz w:val="16"/>
                <w:szCs w:val="16"/>
              </w:rPr>
              <w:t>asistir 199 víctimas de trata de personas entre el 2012 y el 2016.</w:t>
            </w:r>
            <w:r w:rsidRPr="00E94619">
              <w:rPr>
                <w:rFonts w:ascii="Century Gothic" w:hAnsi="Century Gothic"/>
                <w:b/>
                <w:sz w:val="16"/>
                <w:szCs w:val="16"/>
              </w:rPr>
              <w:t xml:space="preserve"> </w:t>
            </w:r>
          </w:p>
        </w:tc>
        <w:tc>
          <w:tcPr>
            <w:tcW w:w="4395" w:type="dxa"/>
            <w:tcBorders>
              <w:top w:val="single" w:sz="4" w:space="0" w:color="CC0066"/>
              <w:left w:val="single" w:sz="4" w:space="0" w:color="CC0066"/>
              <w:right w:val="single" w:sz="4" w:space="0" w:color="CC0066"/>
            </w:tcBorders>
          </w:tcPr>
          <w:p w14:paraId="62276DE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color w:val="000000"/>
                <w:sz w:val="16"/>
                <w:szCs w:val="16"/>
              </w:rPr>
              <w:t xml:space="preserve">-Cumplir con lo estipulado en el Decreto 1069 de 2014, ya que </w:t>
            </w:r>
            <w:r w:rsidRPr="00E94619">
              <w:rPr>
                <w:rFonts w:ascii="Century Gothic" w:hAnsi="Century Gothic"/>
                <w:sz w:val="16"/>
                <w:szCs w:val="16"/>
              </w:rPr>
              <w:t xml:space="preserve">la asistencia a las víctimas y fondos designados para su implementación son insuficientes. </w:t>
            </w:r>
          </w:p>
          <w:p w14:paraId="1DB035C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-Mejorar la protección a víctimas. </w:t>
            </w:r>
          </w:p>
          <w:p w14:paraId="0C0BB44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sobre la trata de personas en Colombia realizado por la Embajada de Estados Unidos (20</w:t>
            </w:r>
            <w:r w:rsidR="000649E9" w:rsidRPr="00E94619">
              <w:rPr>
                <w:rFonts w:ascii="Century Gothic" w:hAnsi="Century Gothic"/>
                <w:b/>
                <w:color w:val="000000"/>
                <w:sz w:val="16"/>
                <w:szCs w:val="16"/>
              </w:rPr>
              <w:t>20</w:t>
            </w:r>
            <w:r w:rsidRPr="00E94619">
              <w:rPr>
                <w:rFonts w:ascii="Century Gothic" w:hAnsi="Century Gothic"/>
                <w:b/>
                <w:color w:val="000000"/>
                <w:sz w:val="16"/>
                <w:szCs w:val="16"/>
              </w:rPr>
              <w:t>):</w:t>
            </w:r>
          </w:p>
          <w:p w14:paraId="380F452F" w14:textId="77777777"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sz w:val="16"/>
                <w:szCs w:val="16"/>
              </w:rPr>
              <w:t>-Crear mecanismos formales para identificar víctimas de trata en poblaciones vulnerables dentro del país.</w:t>
            </w:r>
          </w:p>
          <w:p w14:paraId="3CDDE38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-El estado debe ampliar la financiación de servicios especializados para víctimas, ya que la mayoría fueron financiados por organizaciones internacionales y organizaciones no gubernamentales.</w:t>
            </w:r>
          </w:p>
        </w:tc>
      </w:tr>
      <w:tr w:rsidR="001238D7" w:rsidRPr="00E94619" w14:paraId="5D02F761" w14:textId="77777777" w:rsidTr="0089786B">
        <w:tc>
          <w:tcPr>
            <w:tcW w:w="1533" w:type="dxa"/>
            <w:tcBorders>
              <w:top w:val="single" w:sz="4" w:space="0" w:color="CC0066"/>
              <w:left w:val="single" w:sz="4" w:space="0" w:color="CC0066"/>
              <w:bottom w:val="single" w:sz="4" w:space="0" w:color="CC0066"/>
              <w:right w:val="single" w:sz="4" w:space="0" w:color="CC0066"/>
            </w:tcBorders>
          </w:tcPr>
          <w:p w14:paraId="00DB0C6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Judicialización</w:t>
            </w:r>
          </w:p>
        </w:tc>
        <w:tc>
          <w:tcPr>
            <w:tcW w:w="3118" w:type="dxa"/>
            <w:tcBorders>
              <w:top w:val="single" w:sz="4" w:space="0" w:color="CC0066"/>
              <w:left w:val="single" w:sz="4" w:space="0" w:color="CC0066"/>
              <w:bottom w:val="single" w:sz="4" w:space="0" w:color="CC0066"/>
              <w:right w:val="single" w:sz="4" w:space="0" w:color="CC0066"/>
            </w:tcBorders>
          </w:tcPr>
          <w:p w14:paraId="6E77177D"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Ministerio del Interior: </w:t>
            </w:r>
          </w:p>
          <w:p w14:paraId="69CD1B55"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-Al 2014 La Dirección de Investigación Criminal e Interpol, ha adelantado 4 operaciones a través de las cuales han sido desarticuladas redes dedicadas a la trata de personas.</w:t>
            </w:r>
          </w:p>
          <w:p w14:paraId="7C9E7A1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-Entre los años 2010-2014 Colombia suscribió cinco (5) acuerdos bilaterales de cooperación con Ecuador, Chile, Argentina, Honduras y El Salvador para la prevención e investigación; y la asistencia y protección a las víctimas.</w:t>
            </w:r>
          </w:p>
        </w:tc>
        <w:tc>
          <w:tcPr>
            <w:tcW w:w="4395" w:type="dxa"/>
            <w:tcBorders>
              <w:top w:val="single" w:sz="4" w:space="0" w:color="CC0066"/>
              <w:left w:val="single" w:sz="4" w:space="0" w:color="CC0066"/>
              <w:bottom w:val="single" w:sz="4" w:space="0" w:color="CC0066"/>
            </w:tcBorders>
          </w:tcPr>
          <w:p w14:paraId="66BEF25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Informe sobre la trata de personas en Colombia realizado por la Embajada de Estados Unidos (20</w:t>
            </w:r>
            <w:r w:rsidR="000649E9" w:rsidRPr="00E94619">
              <w:rPr>
                <w:rFonts w:ascii="Century Gothic" w:hAnsi="Century Gothic"/>
                <w:b/>
                <w:color w:val="000000"/>
                <w:sz w:val="16"/>
                <w:szCs w:val="16"/>
              </w:rPr>
              <w:t>20</w:t>
            </w:r>
            <w:r w:rsidRPr="00E94619">
              <w:rPr>
                <w:rFonts w:ascii="Century Gothic" w:hAnsi="Century Gothic"/>
                <w:b/>
                <w:color w:val="000000"/>
                <w:sz w:val="16"/>
                <w:szCs w:val="16"/>
              </w:rPr>
              <w:t>):</w:t>
            </w:r>
          </w:p>
          <w:p w14:paraId="4663C4C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-Incrementar esfuerzos para identificar, investigar y judicializar casos de trabajo forzado, servidumbre doméstica y de explotación sexual interna.</w:t>
            </w:r>
          </w:p>
          <w:p w14:paraId="7C7FEF16"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-Aumentar el número de fiscales especializados para abordar los casos de trata interna como transnacional.</w:t>
            </w:r>
          </w:p>
          <w:p w14:paraId="53040A10"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 xml:space="preserve">Reducir los índices de impunidad frente a la trata de personas, ya que la Fiscalía General de la Nación. </w:t>
            </w:r>
          </w:p>
        </w:tc>
      </w:tr>
    </w:tbl>
    <w:p w14:paraId="55D92FD6" w14:textId="77777777" w:rsidR="001238D7" w:rsidRPr="00E94619" w:rsidRDefault="001238D7" w:rsidP="000E5AC0">
      <w:pPr>
        <w:spacing w:after="0" w:line="240" w:lineRule="auto"/>
        <w:rPr>
          <w:rFonts w:ascii="Century Gothic" w:hAnsi="Century Gothic"/>
          <w:b/>
        </w:rPr>
      </w:pPr>
    </w:p>
    <w:p w14:paraId="080CF84A" w14:textId="77777777" w:rsidR="001238D7" w:rsidRPr="00281050" w:rsidRDefault="0036411F" w:rsidP="000E5AC0">
      <w:pPr>
        <w:pStyle w:val="Ttulo2"/>
        <w:rPr>
          <w:rFonts w:ascii="Century Gothic" w:hAnsi="Century Gothic"/>
          <w:b w:val="0"/>
          <w:color w:val="CC3366"/>
        </w:rPr>
      </w:pPr>
      <w:bookmarkStart w:id="36" w:name="_Toc488624253"/>
      <w:r w:rsidRPr="00281050">
        <w:rPr>
          <w:rFonts w:ascii="Century Gothic" w:hAnsi="Century Gothic"/>
          <w:b w:val="0"/>
          <w:color w:val="CC3366"/>
        </w:rPr>
        <w:t>1.4 Mutilación y ablación genital femenina</w:t>
      </w:r>
      <w:bookmarkEnd w:id="36"/>
    </w:p>
    <w:p w14:paraId="749DF6A9" w14:textId="77777777" w:rsidR="001238D7" w:rsidRPr="00E94619" w:rsidRDefault="001238D7" w:rsidP="000E5AC0">
      <w:pPr>
        <w:spacing w:after="0" w:line="240" w:lineRule="auto"/>
        <w:rPr>
          <w:rFonts w:ascii="Century Gothic" w:hAnsi="Century Gothic"/>
          <w:b/>
          <w:u w:val="single"/>
        </w:rPr>
      </w:pPr>
    </w:p>
    <w:p w14:paraId="6B0CB20B"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De acuerdo con la Organización Mundial de la Salud, “</w:t>
      </w:r>
      <w:r w:rsidRPr="00E94619">
        <w:rPr>
          <w:rFonts w:ascii="Century Gothic" w:hAnsi="Century Gothic"/>
          <w:i/>
        </w:rPr>
        <w:t>la mutilación genital femenina (MGF) comprende todos los procedimientos que, de forma intencional y por motivos no médicos, alteran o lesionan los órganos genitales femeninos. Estos procedimientos no aportan ningún beneficio a la salud de las mujeres y niñas. Pueden producir hemorragias graves y problemas urinarios, y más tarde pueden causar quistes, infecciones, complicaciones del parto y aumento del riesgo de muerte del recién nacido.”</w:t>
      </w:r>
      <w:r w:rsidRPr="00E94619">
        <w:rPr>
          <w:rFonts w:ascii="Century Gothic" w:hAnsi="Century Gothic"/>
        </w:rPr>
        <w:t xml:space="preserve"> </w:t>
      </w:r>
      <w:r w:rsidR="003C72B5" w:rsidRPr="00E94619">
        <w:rPr>
          <w:rStyle w:val="Refdenotaalpie"/>
          <w:rFonts w:ascii="Century Gothic" w:hAnsi="Century Gothic"/>
        </w:rPr>
        <w:footnoteReference w:id="23"/>
      </w:r>
    </w:p>
    <w:p w14:paraId="55BA4E4B" w14:textId="77777777" w:rsidR="003C72B5" w:rsidRPr="00E94619" w:rsidRDefault="003C72B5" w:rsidP="000E5AC0">
      <w:pPr>
        <w:spacing w:after="0" w:line="240" w:lineRule="auto"/>
        <w:jc w:val="both"/>
        <w:rPr>
          <w:rFonts w:ascii="Century Gothic" w:hAnsi="Century Gothic"/>
        </w:rPr>
      </w:pPr>
    </w:p>
    <w:p w14:paraId="675A6690" w14:textId="747245E3" w:rsidR="001238D7" w:rsidRPr="00E94619" w:rsidRDefault="00D2173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800576" behindDoc="0" locked="0" layoutInCell="1" allowOverlap="1" wp14:anchorId="30E85A58" wp14:editId="57DD81B9">
            <wp:simplePos x="0" y="0"/>
            <wp:positionH relativeFrom="column">
              <wp:posOffset>-1080135</wp:posOffset>
            </wp:positionH>
            <wp:positionV relativeFrom="paragraph">
              <wp:posOffset>-8546465</wp:posOffset>
            </wp:positionV>
            <wp:extent cx="965835" cy="708660"/>
            <wp:effectExtent l="0" t="0" r="0" b="0"/>
            <wp:wrapNone/>
            <wp:docPr id="371" name="Imagen 37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Según el Fondo de Población de las Naciones Unidas</w:t>
      </w:r>
      <w:r w:rsidR="0036411F" w:rsidRPr="00E94619">
        <w:rPr>
          <w:rFonts w:ascii="Century Gothic" w:hAnsi="Century Gothic"/>
          <w:i/>
        </w:rPr>
        <w:t xml:space="preserve"> </w:t>
      </w:r>
      <w:r w:rsidR="0036411F" w:rsidRPr="00E94619">
        <w:rPr>
          <w:rFonts w:ascii="Century Gothic" w:hAnsi="Century Gothic"/>
        </w:rPr>
        <w:t>UNFPA, Colombia es el único país de América Latina y el Caribe en el que se conoce la existencia de la ablación femenina. En el año 2007 se supo que en la comunidad Embera, que cuenta con más de 250.000</w:t>
      </w:r>
      <w:r w:rsidR="0036411F" w:rsidRPr="00E94619">
        <w:rPr>
          <w:rFonts w:ascii="Century Gothic" w:hAnsi="Century Gothic"/>
          <w:color w:val="FF0000"/>
        </w:rPr>
        <w:t xml:space="preserve"> </w:t>
      </w:r>
      <w:r w:rsidR="0036411F" w:rsidRPr="00E94619">
        <w:rPr>
          <w:rFonts w:ascii="Century Gothic" w:hAnsi="Century Gothic"/>
        </w:rPr>
        <w:t>mil miembros y se encuentran en seis zonas del país, se lleva a cabo esta práctica.</w:t>
      </w:r>
      <w:r w:rsidR="0062749F" w:rsidRPr="00E94619">
        <w:rPr>
          <w:rFonts w:ascii="Century Gothic" w:hAnsi="Century Gothic"/>
        </w:rPr>
        <w:t xml:space="preserve"> Se estima que 2 de cada 3 mujeres son </w:t>
      </w:r>
      <w:r w:rsidR="0062749F" w:rsidRPr="00E94619">
        <w:rPr>
          <w:rFonts w:ascii="Century Gothic" w:hAnsi="Century Gothic"/>
        </w:rPr>
        <w:lastRenderedPageBreak/>
        <w:t xml:space="preserve">o han sido afectadas por la práctica. Las áreas de </w:t>
      </w:r>
      <w:r w:rsidR="00F062DA" w:rsidRPr="00E94619">
        <w:rPr>
          <w:rFonts w:ascii="Century Gothic" w:hAnsi="Century Gothic"/>
        </w:rPr>
        <w:t>i</w:t>
      </w:r>
      <w:r w:rsidR="0062749F" w:rsidRPr="00E94619">
        <w:rPr>
          <w:rFonts w:ascii="Century Gothic" w:hAnsi="Century Gothic"/>
        </w:rPr>
        <w:t xml:space="preserve">nfluencia donde se ha detectado la practica </w:t>
      </w:r>
      <w:r w:rsidR="00F062DA" w:rsidRPr="00E94619">
        <w:rPr>
          <w:rFonts w:ascii="Century Gothic" w:hAnsi="Century Gothic"/>
        </w:rPr>
        <w:t xml:space="preserve">son </w:t>
      </w:r>
      <w:r w:rsidR="0062749F" w:rsidRPr="00E94619">
        <w:rPr>
          <w:rFonts w:ascii="Century Gothic" w:hAnsi="Century Gothic"/>
        </w:rPr>
        <w:t xml:space="preserve">los resguardos indígenas del Pueblo Embera ubicados en los </w:t>
      </w:r>
      <w:r w:rsidR="00F062DA" w:rsidRPr="00E94619">
        <w:rPr>
          <w:rFonts w:ascii="Century Gothic" w:hAnsi="Century Gothic"/>
        </w:rPr>
        <w:t>m</w:t>
      </w:r>
      <w:r w:rsidR="0062749F" w:rsidRPr="00E94619">
        <w:rPr>
          <w:rFonts w:ascii="Century Gothic" w:hAnsi="Century Gothic"/>
        </w:rPr>
        <w:t xml:space="preserve">unicipios de Carmen de Atrato, Quibdó, Bagadó, San José del Palmar en el </w:t>
      </w:r>
      <w:r w:rsidR="00F062DA" w:rsidRPr="00E94619">
        <w:rPr>
          <w:rFonts w:ascii="Century Gothic" w:hAnsi="Century Gothic"/>
        </w:rPr>
        <w:t>d</w:t>
      </w:r>
      <w:r w:rsidR="0062749F" w:rsidRPr="00E94619">
        <w:rPr>
          <w:rFonts w:ascii="Century Gothic" w:hAnsi="Century Gothic"/>
        </w:rPr>
        <w:t xml:space="preserve">epartamento del Chocó; Pueblo Rico y Mistrató en Risaralda; Dovio, Bolívar y Arserma Nuevo en el Valle del Cauca y Urrao en el </w:t>
      </w:r>
      <w:r w:rsidR="00711BC7" w:rsidRPr="00E94619">
        <w:rPr>
          <w:rFonts w:ascii="Century Gothic" w:hAnsi="Century Gothic"/>
        </w:rPr>
        <w:t>m</w:t>
      </w:r>
      <w:r w:rsidR="0062749F" w:rsidRPr="00E94619">
        <w:rPr>
          <w:rFonts w:ascii="Century Gothic" w:hAnsi="Century Gothic"/>
        </w:rPr>
        <w:t>unicipio de Antioquia</w:t>
      </w:r>
      <w:r w:rsidR="00F2794B" w:rsidRPr="00E94619">
        <w:rPr>
          <w:rStyle w:val="Refdenotaalpie"/>
          <w:rFonts w:ascii="Century Gothic" w:hAnsi="Century Gothic"/>
        </w:rPr>
        <w:footnoteReference w:id="24"/>
      </w:r>
      <w:r w:rsidR="0036411F" w:rsidRPr="00E94619">
        <w:rPr>
          <w:rFonts w:ascii="Century Gothic" w:hAnsi="Century Gothic"/>
        </w:rPr>
        <w:t xml:space="preserve"> </w:t>
      </w:r>
      <w:sdt>
        <w:sdtPr>
          <w:rPr>
            <w:rFonts w:ascii="Century Gothic" w:hAnsi="Century Gothic"/>
          </w:rPr>
          <w:id w:val="1148247573"/>
          <w:citation/>
        </w:sdtPr>
        <w:sdtContent>
          <w:r w:rsidR="0066722C" w:rsidRPr="00E94619">
            <w:rPr>
              <w:rFonts w:ascii="Century Gothic" w:hAnsi="Century Gothic"/>
            </w:rPr>
            <w:fldChar w:fldCharType="begin"/>
          </w:r>
          <w:r w:rsidR="0066722C" w:rsidRPr="00E94619">
            <w:rPr>
              <w:rFonts w:ascii="Century Gothic" w:hAnsi="Century Gothic"/>
              <w:lang w:val="es-MX"/>
            </w:rPr>
            <w:instrText xml:space="preserve"> CITATION ONI16 \l 2058 </w:instrText>
          </w:r>
          <w:r w:rsidR="0066722C" w:rsidRPr="00E94619">
            <w:rPr>
              <w:rFonts w:ascii="Century Gothic" w:hAnsi="Century Gothic"/>
            </w:rPr>
            <w:fldChar w:fldCharType="separate"/>
          </w:r>
          <w:r w:rsidR="0066722C" w:rsidRPr="00E94619">
            <w:rPr>
              <w:rFonts w:ascii="Century Gothic" w:hAnsi="Century Gothic"/>
              <w:noProof/>
              <w:lang w:val="es-MX"/>
            </w:rPr>
            <w:t>(ONIC, 2016)</w:t>
          </w:r>
          <w:r w:rsidR="0066722C" w:rsidRPr="00E94619">
            <w:rPr>
              <w:rFonts w:ascii="Century Gothic" w:hAnsi="Century Gothic"/>
            </w:rPr>
            <w:fldChar w:fldCharType="end"/>
          </w:r>
        </w:sdtContent>
      </w:sdt>
    </w:p>
    <w:p w14:paraId="15D974AA" w14:textId="2A30973A" w:rsidR="001238D7" w:rsidRPr="00E94619" w:rsidRDefault="001238D7" w:rsidP="000E5AC0">
      <w:pPr>
        <w:spacing w:after="0" w:line="240" w:lineRule="auto"/>
        <w:rPr>
          <w:rFonts w:ascii="Century Gothic" w:hAnsi="Century Gothic"/>
          <w:b/>
        </w:rPr>
      </w:pPr>
    </w:p>
    <w:p w14:paraId="525D4B63" w14:textId="77777777" w:rsidR="001238D7" w:rsidRPr="00E94619" w:rsidRDefault="0036411F" w:rsidP="000E5AC0">
      <w:pPr>
        <w:spacing w:after="0" w:line="240" w:lineRule="auto"/>
        <w:rPr>
          <w:rFonts w:ascii="Century Gothic" w:hAnsi="Century Gothic"/>
          <w:b/>
        </w:rPr>
      </w:pPr>
      <w:r w:rsidRPr="00E94619">
        <w:rPr>
          <w:rFonts w:ascii="Century Gothic" w:hAnsi="Century Gothic"/>
          <w:b/>
        </w:rPr>
        <w:t>Respuesta del Estado:</w:t>
      </w:r>
    </w:p>
    <w:p w14:paraId="6022068E" w14:textId="77777777" w:rsidR="001238D7" w:rsidRDefault="0036411F" w:rsidP="000E5AC0">
      <w:pPr>
        <w:spacing w:after="0" w:line="240" w:lineRule="auto"/>
        <w:jc w:val="both"/>
        <w:rPr>
          <w:rFonts w:ascii="Century Gothic" w:hAnsi="Century Gothic"/>
        </w:rPr>
      </w:pPr>
      <w:r w:rsidRPr="00E94619">
        <w:rPr>
          <w:rFonts w:ascii="Century Gothic" w:hAnsi="Century Gothic"/>
        </w:rPr>
        <w:t xml:space="preserve">Colombia no cuenta con normatividad específica para sancionar prevenir, atender y sancionar esta práctica, sin embargo, desde 2007, el Instituto Colombiano de Bienestar Familiar ICBF con el apoyo del UNFPA, han venido trabajando con las autoridades Embera, sus mujeres y sus parteras en el departamento de Risaralda. Esta labor llevó a </w:t>
      </w:r>
      <w:r w:rsidR="00FA5B9D" w:rsidRPr="00E94619">
        <w:rPr>
          <w:rFonts w:ascii="Century Gothic" w:hAnsi="Century Gothic"/>
        </w:rPr>
        <w:t xml:space="preserve">que </w:t>
      </w:r>
      <w:r w:rsidR="00711BC7" w:rsidRPr="00E94619">
        <w:rPr>
          <w:rFonts w:ascii="Century Gothic" w:hAnsi="Century Gothic"/>
        </w:rPr>
        <w:t>las</w:t>
      </w:r>
      <w:r w:rsidR="00FA5B9D" w:rsidRPr="00E94619">
        <w:rPr>
          <w:rFonts w:ascii="Century Gothic" w:hAnsi="Century Gothic"/>
        </w:rPr>
        <w:t xml:space="preserve"> comunidades Embera de Pueblo Rico y Mistrató (Risaralda), Trujillo (Valle del Cauca), y Embera Chamí (Valle del Cauca) declarar</w:t>
      </w:r>
      <w:r w:rsidR="00711BC7" w:rsidRPr="00E94619">
        <w:rPr>
          <w:rFonts w:ascii="Century Gothic" w:hAnsi="Century Gothic"/>
        </w:rPr>
        <w:t>a</w:t>
      </w:r>
      <w:r w:rsidR="00FA5B9D" w:rsidRPr="00E94619">
        <w:rPr>
          <w:rFonts w:ascii="Century Gothic" w:hAnsi="Century Gothic"/>
        </w:rPr>
        <w:t>n públicamente su compromiso para abandonar la práctica</w:t>
      </w:r>
      <w:r w:rsidR="00711BC7" w:rsidRPr="00E94619">
        <w:rPr>
          <w:rFonts w:ascii="Century Gothic" w:hAnsi="Century Gothic"/>
        </w:rPr>
        <w:t xml:space="preserve"> de la ablación femenina</w:t>
      </w:r>
      <w:r w:rsidR="00FA5B9D" w:rsidRPr="00E94619">
        <w:rPr>
          <w:rFonts w:ascii="Century Gothic" w:hAnsi="Century Gothic"/>
        </w:rPr>
        <w:t xml:space="preserve"> </w:t>
      </w:r>
      <w:r w:rsidRPr="00E94619">
        <w:rPr>
          <w:rFonts w:ascii="Century Gothic" w:hAnsi="Century Gothic"/>
        </w:rPr>
        <w:t>y se comprometieran a</w:t>
      </w:r>
      <w:r w:rsidR="00711BC7" w:rsidRPr="00E94619">
        <w:rPr>
          <w:rFonts w:ascii="Century Gothic" w:hAnsi="Century Gothic"/>
        </w:rPr>
        <w:t>: a)</w:t>
      </w:r>
      <w:r w:rsidRPr="00E94619">
        <w:rPr>
          <w:rFonts w:ascii="Century Gothic" w:hAnsi="Century Gothic"/>
        </w:rPr>
        <w:t xml:space="preserve"> formar a las mujeres </w:t>
      </w:r>
      <w:r w:rsidR="00711BC7" w:rsidRPr="00E94619">
        <w:rPr>
          <w:rFonts w:ascii="Century Gothic" w:hAnsi="Century Gothic"/>
        </w:rPr>
        <w:t xml:space="preserve">sobre sus </w:t>
      </w:r>
      <w:r w:rsidRPr="00E94619">
        <w:rPr>
          <w:rFonts w:ascii="Century Gothic" w:hAnsi="Century Gothic"/>
        </w:rPr>
        <w:t>sus derechos y los de sus hijas</w:t>
      </w:r>
      <w:r w:rsidR="00711BC7" w:rsidRPr="00E94619">
        <w:rPr>
          <w:rFonts w:ascii="Century Gothic" w:hAnsi="Century Gothic"/>
        </w:rPr>
        <w:t xml:space="preserve">; </w:t>
      </w:r>
      <w:r w:rsidRPr="00E94619">
        <w:rPr>
          <w:rFonts w:ascii="Century Gothic" w:hAnsi="Century Gothic"/>
        </w:rPr>
        <w:t xml:space="preserve"> </w:t>
      </w:r>
      <w:r w:rsidR="00711BC7" w:rsidRPr="00E94619">
        <w:rPr>
          <w:rFonts w:ascii="Century Gothic" w:hAnsi="Century Gothic"/>
        </w:rPr>
        <w:t xml:space="preserve">b) pedir </w:t>
      </w:r>
      <w:r w:rsidRPr="00E94619">
        <w:rPr>
          <w:rFonts w:ascii="Century Gothic" w:hAnsi="Century Gothic"/>
        </w:rPr>
        <w:t>a las parteras que renuncien a realiza</w:t>
      </w:r>
      <w:r w:rsidR="00711BC7" w:rsidRPr="00E94619">
        <w:rPr>
          <w:rFonts w:ascii="Century Gothic" w:hAnsi="Century Gothic"/>
        </w:rPr>
        <w:t>r</w:t>
      </w:r>
      <w:r w:rsidRPr="00E94619">
        <w:rPr>
          <w:rFonts w:ascii="Century Gothic" w:hAnsi="Century Gothic"/>
        </w:rPr>
        <w:t>la,</w:t>
      </w:r>
      <w:r w:rsidR="00711BC7" w:rsidRPr="00E94619">
        <w:rPr>
          <w:rFonts w:ascii="Century Gothic" w:hAnsi="Century Gothic"/>
        </w:rPr>
        <w:t xml:space="preserve"> y c) </w:t>
      </w:r>
      <w:r w:rsidRPr="00E94619">
        <w:rPr>
          <w:rFonts w:ascii="Century Gothic" w:hAnsi="Century Gothic"/>
        </w:rPr>
        <w:t>fortalecer la medicina tradicional y apoyar el liderazgo femenino</w:t>
      </w:r>
      <w:sdt>
        <w:sdtPr>
          <w:rPr>
            <w:rFonts w:ascii="Century Gothic" w:hAnsi="Century Gothic"/>
          </w:rPr>
          <w:id w:val="-2096083768"/>
          <w:citation/>
        </w:sdtPr>
        <w:sdtContent>
          <w:r w:rsidR="00FA5B9D" w:rsidRPr="00E94619">
            <w:rPr>
              <w:rFonts w:ascii="Century Gothic" w:hAnsi="Century Gothic"/>
            </w:rPr>
            <w:fldChar w:fldCharType="begin"/>
          </w:r>
          <w:r w:rsidR="00FA5B9D" w:rsidRPr="00E94619">
            <w:rPr>
              <w:rFonts w:ascii="Century Gothic" w:hAnsi="Century Gothic"/>
              <w:lang w:val="es-MX"/>
            </w:rPr>
            <w:instrText xml:space="preserve"> CITATION ONI20 \l 2058 </w:instrText>
          </w:r>
          <w:r w:rsidR="00FA5B9D" w:rsidRPr="00E94619">
            <w:rPr>
              <w:rFonts w:ascii="Century Gothic" w:hAnsi="Century Gothic"/>
            </w:rPr>
            <w:fldChar w:fldCharType="separate"/>
          </w:r>
          <w:r w:rsidR="00FA5B9D" w:rsidRPr="00E94619">
            <w:rPr>
              <w:rFonts w:ascii="Century Gothic" w:hAnsi="Century Gothic"/>
              <w:noProof/>
              <w:lang w:val="es-MX"/>
            </w:rPr>
            <w:t xml:space="preserve"> (ONIC, 2020)</w:t>
          </w:r>
          <w:r w:rsidR="00FA5B9D" w:rsidRPr="00E94619">
            <w:rPr>
              <w:rFonts w:ascii="Century Gothic" w:hAnsi="Century Gothic"/>
            </w:rPr>
            <w:fldChar w:fldCharType="end"/>
          </w:r>
        </w:sdtContent>
      </w:sdt>
      <w:r w:rsidRPr="00E94619">
        <w:rPr>
          <w:rFonts w:ascii="Century Gothic" w:hAnsi="Century Gothic"/>
        </w:rPr>
        <w:t>.</w:t>
      </w:r>
    </w:p>
    <w:p w14:paraId="7BBE1D34" w14:textId="77777777" w:rsidR="00281050" w:rsidRPr="00E94619" w:rsidRDefault="00281050" w:rsidP="000E5AC0">
      <w:pPr>
        <w:spacing w:after="0" w:line="240" w:lineRule="auto"/>
        <w:jc w:val="both"/>
        <w:rPr>
          <w:rFonts w:ascii="Century Gothic" w:hAnsi="Century Gothic"/>
        </w:rPr>
      </w:pPr>
    </w:p>
    <w:p w14:paraId="7F6FD0CE" w14:textId="77777777" w:rsidR="00281050" w:rsidRPr="00E94619" w:rsidRDefault="00281050" w:rsidP="000E5AC0">
      <w:pPr>
        <w:spacing w:after="0" w:line="240" w:lineRule="auto"/>
        <w:rPr>
          <w:rFonts w:ascii="Century Gothic" w:hAnsi="Century Gothic"/>
          <w:b/>
        </w:rPr>
      </w:pPr>
    </w:p>
    <w:p w14:paraId="1CAA41F5"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 la sociedad civil</w:t>
      </w:r>
    </w:p>
    <w:p w14:paraId="7FAA7687" w14:textId="77777777" w:rsidR="00281050" w:rsidRPr="00E94619" w:rsidRDefault="00281050" w:rsidP="000E5AC0">
      <w:pPr>
        <w:spacing w:after="0" w:line="240" w:lineRule="auto"/>
        <w:rPr>
          <w:rFonts w:ascii="Century Gothic" w:hAnsi="Century Gothic"/>
          <w:b/>
        </w:rPr>
      </w:pPr>
    </w:p>
    <w:tbl>
      <w:tblPr>
        <w:tblStyle w:val="afff9"/>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9"/>
        <w:gridCol w:w="4687"/>
      </w:tblGrid>
      <w:tr w:rsidR="001238D7" w:rsidRPr="00E94619" w14:paraId="0CCA2B10" w14:textId="77777777" w:rsidTr="0089786B">
        <w:tc>
          <w:tcPr>
            <w:tcW w:w="4359" w:type="dxa"/>
            <w:tcBorders>
              <w:top w:val="single" w:sz="4" w:space="0" w:color="CC0066"/>
              <w:left w:val="single" w:sz="4" w:space="0" w:color="CC0066"/>
              <w:bottom w:val="single" w:sz="4" w:space="0" w:color="CC0066"/>
              <w:right w:val="single" w:sz="4" w:space="0" w:color="CC0066"/>
            </w:tcBorders>
            <w:shd w:val="clear" w:color="auto" w:fill="FF99CC"/>
          </w:tcPr>
          <w:p w14:paraId="4AB125E6"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Organizaciones de la sociedad civil</w:t>
            </w:r>
          </w:p>
        </w:tc>
        <w:tc>
          <w:tcPr>
            <w:tcW w:w="4687" w:type="dxa"/>
            <w:tcBorders>
              <w:top w:val="single" w:sz="4" w:space="0" w:color="CC0066"/>
              <w:left w:val="single" w:sz="4" w:space="0" w:color="CC0066"/>
              <w:bottom w:val="single" w:sz="4" w:space="0" w:color="CC0066"/>
              <w:right w:val="single" w:sz="4" w:space="0" w:color="CC0066"/>
            </w:tcBorders>
          </w:tcPr>
          <w:p w14:paraId="0907D6D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ONIC (Organización Nacional Indígena Colombiana): </w:t>
            </w:r>
            <w:r w:rsidRPr="00E94619">
              <w:rPr>
                <w:rFonts w:ascii="Century Gothic" w:hAnsi="Century Gothic"/>
                <w:sz w:val="16"/>
                <w:szCs w:val="16"/>
              </w:rPr>
              <w:t>se ha comprometido con la erradicación de esta práctica.</w:t>
            </w:r>
          </w:p>
        </w:tc>
      </w:tr>
      <w:tr w:rsidR="001238D7" w:rsidRPr="00E94619" w14:paraId="670071F7" w14:textId="77777777" w:rsidTr="0089786B">
        <w:tc>
          <w:tcPr>
            <w:tcW w:w="4359" w:type="dxa"/>
            <w:tcBorders>
              <w:top w:val="single" w:sz="4" w:space="0" w:color="CC0066"/>
              <w:left w:val="single" w:sz="4" w:space="0" w:color="CC0066"/>
              <w:bottom w:val="single" w:sz="4" w:space="0" w:color="CC0066"/>
              <w:right w:val="single" w:sz="4" w:space="0" w:color="CC0066"/>
            </w:tcBorders>
            <w:shd w:val="clear" w:color="auto" w:fill="FF99CC"/>
          </w:tcPr>
          <w:p w14:paraId="42E2AB53"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Cooperación Internacional</w:t>
            </w:r>
          </w:p>
        </w:tc>
        <w:tc>
          <w:tcPr>
            <w:tcW w:w="4687" w:type="dxa"/>
            <w:tcBorders>
              <w:top w:val="single" w:sz="4" w:space="0" w:color="CC0066"/>
              <w:left w:val="single" w:sz="4" w:space="0" w:color="CC0066"/>
              <w:bottom w:val="single" w:sz="4" w:space="0" w:color="CC0066"/>
              <w:right w:val="single" w:sz="4" w:space="0" w:color="CC0066"/>
            </w:tcBorders>
          </w:tcPr>
          <w:p w14:paraId="0CD376E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UNFPA</w:t>
            </w:r>
            <w:r w:rsidRPr="00E94619">
              <w:rPr>
                <w:rFonts w:ascii="Century Gothic" w:hAnsi="Century Gothic"/>
                <w:color w:val="000000"/>
                <w:sz w:val="16"/>
                <w:szCs w:val="16"/>
              </w:rPr>
              <w:t xml:space="preserve"> (Fondo de Población de las naciones Unidas): Visibilización, sensibilización e incidencia política sobre la importancia de erradicar esta práctica. </w:t>
            </w:r>
          </w:p>
          <w:p w14:paraId="278651E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UNICEF</w:t>
            </w:r>
            <w:r w:rsidRPr="00E94619">
              <w:rPr>
                <w:rFonts w:ascii="Century Gothic" w:eastAsia="Arial" w:hAnsi="Century Gothic" w:cs="Arial"/>
                <w:color w:val="000000"/>
                <w:sz w:val="20"/>
                <w:szCs w:val="20"/>
              </w:rPr>
              <w:t xml:space="preserve"> (</w:t>
            </w:r>
            <w:r w:rsidRPr="00E94619">
              <w:rPr>
                <w:rFonts w:ascii="Century Gothic" w:hAnsi="Century Gothic"/>
                <w:color w:val="000000"/>
                <w:sz w:val="16"/>
                <w:szCs w:val="16"/>
              </w:rPr>
              <w:t>Fondo para la Infancia de Naciones Unidas)</w:t>
            </w:r>
            <w:r w:rsidRPr="00E94619">
              <w:rPr>
                <w:rFonts w:ascii="Century Gothic" w:hAnsi="Century Gothic"/>
                <w:b/>
                <w:color w:val="000000"/>
                <w:sz w:val="16"/>
                <w:szCs w:val="16"/>
              </w:rPr>
              <w:t xml:space="preserve">: </w:t>
            </w:r>
            <w:r w:rsidRPr="00E94619">
              <w:rPr>
                <w:rFonts w:ascii="Century Gothic" w:hAnsi="Century Gothic"/>
                <w:color w:val="000000"/>
                <w:sz w:val="16"/>
                <w:szCs w:val="16"/>
              </w:rPr>
              <w:t xml:space="preserve">Visibilización de esta problemática. </w:t>
            </w:r>
          </w:p>
        </w:tc>
      </w:tr>
    </w:tbl>
    <w:p w14:paraId="1720FE47" w14:textId="77777777" w:rsidR="001238D7" w:rsidRPr="00E94619" w:rsidRDefault="00830DBC" w:rsidP="000E5AC0">
      <w:pPr>
        <w:spacing w:after="0" w:line="240" w:lineRule="auto"/>
        <w:jc w:val="both"/>
        <w:rPr>
          <w:rFonts w:ascii="Century Gothic" w:hAnsi="Century Gothic"/>
          <w:b/>
        </w:rPr>
      </w:pPr>
      <w:sdt>
        <w:sdtPr>
          <w:rPr>
            <w:rFonts w:ascii="Century Gothic" w:hAnsi="Century Gothic"/>
          </w:rPr>
          <w:tag w:val="goog_rdk_18"/>
          <w:id w:val="1716386378"/>
          <w:showingPlcHdr/>
        </w:sdtPr>
        <w:sdtContent>
          <w:r w:rsidR="00711BC7" w:rsidRPr="00E94619">
            <w:rPr>
              <w:rFonts w:ascii="Century Gothic" w:hAnsi="Century Gothic"/>
            </w:rPr>
            <w:t xml:space="preserve">     </w:t>
          </w:r>
        </w:sdtContent>
      </w:sdt>
    </w:p>
    <w:p w14:paraId="67C7B2B2" w14:textId="77777777" w:rsidR="001238D7" w:rsidRDefault="0036411F" w:rsidP="000E5AC0">
      <w:pPr>
        <w:spacing w:after="0" w:line="240" w:lineRule="auto"/>
        <w:jc w:val="both"/>
        <w:rPr>
          <w:rFonts w:ascii="Century Gothic" w:hAnsi="Century Gothic"/>
          <w:b/>
        </w:rPr>
      </w:pPr>
      <w:r w:rsidRPr="00E94619">
        <w:rPr>
          <w:rFonts w:ascii="Century Gothic" w:hAnsi="Century Gothic"/>
          <w:b/>
          <w:color w:val="000000"/>
        </w:rPr>
        <w:t xml:space="preserve">Avances y retos para erradicar la </w:t>
      </w:r>
      <w:r w:rsidRPr="00E94619">
        <w:rPr>
          <w:rFonts w:ascii="Century Gothic" w:hAnsi="Century Gothic"/>
          <w:b/>
        </w:rPr>
        <w:t>mutilación y ablación genital femenina</w:t>
      </w:r>
    </w:p>
    <w:p w14:paraId="3115C9E7" w14:textId="77777777" w:rsidR="00281050" w:rsidRPr="00E94619" w:rsidRDefault="00281050" w:rsidP="000E5AC0">
      <w:pPr>
        <w:spacing w:after="0" w:line="240" w:lineRule="auto"/>
        <w:jc w:val="both"/>
        <w:rPr>
          <w:rFonts w:ascii="Century Gothic" w:hAnsi="Century Gothic"/>
          <w:b/>
          <w:u w:val="single"/>
        </w:rPr>
      </w:pPr>
    </w:p>
    <w:tbl>
      <w:tblPr>
        <w:tblStyle w:val="afffa"/>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5644"/>
      </w:tblGrid>
      <w:tr w:rsidR="001238D7" w:rsidRPr="00E94619" w14:paraId="5B11D003" w14:textId="77777777" w:rsidTr="0089786B">
        <w:tc>
          <w:tcPr>
            <w:tcW w:w="3402" w:type="dxa"/>
            <w:tcBorders>
              <w:top w:val="single" w:sz="4" w:space="0" w:color="CC0066"/>
              <w:left w:val="single" w:sz="4" w:space="0" w:color="CC0066"/>
              <w:bottom w:val="single" w:sz="4" w:space="0" w:color="CC0066"/>
              <w:right w:val="single" w:sz="4" w:space="0" w:color="CC0066"/>
            </w:tcBorders>
            <w:shd w:val="clear" w:color="auto" w:fill="FF99CC"/>
          </w:tcPr>
          <w:p w14:paraId="731F4CC0"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5644" w:type="dxa"/>
            <w:tcBorders>
              <w:top w:val="single" w:sz="4" w:space="0" w:color="CC0066"/>
              <w:left w:val="single" w:sz="4" w:space="0" w:color="CC0066"/>
              <w:bottom w:val="single" w:sz="4" w:space="0" w:color="CC0066"/>
              <w:right w:val="single" w:sz="4" w:space="0" w:color="CC0066"/>
            </w:tcBorders>
            <w:shd w:val="clear" w:color="auto" w:fill="FF99CC"/>
          </w:tcPr>
          <w:p w14:paraId="12D045C8"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29600C99" w14:textId="77777777" w:rsidTr="003F560F">
        <w:trPr>
          <w:trHeight w:val="1403"/>
        </w:trPr>
        <w:tc>
          <w:tcPr>
            <w:tcW w:w="3402" w:type="dxa"/>
            <w:tcBorders>
              <w:top w:val="single" w:sz="4" w:space="0" w:color="CC0066"/>
              <w:left w:val="single" w:sz="4" w:space="0" w:color="CC0066"/>
              <w:bottom w:val="single" w:sz="4" w:space="0" w:color="CC0066"/>
              <w:right w:val="single" w:sz="4" w:space="0" w:color="CC0066"/>
            </w:tcBorders>
            <w:shd w:val="clear" w:color="auto" w:fill="auto"/>
          </w:tcPr>
          <w:p w14:paraId="5565F26F"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-Visibilización de la problemática.</w:t>
            </w:r>
          </w:p>
          <w:p w14:paraId="43126304"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El Plan Nacional de Desarrollo 2014-2018, incluye entre sus disposiciones garantizar recursos para avanzar en la erradicación de la mutilación genital femenina en el país. </w:t>
            </w:r>
          </w:p>
          <w:p w14:paraId="336D705D"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-Se concertó el Plan Nacional para la erradicación de prácticas nocivas para la vida y la salud de las mujeres y niñas indígenas (2015).</w:t>
            </w:r>
          </w:p>
          <w:p w14:paraId="087C6672"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w:t>
            </w:r>
            <w:r w:rsidRPr="00E94619">
              <w:rPr>
                <w:rFonts w:ascii="Century Gothic" w:hAnsi="Century Gothic"/>
                <w:sz w:val="16"/>
                <w:szCs w:val="16"/>
              </w:rPr>
              <w:t xml:space="preserve"> Ley 1761 de 2015</w:t>
            </w:r>
            <w:r w:rsidRPr="00E94619">
              <w:rPr>
                <w:rFonts w:ascii="Century Gothic" w:hAnsi="Century Gothic"/>
                <w:color w:val="000000"/>
                <w:sz w:val="16"/>
                <w:szCs w:val="16"/>
              </w:rPr>
              <w:t xml:space="preserve"> (Rosa Elvira Celis), sobre feminicidio, incluyó como agravante la mutilación genital femenina. </w:t>
            </w:r>
          </w:p>
          <w:p w14:paraId="2772E1E8"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4 y 5 Informe de país ante la Comisión de la Convención de los Derechos del Niño:</w:t>
            </w:r>
          </w:p>
          <w:p w14:paraId="7D51477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-Se reconoció el avance en cuanto a la sensibilización de comunidades indígenas Embera para erradicar esta práctica. </w:t>
            </w:r>
          </w:p>
          <w:p w14:paraId="323067D1" w14:textId="5C4B1480" w:rsidR="00505FD6" w:rsidRPr="00E94619" w:rsidRDefault="00D2173C" w:rsidP="000E5AC0">
            <w:pPr>
              <w:spacing w:after="0" w:line="240" w:lineRule="auto"/>
              <w:jc w:val="both"/>
              <w:rPr>
                <w:rFonts w:ascii="Century Gothic" w:hAnsi="Century Gothic"/>
                <w:color w:val="000000"/>
                <w:sz w:val="16"/>
                <w:szCs w:val="16"/>
              </w:rPr>
            </w:pPr>
            <w:r>
              <w:rPr>
                <w:rFonts w:ascii="Century Gothic" w:hAnsi="Century Gothic"/>
                <w:b/>
                <w:noProof/>
                <w:szCs w:val="24"/>
                <w:lang w:val="es-ES"/>
              </w:rPr>
              <w:drawing>
                <wp:anchor distT="0" distB="0" distL="114300" distR="114300" simplePos="0" relativeHeight="251802624" behindDoc="0" locked="0" layoutInCell="1" allowOverlap="1" wp14:anchorId="76D59CE3" wp14:editId="719E5234">
                  <wp:simplePos x="0" y="0"/>
                  <wp:positionH relativeFrom="column">
                    <wp:posOffset>-1080135</wp:posOffset>
                  </wp:positionH>
                  <wp:positionV relativeFrom="paragraph">
                    <wp:posOffset>-9029065</wp:posOffset>
                  </wp:positionV>
                  <wp:extent cx="965835" cy="708660"/>
                  <wp:effectExtent l="0" t="0" r="0" b="0"/>
                  <wp:wrapNone/>
                  <wp:docPr id="372" name="Imagen 37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505FD6" w:rsidRPr="00E94619">
              <w:rPr>
                <w:rFonts w:ascii="Century Gothic" w:hAnsi="Century Gothic"/>
                <w:color w:val="000000"/>
                <w:sz w:val="16"/>
                <w:szCs w:val="16"/>
              </w:rPr>
              <w:t xml:space="preserve">-La Consejería de Mujer, Familia y Generación de la Organización </w:t>
            </w:r>
            <w:r w:rsidR="00505FD6" w:rsidRPr="00E94619">
              <w:rPr>
                <w:rFonts w:ascii="Century Gothic" w:hAnsi="Century Gothic"/>
                <w:color w:val="000000"/>
                <w:sz w:val="16"/>
                <w:szCs w:val="16"/>
              </w:rPr>
              <w:lastRenderedPageBreak/>
              <w:t>Nacional Indígena de Colombia - ONIC -, en su compromiso por la prevención y protección de las mujeres y las niñas indígenas, ha venido trabajando por medio de la resolución “Mujeres, violencias y acceso a la justicia” del año 2015</w:t>
            </w:r>
            <w:sdt>
              <w:sdtPr>
                <w:rPr>
                  <w:rFonts w:ascii="Century Gothic" w:hAnsi="Century Gothic"/>
                  <w:color w:val="000000"/>
                  <w:sz w:val="16"/>
                  <w:szCs w:val="16"/>
                </w:rPr>
                <w:id w:val="690266636"/>
                <w:citation/>
              </w:sdtPr>
              <w:sdtContent>
                <w:r w:rsidR="00505FD6" w:rsidRPr="00E94619">
                  <w:rPr>
                    <w:rFonts w:ascii="Century Gothic" w:hAnsi="Century Gothic"/>
                    <w:color w:val="000000"/>
                    <w:sz w:val="16"/>
                    <w:szCs w:val="16"/>
                  </w:rPr>
                  <w:fldChar w:fldCharType="begin"/>
                </w:r>
                <w:r w:rsidR="00505FD6" w:rsidRPr="00E94619">
                  <w:rPr>
                    <w:rFonts w:ascii="Century Gothic" w:hAnsi="Century Gothic"/>
                    <w:color w:val="000000"/>
                    <w:sz w:val="16"/>
                    <w:szCs w:val="16"/>
                    <w:lang w:val="es-MX"/>
                  </w:rPr>
                  <w:instrText xml:space="preserve"> CITATION ONI20 \l 2058 </w:instrText>
                </w:r>
                <w:r w:rsidR="00505FD6" w:rsidRPr="00E94619">
                  <w:rPr>
                    <w:rFonts w:ascii="Century Gothic" w:hAnsi="Century Gothic"/>
                    <w:color w:val="000000"/>
                    <w:sz w:val="16"/>
                    <w:szCs w:val="16"/>
                  </w:rPr>
                  <w:fldChar w:fldCharType="separate"/>
                </w:r>
                <w:r w:rsidR="00505FD6" w:rsidRPr="00E94619">
                  <w:rPr>
                    <w:rFonts w:ascii="Century Gothic" w:hAnsi="Century Gothic"/>
                    <w:noProof/>
                    <w:color w:val="000000"/>
                    <w:sz w:val="16"/>
                    <w:szCs w:val="16"/>
                    <w:lang w:val="es-MX"/>
                  </w:rPr>
                  <w:t xml:space="preserve"> (ONIC, 2020)</w:t>
                </w:r>
                <w:r w:rsidR="00505FD6" w:rsidRPr="00E94619">
                  <w:rPr>
                    <w:rFonts w:ascii="Century Gothic" w:hAnsi="Century Gothic"/>
                    <w:color w:val="000000"/>
                    <w:sz w:val="16"/>
                    <w:szCs w:val="16"/>
                  </w:rPr>
                  <w:fldChar w:fldCharType="end"/>
                </w:r>
              </w:sdtContent>
            </w:sdt>
            <w:r w:rsidR="00505FD6" w:rsidRPr="00E94619">
              <w:rPr>
                <w:rStyle w:val="Refdenotaalpie"/>
                <w:rFonts w:ascii="Century Gothic" w:hAnsi="Century Gothic"/>
                <w:color w:val="000000"/>
                <w:sz w:val="16"/>
                <w:szCs w:val="16"/>
              </w:rPr>
              <w:footnoteReference w:id="25"/>
            </w:r>
          </w:p>
        </w:tc>
        <w:tc>
          <w:tcPr>
            <w:tcW w:w="5644" w:type="dxa"/>
            <w:tcBorders>
              <w:top w:val="single" w:sz="4" w:space="0" w:color="CC0066"/>
              <w:left w:val="single" w:sz="4" w:space="0" w:color="CC0066"/>
              <w:bottom w:val="single" w:sz="4" w:space="0" w:color="CC0066"/>
              <w:right w:val="single" w:sz="4" w:space="0" w:color="CC0066"/>
            </w:tcBorders>
            <w:shd w:val="clear" w:color="auto" w:fill="auto"/>
          </w:tcPr>
          <w:p w14:paraId="06672616"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 xml:space="preserve">-Es necesario que el Estado tome medidas para que todas las comunidades Embera del país erradiquen esta práctica en sus comunidades. </w:t>
            </w:r>
          </w:p>
          <w:p w14:paraId="3E2CC154"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el acceso a la salud sexual y reproductiva de las mujeres indígenas.</w:t>
            </w:r>
          </w:p>
          <w:p w14:paraId="56019B37"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-Poner en marcha el Plan Nacional para la erradicación de prácticas nocivas para la vida y la salud de las mujeres y niñas indígenas. </w:t>
            </w:r>
          </w:p>
          <w:p w14:paraId="16AC75C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color w:val="000000"/>
                <w:sz w:val="16"/>
                <w:szCs w:val="16"/>
              </w:rPr>
              <w:t>-Contar con información sobre la magnitud de esta práctica.</w:t>
            </w:r>
          </w:p>
          <w:p w14:paraId="71303E18" w14:textId="77777777" w:rsidR="001238D7" w:rsidRPr="00E94619" w:rsidRDefault="001238D7" w:rsidP="000E5AC0">
            <w:pPr>
              <w:spacing w:after="0" w:line="240" w:lineRule="auto"/>
              <w:jc w:val="both"/>
              <w:rPr>
                <w:rFonts w:ascii="Century Gothic" w:hAnsi="Century Gothic"/>
                <w:color w:val="000000"/>
                <w:sz w:val="16"/>
                <w:szCs w:val="16"/>
              </w:rPr>
            </w:pPr>
          </w:p>
          <w:p w14:paraId="62CB0BE3"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Recomendaciones Comité de la CEDAW al 7 y 8 Informe del Estado Colombiano:</w:t>
            </w:r>
          </w:p>
          <w:p w14:paraId="2293F655"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-Continuar abriendo espacios de dialogo entre el Estado, las organizaciones de la sociedad civil y las autoridades indígenas para seguir avanzando en el abordaje y erradicación de esta problemática.</w:t>
            </w:r>
          </w:p>
          <w:p w14:paraId="215DDFD1"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-Continuar promoviendo estrategias de sensibilización en las comunidades para que reconozcan las afectaciones de esta práctica en la vida y salud de las mujeres y niñas colombianas.</w:t>
            </w:r>
          </w:p>
        </w:tc>
      </w:tr>
    </w:tbl>
    <w:p w14:paraId="64D021D8" w14:textId="77777777" w:rsidR="001238D7" w:rsidRPr="00E94619" w:rsidRDefault="001238D7" w:rsidP="000E5AC0">
      <w:pPr>
        <w:spacing w:after="0" w:line="240" w:lineRule="auto"/>
        <w:rPr>
          <w:rFonts w:ascii="Century Gothic" w:hAnsi="Century Gothic"/>
          <w:b/>
        </w:rPr>
      </w:pPr>
    </w:p>
    <w:p w14:paraId="1FAF5AA0" w14:textId="77777777" w:rsidR="001238D7" w:rsidRPr="00281050" w:rsidRDefault="0036411F" w:rsidP="000E5AC0">
      <w:pPr>
        <w:pStyle w:val="Ttulo2"/>
        <w:rPr>
          <w:rFonts w:ascii="Century Gothic" w:hAnsi="Century Gothic"/>
          <w:b w:val="0"/>
          <w:color w:val="CC3366"/>
        </w:rPr>
      </w:pPr>
      <w:bookmarkStart w:id="37" w:name="_Toc488624254"/>
      <w:r w:rsidRPr="00281050">
        <w:rPr>
          <w:rFonts w:ascii="Century Gothic" w:hAnsi="Century Gothic"/>
          <w:b w:val="0"/>
          <w:color w:val="CC3366"/>
        </w:rPr>
        <w:t>1.5 Violencia por Agentes Químicos</w:t>
      </w:r>
      <w:bookmarkEnd w:id="37"/>
    </w:p>
    <w:p w14:paraId="253468F8" w14:textId="77777777" w:rsidR="001238D7" w:rsidRPr="00E94619" w:rsidRDefault="001238D7" w:rsidP="000E5AC0">
      <w:pPr>
        <w:spacing w:after="0" w:line="240" w:lineRule="auto"/>
        <w:rPr>
          <w:rFonts w:ascii="Century Gothic" w:hAnsi="Century Gothic"/>
          <w:b/>
          <w:u w:val="single"/>
        </w:rPr>
      </w:pPr>
    </w:p>
    <w:p w14:paraId="66ABB873"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Esta violencia, según el marco jurídico colombiano, hace referencia a lesiones con agentes químicos, ácido y/o sustancias similares. Es decir, la acción que cause a otra persona daño en el cuerpo o en la salud, usando para ello cualquier tipo de agente químico, álcalis, sustancias similares o corrosivas que generen destrucción al entrar en contacto con el tejido humano. Esta forma de violencia además de ser usada para afrontar problemas familiares, vecinales y de pareja, también es empleada por la delincuencia común.</w:t>
      </w:r>
    </w:p>
    <w:p w14:paraId="64D0031E" w14:textId="77777777" w:rsidR="001238D7" w:rsidRPr="00E94619" w:rsidRDefault="001238D7" w:rsidP="000E5AC0">
      <w:pPr>
        <w:spacing w:after="0" w:line="240" w:lineRule="auto"/>
        <w:jc w:val="both"/>
        <w:rPr>
          <w:rFonts w:ascii="Century Gothic" w:hAnsi="Century Gothic"/>
        </w:rPr>
      </w:pPr>
    </w:p>
    <w:p w14:paraId="77A2FD9B" w14:textId="78B05A6B" w:rsidR="00CA5E8F" w:rsidRPr="00E94619" w:rsidRDefault="0036411F" w:rsidP="000E5AC0">
      <w:pPr>
        <w:spacing w:after="0" w:line="240" w:lineRule="auto"/>
        <w:jc w:val="both"/>
        <w:rPr>
          <w:rFonts w:ascii="Century Gothic" w:hAnsi="Century Gothic"/>
        </w:rPr>
      </w:pPr>
      <w:r w:rsidRPr="00E94619">
        <w:rPr>
          <w:rFonts w:ascii="Century Gothic" w:hAnsi="Century Gothic"/>
        </w:rPr>
        <w:t>De acuerdo con los reportes de Medicina Legal este tipo de violencia afecta tanto a las mujeres como a los hombres, sin embargo, en el caso de las mujeres está relacionada con relaciones de pareja o exparejas.</w:t>
      </w:r>
    </w:p>
    <w:p w14:paraId="7F567A8C" w14:textId="77777777" w:rsidR="00731923" w:rsidRPr="00E94619" w:rsidRDefault="00731923" w:rsidP="000E5AC0">
      <w:pPr>
        <w:spacing w:after="0" w:line="240" w:lineRule="auto"/>
        <w:jc w:val="both"/>
        <w:rPr>
          <w:rFonts w:ascii="Century Gothic" w:hAnsi="Century Gothic"/>
        </w:rPr>
      </w:pPr>
    </w:p>
    <w:p w14:paraId="33A839E2" w14:textId="1DAA9F8A" w:rsidR="00731923" w:rsidRPr="00281050" w:rsidRDefault="00731923" w:rsidP="00281050">
      <w:pPr>
        <w:spacing w:after="0" w:line="240" w:lineRule="auto"/>
        <w:jc w:val="center"/>
        <w:rPr>
          <w:rFonts w:ascii="Century Gothic" w:hAnsi="Century Gothic"/>
          <w:b/>
          <w:sz w:val="16"/>
          <w:szCs w:val="16"/>
        </w:rPr>
      </w:pPr>
      <w:r w:rsidRPr="00281050">
        <w:rPr>
          <w:rFonts w:ascii="Century Gothic" w:hAnsi="Century Gothic"/>
          <w:b/>
          <w:sz w:val="16"/>
          <w:szCs w:val="16"/>
        </w:rPr>
        <w:t>Gráfica 12</w:t>
      </w:r>
      <w:r w:rsidR="00281050" w:rsidRPr="00281050">
        <w:rPr>
          <w:rFonts w:ascii="Century Gothic" w:hAnsi="Century Gothic"/>
          <w:b/>
          <w:sz w:val="16"/>
          <w:szCs w:val="16"/>
        </w:rPr>
        <w:t>. Quemaduras con agentes químicos y biológicos</w:t>
      </w:r>
    </w:p>
    <w:p w14:paraId="57C151AA" w14:textId="5A9823E4" w:rsidR="00731923" w:rsidRPr="00E94619" w:rsidRDefault="00281050"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75648" behindDoc="0" locked="0" layoutInCell="1" allowOverlap="1" wp14:anchorId="50A4E815" wp14:editId="389157DF">
            <wp:simplePos x="0" y="0"/>
            <wp:positionH relativeFrom="column">
              <wp:posOffset>1828800</wp:posOffset>
            </wp:positionH>
            <wp:positionV relativeFrom="paragraph">
              <wp:posOffset>104140</wp:posOffset>
            </wp:positionV>
            <wp:extent cx="1862455" cy="111887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2455" cy="1118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6DA4C" w14:textId="626F157C" w:rsidR="001238D7" w:rsidRPr="00E94619" w:rsidRDefault="00830DBC" w:rsidP="000E5AC0">
      <w:pPr>
        <w:spacing w:after="0" w:line="240" w:lineRule="auto"/>
        <w:rPr>
          <w:rFonts w:ascii="Century Gothic" w:hAnsi="Century Gothic"/>
          <w:sz w:val="16"/>
          <w:szCs w:val="16"/>
        </w:rPr>
      </w:pPr>
      <w:sdt>
        <w:sdtPr>
          <w:rPr>
            <w:rFonts w:ascii="Century Gothic" w:hAnsi="Century Gothic"/>
          </w:rPr>
          <w:tag w:val="goog_rdk_19"/>
          <w:id w:val="-1137413083"/>
        </w:sdtPr>
        <w:sdtContent/>
      </w:sdt>
      <w:r w:rsidR="009F5D30" w:rsidRPr="00E94619">
        <w:rPr>
          <w:rFonts w:ascii="Century Gothic" w:hAnsi="Century Gothic"/>
        </w:rPr>
        <w:t xml:space="preserve"> </w:t>
      </w:r>
    </w:p>
    <w:p w14:paraId="07C10DEA" w14:textId="77777777" w:rsidR="00281050" w:rsidRDefault="00281050" w:rsidP="00281050">
      <w:pPr>
        <w:spacing w:after="0" w:line="240" w:lineRule="auto"/>
        <w:jc w:val="center"/>
        <w:rPr>
          <w:rFonts w:ascii="Century Gothic" w:hAnsi="Century Gothic"/>
          <w:sz w:val="16"/>
          <w:szCs w:val="16"/>
        </w:rPr>
      </w:pPr>
    </w:p>
    <w:p w14:paraId="143F892D" w14:textId="77777777" w:rsidR="00281050" w:rsidRDefault="00281050" w:rsidP="00281050">
      <w:pPr>
        <w:spacing w:after="0" w:line="240" w:lineRule="auto"/>
        <w:jc w:val="center"/>
        <w:rPr>
          <w:rFonts w:ascii="Century Gothic" w:hAnsi="Century Gothic"/>
          <w:sz w:val="16"/>
          <w:szCs w:val="16"/>
        </w:rPr>
      </w:pPr>
    </w:p>
    <w:p w14:paraId="647E3B8B" w14:textId="77777777" w:rsidR="00281050" w:rsidRDefault="00281050" w:rsidP="00281050">
      <w:pPr>
        <w:spacing w:after="0" w:line="240" w:lineRule="auto"/>
        <w:jc w:val="center"/>
        <w:rPr>
          <w:rFonts w:ascii="Century Gothic" w:hAnsi="Century Gothic"/>
          <w:sz w:val="16"/>
          <w:szCs w:val="16"/>
        </w:rPr>
      </w:pPr>
    </w:p>
    <w:p w14:paraId="59BF262D" w14:textId="77777777" w:rsidR="00281050" w:rsidRDefault="00281050" w:rsidP="00281050">
      <w:pPr>
        <w:spacing w:after="0" w:line="240" w:lineRule="auto"/>
        <w:jc w:val="center"/>
        <w:rPr>
          <w:rFonts w:ascii="Century Gothic" w:hAnsi="Century Gothic"/>
          <w:sz w:val="16"/>
          <w:szCs w:val="16"/>
        </w:rPr>
      </w:pPr>
    </w:p>
    <w:p w14:paraId="15286EA8" w14:textId="77777777" w:rsidR="00281050" w:rsidRDefault="00281050" w:rsidP="00281050">
      <w:pPr>
        <w:spacing w:after="0" w:line="240" w:lineRule="auto"/>
        <w:jc w:val="center"/>
        <w:rPr>
          <w:rFonts w:ascii="Century Gothic" w:hAnsi="Century Gothic"/>
          <w:sz w:val="16"/>
          <w:szCs w:val="16"/>
        </w:rPr>
      </w:pPr>
    </w:p>
    <w:p w14:paraId="4B29E27F" w14:textId="77777777" w:rsidR="00281050" w:rsidRDefault="00281050" w:rsidP="00281050">
      <w:pPr>
        <w:spacing w:after="0" w:line="240" w:lineRule="auto"/>
        <w:jc w:val="center"/>
        <w:rPr>
          <w:rFonts w:ascii="Century Gothic" w:hAnsi="Century Gothic"/>
          <w:sz w:val="16"/>
          <w:szCs w:val="16"/>
        </w:rPr>
      </w:pPr>
    </w:p>
    <w:p w14:paraId="20E2F635" w14:textId="77777777" w:rsidR="00281050" w:rsidRDefault="00281050" w:rsidP="00281050">
      <w:pPr>
        <w:spacing w:after="0" w:line="240" w:lineRule="auto"/>
        <w:jc w:val="center"/>
        <w:rPr>
          <w:rFonts w:ascii="Century Gothic" w:hAnsi="Century Gothic"/>
          <w:sz w:val="16"/>
          <w:szCs w:val="16"/>
        </w:rPr>
      </w:pPr>
    </w:p>
    <w:p w14:paraId="3E0C2173" w14:textId="77777777" w:rsidR="00281050" w:rsidRDefault="00281050" w:rsidP="00281050">
      <w:pPr>
        <w:spacing w:after="0" w:line="240" w:lineRule="auto"/>
        <w:jc w:val="center"/>
        <w:rPr>
          <w:rFonts w:ascii="Century Gothic" w:hAnsi="Century Gothic"/>
          <w:sz w:val="16"/>
          <w:szCs w:val="16"/>
        </w:rPr>
      </w:pPr>
    </w:p>
    <w:p w14:paraId="3AD172E5" w14:textId="35B73625" w:rsidR="001238D7" w:rsidRPr="00E94619" w:rsidRDefault="00711BC7" w:rsidP="00281050">
      <w:pPr>
        <w:spacing w:after="0" w:line="240" w:lineRule="auto"/>
        <w:jc w:val="center"/>
        <w:rPr>
          <w:rFonts w:ascii="Century Gothic" w:eastAsia="Calibri" w:hAnsi="Century Gothic" w:cs="Calibri"/>
          <w:color w:val="000000"/>
          <w:sz w:val="16"/>
          <w:szCs w:val="16"/>
        </w:rPr>
      </w:pPr>
      <w:r w:rsidRPr="00E94619">
        <w:rPr>
          <w:rFonts w:ascii="Century Gothic" w:hAnsi="Century Gothic"/>
          <w:sz w:val="16"/>
          <w:szCs w:val="16"/>
        </w:rPr>
        <w:t>Fuente:</w:t>
      </w:r>
      <w:r w:rsidR="0036411F" w:rsidRPr="00E94619">
        <w:rPr>
          <w:rFonts w:ascii="Century Gothic" w:hAnsi="Century Gothic"/>
          <w:sz w:val="16"/>
          <w:szCs w:val="16"/>
        </w:rPr>
        <w:t xml:space="preserve"> </w:t>
      </w:r>
      <w:r w:rsidR="0036411F" w:rsidRPr="00E94619">
        <w:rPr>
          <w:rFonts w:ascii="Century Gothic" w:eastAsia="Calibri" w:hAnsi="Century Gothic" w:cs="Calibri"/>
          <w:color w:val="000000"/>
          <w:sz w:val="16"/>
          <w:szCs w:val="16"/>
        </w:rPr>
        <w:t>Instituto Nacional de Medicina Legal y Ciencias Forenses</w:t>
      </w:r>
      <w:r w:rsidRPr="00E94619">
        <w:rPr>
          <w:rFonts w:ascii="Century Gothic" w:eastAsia="Calibri" w:hAnsi="Century Gothic" w:cs="Calibri"/>
          <w:color w:val="000000"/>
          <w:sz w:val="16"/>
          <w:szCs w:val="16"/>
        </w:rPr>
        <w:t>.</w:t>
      </w:r>
    </w:p>
    <w:p w14:paraId="10319A81" w14:textId="77777777" w:rsidR="001238D7" w:rsidRPr="00E94619" w:rsidRDefault="001238D7" w:rsidP="000E5AC0">
      <w:pPr>
        <w:spacing w:after="0" w:line="240" w:lineRule="auto"/>
        <w:rPr>
          <w:rFonts w:ascii="Century Gothic" w:eastAsia="Calibri" w:hAnsi="Century Gothic" w:cs="Calibri"/>
          <w:color w:val="000000"/>
          <w:sz w:val="16"/>
          <w:szCs w:val="16"/>
        </w:rPr>
      </w:pPr>
    </w:p>
    <w:p w14:paraId="5A00FC23"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del Estado</w:t>
      </w:r>
    </w:p>
    <w:p w14:paraId="3AE4D476" w14:textId="77777777" w:rsidR="00281050" w:rsidRPr="00E94619" w:rsidRDefault="00281050" w:rsidP="000E5AC0">
      <w:pPr>
        <w:spacing w:after="0" w:line="240" w:lineRule="auto"/>
        <w:rPr>
          <w:rFonts w:ascii="Century Gothic" w:hAnsi="Century Gothic"/>
          <w:b/>
        </w:rPr>
      </w:pPr>
    </w:p>
    <w:tbl>
      <w:tblPr>
        <w:tblStyle w:val="afffb"/>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4"/>
      </w:tblGrid>
      <w:tr w:rsidR="001238D7" w:rsidRPr="00E94619" w14:paraId="09EE4390" w14:textId="77777777" w:rsidTr="0089786B">
        <w:trPr>
          <w:trHeight w:val="257"/>
        </w:trPr>
        <w:tc>
          <w:tcPr>
            <w:tcW w:w="8904" w:type="dxa"/>
            <w:tcBorders>
              <w:top w:val="single" w:sz="4" w:space="0" w:color="CC0066"/>
              <w:left w:val="single" w:sz="4" w:space="0" w:color="CC0066"/>
              <w:bottom w:val="single" w:sz="4" w:space="0" w:color="CC0066"/>
              <w:right w:val="single" w:sz="4" w:space="0" w:color="CC0066"/>
            </w:tcBorders>
            <w:shd w:val="clear" w:color="auto" w:fill="FF99CC"/>
          </w:tcPr>
          <w:p w14:paraId="72D5AA2C"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MARCO NORMATIVO</w:t>
            </w:r>
          </w:p>
        </w:tc>
      </w:tr>
      <w:tr w:rsidR="001238D7" w:rsidRPr="00E94619" w14:paraId="31C37EA7" w14:textId="77777777" w:rsidTr="0089786B">
        <w:tc>
          <w:tcPr>
            <w:tcW w:w="8904" w:type="dxa"/>
            <w:tcBorders>
              <w:top w:val="single" w:sz="4" w:space="0" w:color="CC0066"/>
              <w:left w:val="single" w:sz="4" w:space="0" w:color="CC0066"/>
              <w:bottom w:val="single" w:sz="4" w:space="0" w:color="CC0066"/>
              <w:right w:val="single" w:sz="4" w:space="0" w:color="CC0066"/>
            </w:tcBorders>
          </w:tcPr>
          <w:p w14:paraId="14A29C3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1773 de 2016: </w:t>
            </w:r>
            <w:r w:rsidRPr="00E94619">
              <w:rPr>
                <w:rFonts w:ascii="Century Gothic" w:hAnsi="Century Gothic"/>
                <w:sz w:val="16"/>
                <w:szCs w:val="16"/>
              </w:rPr>
              <w:t>aumenta las penas por ataques de ácido.</w:t>
            </w:r>
          </w:p>
          <w:p w14:paraId="3D50C17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-Resolución 4568 de 2014:</w:t>
            </w:r>
            <w:r w:rsidRPr="00E94619">
              <w:rPr>
                <w:rFonts w:ascii="Century Gothic" w:hAnsi="Century Gothic"/>
                <w:sz w:val="16"/>
                <w:szCs w:val="16"/>
              </w:rPr>
              <w:t xml:space="preserve"> por el cual se adopta el Protocolo de Atención de Urgencias a Víctimas de Ataques con Agentes Químicos. </w:t>
            </w:r>
          </w:p>
          <w:p w14:paraId="5E1A4B3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-Ley 1639 de 2013:</w:t>
            </w:r>
            <w:r w:rsidRPr="00E94619">
              <w:rPr>
                <w:rFonts w:ascii="Century Gothic" w:hAnsi="Century Gothic"/>
                <w:sz w:val="16"/>
                <w:szCs w:val="16"/>
              </w:rPr>
              <w:t xml:space="preserve"> por medio de la cual se fortalecen las medidas de protección a la integridad de las víctimas de crímenes con ácido y se adiciona el artículo 113 de la ley 599 de 2000.</w:t>
            </w:r>
          </w:p>
        </w:tc>
      </w:tr>
    </w:tbl>
    <w:p w14:paraId="52D07CB4" w14:textId="77777777" w:rsidR="00C060F9" w:rsidRDefault="00C060F9" w:rsidP="000E5AC0">
      <w:pPr>
        <w:spacing w:after="0" w:line="240" w:lineRule="auto"/>
        <w:rPr>
          <w:rFonts w:ascii="Century Gothic" w:hAnsi="Century Gothic"/>
          <w:b/>
        </w:rPr>
      </w:pPr>
    </w:p>
    <w:p w14:paraId="2089B814" w14:textId="5E679ED2" w:rsidR="00C060F9" w:rsidRDefault="0036411F" w:rsidP="000E5AC0">
      <w:pPr>
        <w:spacing w:after="0" w:line="240" w:lineRule="auto"/>
        <w:rPr>
          <w:rFonts w:ascii="Century Gothic" w:hAnsi="Century Gothic"/>
          <w:b/>
        </w:rPr>
      </w:pPr>
      <w:r w:rsidRPr="00E94619">
        <w:rPr>
          <w:rFonts w:ascii="Century Gothic" w:hAnsi="Century Gothic"/>
          <w:b/>
        </w:rPr>
        <w:t>Respuesta de la sociedad civil</w:t>
      </w:r>
    </w:p>
    <w:p w14:paraId="77B79386" w14:textId="77777777" w:rsidR="00281050" w:rsidRPr="00E94619" w:rsidRDefault="00281050" w:rsidP="000E5AC0">
      <w:pPr>
        <w:spacing w:after="0" w:line="240" w:lineRule="auto"/>
        <w:rPr>
          <w:rFonts w:ascii="Century Gothic" w:hAnsi="Century Gothic"/>
          <w:b/>
        </w:rPr>
      </w:pPr>
    </w:p>
    <w:tbl>
      <w:tblPr>
        <w:tblStyle w:val="afffc"/>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2"/>
        <w:gridCol w:w="4622"/>
      </w:tblGrid>
      <w:tr w:rsidR="001238D7" w:rsidRPr="00E94619" w14:paraId="0C316C49" w14:textId="77777777" w:rsidTr="0089786B">
        <w:tc>
          <w:tcPr>
            <w:tcW w:w="4282" w:type="dxa"/>
            <w:tcBorders>
              <w:top w:val="single" w:sz="4" w:space="0" w:color="CC0066"/>
              <w:left w:val="single" w:sz="4" w:space="0" w:color="CC0066"/>
              <w:bottom w:val="single" w:sz="4" w:space="0" w:color="CC0066"/>
              <w:right w:val="single" w:sz="4" w:space="0" w:color="CC0066"/>
            </w:tcBorders>
            <w:shd w:val="clear" w:color="auto" w:fill="FF99CC"/>
          </w:tcPr>
          <w:p w14:paraId="6EE924B8"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Organizaciones de la sociedad civil</w:t>
            </w:r>
          </w:p>
        </w:tc>
        <w:tc>
          <w:tcPr>
            <w:tcW w:w="4622" w:type="dxa"/>
            <w:tcBorders>
              <w:top w:val="single" w:sz="4" w:space="0" w:color="CC0066"/>
              <w:left w:val="single" w:sz="4" w:space="0" w:color="CC0066"/>
              <w:bottom w:val="single" w:sz="4" w:space="0" w:color="CC0066"/>
              <w:right w:val="single" w:sz="4" w:space="0" w:color="CC0066"/>
            </w:tcBorders>
          </w:tcPr>
          <w:p w14:paraId="013292AB"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color w:val="000000"/>
                <w:sz w:val="16"/>
                <w:szCs w:val="16"/>
              </w:rPr>
              <w:t>Fundación Natalia Ponce de León</w:t>
            </w:r>
            <w:r w:rsidRPr="00E94619">
              <w:rPr>
                <w:rFonts w:ascii="Century Gothic" w:hAnsi="Century Gothic"/>
                <w:color w:val="000000"/>
                <w:sz w:val="16"/>
                <w:szCs w:val="16"/>
              </w:rPr>
              <w:t xml:space="preserve">: entidad creada para defender, promover y proteger los derechos humanos de las personas víctimas de ataques con químicos. </w:t>
            </w:r>
          </w:p>
        </w:tc>
      </w:tr>
    </w:tbl>
    <w:p w14:paraId="5EEE5BC8" w14:textId="77777777" w:rsidR="003F560F" w:rsidRDefault="003F560F" w:rsidP="000E5AC0">
      <w:pPr>
        <w:spacing w:after="0" w:line="240" w:lineRule="auto"/>
        <w:rPr>
          <w:rFonts w:ascii="Century Gothic" w:hAnsi="Century Gothic"/>
          <w:b/>
        </w:rPr>
      </w:pPr>
    </w:p>
    <w:p w14:paraId="7943FC51" w14:textId="77777777" w:rsidR="003F560F" w:rsidRDefault="003F560F" w:rsidP="000E5AC0">
      <w:pPr>
        <w:spacing w:after="0" w:line="240" w:lineRule="auto"/>
        <w:rPr>
          <w:rFonts w:ascii="Century Gothic" w:hAnsi="Century Gothic"/>
          <w:b/>
        </w:rPr>
      </w:pPr>
    </w:p>
    <w:p w14:paraId="4033A883" w14:textId="77777777" w:rsidR="003F560F" w:rsidRDefault="003F560F" w:rsidP="000E5AC0">
      <w:pPr>
        <w:spacing w:after="0" w:line="240" w:lineRule="auto"/>
        <w:rPr>
          <w:rFonts w:ascii="Century Gothic" w:hAnsi="Century Gothic"/>
          <w:b/>
        </w:rPr>
      </w:pPr>
    </w:p>
    <w:p w14:paraId="18D47173" w14:textId="77777777" w:rsidR="003F560F" w:rsidRDefault="003F560F" w:rsidP="000E5AC0">
      <w:pPr>
        <w:spacing w:after="0" w:line="240" w:lineRule="auto"/>
        <w:rPr>
          <w:rFonts w:ascii="Century Gothic" w:hAnsi="Century Gothic"/>
          <w:b/>
        </w:rPr>
      </w:pPr>
    </w:p>
    <w:p w14:paraId="291103AC" w14:textId="77777777" w:rsidR="003F560F" w:rsidRDefault="003F560F" w:rsidP="000E5AC0">
      <w:pPr>
        <w:spacing w:after="0" w:line="240" w:lineRule="auto"/>
        <w:rPr>
          <w:rFonts w:ascii="Century Gothic" w:hAnsi="Century Gothic"/>
          <w:b/>
        </w:rPr>
      </w:pPr>
    </w:p>
    <w:p w14:paraId="0CC6AE7C" w14:textId="77777777" w:rsidR="003F560F" w:rsidRDefault="003F560F" w:rsidP="000E5AC0">
      <w:pPr>
        <w:spacing w:after="0" w:line="240" w:lineRule="auto"/>
        <w:rPr>
          <w:rFonts w:ascii="Century Gothic" w:hAnsi="Century Gothic"/>
          <w:b/>
        </w:rPr>
      </w:pPr>
    </w:p>
    <w:p w14:paraId="5F13EEE8" w14:textId="2526678F" w:rsidR="001238D7" w:rsidRPr="00E94619" w:rsidRDefault="00D2173C" w:rsidP="000E5AC0">
      <w:pPr>
        <w:spacing w:after="0" w:line="240" w:lineRule="auto"/>
        <w:rPr>
          <w:rFonts w:ascii="Century Gothic" w:hAnsi="Century Gothic"/>
          <w:b/>
        </w:rPr>
      </w:pPr>
      <w:r>
        <w:rPr>
          <w:rFonts w:ascii="Century Gothic" w:hAnsi="Century Gothic"/>
          <w:b/>
          <w:noProof/>
          <w:szCs w:val="24"/>
          <w:lang w:val="es-ES"/>
        </w:rPr>
        <w:drawing>
          <wp:anchor distT="0" distB="0" distL="114300" distR="114300" simplePos="0" relativeHeight="251804672" behindDoc="0" locked="0" layoutInCell="1" allowOverlap="1" wp14:anchorId="3AFD2325" wp14:editId="4D5FAA79">
            <wp:simplePos x="0" y="0"/>
            <wp:positionH relativeFrom="column">
              <wp:posOffset>-1080135</wp:posOffset>
            </wp:positionH>
            <wp:positionV relativeFrom="paragraph">
              <wp:posOffset>-9186545</wp:posOffset>
            </wp:positionV>
            <wp:extent cx="965835" cy="708660"/>
            <wp:effectExtent l="0" t="0" r="0" b="0"/>
            <wp:wrapNone/>
            <wp:docPr id="373" name="Imagen 37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rPr>
        <w:t xml:space="preserve"> </w:t>
      </w:r>
    </w:p>
    <w:p w14:paraId="1AC11D14" w14:textId="5EAA4121" w:rsidR="001238D7" w:rsidRDefault="0036411F" w:rsidP="000E5AC0">
      <w:pPr>
        <w:spacing w:after="0" w:line="240" w:lineRule="auto"/>
        <w:rPr>
          <w:rFonts w:ascii="Century Gothic" w:hAnsi="Century Gothic"/>
          <w:b/>
        </w:rPr>
      </w:pPr>
      <w:r w:rsidRPr="00E94619">
        <w:rPr>
          <w:rFonts w:ascii="Century Gothic" w:hAnsi="Century Gothic"/>
          <w:b/>
        </w:rPr>
        <w:lastRenderedPageBreak/>
        <w:t>Avances y retos</w:t>
      </w:r>
    </w:p>
    <w:p w14:paraId="58A361A8" w14:textId="77777777" w:rsidR="00281050" w:rsidRPr="00E94619" w:rsidRDefault="00281050" w:rsidP="000E5AC0">
      <w:pPr>
        <w:spacing w:after="0" w:line="240" w:lineRule="auto"/>
        <w:rPr>
          <w:rFonts w:ascii="Century Gothic" w:hAnsi="Century Gothic"/>
          <w:b/>
        </w:rPr>
      </w:pPr>
    </w:p>
    <w:tbl>
      <w:tblPr>
        <w:tblStyle w:val="afffd"/>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514"/>
      </w:tblGrid>
      <w:tr w:rsidR="001238D7" w:rsidRPr="00E94619" w14:paraId="3E7A7D75" w14:textId="77777777" w:rsidTr="0089786B">
        <w:tc>
          <w:tcPr>
            <w:tcW w:w="4390" w:type="dxa"/>
            <w:tcBorders>
              <w:top w:val="single" w:sz="4" w:space="0" w:color="CC0066"/>
              <w:left w:val="single" w:sz="4" w:space="0" w:color="CC0066"/>
              <w:bottom w:val="single" w:sz="4" w:space="0" w:color="CC0066"/>
              <w:right w:val="single" w:sz="4" w:space="0" w:color="CC0066"/>
            </w:tcBorders>
            <w:shd w:val="clear" w:color="auto" w:fill="FF99CC"/>
          </w:tcPr>
          <w:p w14:paraId="7D853B83"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4514" w:type="dxa"/>
            <w:tcBorders>
              <w:top w:val="single" w:sz="4" w:space="0" w:color="CC0066"/>
              <w:left w:val="single" w:sz="4" w:space="0" w:color="CC0066"/>
              <w:bottom w:val="single" w:sz="4" w:space="0" w:color="CC0066"/>
              <w:right w:val="single" w:sz="4" w:space="0" w:color="CC0066"/>
            </w:tcBorders>
            <w:shd w:val="clear" w:color="auto" w:fill="FF99CC"/>
          </w:tcPr>
          <w:p w14:paraId="7B491A1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0D552E72" w14:textId="77777777" w:rsidTr="0089786B">
        <w:tc>
          <w:tcPr>
            <w:tcW w:w="4390" w:type="dxa"/>
            <w:tcBorders>
              <w:top w:val="single" w:sz="4" w:space="0" w:color="CC0066"/>
              <w:left w:val="single" w:sz="4" w:space="0" w:color="CC0066"/>
              <w:bottom w:val="single" w:sz="4" w:space="0" w:color="CC0066"/>
              <w:right w:val="single" w:sz="4" w:space="0" w:color="CC0066"/>
            </w:tcBorders>
          </w:tcPr>
          <w:p w14:paraId="7C2BC5A5" w14:textId="0C0E8D04"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De acuerdo con el informe de la Ley 1257 de 2008 del 2015:</w:t>
            </w:r>
            <w:r w:rsidR="00D2173C">
              <w:rPr>
                <w:rFonts w:ascii="Century Gothic" w:hAnsi="Century Gothic"/>
                <w:b/>
                <w:noProof/>
                <w:szCs w:val="24"/>
                <w:lang w:val="es-ES"/>
              </w:rPr>
              <w:t xml:space="preserve"> </w:t>
            </w:r>
          </w:p>
          <w:p w14:paraId="364A4A7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-Existencia de una ruta intersectorial de atención integral a las víctimas de ataques con agentes químicos </w:t>
            </w:r>
            <w:r w:rsidR="00A042A6" w:rsidRPr="00E94619">
              <w:rPr>
                <w:rFonts w:ascii="Century Gothic" w:hAnsi="Century Gothic"/>
                <w:color w:val="000000"/>
                <w:sz w:val="16"/>
                <w:szCs w:val="16"/>
              </w:rPr>
              <w:t>de acuerdo con</w:t>
            </w:r>
            <w:r w:rsidRPr="00E94619">
              <w:rPr>
                <w:rFonts w:ascii="Century Gothic" w:hAnsi="Century Gothic"/>
                <w:color w:val="000000"/>
                <w:sz w:val="16"/>
                <w:szCs w:val="16"/>
              </w:rPr>
              <w:t xml:space="preserve"> lo establecido por los marcos normativos, específicamente lo contemplado en la Resolución 4568 de 2014. </w:t>
            </w:r>
          </w:p>
          <w:p w14:paraId="5B17BD6D" w14:textId="77777777" w:rsidR="001238D7" w:rsidRPr="00E94619" w:rsidRDefault="001238D7" w:rsidP="000E5AC0">
            <w:pPr>
              <w:spacing w:after="0" w:line="240" w:lineRule="auto"/>
              <w:jc w:val="both"/>
              <w:rPr>
                <w:rFonts w:ascii="Century Gothic" w:hAnsi="Century Gothic"/>
                <w:color w:val="000000"/>
                <w:sz w:val="16"/>
                <w:szCs w:val="16"/>
              </w:rPr>
            </w:pPr>
          </w:p>
          <w:p w14:paraId="38CAE4A7" w14:textId="77777777" w:rsidR="001238D7" w:rsidRPr="00E94619" w:rsidRDefault="001238D7" w:rsidP="000E5AC0">
            <w:pPr>
              <w:spacing w:after="0" w:line="240" w:lineRule="auto"/>
              <w:jc w:val="both"/>
              <w:rPr>
                <w:rFonts w:ascii="Century Gothic" w:hAnsi="Century Gothic"/>
                <w:color w:val="000000"/>
                <w:sz w:val="16"/>
                <w:szCs w:val="16"/>
              </w:rPr>
            </w:pPr>
          </w:p>
        </w:tc>
        <w:tc>
          <w:tcPr>
            <w:tcW w:w="4514" w:type="dxa"/>
            <w:tcBorders>
              <w:top w:val="single" w:sz="4" w:space="0" w:color="CC0066"/>
              <w:left w:val="single" w:sz="4" w:space="0" w:color="CC0066"/>
              <w:bottom w:val="single" w:sz="4" w:space="0" w:color="CC0066"/>
              <w:right w:val="single" w:sz="4" w:space="0" w:color="CC0066"/>
            </w:tcBorders>
          </w:tcPr>
          <w:p w14:paraId="5AB29D47"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De acuerdo con el informe de la Ley 1257 de 2008, del 2015:</w:t>
            </w:r>
          </w:p>
          <w:p w14:paraId="114898F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-Falta de especialistas y de condiciones necesarias en los centros médicos cuando llegan víctimas de quemaduras con agentes químicos. </w:t>
            </w:r>
          </w:p>
          <w:p w14:paraId="292206D7"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-Las ambulancias no cuentan con los kits de urgencias especializados para la atención de estos casos.</w:t>
            </w:r>
          </w:p>
          <w:p w14:paraId="196D3349"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-Es necesario sensibilizar y formar a las-los profesionales de salud para la implementación de la Resolución 2003 de 2014 y la Resolución 4568 de 2014.</w:t>
            </w:r>
          </w:p>
        </w:tc>
      </w:tr>
    </w:tbl>
    <w:p w14:paraId="17E3845D" w14:textId="77777777" w:rsidR="001238D7" w:rsidRPr="00E94619" w:rsidRDefault="001238D7" w:rsidP="000E5AC0">
      <w:pPr>
        <w:spacing w:after="0" w:line="240" w:lineRule="auto"/>
        <w:rPr>
          <w:rFonts w:ascii="Century Gothic" w:hAnsi="Century Gothic"/>
          <w:b/>
          <w:u w:val="single"/>
        </w:rPr>
      </w:pPr>
    </w:p>
    <w:p w14:paraId="0E599910" w14:textId="77777777" w:rsidR="001238D7" w:rsidRPr="00281050" w:rsidRDefault="0036411F" w:rsidP="000E5AC0">
      <w:pPr>
        <w:pStyle w:val="Ttulo2"/>
        <w:rPr>
          <w:rFonts w:ascii="Century Gothic" w:hAnsi="Century Gothic"/>
          <w:b w:val="0"/>
          <w:color w:val="CC3366"/>
        </w:rPr>
      </w:pPr>
      <w:bookmarkStart w:id="38" w:name="_Toc488624255"/>
      <w:r w:rsidRPr="00281050">
        <w:rPr>
          <w:rFonts w:ascii="Century Gothic" w:hAnsi="Century Gothic"/>
          <w:b w:val="0"/>
          <w:color w:val="CC3366"/>
        </w:rPr>
        <w:t>1.6 Feminicidio</w:t>
      </w:r>
      <w:bookmarkEnd w:id="38"/>
    </w:p>
    <w:p w14:paraId="1E51B3E9" w14:textId="77777777" w:rsidR="001238D7" w:rsidRPr="00E94619" w:rsidRDefault="001238D7" w:rsidP="000E5AC0">
      <w:pPr>
        <w:spacing w:after="0" w:line="240" w:lineRule="auto"/>
        <w:rPr>
          <w:rFonts w:ascii="Century Gothic" w:hAnsi="Century Gothic"/>
          <w:b/>
          <w:u w:val="single"/>
        </w:rPr>
      </w:pPr>
    </w:p>
    <w:p w14:paraId="3F6FB4DB"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El feminicidio corresponde al delito por la extrema violencia de género contra las mujeres y que les ocasiona la muerte, puede suceder en el ámbito público o privado. Según el estudio adelantado por la Corporación Humanas el “</w:t>
      </w:r>
      <w:r w:rsidRPr="00E94619">
        <w:rPr>
          <w:rFonts w:ascii="Century Gothic" w:hAnsi="Century Gothic"/>
          <w:i/>
        </w:rPr>
        <w:t>femicidio es un concepto que surge con intencionalidad política: develar el sustrato sexista o misógino –y por tanto, político– de los asesinatos de mujeres, el cual permanece oculto cuando es denominado con palabras neutras como homicidio o asesinato</w:t>
      </w:r>
      <w:r w:rsidRPr="00E94619">
        <w:rPr>
          <w:rFonts w:ascii="Century Gothic" w:hAnsi="Century Gothic"/>
        </w:rPr>
        <w:t>” (Humanas: 2015: 12). En el marco jurídico colombiano este delito se asocia con circunstancias que pueden estar asociadas a la convivencia en diferentes ámbitos: (familiar, amistad, compañerismo y laboral), antecedida por daños físicos, psicológico, sexual o patrimonial, pero también por condiciones que no estén</w:t>
      </w:r>
      <w:r w:rsidRPr="00E94619">
        <w:rPr>
          <w:rFonts w:ascii="Century Gothic" w:hAnsi="Century Gothic"/>
          <w:i/>
        </w:rPr>
        <w:t xml:space="preserve"> </w:t>
      </w:r>
      <w:r w:rsidRPr="00E94619">
        <w:rPr>
          <w:rFonts w:ascii="Century Gothic" w:hAnsi="Century Gothic"/>
        </w:rPr>
        <w:t>asociadas a la convivencia</w:t>
      </w:r>
      <w:r w:rsidRPr="00E94619">
        <w:rPr>
          <w:rFonts w:ascii="Century Gothic" w:hAnsi="Century Gothic"/>
          <w:i/>
        </w:rPr>
        <w:t xml:space="preserve"> </w:t>
      </w:r>
      <w:r w:rsidRPr="00E94619">
        <w:rPr>
          <w:rFonts w:ascii="Century Gothic" w:hAnsi="Century Gothic"/>
        </w:rPr>
        <w:t>como</w:t>
      </w:r>
      <w:r w:rsidRPr="00E94619">
        <w:rPr>
          <w:rFonts w:ascii="Century Gothic" w:hAnsi="Century Gothic"/>
          <w:i/>
        </w:rPr>
        <w:t xml:space="preserve"> “en aprovechamiento de las relaciones de poder ejercidas sobre la mujer, expresado en la jerarquización personal, económica, sexual, militar, política o sociocultural”.</w:t>
      </w:r>
    </w:p>
    <w:p w14:paraId="3B7A0CC7" w14:textId="77777777" w:rsidR="001238D7" w:rsidRPr="00E94619" w:rsidRDefault="001238D7" w:rsidP="000E5AC0">
      <w:pPr>
        <w:spacing w:after="0" w:line="240" w:lineRule="auto"/>
        <w:jc w:val="both"/>
        <w:rPr>
          <w:rFonts w:ascii="Century Gothic" w:hAnsi="Century Gothic"/>
        </w:rPr>
      </w:pPr>
    </w:p>
    <w:p w14:paraId="5448F241" w14:textId="77777777" w:rsidR="001238D7" w:rsidRPr="00E94619" w:rsidRDefault="00830DBC" w:rsidP="000E5AC0">
      <w:pPr>
        <w:spacing w:after="0" w:line="240" w:lineRule="auto"/>
        <w:jc w:val="both"/>
        <w:rPr>
          <w:rFonts w:ascii="Century Gothic" w:hAnsi="Century Gothic"/>
        </w:rPr>
      </w:pPr>
      <w:sdt>
        <w:sdtPr>
          <w:rPr>
            <w:rFonts w:ascii="Century Gothic" w:hAnsi="Century Gothic"/>
          </w:rPr>
          <w:tag w:val="goog_rdk_20"/>
          <w:id w:val="275761322"/>
        </w:sdtPr>
        <w:sdtContent/>
      </w:sdt>
      <w:r w:rsidR="0036411F" w:rsidRPr="00E94619">
        <w:rPr>
          <w:rFonts w:ascii="Century Gothic" w:hAnsi="Century Gothic"/>
        </w:rPr>
        <w:t xml:space="preserve">Según </w:t>
      </w:r>
      <w:r w:rsidR="007413A6" w:rsidRPr="00E94619">
        <w:rPr>
          <w:rFonts w:ascii="Century Gothic" w:hAnsi="Century Gothic"/>
        </w:rPr>
        <w:t>SISMA Mujer</w:t>
      </w:r>
      <w:r w:rsidR="00711BC7" w:rsidRPr="00E94619">
        <w:rPr>
          <w:rFonts w:ascii="Century Gothic" w:hAnsi="Century Gothic"/>
        </w:rPr>
        <w:t>,</w:t>
      </w:r>
      <w:r w:rsidR="007413A6" w:rsidRPr="00E94619">
        <w:rPr>
          <w:rStyle w:val="Refdenotaalpie"/>
          <w:rFonts w:ascii="Century Gothic" w:hAnsi="Century Gothic"/>
        </w:rPr>
        <w:footnoteReference w:id="26"/>
      </w:r>
      <w:r w:rsidR="007413A6" w:rsidRPr="00E94619">
        <w:rPr>
          <w:rFonts w:ascii="Century Gothic" w:hAnsi="Century Gothic"/>
        </w:rPr>
        <w:t xml:space="preserve"> </w:t>
      </w:r>
      <w:r w:rsidR="00711BC7" w:rsidRPr="00E94619">
        <w:rPr>
          <w:rFonts w:ascii="Century Gothic" w:hAnsi="Century Gothic"/>
        </w:rPr>
        <w:t>entre</w:t>
      </w:r>
      <w:r w:rsidR="0036411F" w:rsidRPr="00E94619">
        <w:rPr>
          <w:rFonts w:ascii="Century Gothic" w:hAnsi="Century Gothic"/>
        </w:rPr>
        <w:t xml:space="preserve"> los años 20</w:t>
      </w:r>
      <w:r w:rsidR="009F48D9" w:rsidRPr="00E94619">
        <w:rPr>
          <w:rFonts w:ascii="Century Gothic" w:hAnsi="Century Gothic"/>
        </w:rPr>
        <w:t>08</w:t>
      </w:r>
      <w:r w:rsidR="0036411F" w:rsidRPr="00E94619">
        <w:rPr>
          <w:rFonts w:ascii="Century Gothic" w:hAnsi="Century Gothic"/>
        </w:rPr>
        <w:t xml:space="preserve"> </w:t>
      </w:r>
      <w:r w:rsidR="00711BC7" w:rsidRPr="00E94619">
        <w:rPr>
          <w:rFonts w:ascii="Century Gothic" w:hAnsi="Century Gothic"/>
        </w:rPr>
        <w:t>y</w:t>
      </w:r>
      <w:r w:rsidR="0036411F" w:rsidRPr="00E94619">
        <w:rPr>
          <w:rFonts w:ascii="Century Gothic" w:hAnsi="Century Gothic"/>
        </w:rPr>
        <w:t xml:space="preserve"> 201</w:t>
      </w:r>
      <w:r w:rsidR="005C0AB0" w:rsidRPr="00E94619">
        <w:rPr>
          <w:rFonts w:ascii="Century Gothic" w:hAnsi="Century Gothic"/>
        </w:rPr>
        <w:t>9</w:t>
      </w:r>
      <w:r w:rsidR="0036411F" w:rsidRPr="00E94619">
        <w:rPr>
          <w:rFonts w:ascii="Century Gothic" w:hAnsi="Century Gothic"/>
        </w:rPr>
        <w:t xml:space="preserve"> murieron de manera violenta</w:t>
      </w:r>
      <w:r w:rsidR="002574B9" w:rsidRPr="00E94619">
        <w:rPr>
          <w:rFonts w:ascii="Century Gothic" w:hAnsi="Century Gothic"/>
        </w:rPr>
        <w:t xml:space="preserve"> con </w:t>
      </w:r>
      <w:r w:rsidR="00027485" w:rsidRPr="00E94619">
        <w:rPr>
          <w:rFonts w:ascii="Century Gothic" w:hAnsi="Century Gothic"/>
        </w:rPr>
        <w:t>1</w:t>
      </w:r>
      <w:r w:rsidR="0036411F" w:rsidRPr="00E94619">
        <w:rPr>
          <w:rFonts w:ascii="Century Gothic" w:hAnsi="Century Gothic"/>
        </w:rPr>
        <w:t>.</w:t>
      </w:r>
      <w:r w:rsidR="002A3FF2" w:rsidRPr="00E94619">
        <w:rPr>
          <w:rFonts w:ascii="Century Gothic" w:hAnsi="Century Gothic"/>
        </w:rPr>
        <w:t>598</w:t>
      </w:r>
      <w:r w:rsidR="0036411F" w:rsidRPr="00E94619">
        <w:rPr>
          <w:rFonts w:ascii="Century Gothic" w:hAnsi="Century Gothic"/>
        </w:rPr>
        <w:t xml:space="preserve"> mujeres</w:t>
      </w:r>
      <w:r w:rsidR="00711BC7" w:rsidRPr="00E94619">
        <w:rPr>
          <w:rFonts w:ascii="Century Gothic" w:hAnsi="Century Gothic"/>
        </w:rPr>
        <w:t>, siendo la pareja o ex pareja el presunto agresor</w:t>
      </w:r>
      <w:r w:rsidR="0036411F" w:rsidRPr="00E94619">
        <w:rPr>
          <w:rFonts w:ascii="Century Gothic" w:hAnsi="Century Gothic"/>
        </w:rPr>
        <w:t>.</w:t>
      </w:r>
      <w:r w:rsidR="00E7111B" w:rsidRPr="00E94619">
        <w:rPr>
          <w:rFonts w:ascii="Century Gothic" w:hAnsi="Century Gothic"/>
        </w:rPr>
        <w:t xml:space="preserve"> </w:t>
      </w:r>
      <w:r w:rsidR="00711BC7" w:rsidRPr="00E94619">
        <w:rPr>
          <w:rFonts w:ascii="Century Gothic" w:hAnsi="Century Gothic"/>
        </w:rPr>
        <w:t>E</w:t>
      </w:r>
      <w:r w:rsidR="00E7111B" w:rsidRPr="00E94619">
        <w:rPr>
          <w:rFonts w:ascii="Century Gothic" w:hAnsi="Century Gothic"/>
        </w:rPr>
        <w:t>ntre 2017 y 2019</w:t>
      </w:r>
      <w:r w:rsidR="00AE4108" w:rsidRPr="00E94619">
        <w:rPr>
          <w:rFonts w:ascii="Century Gothic" w:hAnsi="Century Gothic"/>
        </w:rPr>
        <w:t xml:space="preserve">, </w:t>
      </w:r>
      <w:r w:rsidR="00711BC7" w:rsidRPr="00E94619">
        <w:rPr>
          <w:rFonts w:ascii="Century Gothic" w:hAnsi="Century Gothic"/>
        </w:rPr>
        <w:t xml:space="preserve">del total de caoss registrados, </w:t>
      </w:r>
      <w:r w:rsidR="00AE4108" w:rsidRPr="00E94619">
        <w:rPr>
          <w:rFonts w:ascii="Century Gothic" w:hAnsi="Century Gothic"/>
        </w:rPr>
        <w:t>508 fueron de mujeres</w:t>
      </w:r>
      <w:r w:rsidR="004B736F" w:rsidRPr="00E94619">
        <w:rPr>
          <w:rFonts w:ascii="Century Gothic" w:hAnsi="Century Gothic"/>
        </w:rPr>
        <w:t xml:space="preserve"> </w:t>
      </w:r>
      <w:r w:rsidR="001901AC" w:rsidRPr="00E94619">
        <w:rPr>
          <w:rFonts w:ascii="Century Gothic" w:hAnsi="Century Gothic"/>
        </w:rPr>
        <w:t xml:space="preserve">y 150 casos de hombres </w:t>
      </w:r>
      <w:r w:rsidR="004B736F" w:rsidRPr="00E94619">
        <w:rPr>
          <w:rFonts w:ascii="Century Gothic" w:hAnsi="Century Gothic"/>
        </w:rPr>
        <w:t xml:space="preserve">que murieron de manera violenta con presunto agresor pareja o </w:t>
      </w:r>
      <w:r w:rsidR="001901AC" w:rsidRPr="00E94619">
        <w:rPr>
          <w:rFonts w:ascii="Century Gothic" w:hAnsi="Century Gothic"/>
        </w:rPr>
        <w:t>expareja</w:t>
      </w:r>
      <w:r w:rsidR="001901AC" w:rsidRPr="00E94619">
        <w:rPr>
          <w:rStyle w:val="Refdenotaalpie"/>
          <w:rFonts w:ascii="Century Gothic" w:hAnsi="Century Gothic"/>
        </w:rPr>
        <w:footnoteReference w:id="27"/>
      </w:r>
      <w:r w:rsidR="001901AC" w:rsidRPr="00E94619">
        <w:rPr>
          <w:rFonts w:ascii="Century Gothic" w:hAnsi="Century Gothic"/>
        </w:rPr>
        <w:t>.</w:t>
      </w:r>
    </w:p>
    <w:p w14:paraId="12EF790F" w14:textId="77777777" w:rsidR="001238D7" w:rsidRPr="00E94619" w:rsidRDefault="001238D7" w:rsidP="000E5AC0">
      <w:pPr>
        <w:spacing w:after="0" w:line="240" w:lineRule="auto"/>
        <w:jc w:val="both"/>
        <w:rPr>
          <w:rFonts w:ascii="Century Gothic" w:hAnsi="Century Gothic"/>
        </w:rPr>
      </w:pPr>
    </w:p>
    <w:p w14:paraId="0803F8B6" w14:textId="77777777" w:rsidR="001238D7" w:rsidRDefault="0036411F" w:rsidP="000E5AC0">
      <w:pPr>
        <w:spacing w:after="0" w:line="240" w:lineRule="auto"/>
        <w:jc w:val="both"/>
        <w:rPr>
          <w:rFonts w:ascii="Century Gothic" w:hAnsi="Century Gothic"/>
        </w:rPr>
      </w:pPr>
      <w:r w:rsidRPr="00E94619">
        <w:rPr>
          <w:rFonts w:ascii="Century Gothic" w:hAnsi="Century Gothic"/>
        </w:rPr>
        <w:t>Las cifras también indican que, con relación a la muerte de personas con orientación sexual</w:t>
      </w:r>
      <w:r w:rsidR="00711BC7" w:rsidRPr="00E94619">
        <w:rPr>
          <w:rFonts w:ascii="Century Gothic" w:hAnsi="Century Gothic"/>
        </w:rPr>
        <w:t xml:space="preserve"> e identidad de género</w:t>
      </w:r>
      <w:r w:rsidRPr="00E94619">
        <w:rPr>
          <w:rFonts w:ascii="Century Gothic" w:hAnsi="Century Gothic"/>
        </w:rPr>
        <w:t xml:space="preserve"> diversa, entre los años 201</w:t>
      </w:r>
      <w:r w:rsidR="000D2775" w:rsidRPr="00E94619">
        <w:rPr>
          <w:rFonts w:ascii="Century Gothic" w:hAnsi="Century Gothic"/>
        </w:rPr>
        <w:t>7</w:t>
      </w:r>
      <w:r w:rsidRPr="00E94619">
        <w:rPr>
          <w:rFonts w:ascii="Century Gothic" w:hAnsi="Century Gothic"/>
        </w:rPr>
        <w:t xml:space="preserve"> y 201</w:t>
      </w:r>
      <w:r w:rsidR="000D2775" w:rsidRPr="00E94619">
        <w:rPr>
          <w:rFonts w:ascii="Century Gothic" w:hAnsi="Century Gothic"/>
        </w:rPr>
        <w:t>9</w:t>
      </w:r>
      <w:r w:rsidRPr="00E94619">
        <w:rPr>
          <w:rFonts w:ascii="Century Gothic" w:hAnsi="Century Gothic"/>
        </w:rPr>
        <w:t>, los hombres fueron las principales víctimas (</w:t>
      </w:r>
      <w:r w:rsidR="0000162A" w:rsidRPr="00E94619">
        <w:rPr>
          <w:rFonts w:ascii="Century Gothic" w:hAnsi="Century Gothic"/>
        </w:rPr>
        <w:t>93</w:t>
      </w:r>
      <w:r w:rsidRPr="00E94619">
        <w:rPr>
          <w:rFonts w:ascii="Century Gothic" w:hAnsi="Century Gothic"/>
        </w:rPr>
        <w:t>,3%).</w:t>
      </w:r>
    </w:p>
    <w:p w14:paraId="18FA0CFB" w14:textId="77777777" w:rsidR="00281050" w:rsidRPr="00281050" w:rsidRDefault="00281050" w:rsidP="000E5AC0">
      <w:pPr>
        <w:spacing w:after="0" w:line="240" w:lineRule="auto"/>
        <w:jc w:val="both"/>
        <w:rPr>
          <w:rFonts w:ascii="Century Gothic" w:hAnsi="Century Gothic"/>
          <w:b/>
          <w:sz w:val="16"/>
          <w:szCs w:val="16"/>
        </w:rPr>
      </w:pPr>
    </w:p>
    <w:p w14:paraId="0EE64C1E" w14:textId="0E20BCDC" w:rsidR="00281050" w:rsidRPr="00281050" w:rsidRDefault="00281050" w:rsidP="00281050">
      <w:pPr>
        <w:spacing w:after="0" w:line="240" w:lineRule="auto"/>
        <w:jc w:val="center"/>
        <w:rPr>
          <w:rFonts w:ascii="Century Gothic" w:hAnsi="Century Gothic"/>
          <w:b/>
          <w:sz w:val="16"/>
          <w:szCs w:val="16"/>
        </w:rPr>
      </w:pPr>
      <w:r w:rsidRPr="00281050">
        <w:rPr>
          <w:rFonts w:ascii="Century Gothic" w:hAnsi="Century Gothic"/>
          <w:b/>
          <w:sz w:val="16"/>
          <w:szCs w:val="16"/>
        </w:rPr>
        <w:t>Gráfica. Homicidios – presunto agresor pareja o expareja (2017-2019)</w:t>
      </w:r>
    </w:p>
    <w:p w14:paraId="4BD0B07B" w14:textId="1FA17A5F" w:rsidR="00281050" w:rsidRPr="00E94619" w:rsidRDefault="00281050"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76672" behindDoc="0" locked="0" layoutInCell="1" allowOverlap="1" wp14:anchorId="4FAD4A81" wp14:editId="0788B3E0">
            <wp:simplePos x="0" y="0"/>
            <wp:positionH relativeFrom="column">
              <wp:posOffset>1308100</wp:posOffset>
            </wp:positionH>
            <wp:positionV relativeFrom="paragraph">
              <wp:posOffset>112395</wp:posOffset>
            </wp:positionV>
            <wp:extent cx="2692400" cy="127381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2400"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F3A79" w14:textId="119F197D" w:rsidR="00281050" w:rsidRDefault="00830DBC" w:rsidP="000E5AC0">
      <w:pPr>
        <w:spacing w:after="0" w:line="240" w:lineRule="auto"/>
        <w:rPr>
          <w:rFonts w:ascii="Century Gothic" w:eastAsia="Calibri" w:hAnsi="Century Gothic" w:cs="Calibri"/>
          <w:color w:val="000000"/>
          <w:sz w:val="16"/>
          <w:szCs w:val="16"/>
        </w:rPr>
      </w:pPr>
      <w:sdt>
        <w:sdtPr>
          <w:rPr>
            <w:rFonts w:ascii="Century Gothic" w:hAnsi="Century Gothic"/>
          </w:rPr>
          <w:tag w:val="goog_rdk_21"/>
          <w:id w:val="756324555"/>
        </w:sdtPr>
        <w:sdtContent/>
      </w:sdt>
      <w:sdt>
        <w:sdtPr>
          <w:rPr>
            <w:rFonts w:ascii="Century Gothic" w:hAnsi="Century Gothic"/>
          </w:rPr>
          <w:tag w:val="goog_rdk_22"/>
          <w:id w:val="-1744171285"/>
        </w:sdtPr>
        <w:sdtContent/>
      </w:sdt>
      <w:r w:rsidR="0036411F" w:rsidRPr="00E94619">
        <w:rPr>
          <w:rFonts w:ascii="Century Gothic" w:eastAsia="Calibri" w:hAnsi="Century Gothic" w:cs="Calibri"/>
          <w:color w:val="000000"/>
          <w:sz w:val="16"/>
          <w:szCs w:val="16"/>
        </w:rPr>
        <w:t xml:space="preserve"> </w:t>
      </w:r>
    </w:p>
    <w:p w14:paraId="0A7228FE" w14:textId="77777777" w:rsidR="00281050" w:rsidRDefault="00281050" w:rsidP="00281050">
      <w:pPr>
        <w:spacing w:after="0" w:line="240" w:lineRule="auto"/>
        <w:jc w:val="center"/>
        <w:rPr>
          <w:rFonts w:ascii="Century Gothic" w:hAnsi="Century Gothic"/>
          <w:sz w:val="16"/>
          <w:szCs w:val="16"/>
        </w:rPr>
      </w:pPr>
    </w:p>
    <w:p w14:paraId="589B5D48" w14:textId="77777777" w:rsidR="00281050" w:rsidRDefault="00281050" w:rsidP="00281050">
      <w:pPr>
        <w:spacing w:after="0" w:line="240" w:lineRule="auto"/>
        <w:jc w:val="center"/>
        <w:rPr>
          <w:rFonts w:ascii="Century Gothic" w:hAnsi="Century Gothic"/>
          <w:sz w:val="16"/>
          <w:szCs w:val="16"/>
        </w:rPr>
      </w:pPr>
    </w:p>
    <w:p w14:paraId="5B567829" w14:textId="77777777" w:rsidR="00281050" w:rsidRDefault="00281050" w:rsidP="00281050">
      <w:pPr>
        <w:spacing w:after="0" w:line="240" w:lineRule="auto"/>
        <w:jc w:val="center"/>
        <w:rPr>
          <w:rFonts w:ascii="Century Gothic" w:hAnsi="Century Gothic"/>
          <w:sz w:val="16"/>
          <w:szCs w:val="16"/>
        </w:rPr>
      </w:pPr>
    </w:p>
    <w:p w14:paraId="1F4C910B" w14:textId="77777777" w:rsidR="00281050" w:rsidRDefault="00281050" w:rsidP="00281050">
      <w:pPr>
        <w:spacing w:after="0" w:line="240" w:lineRule="auto"/>
        <w:jc w:val="center"/>
        <w:rPr>
          <w:rFonts w:ascii="Century Gothic" w:hAnsi="Century Gothic"/>
          <w:sz w:val="16"/>
          <w:szCs w:val="16"/>
        </w:rPr>
      </w:pPr>
    </w:p>
    <w:p w14:paraId="576505CC" w14:textId="77777777" w:rsidR="00281050" w:rsidRDefault="00281050" w:rsidP="00281050">
      <w:pPr>
        <w:spacing w:after="0" w:line="240" w:lineRule="auto"/>
        <w:jc w:val="center"/>
        <w:rPr>
          <w:rFonts w:ascii="Century Gothic" w:hAnsi="Century Gothic"/>
          <w:sz w:val="16"/>
          <w:szCs w:val="16"/>
        </w:rPr>
      </w:pPr>
    </w:p>
    <w:p w14:paraId="599C42CB" w14:textId="77777777" w:rsidR="00281050" w:rsidRDefault="00281050" w:rsidP="00281050">
      <w:pPr>
        <w:spacing w:after="0" w:line="240" w:lineRule="auto"/>
        <w:jc w:val="center"/>
        <w:rPr>
          <w:rFonts w:ascii="Century Gothic" w:hAnsi="Century Gothic"/>
          <w:sz w:val="16"/>
          <w:szCs w:val="16"/>
        </w:rPr>
      </w:pPr>
    </w:p>
    <w:p w14:paraId="3D208C16" w14:textId="77777777" w:rsidR="003F560F" w:rsidRDefault="003F560F" w:rsidP="00281050">
      <w:pPr>
        <w:spacing w:after="0" w:line="240" w:lineRule="auto"/>
        <w:jc w:val="center"/>
        <w:rPr>
          <w:rFonts w:ascii="Century Gothic" w:hAnsi="Century Gothic"/>
          <w:sz w:val="16"/>
          <w:szCs w:val="16"/>
        </w:rPr>
      </w:pPr>
    </w:p>
    <w:p w14:paraId="24AAF4F2" w14:textId="77777777" w:rsidR="003F560F" w:rsidRDefault="003F560F" w:rsidP="00281050">
      <w:pPr>
        <w:spacing w:after="0" w:line="240" w:lineRule="auto"/>
        <w:jc w:val="center"/>
        <w:rPr>
          <w:rFonts w:ascii="Century Gothic" w:hAnsi="Century Gothic"/>
          <w:sz w:val="16"/>
          <w:szCs w:val="16"/>
        </w:rPr>
      </w:pPr>
    </w:p>
    <w:p w14:paraId="5ABB3DDC" w14:textId="77777777" w:rsidR="00281050" w:rsidRDefault="00281050" w:rsidP="00281050">
      <w:pPr>
        <w:spacing w:after="0" w:line="240" w:lineRule="auto"/>
        <w:jc w:val="center"/>
        <w:rPr>
          <w:rFonts w:ascii="Century Gothic" w:hAnsi="Century Gothic"/>
          <w:sz w:val="16"/>
          <w:szCs w:val="16"/>
        </w:rPr>
      </w:pPr>
    </w:p>
    <w:p w14:paraId="42F1C206" w14:textId="77777777" w:rsidR="00281050" w:rsidRPr="00E94619" w:rsidRDefault="00281050" w:rsidP="00281050">
      <w:pPr>
        <w:spacing w:after="0" w:line="240" w:lineRule="auto"/>
        <w:jc w:val="center"/>
        <w:rPr>
          <w:rFonts w:ascii="Century Gothic" w:eastAsia="Calibri" w:hAnsi="Century Gothic" w:cs="Calibri"/>
          <w:color w:val="000000"/>
          <w:sz w:val="16"/>
          <w:szCs w:val="16"/>
        </w:rPr>
      </w:pPr>
      <w:r w:rsidRPr="00E94619">
        <w:rPr>
          <w:rFonts w:ascii="Century Gothic" w:hAnsi="Century Gothic"/>
          <w:sz w:val="16"/>
          <w:szCs w:val="16"/>
        </w:rPr>
        <w:t xml:space="preserve">Fuente: </w:t>
      </w:r>
      <w:r w:rsidRPr="00E94619">
        <w:rPr>
          <w:rFonts w:ascii="Century Gothic" w:eastAsia="Calibri" w:hAnsi="Century Gothic" w:cs="Calibri"/>
          <w:color w:val="000000"/>
          <w:sz w:val="16"/>
          <w:szCs w:val="16"/>
        </w:rPr>
        <w:t xml:space="preserve">Instituto Nacional de Medicina Legal y Ciencias Forenses. Forensis </w:t>
      </w:r>
      <w:r w:rsidRPr="00E94619">
        <w:rPr>
          <w:rFonts w:ascii="Century Gothic" w:hAnsi="Century Gothic"/>
          <w:noProof/>
          <w:sz w:val="16"/>
          <w:szCs w:val="16"/>
          <w:bdr w:val="none" w:sz="0" w:space="0" w:color="auto" w:frame="1"/>
        </w:rPr>
        <w:t>2017, 2018, 2019</w:t>
      </w:r>
    </w:p>
    <w:p w14:paraId="7ABFC884" w14:textId="475E516F" w:rsidR="00281050" w:rsidRDefault="00D2173C" w:rsidP="000E5AC0">
      <w:pPr>
        <w:spacing w:after="0" w:line="240" w:lineRule="auto"/>
        <w:rPr>
          <w:rFonts w:ascii="Century Gothic" w:eastAsia="Calibri" w:hAnsi="Century Gothic" w:cs="Calibri"/>
          <w:color w:val="000000"/>
          <w:sz w:val="16"/>
          <w:szCs w:val="16"/>
        </w:rPr>
      </w:pPr>
      <w:r>
        <w:rPr>
          <w:rFonts w:ascii="Century Gothic" w:hAnsi="Century Gothic"/>
          <w:b/>
          <w:noProof/>
          <w:szCs w:val="24"/>
          <w:lang w:val="es-ES"/>
        </w:rPr>
        <w:drawing>
          <wp:anchor distT="0" distB="0" distL="114300" distR="114300" simplePos="0" relativeHeight="251806720" behindDoc="0" locked="0" layoutInCell="1" allowOverlap="1" wp14:anchorId="786263D4" wp14:editId="0866EE7D">
            <wp:simplePos x="0" y="0"/>
            <wp:positionH relativeFrom="column">
              <wp:posOffset>-1080135</wp:posOffset>
            </wp:positionH>
            <wp:positionV relativeFrom="paragraph">
              <wp:posOffset>-9119235</wp:posOffset>
            </wp:positionV>
            <wp:extent cx="965835" cy="708660"/>
            <wp:effectExtent l="0" t="0" r="0" b="0"/>
            <wp:wrapNone/>
            <wp:docPr id="374" name="Imagen 37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0F66EDDC" w14:textId="249E1960" w:rsidR="00281050" w:rsidRPr="00281050" w:rsidRDefault="00281050" w:rsidP="00281050">
      <w:pPr>
        <w:spacing w:after="0" w:line="240" w:lineRule="auto"/>
        <w:jc w:val="center"/>
        <w:rPr>
          <w:rFonts w:ascii="Century Gothic" w:hAnsi="Century Gothic"/>
          <w:b/>
          <w:sz w:val="16"/>
          <w:szCs w:val="16"/>
        </w:rPr>
      </w:pPr>
      <w:r w:rsidRPr="00281050">
        <w:rPr>
          <w:rFonts w:ascii="Century Gothic" w:hAnsi="Century Gothic"/>
          <w:b/>
          <w:sz w:val="16"/>
          <w:szCs w:val="16"/>
        </w:rPr>
        <w:lastRenderedPageBreak/>
        <w:t>Gráfica. Homicidios – presunto agresor pareja o expareja (2017-2019)</w:t>
      </w:r>
    </w:p>
    <w:p w14:paraId="0ED42B7F" w14:textId="1028BCBA" w:rsidR="00281050" w:rsidRDefault="00281050" w:rsidP="000E5AC0">
      <w:pPr>
        <w:spacing w:after="0" w:line="240" w:lineRule="auto"/>
        <w:rPr>
          <w:rFonts w:ascii="Century Gothic" w:eastAsia="Calibri" w:hAnsi="Century Gothic" w:cs="Calibri"/>
          <w:color w:val="000000"/>
          <w:sz w:val="16"/>
          <w:szCs w:val="16"/>
        </w:rPr>
      </w:pPr>
      <w:r w:rsidRPr="00E94619">
        <w:rPr>
          <w:rFonts w:ascii="Century Gothic" w:hAnsi="Century Gothic"/>
          <w:noProof/>
          <w:lang w:val="es-ES" w:eastAsia="es-ES"/>
        </w:rPr>
        <w:drawing>
          <wp:anchor distT="0" distB="0" distL="114300" distR="114300" simplePos="0" relativeHeight="251677696" behindDoc="0" locked="0" layoutInCell="1" allowOverlap="1" wp14:anchorId="5C411223" wp14:editId="05DCDF33">
            <wp:simplePos x="0" y="0"/>
            <wp:positionH relativeFrom="column">
              <wp:posOffset>1600200</wp:posOffset>
            </wp:positionH>
            <wp:positionV relativeFrom="paragraph">
              <wp:posOffset>107950</wp:posOffset>
            </wp:positionV>
            <wp:extent cx="2217420" cy="10572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742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923CE" w14:textId="145EB3E9" w:rsidR="001238D7" w:rsidRPr="00E94619" w:rsidRDefault="007B181A" w:rsidP="000E5AC0">
      <w:pPr>
        <w:spacing w:after="0" w:line="240" w:lineRule="auto"/>
        <w:rPr>
          <w:rFonts w:ascii="Century Gothic" w:eastAsia="Calibri" w:hAnsi="Century Gothic" w:cs="Calibri"/>
          <w:color w:val="000000"/>
          <w:sz w:val="16"/>
          <w:szCs w:val="16"/>
        </w:rPr>
      </w:pPr>
      <w:r w:rsidRPr="00E94619">
        <w:rPr>
          <w:rFonts w:ascii="Century Gothic" w:eastAsia="Calibri" w:hAnsi="Century Gothic" w:cs="Calibri"/>
          <w:color w:val="000000"/>
          <w:sz w:val="16"/>
          <w:szCs w:val="16"/>
        </w:rPr>
        <w:t xml:space="preserve"> </w:t>
      </w:r>
    </w:p>
    <w:p w14:paraId="2B8F4677" w14:textId="77777777" w:rsidR="001238D7" w:rsidRPr="00E94619" w:rsidRDefault="001238D7" w:rsidP="000E5AC0">
      <w:pPr>
        <w:spacing w:after="0" w:line="240" w:lineRule="auto"/>
        <w:rPr>
          <w:rFonts w:ascii="Century Gothic" w:eastAsia="Calibri" w:hAnsi="Century Gothic" w:cs="Calibri"/>
          <w:color w:val="000000"/>
          <w:sz w:val="16"/>
          <w:szCs w:val="16"/>
        </w:rPr>
      </w:pPr>
    </w:p>
    <w:p w14:paraId="056B60C7" w14:textId="77777777" w:rsidR="00281050" w:rsidRDefault="00281050" w:rsidP="00281050">
      <w:pPr>
        <w:spacing w:after="0" w:line="240" w:lineRule="auto"/>
        <w:jc w:val="center"/>
        <w:rPr>
          <w:rFonts w:ascii="Century Gothic" w:hAnsi="Century Gothic"/>
          <w:sz w:val="16"/>
          <w:szCs w:val="16"/>
        </w:rPr>
      </w:pPr>
    </w:p>
    <w:p w14:paraId="036C5D15" w14:textId="77777777" w:rsidR="00281050" w:rsidRDefault="00281050" w:rsidP="00281050">
      <w:pPr>
        <w:spacing w:after="0" w:line="240" w:lineRule="auto"/>
        <w:jc w:val="center"/>
        <w:rPr>
          <w:rFonts w:ascii="Century Gothic" w:hAnsi="Century Gothic"/>
          <w:sz w:val="16"/>
          <w:szCs w:val="16"/>
        </w:rPr>
      </w:pPr>
    </w:p>
    <w:p w14:paraId="6F3B973D" w14:textId="77777777" w:rsidR="00281050" w:rsidRDefault="00281050" w:rsidP="00281050">
      <w:pPr>
        <w:spacing w:after="0" w:line="240" w:lineRule="auto"/>
        <w:jc w:val="center"/>
        <w:rPr>
          <w:rFonts w:ascii="Century Gothic" w:hAnsi="Century Gothic"/>
          <w:sz w:val="16"/>
          <w:szCs w:val="16"/>
        </w:rPr>
      </w:pPr>
    </w:p>
    <w:p w14:paraId="5C25EA3B" w14:textId="77777777" w:rsidR="00281050" w:rsidRDefault="00281050" w:rsidP="00281050">
      <w:pPr>
        <w:spacing w:after="0" w:line="240" w:lineRule="auto"/>
        <w:jc w:val="center"/>
        <w:rPr>
          <w:rFonts w:ascii="Century Gothic" w:hAnsi="Century Gothic"/>
          <w:sz w:val="16"/>
          <w:szCs w:val="16"/>
        </w:rPr>
      </w:pPr>
    </w:p>
    <w:p w14:paraId="3597C901" w14:textId="77777777" w:rsidR="00281050" w:rsidRDefault="00281050" w:rsidP="00281050">
      <w:pPr>
        <w:spacing w:after="0" w:line="240" w:lineRule="auto"/>
        <w:jc w:val="center"/>
        <w:rPr>
          <w:rFonts w:ascii="Century Gothic" w:hAnsi="Century Gothic"/>
          <w:sz w:val="16"/>
          <w:szCs w:val="16"/>
        </w:rPr>
      </w:pPr>
    </w:p>
    <w:p w14:paraId="1B06F099" w14:textId="77777777" w:rsidR="00281050" w:rsidRDefault="00281050" w:rsidP="00281050">
      <w:pPr>
        <w:spacing w:after="0" w:line="240" w:lineRule="auto"/>
        <w:jc w:val="center"/>
        <w:rPr>
          <w:rFonts w:ascii="Century Gothic" w:hAnsi="Century Gothic"/>
          <w:sz w:val="16"/>
          <w:szCs w:val="16"/>
        </w:rPr>
      </w:pPr>
    </w:p>
    <w:p w14:paraId="7448F120" w14:textId="77777777" w:rsidR="00281050" w:rsidRDefault="00281050" w:rsidP="00281050">
      <w:pPr>
        <w:spacing w:after="0" w:line="240" w:lineRule="auto"/>
        <w:jc w:val="center"/>
        <w:rPr>
          <w:rFonts w:ascii="Century Gothic" w:hAnsi="Century Gothic"/>
          <w:sz w:val="16"/>
          <w:szCs w:val="16"/>
        </w:rPr>
      </w:pPr>
    </w:p>
    <w:p w14:paraId="328F18A6" w14:textId="59D064D9" w:rsidR="001238D7" w:rsidRPr="00E94619" w:rsidRDefault="00711BC7" w:rsidP="00281050">
      <w:pPr>
        <w:spacing w:after="0" w:line="240" w:lineRule="auto"/>
        <w:jc w:val="center"/>
        <w:rPr>
          <w:rFonts w:ascii="Century Gothic" w:eastAsia="Calibri" w:hAnsi="Century Gothic" w:cs="Calibri"/>
          <w:color w:val="000000"/>
          <w:sz w:val="16"/>
          <w:szCs w:val="16"/>
        </w:rPr>
      </w:pPr>
      <w:r w:rsidRPr="00E94619">
        <w:rPr>
          <w:rFonts w:ascii="Century Gothic" w:hAnsi="Century Gothic"/>
          <w:sz w:val="16"/>
          <w:szCs w:val="16"/>
        </w:rPr>
        <w:t xml:space="preserve">Fuente: </w:t>
      </w:r>
      <w:r w:rsidR="0036411F" w:rsidRPr="00E94619">
        <w:rPr>
          <w:rFonts w:ascii="Century Gothic" w:eastAsia="Calibri" w:hAnsi="Century Gothic" w:cs="Calibri"/>
          <w:color w:val="000000"/>
          <w:sz w:val="16"/>
          <w:szCs w:val="16"/>
        </w:rPr>
        <w:t>Instituto Nacional de Medicina Legal y Ciencias Forenses.</w:t>
      </w:r>
      <w:r w:rsidR="00A57C6D" w:rsidRPr="00E94619">
        <w:rPr>
          <w:rFonts w:ascii="Century Gothic" w:eastAsia="Calibri" w:hAnsi="Century Gothic" w:cs="Calibri"/>
          <w:color w:val="000000"/>
          <w:sz w:val="16"/>
          <w:szCs w:val="16"/>
        </w:rPr>
        <w:t xml:space="preserve"> </w:t>
      </w:r>
      <w:r w:rsidRPr="00E94619">
        <w:rPr>
          <w:rFonts w:ascii="Century Gothic" w:eastAsia="Calibri" w:hAnsi="Century Gothic" w:cs="Calibri"/>
          <w:color w:val="000000"/>
          <w:sz w:val="16"/>
          <w:szCs w:val="16"/>
        </w:rPr>
        <w:t xml:space="preserve">Forensis </w:t>
      </w:r>
      <w:r w:rsidR="00A57C6D" w:rsidRPr="00E94619">
        <w:rPr>
          <w:rFonts w:ascii="Century Gothic" w:hAnsi="Century Gothic"/>
          <w:noProof/>
          <w:sz w:val="16"/>
          <w:szCs w:val="16"/>
          <w:bdr w:val="none" w:sz="0" w:space="0" w:color="auto" w:frame="1"/>
        </w:rPr>
        <w:t>2017, 2018, 2019</w:t>
      </w:r>
    </w:p>
    <w:p w14:paraId="36B174D8" w14:textId="77777777" w:rsidR="001238D7" w:rsidRPr="00E94619" w:rsidRDefault="001238D7" w:rsidP="000E5AC0">
      <w:pPr>
        <w:spacing w:after="0" w:line="240" w:lineRule="auto"/>
        <w:jc w:val="both"/>
        <w:rPr>
          <w:rFonts w:ascii="Century Gothic" w:eastAsia="Calibri" w:hAnsi="Century Gothic" w:cs="Calibri"/>
          <w:color w:val="000000"/>
          <w:sz w:val="16"/>
          <w:szCs w:val="16"/>
        </w:rPr>
      </w:pPr>
    </w:p>
    <w:p w14:paraId="50DC4275"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del Estado</w:t>
      </w:r>
    </w:p>
    <w:p w14:paraId="2D5746C5" w14:textId="77777777" w:rsidR="00281050" w:rsidRPr="00E94619" w:rsidRDefault="00281050" w:rsidP="000E5AC0">
      <w:pPr>
        <w:spacing w:after="0" w:line="240" w:lineRule="auto"/>
        <w:rPr>
          <w:rFonts w:ascii="Century Gothic" w:hAnsi="Century Gothic"/>
          <w:b/>
        </w:rPr>
      </w:pPr>
    </w:p>
    <w:tbl>
      <w:tblPr>
        <w:tblStyle w:val="afffe"/>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6"/>
      </w:tblGrid>
      <w:tr w:rsidR="001238D7" w:rsidRPr="00E94619" w14:paraId="500BA59F" w14:textId="77777777" w:rsidTr="0089786B">
        <w:tc>
          <w:tcPr>
            <w:tcW w:w="9046" w:type="dxa"/>
            <w:tcBorders>
              <w:top w:val="single" w:sz="4" w:space="0" w:color="CC0066"/>
              <w:left w:val="single" w:sz="4" w:space="0" w:color="CC0066"/>
              <w:bottom w:val="single" w:sz="4" w:space="0" w:color="CC0066"/>
              <w:right w:val="single" w:sz="4" w:space="0" w:color="CC0066"/>
            </w:tcBorders>
            <w:shd w:val="clear" w:color="auto" w:fill="FF99CC"/>
          </w:tcPr>
          <w:p w14:paraId="2CEE60FD"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MARCO NORMATIVO</w:t>
            </w:r>
          </w:p>
        </w:tc>
      </w:tr>
      <w:tr w:rsidR="001238D7" w:rsidRPr="00E94619" w14:paraId="77FD35E3" w14:textId="77777777" w:rsidTr="0089786B">
        <w:tc>
          <w:tcPr>
            <w:tcW w:w="9046" w:type="dxa"/>
            <w:tcBorders>
              <w:top w:val="single" w:sz="4" w:space="0" w:color="CC0066"/>
              <w:left w:val="single" w:sz="4" w:space="0" w:color="CC0066"/>
              <w:bottom w:val="single" w:sz="4" w:space="0" w:color="CC0066"/>
              <w:right w:val="single" w:sz="4" w:space="0" w:color="CC0066"/>
            </w:tcBorders>
          </w:tcPr>
          <w:p w14:paraId="69DDAB3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 Ley 1761 de 2015 (Rosa Elvira Cely): </w:t>
            </w:r>
            <w:r w:rsidRPr="00E94619">
              <w:rPr>
                <w:rFonts w:ascii="Century Gothic" w:hAnsi="Century Gothic"/>
                <w:sz w:val="16"/>
                <w:szCs w:val="16"/>
              </w:rPr>
              <w:t>por la cual se crea el tipo penal de feminicidio como delito autónomo y se dictan otras disposiciones.</w:t>
            </w:r>
          </w:p>
        </w:tc>
      </w:tr>
    </w:tbl>
    <w:p w14:paraId="4809436B" w14:textId="77777777" w:rsidR="001238D7" w:rsidRPr="00E94619" w:rsidRDefault="001238D7" w:rsidP="000E5AC0">
      <w:pPr>
        <w:spacing w:after="0" w:line="240" w:lineRule="auto"/>
        <w:rPr>
          <w:rFonts w:ascii="Century Gothic" w:hAnsi="Century Gothic"/>
          <w:b/>
        </w:rPr>
      </w:pPr>
    </w:p>
    <w:p w14:paraId="266C46C0"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 la sociedad civil</w:t>
      </w:r>
    </w:p>
    <w:p w14:paraId="0842CE02" w14:textId="77777777" w:rsidR="00281050" w:rsidRPr="00E94619" w:rsidRDefault="00281050" w:rsidP="000E5AC0">
      <w:pPr>
        <w:spacing w:after="0" w:line="240" w:lineRule="auto"/>
        <w:rPr>
          <w:rFonts w:ascii="Century Gothic" w:hAnsi="Century Gothic"/>
          <w:b/>
        </w:rPr>
      </w:pPr>
    </w:p>
    <w:tbl>
      <w:tblPr>
        <w:tblStyle w:val="affff"/>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6850"/>
      </w:tblGrid>
      <w:tr w:rsidR="001238D7" w:rsidRPr="00E94619" w14:paraId="2CFA08A4" w14:textId="77777777" w:rsidTr="0089786B">
        <w:tc>
          <w:tcPr>
            <w:tcW w:w="2196" w:type="dxa"/>
            <w:tcBorders>
              <w:top w:val="single" w:sz="4" w:space="0" w:color="CC0066"/>
              <w:left w:val="single" w:sz="4" w:space="0" w:color="CC0066"/>
              <w:bottom w:val="single" w:sz="4" w:space="0" w:color="CC0066"/>
              <w:right w:val="single" w:sz="4" w:space="0" w:color="CC0066"/>
            </w:tcBorders>
            <w:shd w:val="clear" w:color="auto" w:fill="FF99CC"/>
          </w:tcPr>
          <w:p w14:paraId="22E2F64A"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Organizaciones de la sociedad civil</w:t>
            </w:r>
          </w:p>
        </w:tc>
        <w:tc>
          <w:tcPr>
            <w:tcW w:w="6850" w:type="dxa"/>
            <w:tcBorders>
              <w:top w:val="single" w:sz="4" w:space="0" w:color="CC0066"/>
              <w:left w:val="single" w:sz="4" w:space="0" w:color="CC0066"/>
              <w:bottom w:val="single" w:sz="4" w:space="0" w:color="CC0066"/>
              <w:right w:val="single" w:sz="4" w:space="0" w:color="CC0066"/>
            </w:tcBorders>
          </w:tcPr>
          <w:p w14:paraId="780F33B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Entre las organizaciones de mujeres que han adelantado acciones para hacer visible las violencias contra las mujeres en los dos últimos años se encuentran: La Confluencia de Mujeres para la Acción Pública, La Alianza Nacional de Mujeres por una Vida Libre de Violencias.</w:t>
            </w:r>
          </w:p>
          <w:p w14:paraId="7A410F6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Corporación Humanas:  Estudio exploratorio del feminicidio en Cartagena y Medellín</w:t>
            </w:r>
          </w:p>
        </w:tc>
      </w:tr>
      <w:tr w:rsidR="001238D7" w:rsidRPr="00E94619" w14:paraId="6126A640" w14:textId="77777777" w:rsidTr="0089786B">
        <w:tc>
          <w:tcPr>
            <w:tcW w:w="2196" w:type="dxa"/>
            <w:tcBorders>
              <w:top w:val="single" w:sz="4" w:space="0" w:color="CC0066"/>
              <w:left w:val="single" w:sz="4" w:space="0" w:color="CC0066"/>
              <w:bottom w:val="single" w:sz="4" w:space="0" w:color="CC0066"/>
              <w:right w:val="single" w:sz="4" w:space="0" w:color="CC0066"/>
            </w:tcBorders>
            <w:shd w:val="clear" w:color="auto" w:fill="FF99CC"/>
          </w:tcPr>
          <w:p w14:paraId="0F2A4409"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Cooperación Internacional</w:t>
            </w:r>
          </w:p>
        </w:tc>
        <w:tc>
          <w:tcPr>
            <w:tcW w:w="6850" w:type="dxa"/>
            <w:tcBorders>
              <w:top w:val="single" w:sz="4" w:space="0" w:color="CC0066"/>
              <w:left w:val="single" w:sz="4" w:space="0" w:color="CC0066"/>
              <w:bottom w:val="single" w:sz="4" w:space="0" w:color="CC0066"/>
              <w:right w:val="single" w:sz="4" w:space="0" w:color="CC0066"/>
            </w:tcBorders>
          </w:tcPr>
          <w:p w14:paraId="6380D98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Agencia Española de Cooperación para el Desarrollo: capacitación a funcionario-as del Instituto Nacional de Medicina Legal sobre GUÍA DE RECOMENDACIONES PARA LA INVESTIGACIÓN EFICAZ DEL CRIMEN DE FEMINICIDIO y financiación a ONG´s.</w:t>
            </w:r>
          </w:p>
        </w:tc>
      </w:tr>
    </w:tbl>
    <w:p w14:paraId="1589938F" w14:textId="77777777" w:rsidR="00281050" w:rsidRPr="00E94619" w:rsidRDefault="00281050" w:rsidP="000E5AC0">
      <w:pPr>
        <w:spacing w:after="0" w:line="240" w:lineRule="auto"/>
        <w:rPr>
          <w:rFonts w:ascii="Century Gothic" w:hAnsi="Century Gothic"/>
          <w:b/>
        </w:rPr>
      </w:pPr>
    </w:p>
    <w:p w14:paraId="735EEA72" w14:textId="77777777" w:rsidR="001238D7" w:rsidRDefault="0036411F" w:rsidP="000E5AC0">
      <w:pPr>
        <w:spacing w:after="0" w:line="240" w:lineRule="auto"/>
        <w:rPr>
          <w:rFonts w:ascii="Century Gothic" w:hAnsi="Century Gothic"/>
          <w:b/>
        </w:rPr>
      </w:pPr>
      <w:r w:rsidRPr="00E94619">
        <w:rPr>
          <w:rFonts w:ascii="Century Gothic" w:hAnsi="Century Gothic"/>
          <w:b/>
        </w:rPr>
        <w:t>Avances y retos</w:t>
      </w:r>
    </w:p>
    <w:p w14:paraId="05E5DF6C" w14:textId="77777777" w:rsidR="00281050" w:rsidRPr="00E94619" w:rsidRDefault="00281050" w:rsidP="000E5AC0">
      <w:pPr>
        <w:spacing w:after="0" w:line="240" w:lineRule="auto"/>
        <w:rPr>
          <w:rFonts w:ascii="Century Gothic" w:hAnsi="Century Gothic"/>
          <w:b/>
        </w:rPr>
      </w:pPr>
    </w:p>
    <w:tbl>
      <w:tblPr>
        <w:tblStyle w:val="affff0"/>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6669"/>
      </w:tblGrid>
      <w:tr w:rsidR="001238D7" w:rsidRPr="00E94619" w14:paraId="7B163DC3" w14:textId="77777777" w:rsidTr="0089786B">
        <w:tc>
          <w:tcPr>
            <w:tcW w:w="2235" w:type="dxa"/>
            <w:tcBorders>
              <w:top w:val="single" w:sz="4" w:space="0" w:color="CC0066"/>
              <w:left w:val="single" w:sz="4" w:space="0" w:color="CC0066"/>
              <w:bottom w:val="single" w:sz="4" w:space="0" w:color="CC0066"/>
              <w:right w:val="single" w:sz="4" w:space="0" w:color="CC0066"/>
            </w:tcBorders>
            <w:shd w:val="clear" w:color="auto" w:fill="FF99CC"/>
          </w:tcPr>
          <w:p w14:paraId="1B54FAC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6669" w:type="dxa"/>
            <w:tcBorders>
              <w:top w:val="single" w:sz="4" w:space="0" w:color="CC0066"/>
              <w:left w:val="single" w:sz="4" w:space="0" w:color="CC0066"/>
              <w:bottom w:val="single" w:sz="4" w:space="0" w:color="CC0066"/>
              <w:right w:val="single" w:sz="4" w:space="0" w:color="CC0066"/>
            </w:tcBorders>
            <w:shd w:val="clear" w:color="auto" w:fill="FF99CC"/>
          </w:tcPr>
          <w:p w14:paraId="26252C03"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21A4C296" w14:textId="77777777" w:rsidTr="0089786B">
        <w:tc>
          <w:tcPr>
            <w:tcW w:w="2235" w:type="dxa"/>
            <w:tcBorders>
              <w:top w:val="single" w:sz="4" w:space="0" w:color="CC0066"/>
              <w:left w:val="single" w:sz="4" w:space="0" w:color="CC0066"/>
              <w:bottom w:val="single" w:sz="4" w:space="0" w:color="CC0066"/>
              <w:right w:val="single" w:sz="4" w:space="0" w:color="CC0066"/>
            </w:tcBorders>
          </w:tcPr>
          <w:p w14:paraId="1F4C5768"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-Existencia de una ley específica para asumir los feminicidios.</w:t>
            </w:r>
          </w:p>
          <w:p w14:paraId="4EC1E41B" w14:textId="77777777" w:rsidR="001238D7" w:rsidRPr="00E94619" w:rsidRDefault="001238D7" w:rsidP="000E5AC0">
            <w:pPr>
              <w:spacing w:after="0" w:line="240" w:lineRule="auto"/>
              <w:jc w:val="both"/>
              <w:rPr>
                <w:rFonts w:ascii="Century Gothic" w:hAnsi="Century Gothic"/>
                <w:color w:val="000000"/>
                <w:sz w:val="16"/>
                <w:szCs w:val="16"/>
              </w:rPr>
            </w:pPr>
          </w:p>
          <w:p w14:paraId="7F58C9E7" w14:textId="77777777" w:rsidR="001238D7" w:rsidRPr="00E94619" w:rsidRDefault="001238D7" w:rsidP="000E5AC0">
            <w:pPr>
              <w:spacing w:after="0" w:line="240" w:lineRule="auto"/>
              <w:jc w:val="both"/>
              <w:rPr>
                <w:rFonts w:ascii="Century Gothic" w:hAnsi="Century Gothic"/>
                <w:color w:val="000000"/>
                <w:sz w:val="16"/>
                <w:szCs w:val="16"/>
              </w:rPr>
            </w:pPr>
          </w:p>
          <w:p w14:paraId="0C46AAEB" w14:textId="77777777" w:rsidR="001238D7" w:rsidRPr="00E94619" w:rsidRDefault="001238D7" w:rsidP="000E5AC0">
            <w:pPr>
              <w:spacing w:after="0" w:line="240" w:lineRule="auto"/>
              <w:jc w:val="both"/>
              <w:rPr>
                <w:rFonts w:ascii="Century Gothic" w:hAnsi="Century Gothic"/>
                <w:b/>
                <w:color w:val="000000"/>
                <w:sz w:val="16"/>
                <w:szCs w:val="16"/>
              </w:rPr>
            </w:pPr>
          </w:p>
        </w:tc>
        <w:tc>
          <w:tcPr>
            <w:tcW w:w="6669" w:type="dxa"/>
            <w:tcBorders>
              <w:top w:val="single" w:sz="4" w:space="0" w:color="CC0066"/>
              <w:left w:val="single" w:sz="4" w:space="0" w:color="CC0066"/>
              <w:bottom w:val="single" w:sz="4" w:space="0" w:color="CC0066"/>
              <w:right w:val="single" w:sz="4" w:space="0" w:color="CC0066"/>
            </w:tcBorders>
          </w:tcPr>
          <w:p w14:paraId="0E17A090"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w:t>
            </w:r>
            <w:r w:rsidRPr="00E94619">
              <w:rPr>
                <w:rFonts w:ascii="Century Gothic" w:hAnsi="Century Gothic"/>
                <w:color w:val="000000"/>
                <w:sz w:val="16"/>
                <w:szCs w:val="16"/>
              </w:rPr>
              <w:t>Los medios de comunicación aún siguen presentando</w:t>
            </w:r>
            <w:r w:rsidRPr="00E94619">
              <w:rPr>
                <w:rFonts w:ascii="Century Gothic" w:hAnsi="Century Gothic"/>
                <w:b/>
                <w:color w:val="000000"/>
                <w:sz w:val="16"/>
                <w:szCs w:val="16"/>
              </w:rPr>
              <w:t xml:space="preserve"> </w:t>
            </w:r>
            <w:r w:rsidRPr="00E94619">
              <w:rPr>
                <w:rFonts w:ascii="Century Gothic" w:hAnsi="Century Gothic"/>
                <w:color w:val="000000"/>
                <w:sz w:val="16"/>
                <w:szCs w:val="16"/>
              </w:rPr>
              <w:t>los casos de feminicidio como casos de violencia pasional, que culpabilizan a las mujeres.</w:t>
            </w:r>
          </w:p>
          <w:p w14:paraId="3B7767B7"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-El sistema judicial aún no asume las especificaciones de la normatividad.</w:t>
            </w:r>
          </w:p>
          <w:p w14:paraId="6ED2A22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-el Instituto Nacional de Medicina Legal no hace reportes específicos sobre feminicidios.</w:t>
            </w:r>
          </w:p>
        </w:tc>
      </w:tr>
    </w:tbl>
    <w:p w14:paraId="48C9C258" w14:textId="77777777" w:rsidR="001238D7" w:rsidRPr="00E94619" w:rsidRDefault="001238D7" w:rsidP="000E5AC0">
      <w:pPr>
        <w:spacing w:after="0" w:line="240" w:lineRule="auto"/>
        <w:rPr>
          <w:rFonts w:ascii="Century Gothic" w:hAnsi="Century Gothic"/>
          <w:b/>
        </w:rPr>
      </w:pPr>
    </w:p>
    <w:p w14:paraId="7F31793D" w14:textId="77777777" w:rsidR="001238D7" w:rsidRPr="00281050" w:rsidRDefault="0036411F" w:rsidP="000E5AC0">
      <w:pPr>
        <w:pStyle w:val="Ttulo2"/>
        <w:rPr>
          <w:rFonts w:ascii="Century Gothic" w:hAnsi="Century Gothic"/>
          <w:b w:val="0"/>
          <w:color w:val="CC3366"/>
        </w:rPr>
      </w:pPr>
      <w:bookmarkStart w:id="39" w:name="_Toc488624256"/>
      <w:r w:rsidRPr="00281050">
        <w:rPr>
          <w:rFonts w:ascii="Century Gothic" w:hAnsi="Century Gothic"/>
          <w:b w:val="0"/>
          <w:color w:val="CC3366"/>
        </w:rPr>
        <w:t>1.7 Situación de las mujeres privadas de la libertad</w:t>
      </w:r>
      <w:bookmarkEnd w:id="39"/>
    </w:p>
    <w:p w14:paraId="2805201C" w14:textId="77777777" w:rsidR="001238D7" w:rsidRPr="00E94619" w:rsidRDefault="001238D7" w:rsidP="000E5AC0">
      <w:pPr>
        <w:spacing w:after="0" w:line="240" w:lineRule="auto"/>
        <w:rPr>
          <w:rFonts w:ascii="Century Gothic" w:hAnsi="Century Gothic"/>
          <w:b/>
          <w:u w:val="single"/>
        </w:rPr>
      </w:pPr>
    </w:p>
    <w:p w14:paraId="67AD8AE4" w14:textId="77777777" w:rsidR="009203E8" w:rsidRPr="00E94619" w:rsidRDefault="00830DBC" w:rsidP="000E5AC0">
      <w:pPr>
        <w:spacing w:after="0" w:line="240" w:lineRule="auto"/>
        <w:jc w:val="both"/>
        <w:rPr>
          <w:rFonts w:ascii="Century Gothic" w:hAnsi="Century Gothic"/>
        </w:rPr>
      </w:pPr>
      <w:sdt>
        <w:sdtPr>
          <w:rPr>
            <w:rFonts w:ascii="Century Gothic" w:hAnsi="Century Gothic"/>
          </w:rPr>
          <w:tag w:val="goog_rdk_23"/>
          <w:id w:val="-1295055349"/>
        </w:sdtPr>
        <w:sdtContent/>
      </w:sdt>
      <w:r w:rsidR="0036411F" w:rsidRPr="00E94619">
        <w:rPr>
          <w:rFonts w:ascii="Century Gothic" w:hAnsi="Century Gothic"/>
        </w:rPr>
        <w:t>De acuerdo con las cifras del Instituto Nacional Penitenciario y Carcelario- INPEC, para el mes de junio del año 2</w:t>
      </w:r>
      <w:r w:rsidR="00C41B67" w:rsidRPr="00E94619">
        <w:rPr>
          <w:rFonts w:ascii="Century Gothic" w:hAnsi="Century Gothic"/>
        </w:rPr>
        <w:t>020</w:t>
      </w:r>
      <w:r w:rsidR="0036411F" w:rsidRPr="00E94619">
        <w:rPr>
          <w:rFonts w:ascii="Century Gothic" w:hAnsi="Century Gothic"/>
        </w:rPr>
        <w:t xml:space="preserve"> la población recluida en cárceles era de </w:t>
      </w:r>
      <w:r w:rsidR="00AB5B08" w:rsidRPr="00E94619">
        <w:rPr>
          <w:rFonts w:ascii="Century Gothic" w:hAnsi="Century Gothic"/>
        </w:rPr>
        <w:t xml:space="preserve">175.244 </w:t>
      </w:r>
      <w:r w:rsidR="0036411F" w:rsidRPr="00E94619">
        <w:rPr>
          <w:rFonts w:ascii="Century Gothic" w:hAnsi="Century Gothic"/>
        </w:rPr>
        <w:t xml:space="preserve">personas, de las cuales </w:t>
      </w:r>
      <w:r w:rsidR="00AB5B08" w:rsidRPr="00E94619">
        <w:rPr>
          <w:rFonts w:ascii="Century Gothic" w:hAnsi="Century Gothic"/>
        </w:rPr>
        <w:t>17</w:t>
      </w:r>
      <w:r w:rsidR="0036411F" w:rsidRPr="00E94619">
        <w:rPr>
          <w:rFonts w:ascii="Century Gothic" w:hAnsi="Century Gothic"/>
        </w:rPr>
        <w:t>.</w:t>
      </w:r>
      <w:r w:rsidR="001B44B6" w:rsidRPr="00E94619">
        <w:rPr>
          <w:rFonts w:ascii="Century Gothic" w:hAnsi="Century Gothic"/>
        </w:rPr>
        <w:t xml:space="preserve">244 </w:t>
      </w:r>
      <w:r w:rsidR="0036411F" w:rsidRPr="00E94619">
        <w:rPr>
          <w:rFonts w:ascii="Century Gothic" w:hAnsi="Century Gothic"/>
        </w:rPr>
        <w:t xml:space="preserve">eran mujeres, que corresponde al </w:t>
      </w:r>
      <w:r w:rsidR="003A36AB" w:rsidRPr="00E94619">
        <w:rPr>
          <w:rFonts w:ascii="Century Gothic" w:hAnsi="Century Gothic"/>
        </w:rPr>
        <w:t>10</w:t>
      </w:r>
      <w:r w:rsidR="0036411F" w:rsidRPr="00E94619">
        <w:rPr>
          <w:rFonts w:ascii="Century Gothic" w:hAnsi="Century Gothic"/>
        </w:rPr>
        <w:t>%</w:t>
      </w:r>
      <w:r w:rsidR="00FD2E61" w:rsidRPr="00E94619">
        <w:rPr>
          <w:rStyle w:val="Refdenotaalpie"/>
          <w:rFonts w:ascii="Century Gothic" w:hAnsi="Century Gothic"/>
        </w:rPr>
        <w:footnoteReference w:id="28"/>
      </w:r>
      <w:r w:rsidR="0036411F" w:rsidRPr="00E94619">
        <w:rPr>
          <w:rFonts w:ascii="Century Gothic" w:hAnsi="Century Gothic"/>
        </w:rPr>
        <w:t xml:space="preserve">. </w:t>
      </w:r>
      <w:r w:rsidR="00E807F1" w:rsidRPr="00E94619">
        <w:rPr>
          <w:rFonts w:ascii="Century Gothic" w:hAnsi="Century Gothic"/>
        </w:rPr>
        <w:t xml:space="preserve"> El número de mujeres privadas de la libertad en centros penitenciarios del INPEC pasó de 1.500 en 1991 a 7.944 en junio de 2018. Este acelerado incremento del 429%, contrasta con el aumento del 300% en el número de hombres en el mismo período</w:t>
      </w:r>
      <w:r w:rsidR="00E807F1" w:rsidRPr="00E94619">
        <w:rPr>
          <w:rStyle w:val="Refdenotaalpie"/>
          <w:rFonts w:ascii="Century Gothic" w:hAnsi="Century Gothic"/>
        </w:rPr>
        <w:footnoteReference w:id="29"/>
      </w:r>
      <w:r w:rsidR="00A265F2" w:rsidRPr="00E94619">
        <w:rPr>
          <w:rFonts w:ascii="Century Gothic" w:hAnsi="Century Gothic"/>
        </w:rPr>
        <w:t>.</w:t>
      </w:r>
    </w:p>
    <w:p w14:paraId="43AA7609" w14:textId="77777777" w:rsidR="001238D7" w:rsidRPr="00E94619" w:rsidRDefault="009203E8" w:rsidP="000E5AC0">
      <w:pPr>
        <w:spacing w:after="0" w:line="240" w:lineRule="auto"/>
        <w:jc w:val="both"/>
        <w:rPr>
          <w:rFonts w:ascii="Century Gothic" w:hAnsi="Century Gothic"/>
        </w:rPr>
      </w:pPr>
      <w:r w:rsidRPr="00E94619">
        <w:rPr>
          <w:rFonts w:ascii="Century Gothic" w:hAnsi="Century Gothic"/>
        </w:rPr>
        <w:t>Para el mes de octubre de 2020, se registra una disminución del 20,7% (25.630), con respecto al corte del año anterior. Es de anotar, que en el histórico entre 1993 a 2020, n</w:t>
      </w:r>
      <w:r w:rsidR="00A265F2" w:rsidRPr="00E94619">
        <w:rPr>
          <w:rFonts w:ascii="Century Gothic" w:hAnsi="Century Gothic"/>
        </w:rPr>
        <w:t>o</w:t>
      </w:r>
      <w:r w:rsidRPr="00E94619">
        <w:rPr>
          <w:rFonts w:ascii="Century Gothic" w:hAnsi="Century Gothic"/>
        </w:rPr>
        <w:t xml:space="preserve"> se habían registrado niveles tan bajos en el total de la población de privados de la libertad</w:t>
      </w:r>
      <w:r w:rsidR="00A7655A" w:rsidRPr="00E94619">
        <w:rPr>
          <w:rFonts w:ascii="Century Gothic" w:hAnsi="Century Gothic"/>
        </w:rPr>
        <w:t>.</w:t>
      </w:r>
      <w:sdt>
        <w:sdtPr>
          <w:rPr>
            <w:rFonts w:ascii="Century Gothic" w:hAnsi="Century Gothic"/>
          </w:rPr>
          <w:id w:val="696579427"/>
          <w:citation/>
        </w:sdtPr>
        <w:sdtContent>
          <w:r w:rsidR="00A7655A" w:rsidRPr="00E94619">
            <w:rPr>
              <w:rFonts w:ascii="Century Gothic" w:hAnsi="Century Gothic"/>
            </w:rPr>
            <w:fldChar w:fldCharType="begin"/>
          </w:r>
          <w:r w:rsidR="00A7655A" w:rsidRPr="00E94619">
            <w:rPr>
              <w:rFonts w:ascii="Century Gothic" w:hAnsi="Century Gothic"/>
              <w:lang w:val="es-MX"/>
            </w:rPr>
            <w:instrText xml:space="preserve"> CITATION INP20 \l 2058 </w:instrText>
          </w:r>
          <w:r w:rsidR="00A7655A" w:rsidRPr="00E94619">
            <w:rPr>
              <w:rFonts w:ascii="Century Gothic" w:hAnsi="Century Gothic"/>
            </w:rPr>
            <w:fldChar w:fldCharType="separate"/>
          </w:r>
          <w:r w:rsidR="00A7655A" w:rsidRPr="00E94619">
            <w:rPr>
              <w:rFonts w:ascii="Century Gothic" w:hAnsi="Century Gothic"/>
              <w:noProof/>
              <w:lang w:val="es-MX"/>
            </w:rPr>
            <w:t xml:space="preserve"> (INPEC, 2020)</w:t>
          </w:r>
          <w:r w:rsidR="00A7655A" w:rsidRPr="00E94619">
            <w:rPr>
              <w:rFonts w:ascii="Century Gothic" w:hAnsi="Century Gothic"/>
            </w:rPr>
            <w:fldChar w:fldCharType="end"/>
          </w:r>
        </w:sdtContent>
      </w:sdt>
    </w:p>
    <w:p w14:paraId="7D7F1933" w14:textId="77777777" w:rsidR="001238D7" w:rsidRPr="00E94619" w:rsidRDefault="001238D7" w:rsidP="000E5AC0">
      <w:pPr>
        <w:spacing w:after="0" w:line="240" w:lineRule="auto"/>
        <w:jc w:val="both"/>
        <w:rPr>
          <w:rFonts w:ascii="Century Gothic" w:hAnsi="Century Gothic"/>
        </w:rPr>
      </w:pPr>
    </w:p>
    <w:p w14:paraId="0FF6A2E1" w14:textId="123091B9" w:rsidR="001238D7" w:rsidRPr="00E94619" w:rsidRDefault="00D2173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808768" behindDoc="0" locked="0" layoutInCell="1" allowOverlap="1" wp14:anchorId="58EAF80E" wp14:editId="1D5A918E">
            <wp:simplePos x="0" y="0"/>
            <wp:positionH relativeFrom="column">
              <wp:posOffset>-1080135</wp:posOffset>
            </wp:positionH>
            <wp:positionV relativeFrom="paragraph">
              <wp:posOffset>-8907780</wp:posOffset>
            </wp:positionV>
            <wp:extent cx="965835" cy="708660"/>
            <wp:effectExtent l="0" t="0" r="0" b="0"/>
            <wp:wrapNone/>
            <wp:docPr id="375" name="Imagen 37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 xml:space="preserve">De acuerdo con </w:t>
      </w:r>
      <w:r w:rsidR="00A265F2" w:rsidRPr="00E94619">
        <w:rPr>
          <w:rFonts w:ascii="Century Gothic" w:hAnsi="Century Gothic"/>
        </w:rPr>
        <w:t xml:space="preserve">los </w:t>
      </w:r>
      <w:r w:rsidR="0036411F" w:rsidRPr="00E94619">
        <w:rPr>
          <w:rFonts w:ascii="Century Gothic" w:hAnsi="Century Gothic"/>
        </w:rPr>
        <w:t xml:space="preserve">análisis </w:t>
      </w:r>
      <w:r w:rsidR="004620AD" w:rsidRPr="00E94619">
        <w:rPr>
          <w:rFonts w:ascii="Century Gothic" w:hAnsi="Century Gothic"/>
        </w:rPr>
        <w:t>del INPEC</w:t>
      </w:r>
      <w:r w:rsidR="00A265F2" w:rsidRPr="00E94619">
        <w:rPr>
          <w:rFonts w:ascii="Century Gothic" w:hAnsi="Century Gothic"/>
        </w:rPr>
        <w:t>,</w:t>
      </w:r>
      <w:r w:rsidR="000570AD" w:rsidRPr="00E94619">
        <w:rPr>
          <w:rFonts w:ascii="Century Gothic" w:hAnsi="Century Gothic"/>
        </w:rPr>
        <w:t xml:space="preserve"> </w:t>
      </w:r>
      <w:r w:rsidR="0036411F" w:rsidRPr="00E94619">
        <w:rPr>
          <w:rFonts w:ascii="Century Gothic" w:hAnsi="Century Gothic"/>
        </w:rPr>
        <w:t xml:space="preserve">las mujeres que se encuentran en </w:t>
      </w:r>
      <w:r w:rsidR="00A265F2" w:rsidRPr="00E94619">
        <w:rPr>
          <w:rFonts w:ascii="Century Gothic" w:hAnsi="Century Gothic"/>
        </w:rPr>
        <w:t>privadas</w:t>
      </w:r>
      <w:r w:rsidR="0036411F" w:rsidRPr="00E94619">
        <w:rPr>
          <w:rFonts w:ascii="Century Gothic" w:hAnsi="Century Gothic"/>
        </w:rPr>
        <w:t xml:space="preserve"> de la libertad</w:t>
      </w:r>
      <w:r w:rsidR="00A265F2" w:rsidRPr="00E94619">
        <w:rPr>
          <w:rFonts w:ascii="Century Gothic" w:hAnsi="Century Gothic"/>
        </w:rPr>
        <w:t>,</w:t>
      </w:r>
      <w:r w:rsidR="0036411F" w:rsidRPr="00E94619">
        <w:rPr>
          <w:rFonts w:ascii="Century Gothic" w:hAnsi="Century Gothic"/>
        </w:rPr>
        <w:t xml:space="preserve"> viven además la exclusión económica, la </w:t>
      </w:r>
      <w:r w:rsidR="0036411F" w:rsidRPr="00E94619">
        <w:rPr>
          <w:rFonts w:ascii="Century Gothic" w:hAnsi="Century Gothic"/>
        </w:rPr>
        <w:lastRenderedPageBreak/>
        <w:t>estigmatización social y de género por no asumir sus roles relacionados con el cuidado de los hijos e hijas</w:t>
      </w:r>
      <w:r w:rsidR="00A265F2" w:rsidRPr="00E94619">
        <w:rPr>
          <w:rFonts w:ascii="Century Gothic" w:hAnsi="Century Gothic"/>
        </w:rPr>
        <w:t>.</w:t>
      </w:r>
      <w:r w:rsidR="0036411F" w:rsidRPr="00E94619">
        <w:rPr>
          <w:rFonts w:ascii="Century Gothic" w:hAnsi="Century Gothic"/>
        </w:rPr>
        <w:t xml:space="preserve"> </w:t>
      </w:r>
      <w:r w:rsidR="00A265F2" w:rsidRPr="00E94619">
        <w:rPr>
          <w:rFonts w:ascii="Century Gothic" w:hAnsi="Century Gothic"/>
        </w:rPr>
        <w:t>A</w:t>
      </w:r>
      <w:r w:rsidR="0036411F" w:rsidRPr="00E94619">
        <w:rPr>
          <w:rFonts w:ascii="Century Gothic" w:hAnsi="Century Gothic"/>
        </w:rPr>
        <w:t>sí mismo</w:t>
      </w:r>
      <w:r w:rsidR="00A265F2" w:rsidRPr="00E94619">
        <w:rPr>
          <w:rFonts w:ascii="Century Gothic" w:hAnsi="Century Gothic"/>
        </w:rPr>
        <w:t>,</w:t>
      </w:r>
      <w:r w:rsidR="0036411F" w:rsidRPr="00E94619">
        <w:rPr>
          <w:rFonts w:ascii="Century Gothic" w:hAnsi="Century Gothic"/>
        </w:rPr>
        <w:t xml:space="preserve"> en los espacios carcelarios cuentan con menos condiciones para cumplir con sus penas que los hombres.</w:t>
      </w:r>
    </w:p>
    <w:p w14:paraId="03D35434" w14:textId="7F8C5881" w:rsidR="00C534AA" w:rsidRPr="00E94619" w:rsidRDefault="00D2173C"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810816" behindDoc="0" locked="0" layoutInCell="1" allowOverlap="1" wp14:anchorId="0B95F0F7" wp14:editId="37928501">
            <wp:simplePos x="0" y="0"/>
            <wp:positionH relativeFrom="column">
              <wp:posOffset>-1080135</wp:posOffset>
            </wp:positionH>
            <wp:positionV relativeFrom="paragraph">
              <wp:posOffset>-1336675</wp:posOffset>
            </wp:positionV>
            <wp:extent cx="965835" cy="708660"/>
            <wp:effectExtent l="0" t="0" r="0" b="0"/>
            <wp:wrapNone/>
            <wp:docPr id="376" name="Imagen 37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5D5206C9" w14:textId="0FA99BA2" w:rsidR="00C534AA" w:rsidRPr="00CA5E8F" w:rsidRDefault="00C534AA" w:rsidP="00281050">
      <w:pPr>
        <w:spacing w:after="0" w:line="240" w:lineRule="auto"/>
        <w:jc w:val="center"/>
        <w:rPr>
          <w:rFonts w:ascii="Century Gothic" w:hAnsi="Century Gothic"/>
          <w:b/>
          <w:sz w:val="16"/>
          <w:szCs w:val="16"/>
        </w:rPr>
      </w:pPr>
      <w:r w:rsidRPr="00CA5E8F">
        <w:rPr>
          <w:rFonts w:ascii="Century Gothic" w:hAnsi="Century Gothic"/>
          <w:b/>
          <w:sz w:val="16"/>
          <w:szCs w:val="16"/>
        </w:rPr>
        <w:t>Gráfica 15</w:t>
      </w:r>
      <w:r w:rsidR="00281050" w:rsidRPr="00CA5E8F">
        <w:rPr>
          <w:rFonts w:ascii="Century Gothic" w:hAnsi="Century Gothic"/>
          <w:b/>
          <w:sz w:val="16"/>
          <w:szCs w:val="16"/>
        </w:rPr>
        <w:t>. Población en situación de carcel (2017-2019)</w:t>
      </w:r>
    </w:p>
    <w:p w14:paraId="2EDB3A31" w14:textId="70F5EAD5" w:rsidR="00C534AA" w:rsidRPr="00E94619" w:rsidRDefault="00281050" w:rsidP="000E5AC0">
      <w:pPr>
        <w:spacing w:after="0" w:line="240" w:lineRule="auto"/>
        <w:jc w:val="both"/>
        <w:rPr>
          <w:rFonts w:ascii="Century Gothic" w:hAnsi="Century Gothic"/>
        </w:rPr>
      </w:pPr>
      <w:r w:rsidRPr="00E94619">
        <w:rPr>
          <w:rStyle w:val="Hipervnculo"/>
          <w:rFonts w:ascii="Century Gothic" w:hAnsi="Century Gothic"/>
          <w:noProof/>
          <w:lang w:val="es-ES" w:eastAsia="es-ES"/>
        </w:rPr>
        <w:drawing>
          <wp:anchor distT="0" distB="0" distL="114300" distR="114300" simplePos="0" relativeHeight="251678720" behindDoc="0" locked="0" layoutInCell="1" allowOverlap="1" wp14:anchorId="78C44D72" wp14:editId="253EDEBF">
            <wp:simplePos x="0" y="0"/>
            <wp:positionH relativeFrom="column">
              <wp:posOffset>1828800</wp:posOffset>
            </wp:positionH>
            <wp:positionV relativeFrom="paragraph">
              <wp:posOffset>163195</wp:posOffset>
            </wp:positionV>
            <wp:extent cx="2026285" cy="1217295"/>
            <wp:effectExtent l="0" t="0" r="5715" b="190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26285"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4363B" w14:textId="4F43A3F6" w:rsidR="00C534AA" w:rsidRPr="00E94619" w:rsidRDefault="00C534AA" w:rsidP="000E5AC0">
      <w:pPr>
        <w:spacing w:after="0" w:line="240" w:lineRule="auto"/>
        <w:jc w:val="both"/>
        <w:rPr>
          <w:rFonts w:ascii="Century Gothic" w:hAnsi="Century Gothic"/>
        </w:rPr>
      </w:pPr>
    </w:p>
    <w:p w14:paraId="58B13366" w14:textId="77777777" w:rsidR="001238D7" w:rsidRPr="00E94619" w:rsidRDefault="00830DBC" w:rsidP="000E5AC0">
      <w:pPr>
        <w:spacing w:after="0" w:line="240" w:lineRule="auto"/>
        <w:jc w:val="both"/>
        <w:rPr>
          <w:rFonts w:ascii="Century Gothic" w:hAnsi="Century Gothic"/>
        </w:rPr>
      </w:pPr>
      <w:sdt>
        <w:sdtPr>
          <w:rPr>
            <w:rFonts w:ascii="Century Gothic" w:hAnsi="Century Gothic"/>
          </w:rPr>
          <w:tag w:val="goog_rdk_25"/>
          <w:id w:val="-652669094"/>
          <w:showingPlcHdr/>
        </w:sdtPr>
        <w:sdtContent>
          <w:r w:rsidR="00A265F2" w:rsidRPr="00E94619">
            <w:rPr>
              <w:rFonts w:ascii="Century Gothic" w:hAnsi="Century Gothic"/>
            </w:rPr>
            <w:t xml:space="preserve">     </w:t>
          </w:r>
        </w:sdtContent>
      </w:sdt>
    </w:p>
    <w:p w14:paraId="77F4187B" w14:textId="77777777" w:rsidR="00281050" w:rsidRDefault="00281050" w:rsidP="000E5AC0">
      <w:pPr>
        <w:rPr>
          <w:rFonts w:ascii="Century Gothic" w:hAnsi="Century Gothic"/>
          <w:noProof/>
          <w:sz w:val="16"/>
          <w:szCs w:val="16"/>
          <w:bdr w:val="none" w:sz="0" w:space="0" w:color="auto" w:frame="1"/>
        </w:rPr>
      </w:pPr>
    </w:p>
    <w:p w14:paraId="6A5C1161" w14:textId="77777777" w:rsidR="00281050" w:rsidRDefault="00281050" w:rsidP="000E5AC0">
      <w:pPr>
        <w:rPr>
          <w:rFonts w:ascii="Century Gothic" w:hAnsi="Century Gothic"/>
          <w:noProof/>
          <w:sz w:val="16"/>
          <w:szCs w:val="16"/>
          <w:bdr w:val="none" w:sz="0" w:space="0" w:color="auto" w:frame="1"/>
        </w:rPr>
      </w:pPr>
    </w:p>
    <w:p w14:paraId="6913A940" w14:textId="77777777" w:rsidR="00281050" w:rsidRDefault="00281050" w:rsidP="000E5AC0">
      <w:pPr>
        <w:rPr>
          <w:rFonts w:ascii="Century Gothic" w:hAnsi="Century Gothic"/>
          <w:noProof/>
          <w:sz w:val="16"/>
          <w:szCs w:val="16"/>
          <w:bdr w:val="none" w:sz="0" w:space="0" w:color="auto" w:frame="1"/>
        </w:rPr>
      </w:pPr>
    </w:p>
    <w:p w14:paraId="3250F57C" w14:textId="77777777" w:rsidR="00281050" w:rsidRDefault="00281050" w:rsidP="000E5AC0">
      <w:pPr>
        <w:rPr>
          <w:rFonts w:ascii="Century Gothic" w:hAnsi="Century Gothic"/>
          <w:noProof/>
          <w:sz w:val="16"/>
          <w:szCs w:val="16"/>
          <w:bdr w:val="none" w:sz="0" w:space="0" w:color="auto" w:frame="1"/>
        </w:rPr>
      </w:pPr>
    </w:p>
    <w:p w14:paraId="210DB237" w14:textId="66E66BD6" w:rsidR="00AC6C23" w:rsidRPr="00E94619" w:rsidRDefault="00A265F2" w:rsidP="00281050">
      <w:pPr>
        <w:jc w:val="center"/>
        <w:rPr>
          <w:rFonts w:ascii="Century Gothic" w:hAnsi="Century Gothic"/>
          <w:noProof/>
          <w:sz w:val="16"/>
          <w:szCs w:val="16"/>
          <w:bdr w:val="none" w:sz="0" w:space="0" w:color="auto" w:frame="1"/>
        </w:rPr>
      </w:pPr>
      <w:r w:rsidRPr="00E94619">
        <w:rPr>
          <w:rFonts w:ascii="Century Gothic" w:hAnsi="Century Gothic"/>
          <w:noProof/>
          <w:sz w:val="16"/>
          <w:szCs w:val="16"/>
          <w:bdr w:val="none" w:sz="0" w:space="0" w:color="auto" w:frame="1"/>
        </w:rPr>
        <w:t xml:space="preserve">Fuente: </w:t>
      </w:r>
      <w:r w:rsidR="00AC6C23" w:rsidRPr="00E94619">
        <w:rPr>
          <w:rFonts w:ascii="Century Gothic" w:hAnsi="Century Gothic"/>
          <w:noProof/>
          <w:sz w:val="16"/>
          <w:szCs w:val="16"/>
          <w:bdr w:val="none" w:sz="0" w:space="0" w:color="auto" w:frame="1"/>
        </w:rPr>
        <w:t>Instituto Nacional Penitenciario y Carcelario</w:t>
      </w:r>
      <w:r w:rsidRPr="00E94619">
        <w:rPr>
          <w:rFonts w:ascii="Century Gothic" w:hAnsi="Century Gothic"/>
          <w:sz w:val="16"/>
          <w:szCs w:val="16"/>
        </w:rPr>
        <w:t xml:space="preserve">. </w:t>
      </w:r>
      <w:r w:rsidR="00AC6C23" w:rsidRPr="00E94619">
        <w:rPr>
          <w:rFonts w:ascii="Century Gothic" w:hAnsi="Century Gothic"/>
          <w:noProof/>
          <w:sz w:val="16"/>
          <w:szCs w:val="16"/>
          <w:bdr w:val="none" w:sz="0" w:space="0" w:color="auto" w:frame="1"/>
        </w:rPr>
        <w:t>Series Históricas</w:t>
      </w:r>
      <w:r w:rsidRPr="00E94619">
        <w:rPr>
          <w:rFonts w:ascii="Century Gothic" w:hAnsi="Century Gothic"/>
          <w:noProof/>
          <w:sz w:val="16"/>
          <w:szCs w:val="16"/>
          <w:bdr w:val="none" w:sz="0" w:space="0" w:color="auto" w:frame="1"/>
        </w:rPr>
        <w:t xml:space="preserve">. </w:t>
      </w:r>
      <w:r w:rsidR="00AC6C23" w:rsidRPr="00E94619">
        <w:rPr>
          <w:rFonts w:ascii="Century Gothic" w:hAnsi="Century Gothic"/>
          <w:noProof/>
          <w:sz w:val="16"/>
          <w:szCs w:val="16"/>
          <w:bdr w:val="none" w:sz="0" w:space="0" w:color="auto" w:frame="1"/>
        </w:rPr>
        <w:t>Año 2019.</w:t>
      </w:r>
    </w:p>
    <w:p w14:paraId="257A9983" w14:textId="77777777" w:rsidR="001238D7" w:rsidRPr="00E94619" w:rsidRDefault="001238D7" w:rsidP="000E5AC0">
      <w:pPr>
        <w:spacing w:after="0" w:line="240" w:lineRule="auto"/>
        <w:rPr>
          <w:rFonts w:ascii="Century Gothic" w:hAnsi="Century Gothic"/>
          <w:sz w:val="16"/>
          <w:szCs w:val="16"/>
        </w:rPr>
      </w:pPr>
    </w:p>
    <w:p w14:paraId="6B5FEC89"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del Estado, de la sociedad civil y avances y retos</w:t>
      </w:r>
    </w:p>
    <w:p w14:paraId="30C3F01F" w14:textId="77777777" w:rsidR="00281050" w:rsidRPr="00E94619" w:rsidRDefault="00281050" w:rsidP="000E5AC0">
      <w:pPr>
        <w:spacing w:after="0" w:line="240" w:lineRule="auto"/>
        <w:rPr>
          <w:rFonts w:ascii="Century Gothic" w:hAnsi="Century Gothic"/>
          <w:b/>
        </w:rPr>
      </w:pPr>
    </w:p>
    <w:tbl>
      <w:tblPr>
        <w:tblStyle w:val="affff1"/>
        <w:tblW w:w="8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0"/>
        <w:gridCol w:w="3402"/>
      </w:tblGrid>
      <w:tr w:rsidR="001238D7" w:rsidRPr="00E94619" w14:paraId="02C64C80" w14:textId="77777777" w:rsidTr="0089786B">
        <w:tc>
          <w:tcPr>
            <w:tcW w:w="5360" w:type="dxa"/>
            <w:tcBorders>
              <w:top w:val="single" w:sz="4" w:space="0" w:color="CC0066"/>
              <w:left w:val="single" w:sz="4" w:space="0" w:color="CC0066"/>
              <w:bottom w:val="single" w:sz="4" w:space="0" w:color="CC0066"/>
              <w:right w:val="single" w:sz="4" w:space="0" w:color="CC0066"/>
            </w:tcBorders>
            <w:shd w:val="clear" w:color="auto" w:fill="FF99CC"/>
          </w:tcPr>
          <w:p w14:paraId="5A023B94"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Avances</w:t>
            </w:r>
          </w:p>
        </w:tc>
        <w:tc>
          <w:tcPr>
            <w:tcW w:w="3402" w:type="dxa"/>
            <w:tcBorders>
              <w:top w:val="single" w:sz="4" w:space="0" w:color="CC0066"/>
              <w:left w:val="single" w:sz="4" w:space="0" w:color="CC0066"/>
              <w:bottom w:val="single" w:sz="4" w:space="0" w:color="CC0066"/>
              <w:right w:val="single" w:sz="4" w:space="0" w:color="CC0066"/>
            </w:tcBorders>
            <w:shd w:val="clear" w:color="auto" w:fill="FF99CC"/>
          </w:tcPr>
          <w:p w14:paraId="22B487B1"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Retos</w:t>
            </w:r>
          </w:p>
        </w:tc>
      </w:tr>
      <w:tr w:rsidR="001238D7" w:rsidRPr="00E94619" w14:paraId="217F8B96" w14:textId="77777777" w:rsidTr="0089786B">
        <w:tc>
          <w:tcPr>
            <w:tcW w:w="5360" w:type="dxa"/>
            <w:tcBorders>
              <w:top w:val="single" w:sz="4" w:space="0" w:color="CC0066"/>
              <w:left w:val="single" w:sz="4" w:space="0" w:color="CC0066"/>
              <w:bottom w:val="single" w:sz="4" w:space="0" w:color="CC0066"/>
              <w:right w:val="single" w:sz="4" w:space="0" w:color="CC0066"/>
            </w:tcBorders>
          </w:tcPr>
          <w:p w14:paraId="0C716AA6" w14:textId="77777777" w:rsidR="001238D7" w:rsidRPr="00E94619" w:rsidRDefault="0036411F" w:rsidP="000E5AC0">
            <w:pP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De acuerdo con el Informe ley 1257 de 2008/2015</w:t>
            </w:r>
          </w:p>
          <w:p w14:paraId="761512DC"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Existencia de la Comisión de Seguimiento al Sistema Penitenciario y Carcelario, liderada por el Ministerio de Justicia y del Derecho, y de la cual forma parte La CPEM. Esta Comisión busca que exista un control permanente que garantice y permita el ejercicio de los derechos humanos de las personas privadas de la libertad. Al formar parte de esta Comisión, la CPEM busca que se le dé un enfoque de género al Sistema Penitenciario y que se protejan los derechos de las mujeres internas. </w:t>
            </w:r>
          </w:p>
        </w:tc>
        <w:tc>
          <w:tcPr>
            <w:tcW w:w="3402" w:type="dxa"/>
            <w:tcBorders>
              <w:top w:val="single" w:sz="4" w:space="0" w:color="CC0066"/>
              <w:left w:val="single" w:sz="4" w:space="0" w:color="CC0066"/>
              <w:bottom w:val="single" w:sz="4" w:space="0" w:color="CC0066"/>
              <w:right w:val="single" w:sz="4" w:space="0" w:color="CC0066"/>
            </w:tcBorders>
          </w:tcPr>
          <w:p w14:paraId="2181675E"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-No se cuenta con un marco normativo ni político para responder a las necesidades específicas de las mujeres privadas de la libertad </w:t>
            </w:r>
          </w:p>
          <w:p w14:paraId="7C67499A" w14:textId="77777777" w:rsidR="001238D7" w:rsidRPr="00E94619" w:rsidRDefault="0036411F" w:rsidP="000E5AC0">
            <w:pP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-No se cuenta con estudios que permitan tener mayor información sobre la situación de las mujeres privadas de la libertad.</w:t>
            </w:r>
          </w:p>
        </w:tc>
      </w:tr>
    </w:tbl>
    <w:p w14:paraId="351AD009" w14:textId="218CDC4D" w:rsidR="001238D7" w:rsidRPr="00E94619" w:rsidRDefault="00C060F9" w:rsidP="000E5AC0">
      <w:pPr>
        <w:rPr>
          <w:rFonts w:ascii="Century Gothic" w:hAnsi="Century Gothic"/>
        </w:rPr>
      </w:pPr>
      <w:r>
        <w:rPr>
          <w:rFonts w:ascii="Century Gothic" w:eastAsia="Cambria" w:hAnsi="Century Gothic"/>
          <w:b/>
          <w:noProof/>
          <w:lang w:val="es-ES" w:eastAsia="es-ES"/>
        </w:rPr>
        <w:drawing>
          <wp:anchor distT="0" distB="0" distL="114300" distR="114300" simplePos="0" relativeHeight="251680768" behindDoc="1" locked="0" layoutInCell="1" allowOverlap="1" wp14:anchorId="25B4D9A7" wp14:editId="43BDD411">
            <wp:simplePos x="0" y="0"/>
            <wp:positionH relativeFrom="column">
              <wp:posOffset>-138430</wp:posOffset>
            </wp:positionH>
            <wp:positionV relativeFrom="paragraph">
              <wp:posOffset>107950</wp:posOffset>
            </wp:positionV>
            <wp:extent cx="5396230" cy="567055"/>
            <wp:effectExtent l="0" t="0" r="0" b="0"/>
            <wp:wrapNone/>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p>
    <w:p w14:paraId="60ABBB3D" w14:textId="4DF094E4" w:rsidR="00595D53" w:rsidRPr="00C060F9" w:rsidRDefault="00374CD3" w:rsidP="00C060F9">
      <w:pPr>
        <w:pStyle w:val="Ttulo1"/>
        <w:rPr>
          <w:rFonts w:ascii="Century Gothic" w:hAnsi="Century Gothic"/>
          <w:b/>
          <w:bCs/>
          <w:color w:val="auto"/>
          <w:sz w:val="22"/>
          <w:szCs w:val="22"/>
        </w:rPr>
      </w:pPr>
      <w:bookmarkStart w:id="40" w:name="_Toc488624257"/>
      <w:r w:rsidRPr="00CA5E8F">
        <w:rPr>
          <w:rFonts w:ascii="Century Gothic" w:hAnsi="Century Gothic"/>
          <w:b/>
          <w:bCs/>
          <w:color w:val="C73465"/>
          <w:sz w:val="22"/>
          <w:szCs w:val="22"/>
        </w:rPr>
        <w:t xml:space="preserve">IV. </w:t>
      </w:r>
      <w:r w:rsidR="00595D53" w:rsidRPr="00CA5E8F">
        <w:rPr>
          <w:rFonts w:ascii="Century Gothic" w:hAnsi="Century Gothic"/>
          <w:b/>
          <w:bCs/>
          <w:color w:val="C73465"/>
          <w:sz w:val="22"/>
          <w:szCs w:val="22"/>
        </w:rPr>
        <w:t>I</w:t>
      </w:r>
      <w:r w:rsidR="00CA5E8F" w:rsidRPr="00CA5E8F">
        <w:rPr>
          <w:rFonts w:ascii="Century Gothic" w:hAnsi="Century Gothic"/>
          <w:b/>
          <w:bCs/>
          <w:color w:val="C73465"/>
          <w:sz w:val="22"/>
          <w:szCs w:val="22"/>
        </w:rPr>
        <w:t xml:space="preserve">ntegrar la agenda de las mujeres, la paz </w:t>
      </w:r>
      <w:r w:rsidR="00CA5E8F" w:rsidRPr="00CA5E8F">
        <w:rPr>
          <w:rFonts w:ascii="Century Gothic" w:hAnsi="Century Gothic"/>
          <w:b/>
          <w:color w:val="C73465"/>
          <w:sz w:val="22"/>
          <w:szCs w:val="22"/>
        </w:rPr>
        <w:t>y la seguridad</w:t>
      </w:r>
      <w:bookmarkEnd w:id="40"/>
      <w:r w:rsidR="00CA5E8F" w:rsidRPr="00CA5E8F">
        <w:rPr>
          <w:rFonts w:ascii="Century Gothic" w:hAnsi="Century Gothic"/>
          <w:b/>
          <w:bCs/>
          <w:color w:val="C73465"/>
          <w:sz w:val="22"/>
          <w:szCs w:val="22"/>
        </w:rPr>
        <w:t xml:space="preserve"> </w:t>
      </w:r>
    </w:p>
    <w:p w14:paraId="373B086C" w14:textId="77777777" w:rsidR="00595D53" w:rsidRPr="00E94619" w:rsidRDefault="00595D53" w:rsidP="000E5AC0">
      <w:pPr>
        <w:pStyle w:val="Ttulo2"/>
        <w:rPr>
          <w:rFonts w:ascii="Century Gothic" w:hAnsi="Century Gothic"/>
        </w:rPr>
      </w:pPr>
    </w:p>
    <w:p w14:paraId="6EBEFB56" w14:textId="77777777" w:rsidR="001238D7" w:rsidRPr="00CA5E8F" w:rsidRDefault="003022F3" w:rsidP="000E5AC0">
      <w:pPr>
        <w:pStyle w:val="Ttulo2"/>
        <w:rPr>
          <w:rFonts w:ascii="Century Gothic" w:hAnsi="Century Gothic"/>
          <w:color w:val="C73465"/>
        </w:rPr>
      </w:pPr>
      <w:bookmarkStart w:id="41" w:name="_Toc488624258"/>
      <w:r w:rsidRPr="00CA5E8F">
        <w:rPr>
          <w:rFonts w:ascii="Century Gothic" w:hAnsi="Century Gothic"/>
          <w:color w:val="C73465"/>
        </w:rPr>
        <w:t xml:space="preserve">1. </w:t>
      </w:r>
      <w:r w:rsidR="00743C95" w:rsidRPr="00CA5E8F">
        <w:rPr>
          <w:rFonts w:ascii="Century Gothic" w:hAnsi="Century Gothic"/>
          <w:color w:val="C73465"/>
        </w:rPr>
        <w:t>Violencia contra las mujeres y las niñas en el conflicto armado</w:t>
      </w:r>
      <w:bookmarkEnd w:id="41"/>
      <w:r w:rsidR="00743C95" w:rsidRPr="00CA5E8F">
        <w:rPr>
          <w:rFonts w:ascii="Century Gothic" w:hAnsi="Century Gothic"/>
          <w:color w:val="C73465"/>
        </w:rPr>
        <w:t xml:space="preserve"> </w:t>
      </w:r>
    </w:p>
    <w:p w14:paraId="2FBD05DC" w14:textId="77777777" w:rsidR="001D5FBC" w:rsidRPr="00E94619" w:rsidRDefault="001D5FBC" w:rsidP="000E5AC0">
      <w:pPr>
        <w:spacing w:after="0" w:line="240" w:lineRule="auto"/>
        <w:jc w:val="both"/>
        <w:rPr>
          <w:rFonts w:ascii="Century Gothic" w:hAnsi="Century Gothic"/>
        </w:rPr>
      </w:pPr>
    </w:p>
    <w:p w14:paraId="019686E4" w14:textId="77777777" w:rsidR="009929CD" w:rsidRPr="00E94619" w:rsidRDefault="0036411F" w:rsidP="000E5AC0">
      <w:pPr>
        <w:spacing w:after="0" w:line="240" w:lineRule="auto"/>
        <w:jc w:val="both"/>
        <w:rPr>
          <w:rFonts w:ascii="Century Gothic" w:hAnsi="Century Gothic"/>
        </w:rPr>
      </w:pPr>
      <w:r w:rsidRPr="00E94619">
        <w:rPr>
          <w:rFonts w:ascii="Century Gothic" w:hAnsi="Century Gothic"/>
        </w:rPr>
        <w:t xml:space="preserve">Colombia ha vivido un conflicto armado de más de cincuenta años, el cual ha dejado aproximadamente 7.936.566 de víctimas. </w:t>
      </w:r>
      <w:r w:rsidR="009929CD" w:rsidRPr="00E94619">
        <w:rPr>
          <w:rFonts w:ascii="Century Gothic" w:hAnsi="Century Gothic"/>
        </w:rPr>
        <w:t xml:space="preserve">Entre 1958 y 2018 </w:t>
      </w:r>
      <w:r w:rsidR="00A3621F" w:rsidRPr="00E94619">
        <w:rPr>
          <w:rFonts w:ascii="Century Gothic" w:hAnsi="Century Gothic"/>
        </w:rPr>
        <w:t xml:space="preserve">a causa del conflicto han muerto </w:t>
      </w:r>
      <w:r w:rsidR="009929CD" w:rsidRPr="00E94619">
        <w:rPr>
          <w:rFonts w:ascii="Century Gothic" w:hAnsi="Century Gothic"/>
        </w:rPr>
        <w:t>261.619 personas, de acuerdo con el Centro Nacional de Memoria Histórica de Colombia.</w:t>
      </w:r>
    </w:p>
    <w:p w14:paraId="06C194A0" w14:textId="77777777" w:rsidR="001238D7" w:rsidRDefault="0036411F" w:rsidP="000E5AC0">
      <w:pPr>
        <w:spacing w:after="0" w:line="240" w:lineRule="auto"/>
        <w:jc w:val="both"/>
        <w:rPr>
          <w:rFonts w:ascii="Century Gothic" w:hAnsi="Century Gothic"/>
        </w:rPr>
      </w:pPr>
      <w:r w:rsidRPr="00E94619">
        <w:rPr>
          <w:rFonts w:ascii="Century Gothic" w:hAnsi="Century Gothic"/>
        </w:rPr>
        <w:t xml:space="preserve">Este conflicto ha causado fuertes afectaciones para la vida de las mujeres y las niñas, quienes han sufrido diversas vulneraciones como el desplazamiento, la pérdida de familiares, diferentes formas de violencia sexual, despojo de sus territorios y prostitución forzada. Esto ha dejado graves secuelas para sus vidas como problemas en la salud reproductiva, mayor incidencia en la violencia en las relaciones familiares, vinculación al mercado laboral informal y una menor participación política. </w:t>
      </w:r>
    </w:p>
    <w:p w14:paraId="647D59FA" w14:textId="77777777" w:rsidR="00C060F9" w:rsidRDefault="00C060F9" w:rsidP="000E5AC0">
      <w:pPr>
        <w:spacing w:after="0" w:line="240" w:lineRule="auto"/>
        <w:jc w:val="both"/>
        <w:rPr>
          <w:rFonts w:ascii="Century Gothic" w:hAnsi="Century Gothic"/>
        </w:rPr>
      </w:pPr>
    </w:p>
    <w:p w14:paraId="37F1C8CD" w14:textId="77777777" w:rsidR="00C060F9" w:rsidRDefault="00C060F9" w:rsidP="000E5AC0">
      <w:pPr>
        <w:spacing w:after="0" w:line="240" w:lineRule="auto"/>
        <w:jc w:val="both"/>
        <w:rPr>
          <w:rFonts w:ascii="Century Gothic" w:hAnsi="Century Gothic"/>
        </w:rPr>
      </w:pPr>
    </w:p>
    <w:p w14:paraId="51B13969" w14:textId="77777777" w:rsidR="00C060F9" w:rsidRDefault="00C060F9" w:rsidP="000E5AC0">
      <w:pPr>
        <w:spacing w:after="0" w:line="240" w:lineRule="auto"/>
        <w:jc w:val="both"/>
        <w:rPr>
          <w:rFonts w:ascii="Century Gothic" w:hAnsi="Century Gothic"/>
        </w:rPr>
      </w:pPr>
    </w:p>
    <w:p w14:paraId="16F4624A" w14:textId="77777777" w:rsidR="00C060F9" w:rsidRDefault="00C060F9" w:rsidP="000E5AC0">
      <w:pPr>
        <w:spacing w:after="0" w:line="240" w:lineRule="auto"/>
        <w:jc w:val="both"/>
        <w:rPr>
          <w:rFonts w:ascii="Century Gothic" w:hAnsi="Century Gothic"/>
        </w:rPr>
      </w:pPr>
    </w:p>
    <w:p w14:paraId="386B6F00" w14:textId="77777777" w:rsidR="00C060F9" w:rsidRDefault="00C060F9" w:rsidP="000E5AC0">
      <w:pPr>
        <w:spacing w:after="0" w:line="240" w:lineRule="auto"/>
        <w:jc w:val="both"/>
        <w:rPr>
          <w:rFonts w:ascii="Century Gothic" w:hAnsi="Century Gothic"/>
        </w:rPr>
      </w:pPr>
    </w:p>
    <w:p w14:paraId="0C8E1CBC" w14:textId="77777777" w:rsidR="00C060F9" w:rsidRDefault="00C060F9" w:rsidP="000E5AC0">
      <w:pPr>
        <w:spacing w:after="0" w:line="240" w:lineRule="auto"/>
        <w:jc w:val="both"/>
        <w:rPr>
          <w:rFonts w:ascii="Century Gothic" w:hAnsi="Century Gothic"/>
        </w:rPr>
      </w:pPr>
    </w:p>
    <w:p w14:paraId="226940FD" w14:textId="77777777" w:rsidR="003F560F" w:rsidRDefault="003F560F" w:rsidP="000E5AC0">
      <w:pPr>
        <w:spacing w:after="0" w:line="240" w:lineRule="auto"/>
        <w:jc w:val="both"/>
        <w:rPr>
          <w:rFonts w:ascii="Century Gothic" w:hAnsi="Century Gothic"/>
        </w:rPr>
      </w:pPr>
    </w:p>
    <w:p w14:paraId="3AEEEE9F" w14:textId="77777777" w:rsidR="003F560F" w:rsidRDefault="003F560F" w:rsidP="000E5AC0">
      <w:pPr>
        <w:spacing w:after="0" w:line="240" w:lineRule="auto"/>
        <w:jc w:val="both"/>
        <w:rPr>
          <w:rFonts w:ascii="Century Gothic" w:hAnsi="Century Gothic"/>
        </w:rPr>
      </w:pPr>
    </w:p>
    <w:p w14:paraId="42F10195" w14:textId="26D2C996" w:rsidR="00C060F9" w:rsidRDefault="00C060F9" w:rsidP="000E5AC0">
      <w:pPr>
        <w:spacing w:after="0" w:line="240" w:lineRule="auto"/>
        <w:jc w:val="both"/>
        <w:rPr>
          <w:rFonts w:ascii="Century Gothic" w:hAnsi="Century Gothic"/>
        </w:rPr>
      </w:pPr>
    </w:p>
    <w:p w14:paraId="3AA355F7" w14:textId="7334E9F9" w:rsidR="00CA5E8F" w:rsidRDefault="00D2173C" w:rsidP="000E5AC0">
      <w:pPr>
        <w:spacing w:after="0" w:line="240" w:lineRule="auto"/>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12864" behindDoc="0" locked="0" layoutInCell="1" allowOverlap="1" wp14:anchorId="305509C7" wp14:editId="505300C3">
            <wp:simplePos x="0" y="0"/>
            <wp:positionH relativeFrom="column">
              <wp:posOffset>-1080135</wp:posOffset>
            </wp:positionH>
            <wp:positionV relativeFrom="paragraph">
              <wp:posOffset>-822960</wp:posOffset>
            </wp:positionV>
            <wp:extent cx="965835" cy="708660"/>
            <wp:effectExtent l="0" t="0" r="0" b="0"/>
            <wp:wrapNone/>
            <wp:docPr id="377" name="Imagen 37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281C8B23" w14:textId="1A10DC7E" w:rsidR="00CA5E8F" w:rsidRPr="00CA5E8F" w:rsidRDefault="00CA5E8F" w:rsidP="00CA5E8F">
      <w:pPr>
        <w:spacing w:after="0" w:line="240" w:lineRule="auto"/>
        <w:jc w:val="center"/>
        <w:rPr>
          <w:rFonts w:ascii="Century Gothic" w:hAnsi="Century Gothic"/>
          <w:b/>
          <w:sz w:val="16"/>
          <w:szCs w:val="16"/>
        </w:rPr>
      </w:pPr>
      <w:r w:rsidRPr="00CA5E8F">
        <w:rPr>
          <w:rFonts w:ascii="Century Gothic" w:hAnsi="Century Gothic"/>
          <w:b/>
          <w:sz w:val="16"/>
          <w:szCs w:val="16"/>
        </w:rPr>
        <w:t>El saldo del conflicto armado en Colombia</w:t>
      </w:r>
    </w:p>
    <w:p w14:paraId="4B6F6FA7" w14:textId="77777777" w:rsidR="001238D7" w:rsidRPr="00E94619" w:rsidRDefault="001238D7" w:rsidP="000E5AC0">
      <w:pPr>
        <w:spacing w:after="0" w:line="240" w:lineRule="auto"/>
        <w:jc w:val="both"/>
        <w:rPr>
          <w:rFonts w:ascii="Century Gothic" w:hAnsi="Century Gothic"/>
        </w:rPr>
      </w:pPr>
    </w:p>
    <w:p w14:paraId="0D1B417C" w14:textId="77777777" w:rsidR="00A47A35" w:rsidRPr="00E94619" w:rsidRDefault="00A47A35"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81792" behindDoc="0" locked="0" layoutInCell="1" allowOverlap="1" wp14:anchorId="2725AC97" wp14:editId="5537E693">
            <wp:simplePos x="0" y="0"/>
            <wp:positionH relativeFrom="column">
              <wp:posOffset>1485900</wp:posOffset>
            </wp:positionH>
            <wp:positionV relativeFrom="paragraph">
              <wp:posOffset>18415</wp:posOffset>
            </wp:positionV>
            <wp:extent cx="2676525" cy="1583690"/>
            <wp:effectExtent l="0" t="0" r="0" b="0"/>
            <wp:wrapSquare wrapText="bothSides"/>
            <wp:docPr id="8" name="Imagen 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76525" cy="1583690"/>
                    </a:xfrm>
                    <a:prstGeom prst="rect">
                      <a:avLst/>
                    </a:prstGeom>
                  </pic:spPr>
                </pic:pic>
              </a:graphicData>
            </a:graphic>
            <wp14:sizeRelH relativeFrom="page">
              <wp14:pctWidth>0</wp14:pctWidth>
            </wp14:sizeRelH>
            <wp14:sizeRelV relativeFrom="page">
              <wp14:pctHeight>0</wp14:pctHeight>
            </wp14:sizeRelV>
          </wp:anchor>
        </w:drawing>
      </w:r>
    </w:p>
    <w:p w14:paraId="5C956CD8" w14:textId="77777777" w:rsidR="00CA5E8F" w:rsidRDefault="00CA5E8F" w:rsidP="000E5AC0">
      <w:pPr>
        <w:spacing w:after="0" w:line="240" w:lineRule="auto"/>
        <w:jc w:val="both"/>
        <w:rPr>
          <w:rFonts w:ascii="Century Gothic" w:hAnsi="Century Gothic"/>
          <w:sz w:val="16"/>
          <w:szCs w:val="16"/>
        </w:rPr>
      </w:pPr>
    </w:p>
    <w:p w14:paraId="6B7D7355" w14:textId="77777777" w:rsidR="00CA5E8F" w:rsidRDefault="00CA5E8F" w:rsidP="000E5AC0">
      <w:pPr>
        <w:spacing w:after="0" w:line="240" w:lineRule="auto"/>
        <w:jc w:val="both"/>
        <w:rPr>
          <w:rFonts w:ascii="Century Gothic" w:hAnsi="Century Gothic"/>
          <w:sz w:val="16"/>
          <w:szCs w:val="16"/>
        </w:rPr>
      </w:pPr>
    </w:p>
    <w:p w14:paraId="46BE6E0D" w14:textId="77777777" w:rsidR="00CA5E8F" w:rsidRDefault="00CA5E8F" w:rsidP="000E5AC0">
      <w:pPr>
        <w:spacing w:after="0" w:line="240" w:lineRule="auto"/>
        <w:jc w:val="both"/>
        <w:rPr>
          <w:rFonts w:ascii="Century Gothic" w:hAnsi="Century Gothic"/>
          <w:sz w:val="16"/>
          <w:szCs w:val="16"/>
        </w:rPr>
      </w:pPr>
    </w:p>
    <w:p w14:paraId="1290D167" w14:textId="77777777" w:rsidR="00CA5E8F" w:rsidRDefault="00CA5E8F" w:rsidP="000E5AC0">
      <w:pPr>
        <w:spacing w:after="0" w:line="240" w:lineRule="auto"/>
        <w:jc w:val="both"/>
        <w:rPr>
          <w:rFonts w:ascii="Century Gothic" w:hAnsi="Century Gothic"/>
          <w:sz w:val="16"/>
          <w:szCs w:val="16"/>
        </w:rPr>
      </w:pPr>
    </w:p>
    <w:p w14:paraId="58BE0660" w14:textId="77777777" w:rsidR="00CA5E8F" w:rsidRDefault="00CA5E8F" w:rsidP="000E5AC0">
      <w:pPr>
        <w:spacing w:after="0" w:line="240" w:lineRule="auto"/>
        <w:jc w:val="both"/>
        <w:rPr>
          <w:rFonts w:ascii="Century Gothic" w:hAnsi="Century Gothic"/>
          <w:sz w:val="16"/>
          <w:szCs w:val="16"/>
        </w:rPr>
      </w:pPr>
    </w:p>
    <w:p w14:paraId="0D07864B" w14:textId="77777777" w:rsidR="00CA5E8F" w:rsidRDefault="00CA5E8F" w:rsidP="000E5AC0">
      <w:pPr>
        <w:spacing w:after="0" w:line="240" w:lineRule="auto"/>
        <w:jc w:val="both"/>
        <w:rPr>
          <w:rFonts w:ascii="Century Gothic" w:hAnsi="Century Gothic"/>
          <w:sz w:val="16"/>
          <w:szCs w:val="16"/>
        </w:rPr>
      </w:pPr>
    </w:p>
    <w:p w14:paraId="74B7908F" w14:textId="77777777" w:rsidR="00CA5E8F" w:rsidRDefault="00CA5E8F" w:rsidP="000E5AC0">
      <w:pPr>
        <w:spacing w:after="0" w:line="240" w:lineRule="auto"/>
        <w:jc w:val="both"/>
        <w:rPr>
          <w:rFonts w:ascii="Century Gothic" w:hAnsi="Century Gothic"/>
          <w:sz w:val="16"/>
          <w:szCs w:val="16"/>
        </w:rPr>
      </w:pPr>
    </w:p>
    <w:p w14:paraId="4131A952" w14:textId="77777777" w:rsidR="00CA5E8F" w:rsidRDefault="00CA5E8F" w:rsidP="000E5AC0">
      <w:pPr>
        <w:spacing w:after="0" w:line="240" w:lineRule="auto"/>
        <w:jc w:val="both"/>
        <w:rPr>
          <w:rFonts w:ascii="Century Gothic" w:hAnsi="Century Gothic"/>
          <w:sz w:val="16"/>
          <w:szCs w:val="16"/>
        </w:rPr>
      </w:pPr>
    </w:p>
    <w:p w14:paraId="293993DE" w14:textId="77777777" w:rsidR="00CA5E8F" w:rsidRDefault="00CA5E8F" w:rsidP="000E5AC0">
      <w:pPr>
        <w:spacing w:after="0" w:line="240" w:lineRule="auto"/>
        <w:jc w:val="both"/>
        <w:rPr>
          <w:rFonts w:ascii="Century Gothic" w:hAnsi="Century Gothic"/>
          <w:sz w:val="16"/>
          <w:szCs w:val="16"/>
        </w:rPr>
      </w:pPr>
    </w:p>
    <w:p w14:paraId="20EA86C3" w14:textId="77777777" w:rsidR="00CA5E8F" w:rsidRDefault="00CA5E8F" w:rsidP="000E5AC0">
      <w:pPr>
        <w:spacing w:after="0" w:line="240" w:lineRule="auto"/>
        <w:jc w:val="both"/>
        <w:rPr>
          <w:rFonts w:ascii="Century Gothic" w:hAnsi="Century Gothic"/>
          <w:sz w:val="16"/>
          <w:szCs w:val="16"/>
        </w:rPr>
      </w:pPr>
    </w:p>
    <w:p w14:paraId="6040BBE2" w14:textId="77777777" w:rsidR="00CA5E8F" w:rsidRDefault="00CA5E8F" w:rsidP="000E5AC0">
      <w:pPr>
        <w:spacing w:after="0" w:line="240" w:lineRule="auto"/>
        <w:jc w:val="both"/>
        <w:rPr>
          <w:rFonts w:ascii="Century Gothic" w:hAnsi="Century Gothic"/>
          <w:sz w:val="16"/>
          <w:szCs w:val="16"/>
        </w:rPr>
      </w:pPr>
    </w:p>
    <w:p w14:paraId="2E74AD29" w14:textId="77777777" w:rsidR="00CA5E8F" w:rsidRDefault="00CA5E8F" w:rsidP="000E5AC0">
      <w:pPr>
        <w:spacing w:after="0" w:line="240" w:lineRule="auto"/>
        <w:jc w:val="both"/>
        <w:rPr>
          <w:rFonts w:ascii="Century Gothic" w:hAnsi="Century Gothic"/>
          <w:sz w:val="16"/>
          <w:szCs w:val="16"/>
        </w:rPr>
      </w:pPr>
    </w:p>
    <w:p w14:paraId="4D23D27D" w14:textId="77777777" w:rsidR="00CA5E8F" w:rsidRDefault="00CA5E8F" w:rsidP="000E5AC0">
      <w:pPr>
        <w:spacing w:after="0" w:line="240" w:lineRule="auto"/>
        <w:jc w:val="both"/>
        <w:rPr>
          <w:rFonts w:ascii="Century Gothic" w:hAnsi="Century Gothic"/>
          <w:sz w:val="16"/>
          <w:szCs w:val="16"/>
        </w:rPr>
      </w:pPr>
    </w:p>
    <w:p w14:paraId="69ABEBBD" w14:textId="77777777" w:rsidR="00442A1A" w:rsidRPr="00E94619" w:rsidRDefault="00A47A35" w:rsidP="00CA5E8F">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Centro </w:t>
      </w:r>
      <w:r w:rsidR="00A3621F" w:rsidRPr="00E94619">
        <w:rPr>
          <w:rFonts w:ascii="Century Gothic" w:hAnsi="Century Gothic"/>
          <w:sz w:val="16"/>
          <w:szCs w:val="16"/>
        </w:rPr>
        <w:t>N</w:t>
      </w:r>
      <w:r w:rsidRPr="00E94619">
        <w:rPr>
          <w:rFonts w:ascii="Century Gothic" w:hAnsi="Century Gothic"/>
          <w:sz w:val="16"/>
          <w:szCs w:val="16"/>
        </w:rPr>
        <w:t xml:space="preserve">acional de </w:t>
      </w:r>
      <w:r w:rsidR="00A3621F" w:rsidRPr="00E94619">
        <w:rPr>
          <w:rFonts w:ascii="Century Gothic" w:hAnsi="Century Gothic"/>
          <w:sz w:val="16"/>
          <w:szCs w:val="16"/>
        </w:rPr>
        <w:t>M</w:t>
      </w:r>
      <w:r w:rsidRPr="00E94619">
        <w:rPr>
          <w:rFonts w:ascii="Century Gothic" w:hAnsi="Century Gothic"/>
          <w:sz w:val="16"/>
          <w:szCs w:val="16"/>
        </w:rPr>
        <w:t xml:space="preserve">emoria </w:t>
      </w:r>
      <w:r w:rsidR="00A3621F" w:rsidRPr="00E94619">
        <w:rPr>
          <w:rFonts w:ascii="Century Gothic" w:hAnsi="Century Gothic"/>
          <w:sz w:val="16"/>
          <w:szCs w:val="16"/>
        </w:rPr>
        <w:t>H</w:t>
      </w:r>
      <w:r w:rsidRPr="00E94619">
        <w:rPr>
          <w:rFonts w:ascii="Century Gothic" w:hAnsi="Century Gothic"/>
          <w:sz w:val="16"/>
          <w:szCs w:val="16"/>
        </w:rPr>
        <w:t>istórica</w:t>
      </w:r>
      <w:r w:rsidR="00A3621F" w:rsidRPr="00E94619">
        <w:rPr>
          <w:rFonts w:ascii="Century Gothic" w:hAnsi="Century Gothic"/>
          <w:sz w:val="16"/>
          <w:szCs w:val="16"/>
        </w:rPr>
        <w:t>,</w:t>
      </w:r>
      <w:r w:rsidRPr="00E94619">
        <w:rPr>
          <w:rFonts w:ascii="Century Gothic" w:hAnsi="Century Gothic"/>
          <w:sz w:val="16"/>
          <w:szCs w:val="16"/>
        </w:rPr>
        <w:t xml:space="preserve"> 2019</w:t>
      </w:r>
      <w:r w:rsidR="00A3621F" w:rsidRPr="00E94619">
        <w:rPr>
          <w:rFonts w:ascii="Century Gothic" w:hAnsi="Century Gothic"/>
          <w:sz w:val="16"/>
          <w:szCs w:val="16"/>
        </w:rPr>
        <w:t>.</w:t>
      </w:r>
    </w:p>
    <w:p w14:paraId="3909680C" w14:textId="40D54644" w:rsidR="00A3621F" w:rsidRPr="00E94619" w:rsidRDefault="00804C7A" w:rsidP="000E5AC0">
      <w:pPr>
        <w:spacing w:before="120" w:after="120" w:line="240" w:lineRule="auto"/>
        <w:jc w:val="both"/>
        <w:rPr>
          <w:rFonts w:ascii="Century Gothic" w:hAnsi="Century Gothic"/>
          <w:color w:val="000000"/>
          <w:shd w:val="clear" w:color="auto" w:fill="FFFFFF"/>
        </w:rPr>
      </w:pPr>
      <w:r w:rsidRPr="00E94619">
        <w:rPr>
          <w:rFonts w:ascii="Century Gothic" w:eastAsia="Times New Roman" w:hAnsi="Century Gothic" w:cs="Arial"/>
          <w:color w:val="202122"/>
          <w:lang w:eastAsia="es-CO"/>
        </w:rPr>
        <w:t xml:space="preserve">El </w:t>
      </w:r>
      <w:r w:rsidR="00A3621F" w:rsidRPr="00E94619">
        <w:rPr>
          <w:rFonts w:ascii="Century Gothic" w:eastAsia="Times New Roman" w:hAnsi="Century Gothic" w:cs="Arial"/>
          <w:color w:val="202122"/>
          <w:lang w:eastAsia="es-CO"/>
        </w:rPr>
        <w:t>A</w:t>
      </w:r>
      <w:r w:rsidRPr="00E94619">
        <w:rPr>
          <w:rFonts w:ascii="Century Gothic" w:eastAsia="Times New Roman" w:hAnsi="Century Gothic" w:cs="Arial"/>
          <w:color w:val="202122"/>
          <w:lang w:eastAsia="es-CO"/>
        </w:rPr>
        <w:t>cuerdo de Paz firmado en noviembre d</w:t>
      </w:r>
      <w:r w:rsidR="00A3621F" w:rsidRPr="00E94619">
        <w:rPr>
          <w:rFonts w:ascii="Century Gothic" w:eastAsia="Times New Roman" w:hAnsi="Century Gothic" w:cs="Arial"/>
          <w:color w:val="202122"/>
          <w:lang w:eastAsia="es-CO"/>
        </w:rPr>
        <w:t>e</w:t>
      </w:r>
      <w:r w:rsidRPr="00E94619">
        <w:rPr>
          <w:rFonts w:ascii="Century Gothic" w:eastAsia="Times New Roman" w:hAnsi="Century Gothic" w:cs="Arial"/>
          <w:color w:val="202122"/>
          <w:lang w:eastAsia="es-CO"/>
        </w:rPr>
        <w:t xml:space="preserve"> 2016 entre el gobierno colombiano y las FARC-EP</w:t>
      </w:r>
      <w:r w:rsidR="00A3621F" w:rsidRPr="00E94619">
        <w:rPr>
          <w:rFonts w:ascii="Century Gothic" w:eastAsia="Times New Roman" w:hAnsi="Century Gothic" w:cs="Arial"/>
          <w:color w:val="202122"/>
          <w:lang w:eastAsia="es-CO"/>
        </w:rPr>
        <w:t>,</w:t>
      </w:r>
      <w:r w:rsidRPr="00E94619">
        <w:rPr>
          <w:rFonts w:ascii="Century Gothic" w:eastAsia="Times New Roman" w:hAnsi="Century Gothic" w:cs="Arial"/>
          <w:color w:val="202122"/>
          <w:lang w:eastAsia="es-CO"/>
        </w:rPr>
        <w:t xml:space="preserve"> </w:t>
      </w:r>
      <w:r w:rsidR="005A093B" w:rsidRPr="00E94619">
        <w:rPr>
          <w:rFonts w:ascii="Century Gothic" w:eastAsia="Times New Roman" w:hAnsi="Century Gothic" w:cs="Arial"/>
          <w:color w:val="202122"/>
          <w:lang w:eastAsia="es-CO"/>
        </w:rPr>
        <w:t xml:space="preserve">marca el fin de la  confrontación armada con esta guerrilla, la reincorporación de </w:t>
      </w:r>
      <w:r w:rsidR="005A093B" w:rsidRPr="00E94619">
        <w:rPr>
          <w:rFonts w:ascii="Century Gothic" w:hAnsi="Century Gothic"/>
          <w:color w:val="000000"/>
          <w:shd w:val="clear" w:color="auto" w:fill="FFFFFF"/>
        </w:rPr>
        <w:t>cerca de 13.000 combatientes a la vida civil, y</w:t>
      </w:r>
      <w:r w:rsidR="005A093B" w:rsidRPr="00E94619">
        <w:rPr>
          <w:rFonts w:ascii="Century Gothic" w:eastAsia="Times New Roman" w:hAnsi="Century Gothic" w:cs="Arial"/>
          <w:color w:val="202122"/>
          <w:lang w:eastAsia="es-CO"/>
        </w:rPr>
        <w:t xml:space="preserve"> a nivel internacional es catalogado como una buena práctica por la inclusión de la perspectiva de género a través de 100 medidas en todos los puntos del acuerdo</w:t>
      </w:r>
      <w:r w:rsidR="005A093B" w:rsidRPr="00E94619">
        <w:rPr>
          <w:rStyle w:val="Refdenotaalpie"/>
          <w:rFonts w:ascii="Century Gothic" w:eastAsia="Times New Roman" w:hAnsi="Century Gothic" w:cs="Arial"/>
          <w:color w:val="202122"/>
          <w:lang w:eastAsia="es-CO"/>
        </w:rPr>
        <w:footnoteReference w:id="30"/>
      </w:r>
      <w:r w:rsidR="005A093B" w:rsidRPr="00E94619">
        <w:rPr>
          <w:rFonts w:ascii="Century Gothic" w:eastAsia="Times New Roman" w:hAnsi="Century Gothic" w:cs="Arial"/>
          <w:color w:val="202122"/>
          <w:lang w:eastAsia="es-CO"/>
        </w:rPr>
        <w:t xml:space="preserve">. </w:t>
      </w:r>
    </w:p>
    <w:p w14:paraId="38E96EB9" w14:textId="77777777" w:rsidR="00804C7A" w:rsidRPr="00E94619" w:rsidRDefault="00804C7A" w:rsidP="000E5AC0">
      <w:pPr>
        <w:spacing w:before="120" w:after="120" w:line="240" w:lineRule="auto"/>
        <w:jc w:val="both"/>
        <w:rPr>
          <w:rFonts w:ascii="Century Gothic" w:hAnsi="Century Gothic"/>
        </w:rPr>
      </w:pPr>
      <w:r w:rsidRPr="00E94619">
        <w:rPr>
          <w:rFonts w:ascii="Century Gothic" w:hAnsi="Century Gothic"/>
        </w:rPr>
        <w:t xml:space="preserve">La </w:t>
      </w:r>
      <w:r w:rsidR="005A093B" w:rsidRPr="00E94619">
        <w:rPr>
          <w:rFonts w:ascii="Century Gothic" w:hAnsi="Century Gothic"/>
        </w:rPr>
        <w:t>R</w:t>
      </w:r>
      <w:r w:rsidRPr="00E94619">
        <w:rPr>
          <w:rFonts w:ascii="Century Gothic" w:hAnsi="Century Gothic"/>
        </w:rPr>
        <w:t xml:space="preserve">esolución 1325 aprobada por unanimidad en el año 2000 por el Consejo de Seguridad de las Naciones Unidas, fue la primera en </w:t>
      </w:r>
      <w:r w:rsidR="005A093B" w:rsidRPr="00E94619">
        <w:rPr>
          <w:rFonts w:ascii="Century Gothic" w:hAnsi="Century Gothic"/>
        </w:rPr>
        <w:t xml:space="preserve">abordar </w:t>
      </w:r>
      <w:r w:rsidRPr="00E94619">
        <w:rPr>
          <w:rFonts w:ascii="Century Gothic" w:hAnsi="Century Gothic"/>
        </w:rPr>
        <w:t>el efecto desproporcionado y diferencial de los conflictos armados en las mujeres y estableció un hito histórico al reconocer la importancia de la participación de las mujeres, así como la inclusión de la perspectiva de género en las negociaciones de paz, el mantenimiento y la consolidación de la paz. Las resoluciones posteriores de la agenda de Mujer</w:t>
      </w:r>
      <w:r w:rsidR="005A093B" w:rsidRPr="00E94619">
        <w:rPr>
          <w:rFonts w:ascii="Century Gothic" w:hAnsi="Century Gothic"/>
        </w:rPr>
        <w:t>es</w:t>
      </w:r>
      <w:r w:rsidRPr="00E94619">
        <w:rPr>
          <w:rFonts w:ascii="Century Gothic" w:hAnsi="Century Gothic"/>
        </w:rPr>
        <w:t>, Paz y Seguridad</w:t>
      </w:r>
      <w:r w:rsidR="001F0417" w:rsidRPr="00E94619">
        <w:rPr>
          <w:rStyle w:val="Refdenotaalpie"/>
          <w:rFonts w:ascii="Century Gothic" w:hAnsi="Century Gothic"/>
        </w:rPr>
        <w:footnoteReference w:id="31"/>
      </w:r>
      <w:r w:rsidRPr="00E94619">
        <w:rPr>
          <w:rFonts w:ascii="Century Gothic" w:hAnsi="Century Gothic"/>
        </w:rPr>
        <w:t xml:space="preserve"> instan a los Estados miembros y a todos los agentes a garantizar la plena participación de las mujeres en todos los esfuerzos para mantener y promover la paz y la seguridad y reafirman la necesidad de aumentar su participación en los procesos de adopción de decisiones en materia de prevención y solución de conflictos. De forma especial, la resolución 2242 aprobada en el año 2015 hace hincapié en la rendición de cuentas sobre la aplicación de la Resolución 1325 en todas las fases de la prevención de conflictos, resolución y recuperación.</w:t>
      </w:r>
      <w:sdt>
        <w:sdtPr>
          <w:rPr>
            <w:rFonts w:ascii="Century Gothic" w:hAnsi="Century Gothic"/>
          </w:rPr>
          <w:id w:val="-1167778384"/>
          <w:citation/>
        </w:sdtPr>
        <w:sdtContent>
          <w:r w:rsidRPr="00E94619">
            <w:rPr>
              <w:rFonts w:ascii="Century Gothic" w:hAnsi="Century Gothic"/>
            </w:rPr>
            <w:fldChar w:fldCharType="begin"/>
          </w:r>
          <w:r w:rsidRPr="00E94619">
            <w:rPr>
              <w:rFonts w:ascii="Century Gothic" w:hAnsi="Century Gothic"/>
            </w:rPr>
            <w:instrText xml:space="preserve"> CITATION ONU181 \l 9226 </w:instrText>
          </w:r>
          <w:r w:rsidRPr="00E94619">
            <w:rPr>
              <w:rFonts w:ascii="Century Gothic" w:hAnsi="Century Gothic"/>
            </w:rPr>
            <w:fldChar w:fldCharType="separate"/>
          </w:r>
          <w:r w:rsidRPr="00E94619">
            <w:rPr>
              <w:rFonts w:ascii="Century Gothic" w:hAnsi="Century Gothic"/>
              <w:noProof/>
            </w:rPr>
            <w:t xml:space="preserve"> (ONU Mujeres, 2018)</w:t>
          </w:r>
          <w:r w:rsidRPr="00E94619">
            <w:rPr>
              <w:rFonts w:ascii="Century Gothic" w:hAnsi="Century Gothic"/>
            </w:rPr>
            <w:fldChar w:fldCharType="end"/>
          </w:r>
        </w:sdtContent>
      </w:sdt>
    </w:p>
    <w:p w14:paraId="26387C4F" w14:textId="00AA0767" w:rsidR="001F0417" w:rsidRPr="00E94619" w:rsidRDefault="001F0417" w:rsidP="000E5AC0">
      <w:pPr>
        <w:spacing w:before="120" w:after="120" w:line="240" w:lineRule="auto"/>
        <w:jc w:val="both"/>
        <w:rPr>
          <w:rFonts w:ascii="Century Gothic" w:eastAsia="Times New Roman" w:hAnsi="Century Gothic" w:cs="Arial"/>
          <w:color w:val="202122"/>
          <w:lang w:eastAsia="es-CO"/>
        </w:rPr>
      </w:pPr>
      <w:r w:rsidRPr="00E94619">
        <w:rPr>
          <w:rFonts w:ascii="Century Gothic" w:hAnsi="Century Gothic"/>
        </w:rPr>
        <w:t xml:space="preserve">En 2019, el Consejo de Seguridad de la ONU aprobó la </w:t>
      </w:r>
      <w:r w:rsidR="005A093B" w:rsidRPr="00E94619">
        <w:rPr>
          <w:rFonts w:ascii="Century Gothic" w:hAnsi="Century Gothic"/>
        </w:rPr>
        <w:t>Resolución 2467</w:t>
      </w:r>
      <w:r w:rsidR="00891DF1" w:rsidRPr="00E94619">
        <w:rPr>
          <w:rStyle w:val="Refdenotaalpie"/>
          <w:rFonts w:ascii="Century Gothic" w:hAnsi="Century Gothic"/>
        </w:rPr>
        <w:footnoteReference w:id="32"/>
      </w:r>
      <w:r w:rsidRPr="00E94619">
        <w:rPr>
          <w:rFonts w:ascii="Century Gothic" w:hAnsi="Century Gothic"/>
        </w:rPr>
        <w:t>, que reconoce la importancia de  la centralidad de las y los sobrevivientes de violencia sexual en el marco de conflictos armados, como herramienta de prevención y erradicación; y se alinea con la solicitud que los premios Nobel de Paz de ese año, (</w:t>
      </w:r>
      <w:r w:rsidRPr="00E94619">
        <w:rPr>
          <w:rFonts w:ascii="Century Gothic" w:eastAsia="Times New Roman" w:hAnsi="Century Gothic" w:cs="Times New Roman"/>
          <w:color w:val="1D1C1C"/>
          <w:sz w:val="21"/>
          <w:szCs w:val="21"/>
          <w:shd w:val="clear" w:color="auto" w:fill="FFFFFF"/>
          <w:lang w:eastAsia="es-MX"/>
        </w:rPr>
        <w:t xml:space="preserve">Denis Mukwege y Nadia Murad) hicieron al Consejo de </w:t>
      </w:r>
      <w:r w:rsidRPr="00E94619">
        <w:rPr>
          <w:rFonts w:ascii="Century Gothic" w:eastAsia="Times New Roman" w:hAnsi="Century Gothic" w:cs="Times New Roman"/>
          <w:color w:val="1D1C1C"/>
          <w:sz w:val="21"/>
          <w:szCs w:val="21"/>
          <w:shd w:val="clear" w:color="auto" w:fill="FFFFFF"/>
          <w:lang w:eastAsia="es-MX"/>
        </w:rPr>
        <w:lastRenderedPageBreak/>
        <w:t>Seguridad, a favor de la expedición de medidas específicas para garantizar el acceso a la justicia y la reparación integral a personas víctimas de estos hechos</w:t>
      </w:r>
      <w:r w:rsidR="00891DF1" w:rsidRPr="00E94619">
        <w:rPr>
          <w:rStyle w:val="Refdenotaalpie"/>
          <w:rFonts w:ascii="Century Gothic" w:eastAsia="Times New Roman" w:hAnsi="Century Gothic" w:cs="Times New Roman"/>
          <w:color w:val="1D1C1C"/>
          <w:sz w:val="21"/>
          <w:szCs w:val="21"/>
          <w:shd w:val="clear" w:color="auto" w:fill="FFFFFF"/>
          <w:lang w:eastAsia="es-MX"/>
        </w:rPr>
        <w:footnoteReference w:id="33"/>
      </w:r>
      <w:r w:rsidRPr="00E94619">
        <w:rPr>
          <w:rFonts w:ascii="Century Gothic" w:eastAsia="Times New Roman" w:hAnsi="Century Gothic" w:cs="Times New Roman"/>
          <w:color w:val="1D1C1C"/>
          <w:sz w:val="21"/>
          <w:szCs w:val="21"/>
          <w:shd w:val="clear" w:color="auto" w:fill="FFFFFF"/>
          <w:lang w:eastAsia="es-MX"/>
        </w:rPr>
        <w:t>.</w:t>
      </w:r>
    </w:p>
    <w:p w14:paraId="6005AF0D" w14:textId="748DFAC8" w:rsidR="00686374" w:rsidRPr="00E94619" w:rsidRDefault="00D2173C" w:rsidP="000E5AC0">
      <w:pPr>
        <w:spacing w:after="0" w:line="240" w:lineRule="auto"/>
        <w:jc w:val="both"/>
        <w:rPr>
          <w:rFonts w:ascii="Century Gothic" w:hAnsi="Century Gothic"/>
          <w:sz w:val="16"/>
          <w:szCs w:val="16"/>
          <w:lang w:val="es-ES_tradnl"/>
        </w:rPr>
      </w:pPr>
      <w:r>
        <w:rPr>
          <w:rFonts w:ascii="Century Gothic" w:hAnsi="Century Gothic"/>
          <w:b/>
          <w:noProof/>
          <w:szCs w:val="24"/>
          <w:lang w:val="es-ES"/>
        </w:rPr>
        <w:drawing>
          <wp:anchor distT="0" distB="0" distL="114300" distR="114300" simplePos="0" relativeHeight="251814912" behindDoc="0" locked="0" layoutInCell="1" allowOverlap="1" wp14:anchorId="028D4555" wp14:editId="3679E219">
            <wp:simplePos x="0" y="0"/>
            <wp:positionH relativeFrom="column">
              <wp:posOffset>-1080135</wp:posOffset>
            </wp:positionH>
            <wp:positionV relativeFrom="paragraph">
              <wp:posOffset>-1226185</wp:posOffset>
            </wp:positionV>
            <wp:extent cx="965835" cy="708660"/>
            <wp:effectExtent l="0" t="0" r="0" b="0"/>
            <wp:wrapNone/>
            <wp:docPr id="378" name="Imagen 37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55196315" w14:textId="77777777" w:rsidR="001238D7" w:rsidRPr="00CA5E8F" w:rsidRDefault="00704F34" w:rsidP="000E5AC0">
      <w:pPr>
        <w:pStyle w:val="Ttulo3"/>
        <w:rPr>
          <w:rFonts w:ascii="Century Gothic" w:hAnsi="Century Gothic"/>
          <w:b w:val="0"/>
          <w:color w:val="C73465"/>
        </w:rPr>
      </w:pPr>
      <w:bookmarkStart w:id="42" w:name="_Toc488624259"/>
      <w:r w:rsidRPr="00CA5E8F">
        <w:rPr>
          <w:rFonts w:ascii="Century Gothic" w:hAnsi="Century Gothic"/>
          <w:b w:val="0"/>
          <w:color w:val="C73465"/>
        </w:rPr>
        <w:t>1</w:t>
      </w:r>
      <w:r w:rsidR="0036411F" w:rsidRPr="00CA5E8F">
        <w:rPr>
          <w:rFonts w:ascii="Century Gothic" w:hAnsi="Century Gothic"/>
          <w:b w:val="0"/>
          <w:color w:val="C73465"/>
        </w:rPr>
        <w:t>.1 Afectaciones por causa del conflicto armado</w:t>
      </w:r>
      <w:bookmarkEnd w:id="42"/>
    </w:p>
    <w:p w14:paraId="49FB02E8" w14:textId="77777777" w:rsidR="006D183A" w:rsidRPr="00E94619" w:rsidRDefault="006D183A" w:rsidP="000E5AC0">
      <w:pPr>
        <w:spacing w:before="120" w:after="120" w:line="240" w:lineRule="auto"/>
        <w:jc w:val="both"/>
        <w:rPr>
          <w:rFonts w:ascii="Century Gothic" w:hAnsi="Century Gothic" w:cstheme="minorBidi"/>
        </w:rPr>
      </w:pPr>
      <w:r w:rsidRPr="00E94619">
        <w:rPr>
          <w:rFonts w:ascii="Century Gothic" w:hAnsi="Century Gothic"/>
        </w:rPr>
        <w:t>El proceso de recolección, construcción y comunicación de las cifras sobre el conflicto armado presenta varios obstáculos que hacen que esta no sea una tarea sencilla. Entre estos pueden identificarse el control y presencia de los actores armados en ciertos territorios y las estrategias que diseñan para evitar que se reconozcan las dimensiones de la violencia, la ineficiencia o ausencia del Estado y la omisión de los protocolos gubernamentales de atención. Lo anterior, sumado a la existencia de estereotipos que circulan y normalizan graves violaciones a los derechos humanos, hace que las víctimas de estos hechos no cuenten con suficientes garantías de protección y que, en muchos casos, decidan no hacer denuncias por el terror o la vergüenza que les genera hacer declaraciones sobre los crímenes a los que han sido sometidas. Debido a las razones mencionadas, se sabe que las cifras del conflicto armado que se logran consolidar son menores a los hechos que en realidad suceden y que en pocas ocasiones los datos son desagregados con enfoque diferencial.</w:t>
      </w:r>
    </w:p>
    <w:p w14:paraId="3DAB55CC" w14:textId="724EE205" w:rsidR="001238D7" w:rsidRPr="00CA5E8F" w:rsidRDefault="00B108FB" w:rsidP="000E5AC0">
      <w:pPr>
        <w:pStyle w:val="Ttulo3"/>
        <w:rPr>
          <w:rFonts w:ascii="Century Gothic" w:eastAsia="Cambria" w:hAnsi="Century Gothic"/>
          <w:b w:val="0"/>
          <w:i/>
          <w:color w:val="C73465"/>
        </w:rPr>
      </w:pPr>
      <w:bookmarkStart w:id="43" w:name="_Toc488624260"/>
      <w:r w:rsidRPr="00CA5E8F">
        <w:rPr>
          <w:rFonts w:ascii="Century Gothic" w:eastAsia="Cambria" w:hAnsi="Century Gothic"/>
          <w:b w:val="0"/>
          <w:color w:val="C73465"/>
        </w:rPr>
        <w:t>1.2</w:t>
      </w:r>
      <w:r w:rsidR="00CA5E8F">
        <w:rPr>
          <w:rFonts w:ascii="Century Gothic" w:eastAsia="Cambria" w:hAnsi="Century Gothic"/>
          <w:b w:val="0"/>
          <w:color w:val="C73465"/>
        </w:rPr>
        <w:t>.</w:t>
      </w:r>
      <w:r w:rsidR="0036411F" w:rsidRPr="00CA5E8F">
        <w:rPr>
          <w:rFonts w:ascii="Century Gothic" w:eastAsia="Cambria" w:hAnsi="Century Gothic"/>
          <w:b w:val="0"/>
          <w:color w:val="C73465"/>
        </w:rPr>
        <w:t xml:space="preserve"> Zonas afectadas por el conflicto armado</w:t>
      </w:r>
      <w:bookmarkEnd w:id="43"/>
    </w:p>
    <w:p w14:paraId="710752F1" w14:textId="77777777" w:rsidR="001238D7" w:rsidRPr="00E94619" w:rsidRDefault="001238D7" w:rsidP="000E5AC0">
      <w:pPr>
        <w:spacing w:after="0" w:line="240" w:lineRule="auto"/>
        <w:jc w:val="both"/>
        <w:rPr>
          <w:rFonts w:ascii="Century Gothic" w:hAnsi="Century Gothic"/>
        </w:rPr>
      </w:pPr>
    </w:p>
    <w:p w14:paraId="10F76665" w14:textId="77777777" w:rsidR="007A70CE" w:rsidRPr="00E94619" w:rsidRDefault="007A70CE" w:rsidP="000E5AC0">
      <w:pPr>
        <w:spacing w:after="100" w:afterAutospacing="1" w:line="240" w:lineRule="auto"/>
        <w:jc w:val="both"/>
        <w:rPr>
          <w:rFonts w:ascii="Century Gothic" w:eastAsia="Times New Roman" w:hAnsi="Century Gothic" w:cstheme="minorHAnsi"/>
          <w:lang w:eastAsia="es-CO"/>
        </w:rPr>
      </w:pPr>
      <w:r w:rsidRPr="00E94619">
        <w:rPr>
          <w:rFonts w:ascii="Century Gothic" w:eastAsia="Times New Roman" w:hAnsi="Century Gothic" w:cstheme="minorHAnsi"/>
          <w:lang w:eastAsia="es-CO"/>
        </w:rPr>
        <w:t>La Unidad para la Atención y Reparación Integral a las Víctimas (UARIV) de Colombia informó que durante 2018 en su país hubo 243.547 víctimas del conflicto armado en el territorio nacional, según la entidad, por la dinámica que refleja el conflicto en los territorios, las regiones del país en donde más se registran menores de edad víctimas fueron Antioquia con 11.046 casos, Santander con 10.974, Nariño con 6.614, Valle del Cauca con 5.577, Chocó con 3.669, Bolívar con 2.843 y Córdoba con 2679.</w:t>
      </w:r>
      <w:sdt>
        <w:sdtPr>
          <w:rPr>
            <w:rFonts w:ascii="Century Gothic" w:eastAsia="Times New Roman" w:hAnsi="Century Gothic" w:cstheme="minorHAnsi"/>
            <w:lang w:eastAsia="es-CO"/>
          </w:rPr>
          <w:id w:val="2022431410"/>
          <w:citation/>
        </w:sdtPr>
        <w:sdtContent>
          <w:r w:rsidRPr="00E94619">
            <w:rPr>
              <w:rFonts w:ascii="Century Gothic" w:eastAsia="Times New Roman" w:hAnsi="Century Gothic" w:cstheme="minorHAnsi"/>
              <w:lang w:eastAsia="es-CO"/>
            </w:rPr>
            <w:fldChar w:fldCharType="begin"/>
          </w:r>
          <w:r w:rsidRPr="00E94619">
            <w:rPr>
              <w:rFonts w:ascii="Century Gothic" w:eastAsia="Times New Roman" w:hAnsi="Century Gothic" w:cstheme="minorHAnsi"/>
              <w:lang w:val="es-ES" w:eastAsia="es-CO"/>
            </w:rPr>
            <w:instrText xml:space="preserve"> CITATION UAR18 \l 3082 </w:instrText>
          </w:r>
          <w:r w:rsidRPr="00E94619">
            <w:rPr>
              <w:rFonts w:ascii="Century Gothic" w:eastAsia="Times New Roman" w:hAnsi="Century Gothic" w:cstheme="minorHAnsi"/>
              <w:lang w:eastAsia="es-CO"/>
            </w:rPr>
            <w:fldChar w:fldCharType="separate"/>
          </w:r>
          <w:r w:rsidRPr="00E94619">
            <w:rPr>
              <w:rFonts w:ascii="Century Gothic" w:eastAsia="Times New Roman" w:hAnsi="Century Gothic" w:cstheme="minorHAnsi"/>
              <w:noProof/>
              <w:lang w:val="es-ES" w:eastAsia="es-CO"/>
            </w:rPr>
            <w:t xml:space="preserve"> (UARIV, 2018)</w:t>
          </w:r>
          <w:r w:rsidRPr="00E94619">
            <w:rPr>
              <w:rFonts w:ascii="Century Gothic" w:eastAsia="Times New Roman" w:hAnsi="Century Gothic" w:cstheme="minorHAnsi"/>
              <w:lang w:eastAsia="es-CO"/>
            </w:rPr>
            <w:fldChar w:fldCharType="end"/>
          </w:r>
        </w:sdtContent>
      </w:sdt>
      <w:r w:rsidRPr="00E94619">
        <w:rPr>
          <w:rFonts w:ascii="Century Gothic" w:eastAsia="Times New Roman" w:hAnsi="Century Gothic" w:cstheme="minorHAnsi"/>
          <w:lang w:eastAsia="es-CO"/>
        </w:rPr>
        <w:t>.  El Comité Internacional de La Cruz Roja (CICR) en Colombia informó en marzo del 2018 que en el país hay cinco conflictos armados vigentes entre el Estado y el Ejército de Liberación Nacional (ELN), el Ejército Popular de Liberación (EPL), las Autodefensas Gaitanistas de Colombia (AGC) y las antiguas estructuras del Bloque Oriental de las Farc que no se acogieron al proceso de paz.</w:t>
      </w:r>
      <w:r w:rsidRPr="00E94619">
        <w:rPr>
          <w:rFonts w:ascii="Century Gothic" w:eastAsia="Times New Roman" w:hAnsi="Century Gothic" w:cstheme="minorHAnsi"/>
          <w:noProof/>
          <w:lang w:val="es-ES" w:eastAsia="es-CO"/>
        </w:rPr>
        <w:t xml:space="preserve"> (CICR, 2019)</w:t>
      </w:r>
      <w:r w:rsidRPr="00E94619">
        <w:rPr>
          <w:rStyle w:val="Refdenotaalpie"/>
          <w:rFonts w:ascii="Century Gothic" w:eastAsia="Times New Roman" w:hAnsi="Century Gothic" w:cstheme="minorHAnsi"/>
          <w:noProof/>
          <w:lang w:val="es-ES" w:eastAsia="es-CO"/>
        </w:rPr>
        <w:footnoteReference w:id="34"/>
      </w:r>
    </w:p>
    <w:p w14:paraId="16AD7613" w14:textId="77777777" w:rsidR="001238D7" w:rsidRPr="00CA5E8F" w:rsidRDefault="00D8608E" w:rsidP="000E5AC0">
      <w:pPr>
        <w:pStyle w:val="Ttulo3"/>
        <w:rPr>
          <w:rFonts w:ascii="Century Gothic" w:eastAsia="Cambria" w:hAnsi="Century Gothic"/>
          <w:b w:val="0"/>
          <w:i/>
          <w:color w:val="C73465"/>
        </w:rPr>
      </w:pPr>
      <w:bookmarkStart w:id="44" w:name="_Toc488624261"/>
      <w:r w:rsidRPr="00CA5E8F">
        <w:rPr>
          <w:rFonts w:ascii="Century Gothic" w:eastAsia="Cambria" w:hAnsi="Century Gothic"/>
          <w:b w:val="0"/>
          <w:color w:val="C73465"/>
        </w:rPr>
        <w:t>1.3</w:t>
      </w:r>
      <w:r w:rsidR="0036411F" w:rsidRPr="00CA5E8F">
        <w:rPr>
          <w:rFonts w:ascii="Century Gothic" w:eastAsia="Cambria" w:hAnsi="Century Gothic"/>
          <w:b w:val="0"/>
          <w:color w:val="C73465"/>
        </w:rPr>
        <w:t xml:space="preserve"> Número de muertes violentas</w:t>
      </w:r>
      <w:bookmarkEnd w:id="44"/>
      <w:r w:rsidR="0036411F" w:rsidRPr="00CA5E8F">
        <w:rPr>
          <w:rFonts w:ascii="Century Gothic" w:eastAsia="Cambria" w:hAnsi="Century Gothic"/>
          <w:b w:val="0"/>
          <w:color w:val="C73465"/>
        </w:rPr>
        <w:t xml:space="preserve"> </w:t>
      </w:r>
    </w:p>
    <w:p w14:paraId="17976450" w14:textId="77777777" w:rsidR="001238D7" w:rsidRPr="00E94619" w:rsidRDefault="001238D7" w:rsidP="000E5AC0">
      <w:pPr>
        <w:spacing w:after="0" w:line="240" w:lineRule="auto"/>
        <w:rPr>
          <w:rFonts w:ascii="Century Gothic" w:hAnsi="Century Gothic"/>
          <w:b/>
        </w:rPr>
      </w:pPr>
    </w:p>
    <w:p w14:paraId="25F00763" w14:textId="31BC8AE4" w:rsidR="001238D7" w:rsidRDefault="0036411F" w:rsidP="000E5AC0">
      <w:pPr>
        <w:spacing w:after="0" w:line="240" w:lineRule="auto"/>
        <w:jc w:val="both"/>
        <w:rPr>
          <w:rFonts w:ascii="Century Gothic" w:hAnsi="Century Gothic"/>
        </w:rPr>
      </w:pPr>
      <w:r w:rsidRPr="00E94619">
        <w:rPr>
          <w:rFonts w:ascii="Century Gothic" w:hAnsi="Century Gothic"/>
        </w:rPr>
        <w:t>La Unidad para la Atención y Reparación Integral de las Víctimas reporta que desde 1985 hasta el 201</w:t>
      </w:r>
      <w:r w:rsidR="003D219E" w:rsidRPr="00E94619">
        <w:rPr>
          <w:rFonts w:ascii="Century Gothic" w:hAnsi="Century Gothic"/>
        </w:rPr>
        <w:t>8</w:t>
      </w:r>
      <w:r w:rsidRPr="00E94619">
        <w:rPr>
          <w:rFonts w:ascii="Century Gothic" w:hAnsi="Century Gothic"/>
        </w:rPr>
        <w:t xml:space="preserve"> el conflicto armado ha cobrado la vida de 981.509 personas en Colombia, de las cuales </w:t>
      </w:r>
      <w:r w:rsidR="00B2495C" w:rsidRPr="00E94619">
        <w:rPr>
          <w:rFonts w:ascii="Century Gothic" w:hAnsi="Century Gothic"/>
        </w:rPr>
        <w:t>4.674.767</w:t>
      </w:r>
      <w:r w:rsidR="0004636B" w:rsidRPr="00E94619">
        <w:rPr>
          <w:rFonts w:ascii="Century Gothic" w:hAnsi="Century Gothic"/>
        </w:rPr>
        <w:t xml:space="preserve"> </w:t>
      </w:r>
      <w:r w:rsidRPr="00E94619">
        <w:rPr>
          <w:rFonts w:ascii="Century Gothic" w:hAnsi="Century Gothic"/>
        </w:rPr>
        <w:t xml:space="preserve">eran hombres, </w:t>
      </w:r>
      <w:r w:rsidR="003D219E" w:rsidRPr="00E94619">
        <w:rPr>
          <w:rFonts w:ascii="Century Gothic" w:hAnsi="Century Gothic"/>
        </w:rPr>
        <w:t xml:space="preserve">4.467.204 eran </w:t>
      </w:r>
      <w:r w:rsidRPr="00E94619">
        <w:rPr>
          <w:rFonts w:ascii="Century Gothic" w:hAnsi="Century Gothic"/>
        </w:rPr>
        <w:t>mujeres</w:t>
      </w:r>
      <w:r w:rsidR="00B2495C" w:rsidRPr="00E94619">
        <w:rPr>
          <w:rFonts w:ascii="Century Gothic" w:hAnsi="Century Gothic"/>
        </w:rPr>
        <w:t xml:space="preserve"> y 3.705 eran </w:t>
      </w:r>
      <w:r w:rsidRPr="00E94619">
        <w:rPr>
          <w:rFonts w:ascii="Century Gothic" w:hAnsi="Century Gothic"/>
        </w:rPr>
        <w:t>personas con orientación sexual</w:t>
      </w:r>
      <w:r w:rsidR="00B2495C" w:rsidRPr="00E94619">
        <w:rPr>
          <w:rFonts w:ascii="Century Gothic" w:hAnsi="Century Gothic"/>
        </w:rPr>
        <w:t xml:space="preserve"> e identidad de género diversa</w:t>
      </w:r>
      <w:r w:rsidR="00C060F9">
        <w:rPr>
          <w:rFonts w:ascii="Century Gothic" w:hAnsi="Century Gothic"/>
        </w:rPr>
        <w:t>.</w:t>
      </w:r>
    </w:p>
    <w:p w14:paraId="6C19B834" w14:textId="77777777" w:rsidR="00C060F9" w:rsidRDefault="00C060F9" w:rsidP="000E5AC0">
      <w:pPr>
        <w:spacing w:after="0" w:line="240" w:lineRule="auto"/>
        <w:jc w:val="both"/>
        <w:rPr>
          <w:rFonts w:ascii="Century Gothic" w:hAnsi="Century Gothic"/>
        </w:rPr>
      </w:pPr>
    </w:p>
    <w:p w14:paraId="29292B2A" w14:textId="77777777" w:rsidR="00C060F9" w:rsidRDefault="00C060F9" w:rsidP="000E5AC0">
      <w:pPr>
        <w:spacing w:after="0" w:line="240" w:lineRule="auto"/>
        <w:jc w:val="both"/>
        <w:rPr>
          <w:rFonts w:ascii="Century Gothic" w:hAnsi="Century Gothic"/>
        </w:rPr>
      </w:pPr>
    </w:p>
    <w:p w14:paraId="2B69B809" w14:textId="77777777" w:rsidR="00C060F9" w:rsidRDefault="00C060F9" w:rsidP="000E5AC0">
      <w:pPr>
        <w:spacing w:after="0" w:line="240" w:lineRule="auto"/>
        <w:jc w:val="both"/>
        <w:rPr>
          <w:rFonts w:ascii="Century Gothic" w:hAnsi="Century Gothic"/>
        </w:rPr>
      </w:pPr>
    </w:p>
    <w:p w14:paraId="11C5F994" w14:textId="77777777" w:rsidR="00C060F9" w:rsidRDefault="00C060F9" w:rsidP="000E5AC0">
      <w:pPr>
        <w:spacing w:after="0" w:line="240" w:lineRule="auto"/>
        <w:jc w:val="both"/>
        <w:rPr>
          <w:rFonts w:ascii="Century Gothic" w:hAnsi="Century Gothic"/>
        </w:rPr>
      </w:pPr>
    </w:p>
    <w:p w14:paraId="7304611A" w14:textId="77777777" w:rsidR="00C060F9" w:rsidRPr="00E94619" w:rsidRDefault="00C060F9" w:rsidP="000E5AC0">
      <w:pPr>
        <w:spacing w:after="0" w:line="240" w:lineRule="auto"/>
        <w:jc w:val="both"/>
        <w:rPr>
          <w:rFonts w:ascii="Century Gothic" w:hAnsi="Century Gothic"/>
        </w:rPr>
      </w:pPr>
    </w:p>
    <w:p w14:paraId="04582EE5" w14:textId="69B03E18" w:rsidR="00FF22B8" w:rsidRPr="00E94619" w:rsidRDefault="00FF22B8" w:rsidP="000E5AC0">
      <w:pPr>
        <w:spacing w:after="0" w:line="240" w:lineRule="auto"/>
        <w:jc w:val="both"/>
        <w:rPr>
          <w:rFonts w:ascii="Century Gothic" w:hAnsi="Century Gothic"/>
        </w:rPr>
      </w:pPr>
    </w:p>
    <w:p w14:paraId="460BB712" w14:textId="0A52DADC" w:rsidR="00FF22B8" w:rsidRPr="00CA5E8F" w:rsidRDefault="00D2173C" w:rsidP="00CA5E8F">
      <w:pPr>
        <w:spacing w:after="0" w:line="240" w:lineRule="auto"/>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16960" behindDoc="0" locked="0" layoutInCell="1" allowOverlap="1" wp14:anchorId="0D475F42" wp14:editId="30DD43A8">
            <wp:simplePos x="0" y="0"/>
            <wp:positionH relativeFrom="column">
              <wp:posOffset>-1080135</wp:posOffset>
            </wp:positionH>
            <wp:positionV relativeFrom="paragraph">
              <wp:posOffset>-822960</wp:posOffset>
            </wp:positionV>
            <wp:extent cx="965835" cy="708660"/>
            <wp:effectExtent l="0" t="0" r="0" b="0"/>
            <wp:wrapNone/>
            <wp:docPr id="379" name="Imagen 37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F22B8" w:rsidRPr="00CA5E8F">
        <w:rPr>
          <w:rFonts w:ascii="Century Gothic" w:hAnsi="Century Gothic"/>
          <w:b/>
          <w:sz w:val="16"/>
          <w:szCs w:val="16"/>
        </w:rPr>
        <w:t>Gráfica 1</w:t>
      </w:r>
      <w:r w:rsidR="00CA5E8F">
        <w:rPr>
          <w:rFonts w:ascii="Century Gothic" w:hAnsi="Century Gothic"/>
          <w:b/>
          <w:sz w:val="16"/>
          <w:szCs w:val="16"/>
        </w:rPr>
        <w:t>6</w:t>
      </w:r>
      <w:r w:rsidR="00CA5E8F" w:rsidRPr="00CA5E8F">
        <w:rPr>
          <w:rFonts w:ascii="Century Gothic" w:hAnsi="Century Gothic"/>
          <w:b/>
          <w:sz w:val="16"/>
          <w:szCs w:val="16"/>
        </w:rPr>
        <w:t>. Casos reportados en RUV como homicidios en el conflicto armado (2017-2019)</w:t>
      </w:r>
    </w:p>
    <w:p w14:paraId="4A7B0A00" w14:textId="6CC2BA3C" w:rsidR="00A93869" w:rsidRPr="00E94619" w:rsidRDefault="00CA5E8F"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82816" behindDoc="0" locked="0" layoutInCell="1" allowOverlap="1" wp14:anchorId="13E79F00" wp14:editId="25D9948B">
            <wp:simplePos x="0" y="0"/>
            <wp:positionH relativeFrom="column">
              <wp:posOffset>1257300</wp:posOffset>
            </wp:positionH>
            <wp:positionV relativeFrom="paragraph">
              <wp:posOffset>99695</wp:posOffset>
            </wp:positionV>
            <wp:extent cx="3267075" cy="1938655"/>
            <wp:effectExtent l="0" t="0" r="952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7075" cy="193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E7290" w14:textId="77777777" w:rsidR="00CA5E8F" w:rsidRDefault="00CA5E8F" w:rsidP="000E5AC0">
      <w:pPr>
        <w:rPr>
          <w:rFonts w:ascii="Century Gothic" w:hAnsi="Century Gothic"/>
          <w:noProof/>
          <w:sz w:val="24"/>
          <w:szCs w:val="24"/>
          <w:bdr w:val="none" w:sz="0" w:space="0" w:color="auto" w:frame="1"/>
        </w:rPr>
      </w:pPr>
    </w:p>
    <w:p w14:paraId="67FDB6F5" w14:textId="77777777" w:rsidR="00CA5E8F" w:rsidRDefault="00CA5E8F" w:rsidP="000E5AC0">
      <w:pPr>
        <w:rPr>
          <w:rFonts w:ascii="Century Gothic" w:hAnsi="Century Gothic"/>
          <w:noProof/>
          <w:sz w:val="24"/>
          <w:szCs w:val="24"/>
          <w:bdr w:val="none" w:sz="0" w:space="0" w:color="auto" w:frame="1"/>
        </w:rPr>
      </w:pPr>
    </w:p>
    <w:p w14:paraId="0B60BB22" w14:textId="77777777" w:rsidR="00CA5E8F" w:rsidRDefault="00CA5E8F" w:rsidP="000E5AC0">
      <w:pPr>
        <w:rPr>
          <w:rFonts w:ascii="Century Gothic" w:hAnsi="Century Gothic"/>
          <w:noProof/>
          <w:sz w:val="24"/>
          <w:szCs w:val="24"/>
          <w:bdr w:val="none" w:sz="0" w:space="0" w:color="auto" w:frame="1"/>
        </w:rPr>
      </w:pPr>
    </w:p>
    <w:p w14:paraId="18F7D0EF" w14:textId="77777777" w:rsidR="00CA5E8F" w:rsidRDefault="00CA5E8F" w:rsidP="000E5AC0">
      <w:pPr>
        <w:rPr>
          <w:rFonts w:ascii="Century Gothic" w:hAnsi="Century Gothic"/>
          <w:noProof/>
          <w:sz w:val="24"/>
          <w:szCs w:val="24"/>
          <w:bdr w:val="none" w:sz="0" w:space="0" w:color="auto" w:frame="1"/>
        </w:rPr>
      </w:pPr>
    </w:p>
    <w:p w14:paraId="76172289" w14:textId="77777777" w:rsidR="00CA5E8F" w:rsidRDefault="00CA5E8F" w:rsidP="000E5AC0">
      <w:pPr>
        <w:rPr>
          <w:rFonts w:ascii="Century Gothic" w:hAnsi="Century Gothic"/>
          <w:noProof/>
          <w:sz w:val="24"/>
          <w:szCs w:val="24"/>
          <w:bdr w:val="none" w:sz="0" w:space="0" w:color="auto" w:frame="1"/>
        </w:rPr>
      </w:pPr>
    </w:p>
    <w:p w14:paraId="7094C712" w14:textId="77777777" w:rsidR="00CA5E8F" w:rsidRDefault="00CA5E8F" w:rsidP="000E5AC0">
      <w:pPr>
        <w:rPr>
          <w:rFonts w:ascii="Century Gothic" w:hAnsi="Century Gothic"/>
          <w:noProof/>
          <w:sz w:val="24"/>
          <w:szCs w:val="24"/>
          <w:bdr w:val="none" w:sz="0" w:space="0" w:color="auto" w:frame="1"/>
        </w:rPr>
      </w:pPr>
    </w:p>
    <w:p w14:paraId="1EDF6F36" w14:textId="17A089DC" w:rsidR="001238D7" w:rsidRPr="003F560F" w:rsidRDefault="0004636B" w:rsidP="003F560F">
      <w:pPr>
        <w:jc w:val="center"/>
        <w:rPr>
          <w:rFonts w:ascii="Century Gothic" w:hAnsi="Century Gothic"/>
          <w:noProof/>
          <w:sz w:val="16"/>
          <w:szCs w:val="16"/>
          <w:bdr w:val="none" w:sz="0" w:space="0" w:color="auto" w:frame="1"/>
        </w:rPr>
      </w:pPr>
      <w:r w:rsidRPr="00CA5E8F">
        <w:rPr>
          <w:rFonts w:ascii="Century Gothic" w:hAnsi="Century Gothic"/>
          <w:noProof/>
          <w:sz w:val="16"/>
          <w:szCs w:val="16"/>
          <w:bdr w:val="none" w:sz="0" w:space="0" w:color="auto" w:frame="1"/>
        </w:rPr>
        <w:t xml:space="preserve">Fuente: </w:t>
      </w:r>
      <w:r w:rsidR="00A735FD" w:rsidRPr="00CA5E8F">
        <w:rPr>
          <w:rFonts w:ascii="Century Gothic" w:hAnsi="Century Gothic"/>
          <w:noProof/>
          <w:sz w:val="16"/>
          <w:szCs w:val="16"/>
          <w:bdr w:val="none" w:sz="0" w:space="0" w:color="auto" w:frame="1"/>
        </w:rPr>
        <w:t>Unidad de Victimas, 2019</w:t>
      </w:r>
    </w:p>
    <w:p w14:paraId="7CBA1F97" w14:textId="77777777" w:rsidR="00A735FD" w:rsidRPr="00E94619" w:rsidRDefault="0036411F" w:rsidP="000E5AC0">
      <w:pPr>
        <w:spacing w:after="0" w:line="240" w:lineRule="auto"/>
        <w:jc w:val="both"/>
        <w:rPr>
          <w:rFonts w:ascii="Century Gothic" w:hAnsi="Century Gothic"/>
        </w:rPr>
      </w:pPr>
      <w:r w:rsidRPr="00E94619">
        <w:rPr>
          <w:rFonts w:ascii="Century Gothic" w:hAnsi="Century Gothic"/>
        </w:rPr>
        <w:t>Con respecto al número de homicidios de</w:t>
      </w:r>
      <w:r w:rsidR="00A735FD" w:rsidRPr="00E94619">
        <w:rPr>
          <w:rFonts w:ascii="Century Gothic" w:hAnsi="Century Gothic"/>
        </w:rPr>
        <w:t xml:space="preserve"> menores de 18 años</w:t>
      </w:r>
      <w:r w:rsidR="00CA56D6" w:rsidRPr="00E94619">
        <w:rPr>
          <w:rFonts w:ascii="Century Gothic" w:hAnsi="Century Gothic"/>
        </w:rPr>
        <w:t xml:space="preserve"> en </w:t>
      </w:r>
      <w:r w:rsidR="0004636B" w:rsidRPr="00E94619">
        <w:rPr>
          <w:rFonts w:ascii="Century Gothic" w:hAnsi="Century Gothic"/>
        </w:rPr>
        <w:t xml:space="preserve">el RUV </w:t>
      </w:r>
      <w:r w:rsidR="00CA56D6" w:rsidRPr="00E94619">
        <w:rPr>
          <w:rFonts w:ascii="Century Gothic" w:hAnsi="Century Gothic"/>
        </w:rPr>
        <w:t>para los años 2015 y 2016</w:t>
      </w:r>
      <w:r w:rsidR="0004636B" w:rsidRPr="00E94619">
        <w:rPr>
          <w:rFonts w:ascii="Century Gothic" w:hAnsi="Century Gothic"/>
        </w:rPr>
        <w:t>,</w:t>
      </w:r>
      <w:r w:rsidR="00CA56D6" w:rsidRPr="00E94619">
        <w:rPr>
          <w:rFonts w:ascii="Century Gothic" w:hAnsi="Century Gothic"/>
        </w:rPr>
        <w:t xml:space="preserve"> el número de homicidios de niñas superó el de los varones, en alrededor de un 8% y el total reportado al 2018 fue de </w:t>
      </w:r>
      <w:r w:rsidR="00A735FD" w:rsidRPr="00E94619">
        <w:rPr>
          <w:rFonts w:ascii="Century Gothic" w:hAnsi="Century Gothic"/>
        </w:rPr>
        <w:t>77.107</w:t>
      </w:r>
      <w:r w:rsidR="0004636B" w:rsidRPr="00E94619">
        <w:rPr>
          <w:rFonts w:ascii="Century Gothic" w:hAnsi="Century Gothic"/>
        </w:rPr>
        <w:t>,</w:t>
      </w:r>
      <w:r w:rsidR="00A735FD" w:rsidRPr="00E94619">
        <w:rPr>
          <w:rFonts w:ascii="Century Gothic" w:hAnsi="Century Gothic"/>
        </w:rPr>
        <w:t xml:space="preserve"> </w:t>
      </w:r>
      <w:r w:rsidR="00CA56D6" w:rsidRPr="00E94619">
        <w:rPr>
          <w:rFonts w:ascii="Century Gothic" w:hAnsi="Century Gothic"/>
        </w:rPr>
        <w:t xml:space="preserve">lo cual representa </w:t>
      </w:r>
      <w:r w:rsidR="00A735FD" w:rsidRPr="00E94619">
        <w:rPr>
          <w:rFonts w:ascii="Century Gothic" w:hAnsi="Century Gothic"/>
        </w:rPr>
        <w:t>el 31,6% de todos los afectados por el conflicto en 2018.</w:t>
      </w:r>
    </w:p>
    <w:p w14:paraId="0B5ACDCF" w14:textId="77777777" w:rsidR="003079F1" w:rsidRPr="00E94619" w:rsidRDefault="003079F1" w:rsidP="000E5AC0">
      <w:pPr>
        <w:spacing w:after="0" w:line="240" w:lineRule="auto"/>
        <w:jc w:val="both"/>
        <w:rPr>
          <w:rFonts w:ascii="Century Gothic" w:hAnsi="Century Gothic"/>
        </w:rPr>
      </w:pPr>
    </w:p>
    <w:p w14:paraId="35962BAF" w14:textId="7165F1BF" w:rsidR="003079F1" w:rsidRPr="00CA5E8F" w:rsidRDefault="003079F1" w:rsidP="00CA5E8F">
      <w:pPr>
        <w:spacing w:after="0" w:line="240" w:lineRule="auto"/>
        <w:jc w:val="center"/>
        <w:rPr>
          <w:rFonts w:ascii="Century Gothic" w:hAnsi="Century Gothic"/>
          <w:b/>
          <w:sz w:val="16"/>
          <w:szCs w:val="16"/>
        </w:rPr>
      </w:pPr>
      <w:r w:rsidRPr="00CA5E8F">
        <w:rPr>
          <w:rFonts w:ascii="Century Gothic" w:hAnsi="Century Gothic"/>
          <w:b/>
          <w:sz w:val="16"/>
          <w:szCs w:val="16"/>
        </w:rPr>
        <w:t>Gráfica 17</w:t>
      </w:r>
      <w:r w:rsidR="00CA5E8F" w:rsidRPr="00CA5E8F">
        <w:rPr>
          <w:rFonts w:ascii="Century Gothic" w:hAnsi="Century Gothic"/>
          <w:b/>
          <w:sz w:val="16"/>
          <w:szCs w:val="16"/>
        </w:rPr>
        <w:t>. Casos de NNA reportados en RUV como homicidios en el conflicto armado (2017-2019)</w:t>
      </w:r>
    </w:p>
    <w:p w14:paraId="5D1695DD" w14:textId="2DB8FD0B" w:rsidR="00A735FD" w:rsidRPr="00E94619" w:rsidRDefault="00CA5E8F"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83840" behindDoc="0" locked="0" layoutInCell="1" allowOverlap="1" wp14:anchorId="6EF8277E" wp14:editId="2CD04C5D">
            <wp:simplePos x="0" y="0"/>
            <wp:positionH relativeFrom="column">
              <wp:posOffset>1371600</wp:posOffset>
            </wp:positionH>
            <wp:positionV relativeFrom="paragraph">
              <wp:posOffset>81280</wp:posOffset>
            </wp:positionV>
            <wp:extent cx="2581275" cy="1531620"/>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1275" cy="153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02F74" w14:textId="0C6F87CA" w:rsidR="001238D7" w:rsidRPr="00E94619" w:rsidRDefault="001238D7" w:rsidP="000E5AC0">
      <w:pPr>
        <w:spacing w:after="0" w:line="240" w:lineRule="auto"/>
        <w:jc w:val="both"/>
        <w:rPr>
          <w:rFonts w:ascii="Century Gothic" w:hAnsi="Century Gothic"/>
        </w:rPr>
      </w:pPr>
    </w:p>
    <w:p w14:paraId="4E0E5C8F" w14:textId="77777777" w:rsidR="00CA5E8F" w:rsidRDefault="00CA5E8F" w:rsidP="000E5AC0">
      <w:pPr>
        <w:rPr>
          <w:rFonts w:ascii="Century Gothic" w:hAnsi="Century Gothic"/>
          <w:noProof/>
          <w:sz w:val="16"/>
          <w:szCs w:val="16"/>
          <w:bdr w:val="none" w:sz="0" w:space="0" w:color="auto" w:frame="1"/>
        </w:rPr>
      </w:pPr>
    </w:p>
    <w:p w14:paraId="1801AC73" w14:textId="77777777" w:rsidR="00CA5E8F" w:rsidRDefault="00CA5E8F" w:rsidP="000E5AC0">
      <w:pPr>
        <w:rPr>
          <w:rFonts w:ascii="Century Gothic" w:hAnsi="Century Gothic"/>
          <w:noProof/>
          <w:sz w:val="16"/>
          <w:szCs w:val="16"/>
          <w:bdr w:val="none" w:sz="0" w:space="0" w:color="auto" w:frame="1"/>
        </w:rPr>
      </w:pPr>
    </w:p>
    <w:p w14:paraId="13416ABB" w14:textId="77777777" w:rsidR="00CA5E8F" w:rsidRDefault="00CA5E8F" w:rsidP="000E5AC0">
      <w:pPr>
        <w:rPr>
          <w:rFonts w:ascii="Century Gothic" w:hAnsi="Century Gothic"/>
          <w:noProof/>
          <w:sz w:val="16"/>
          <w:szCs w:val="16"/>
          <w:bdr w:val="none" w:sz="0" w:space="0" w:color="auto" w:frame="1"/>
        </w:rPr>
      </w:pPr>
    </w:p>
    <w:p w14:paraId="4FA84F31" w14:textId="77777777" w:rsidR="00CA5E8F" w:rsidRDefault="00CA5E8F" w:rsidP="000E5AC0">
      <w:pPr>
        <w:rPr>
          <w:rFonts w:ascii="Century Gothic" w:hAnsi="Century Gothic"/>
          <w:noProof/>
          <w:sz w:val="16"/>
          <w:szCs w:val="16"/>
          <w:bdr w:val="none" w:sz="0" w:space="0" w:color="auto" w:frame="1"/>
        </w:rPr>
      </w:pPr>
    </w:p>
    <w:p w14:paraId="06F2DAAE" w14:textId="77777777" w:rsidR="00CA5E8F" w:rsidRDefault="00CA5E8F" w:rsidP="000E5AC0">
      <w:pPr>
        <w:rPr>
          <w:rFonts w:ascii="Century Gothic" w:hAnsi="Century Gothic"/>
          <w:noProof/>
          <w:sz w:val="16"/>
          <w:szCs w:val="16"/>
          <w:bdr w:val="none" w:sz="0" w:space="0" w:color="auto" w:frame="1"/>
        </w:rPr>
      </w:pPr>
    </w:p>
    <w:p w14:paraId="2DBBEA74" w14:textId="77777777" w:rsidR="00CA5E8F" w:rsidRDefault="00CA5E8F" w:rsidP="000E5AC0">
      <w:pPr>
        <w:rPr>
          <w:rFonts w:ascii="Century Gothic" w:hAnsi="Century Gothic"/>
          <w:noProof/>
          <w:sz w:val="16"/>
          <w:szCs w:val="16"/>
          <w:bdr w:val="none" w:sz="0" w:space="0" w:color="auto" w:frame="1"/>
        </w:rPr>
      </w:pPr>
    </w:p>
    <w:p w14:paraId="7FCC2A6A" w14:textId="4CFB445C" w:rsidR="001238D7" w:rsidRPr="003F560F" w:rsidRDefault="00CA5E8F" w:rsidP="003F560F">
      <w:pPr>
        <w:jc w:val="center"/>
        <w:rPr>
          <w:rFonts w:ascii="Century Gothic" w:hAnsi="Century Gothic"/>
          <w:noProof/>
          <w:sz w:val="16"/>
          <w:szCs w:val="16"/>
          <w:bdr w:val="none" w:sz="0" w:space="0" w:color="auto" w:frame="1"/>
        </w:rPr>
      </w:pPr>
      <w:r>
        <w:rPr>
          <w:rFonts w:ascii="Century Gothic" w:hAnsi="Century Gothic"/>
          <w:noProof/>
          <w:sz w:val="16"/>
          <w:szCs w:val="16"/>
          <w:bdr w:val="none" w:sz="0" w:space="0" w:color="auto" w:frame="1"/>
        </w:rPr>
        <w:t>Fuente:</w:t>
      </w:r>
      <w:r w:rsidR="0004636B" w:rsidRPr="00E94619">
        <w:rPr>
          <w:rFonts w:ascii="Century Gothic" w:hAnsi="Century Gothic"/>
          <w:noProof/>
          <w:sz w:val="16"/>
          <w:szCs w:val="16"/>
          <w:bdr w:val="none" w:sz="0" w:space="0" w:color="auto" w:frame="1"/>
        </w:rPr>
        <w:t xml:space="preserve"> </w:t>
      </w:r>
      <w:r w:rsidR="003079F1" w:rsidRPr="00E94619">
        <w:rPr>
          <w:rFonts w:ascii="Century Gothic" w:hAnsi="Century Gothic"/>
          <w:noProof/>
          <w:sz w:val="16"/>
          <w:szCs w:val="16"/>
          <w:bdr w:val="none" w:sz="0" w:space="0" w:color="auto" w:frame="1"/>
        </w:rPr>
        <w:t xml:space="preserve"> Unidad de Victimas,  2019</w:t>
      </w:r>
    </w:p>
    <w:p w14:paraId="568415A6" w14:textId="77777777" w:rsidR="001238D7" w:rsidRDefault="0036411F" w:rsidP="000E5AC0">
      <w:pPr>
        <w:spacing w:after="0" w:line="240" w:lineRule="auto"/>
        <w:jc w:val="both"/>
        <w:rPr>
          <w:rFonts w:ascii="Century Gothic" w:hAnsi="Century Gothic"/>
        </w:rPr>
      </w:pPr>
      <w:r w:rsidRPr="00E94619">
        <w:rPr>
          <w:rFonts w:ascii="Century Gothic" w:hAnsi="Century Gothic"/>
        </w:rPr>
        <w:t xml:space="preserve">El Registro Único de Víctimas evidencia que en el marco del conflicto armado los homicidios han afectado de manera </w:t>
      </w:r>
      <w:r w:rsidR="00A65D44" w:rsidRPr="00E94619">
        <w:rPr>
          <w:rFonts w:ascii="Century Gothic" w:hAnsi="Century Gothic"/>
        </w:rPr>
        <w:t xml:space="preserve">particular </w:t>
      </w:r>
      <w:r w:rsidRPr="00E94619">
        <w:rPr>
          <w:rFonts w:ascii="Century Gothic" w:hAnsi="Century Gothic"/>
        </w:rPr>
        <w:t>a las mujeres indígenas</w:t>
      </w:r>
      <w:r w:rsidR="008F7EEF" w:rsidRPr="00E94619">
        <w:rPr>
          <w:rFonts w:ascii="Century Gothic" w:hAnsi="Century Gothic"/>
        </w:rPr>
        <w:t>,</w:t>
      </w:r>
      <w:r w:rsidRPr="00E94619">
        <w:rPr>
          <w:rFonts w:ascii="Century Gothic" w:hAnsi="Century Gothic"/>
        </w:rPr>
        <w:t xml:space="preserve"> </w:t>
      </w:r>
      <w:r w:rsidR="00D72CCB" w:rsidRPr="00E94619">
        <w:rPr>
          <w:rFonts w:ascii="Century Gothic" w:hAnsi="Century Gothic"/>
        </w:rPr>
        <w:t xml:space="preserve">con un reporte de </w:t>
      </w:r>
      <w:r w:rsidR="00492324" w:rsidRPr="00E94619">
        <w:rPr>
          <w:rFonts w:ascii="Century Gothic" w:hAnsi="Century Gothic"/>
        </w:rPr>
        <w:t>37 hombres y 35 mujeres afectadas durante el 2109</w:t>
      </w:r>
      <w:r w:rsidR="002D38BD" w:rsidRPr="00E94619">
        <w:rPr>
          <w:rFonts w:ascii="Century Gothic" w:hAnsi="Century Gothic"/>
        </w:rPr>
        <w:t>. Con respecto a las comunidades afrocolombianas</w:t>
      </w:r>
      <w:r w:rsidRPr="00E94619">
        <w:rPr>
          <w:rFonts w:ascii="Century Gothic" w:hAnsi="Century Gothic"/>
        </w:rPr>
        <w:t xml:space="preserve"> </w:t>
      </w:r>
      <w:r w:rsidR="008F7EEF" w:rsidRPr="00E94619">
        <w:rPr>
          <w:rFonts w:ascii="Century Gothic" w:hAnsi="Century Gothic"/>
        </w:rPr>
        <w:t>la afectación al 2019 fue de 44 mujeres y 45 hombres</w:t>
      </w:r>
      <w:r w:rsidRPr="00E94619">
        <w:rPr>
          <w:rFonts w:ascii="Century Gothic" w:hAnsi="Century Gothic"/>
        </w:rPr>
        <w:t xml:space="preserve">. Lo anterior coincide con los análisis de grupos de mujeres y con el Auto 092, que plantean que las mujeres que pertenecen a grupos étnicos han tenido las peores afectaciones en el conflicto armado. </w:t>
      </w:r>
    </w:p>
    <w:p w14:paraId="3CC617BB" w14:textId="77777777" w:rsidR="007D4FA1" w:rsidRDefault="007D4FA1" w:rsidP="007D4FA1">
      <w:pPr>
        <w:spacing w:after="0" w:line="240" w:lineRule="auto"/>
        <w:jc w:val="center"/>
        <w:rPr>
          <w:rFonts w:ascii="Century Gothic" w:hAnsi="Century Gothic"/>
          <w:b/>
          <w:sz w:val="16"/>
          <w:szCs w:val="16"/>
        </w:rPr>
      </w:pPr>
    </w:p>
    <w:p w14:paraId="0A6AC2F6" w14:textId="0B431B72" w:rsidR="007D4FA1" w:rsidRPr="00CA5E8F" w:rsidRDefault="007D4FA1" w:rsidP="007D4FA1">
      <w:pPr>
        <w:spacing w:after="0" w:line="240" w:lineRule="auto"/>
        <w:jc w:val="center"/>
        <w:rPr>
          <w:rFonts w:ascii="Century Gothic" w:hAnsi="Century Gothic"/>
          <w:b/>
          <w:sz w:val="16"/>
          <w:szCs w:val="16"/>
        </w:rPr>
      </w:pPr>
      <w:r>
        <w:rPr>
          <w:rFonts w:ascii="Century Gothic" w:hAnsi="Century Gothic"/>
          <w:b/>
          <w:sz w:val="16"/>
          <w:szCs w:val="16"/>
        </w:rPr>
        <w:t>Gráfica 18</w:t>
      </w:r>
      <w:r w:rsidRPr="00CA5E8F">
        <w:rPr>
          <w:rFonts w:ascii="Century Gothic" w:hAnsi="Century Gothic"/>
          <w:b/>
          <w:sz w:val="16"/>
          <w:szCs w:val="16"/>
        </w:rPr>
        <w:t xml:space="preserve">. </w:t>
      </w:r>
      <w:r>
        <w:rPr>
          <w:rFonts w:ascii="Century Gothic" w:hAnsi="Century Gothic"/>
          <w:b/>
          <w:sz w:val="16"/>
          <w:szCs w:val="16"/>
        </w:rPr>
        <w:t xml:space="preserve">Número de personas indígenas reportadas por homicidio en el conflicto armado </w:t>
      </w:r>
      <w:r w:rsidRPr="00CA5E8F">
        <w:rPr>
          <w:rFonts w:ascii="Century Gothic" w:hAnsi="Century Gothic"/>
          <w:b/>
          <w:sz w:val="16"/>
          <w:szCs w:val="16"/>
        </w:rPr>
        <w:t>(2017-2019)</w:t>
      </w:r>
    </w:p>
    <w:p w14:paraId="243F65EF" w14:textId="72B8ED02" w:rsidR="005A2CEA" w:rsidRPr="00E94619" w:rsidRDefault="007D4FA1"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729920" behindDoc="0" locked="0" layoutInCell="1" allowOverlap="1" wp14:anchorId="28808BAE" wp14:editId="5F083C65">
            <wp:simplePos x="0" y="0"/>
            <wp:positionH relativeFrom="column">
              <wp:posOffset>1295400</wp:posOffset>
            </wp:positionH>
            <wp:positionV relativeFrom="paragraph">
              <wp:posOffset>81915</wp:posOffset>
            </wp:positionV>
            <wp:extent cx="2705100" cy="1605280"/>
            <wp:effectExtent l="0" t="0" r="1270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5100" cy="160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6A7AC" w14:textId="4B7C1831" w:rsidR="007D4FA1" w:rsidRDefault="007D4FA1" w:rsidP="000E5AC0">
      <w:pPr>
        <w:spacing w:after="0" w:line="240" w:lineRule="auto"/>
        <w:jc w:val="both"/>
        <w:rPr>
          <w:rFonts w:ascii="Century Gothic" w:hAnsi="Century Gothic"/>
        </w:rPr>
      </w:pPr>
    </w:p>
    <w:p w14:paraId="570FF2BE" w14:textId="77777777" w:rsidR="007D4FA1" w:rsidRDefault="007D4FA1" w:rsidP="000E5AC0">
      <w:pPr>
        <w:spacing w:after="0" w:line="240" w:lineRule="auto"/>
        <w:jc w:val="both"/>
        <w:rPr>
          <w:rFonts w:ascii="Century Gothic" w:hAnsi="Century Gothic"/>
        </w:rPr>
      </w:pPr>
    </w:p>
    <w:p w14:paraId="553EAFCB" w14:textId="77777777" w:rsidR="007D4FA1" w:rsidRDefault="007D4FA1" w:rsidP="000E5AC0">
      <w:pPr>
        <w:spacing w:after="0" w:line="240" w:lineRule="auto"/>
        <w:jc w:val="both"/>
        <w:rPr>
          <w:rFonts w:ascii="Century Gothic" w:hAnsi="Century Gothic"/>
        </w:rPr>
      </w:pPr>
    </w:p>
    <w:p w14:paraId="60EAE4CC" w14:textId="77777777" w:rsidR="007D4FA1" w:rsidRDefault="007D4FA1" w:rsidP="000E5AC0">
      <w:pPr>
        <w:spacing w:after="0" w:line="240" w:lineRule="auto"/>
        <w:jc w:val="both"/>
        <w:rPr>
          <w:rFonts w:ascii="Century Gothic" w:hAnsi="Century Gothic"/>
        </w:rPr>
      </w:pPr>
    </w:p>
    <w:p w14:paraId="2E584F16" w14:textId="77777777" w:rsidR="007D4FA1" w:rsidRDefault="007D4FA1" w:rsidP="000E5AC0">
      <w:pPr>
        <w:spacing w:after="0" w:line="240" w:lineRule="auto"/>
        <w:jc w:val="both"/>
        <w:rPr>
          <w:rFonts w:ascii="Century Gothic" w:hAnsi="Century Gothic"/>
        </w:rPr>
      </w:pPr>
    </w:p>
    <w:p w14:paraId="0CDEC4D4" w14:textId="77777777" w:rsidR="007D4FA1" w:rsidRDefault="007D4FA1" w:rsidP="000E5AC0">
      <w:pPr>
        <w:spacing w:after="0" w:line="240" w:lineRule="auto"/>
        <w:jc w:val="both"/>
        <w:rPr>
          <w:rFonts w:ascii="Century Gothic" w:hAnsi="Century Gothic"/>
        </w:rPr>
      </w:pPr>
    </w:p>
    <w:p w14:paraId="635C9C4E" w14:textId="77777777" w:rsidR="007D4FA1" w:rsidRDefault="007D4FA1" w:rsidP="000E5AC0">
      <w:pPr>
        <w:spacing w:after="0" w:line="240" w:lineRule="auto"/>
        <w:jc w:val="both"/>
        <w:rPr>
          <w:rFonts w:ascii="Century Gothic" w:hAnsi="Century Gothic"/>
        </w:rPr>
      </w:pPr>
    </w:p>
    <w:p w14:paraId="72E5399E" w14:textId="77777777" w:rsidR="007D4FA1" w:rsidRDefault="007D4FA1" w:rsidP="000E5AC0">
      <w:pPr>
        <w:spacing w:after="0" w:line="240" w:lineRule="auto"/>
        <w:jc w:val="both"/>
        <w:rPr>
          <w:rFonts w:ascii="Century Gothic" w:hAnsi="Century Gothic"/>
        </w:rPr>
      </w:pPr>
    </w:p>
    <w:p w14:paraId="3F5580D3" w14:textId="77777777" w:rsidR="007D4FA1" w:rsidRDefault="007D4FA1" w:rsidP="007D4FA1">
      <w:pPr>
        <w:rPr>
          <w:rFonts w:ascii="Century Gothic" w:hAnsi="Century Gothic"/>
        </w:rPr>
      </w:pPr>
    </w:p>
    <w:p w14:paraId="514E2E5D" w14:textId="09265CFD" w:rsidR="007D4FA1" w:rsidRPr="007D4FA1" w:rsidRDefault="007D4FA1" w:rsidP="007D4FA1">
      <w:pPr>
        <w:jc w:val="center"/>
        <w:rPr>
          <w:rFonts w:ascii="Century Gothic" w:hAnsi="Century Gothic"/>
          <w:noProof/>
          <w:sz w:val="16"/>
          <w:szCs w:val="16"/>
          <w:bdr w:val="none" w:sz="0" w:space="0" w:color="auto" w:frame="1"/>
        </w:rPr>
      </w:pPr>
      <w:r w:rsidRPr="007D4FA1">
        <w:rPr>
          <w:rFonts w:ascii="Century Gothic" w:hAnsi="Century Gothic"/>
          <w:sz w:val="16"/>
          <w:szCs w:val="16"/>
        </w:rPr>
        <w:t xml:space="preserve">Fuente: </w:t>
      </w:r>
      <w:r w:rsidRPr="007D4FA1">
        <w:rPr>
          <w:rFonts w:ascii="Century Gothic" w:hAnsi="Century Gothic"/>
          <w:noProof/>
          <w:sz w:val="16"/>
          <w:szCs w:val="16"/>
          <w:bdr w:val="none" w:sz="0" w:space="0" w:color="auto" w:frame="1"/>
        </w:rPr>
        <w:t xml:space="preserve"> Unidad de Victimas,  2019</w:t>
      </w:r>
    </w:p>
    <w:p w14:paraId="6B485768" w14:textId="30231F89" w:rsidR="007D4FA1" w:rsidRDefault="00D2173C" w:rsidP="000E5AC0">
      <w:pPr>
        <w:spacing w:after="0" w:line="240" w:lineRule="auto"/>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19008" behindDoc="0" locked="0" layoutInCell="1" allowOverlap="1" wp14:anchorId="18BC578B" wp14:editId="4606BBFF">
            <wp:simplePos x="0" y="0"/>
            <wp:positionH relativeFrom="column">
              <wp:posOffset>-1080135</wp:posOffset>
            </wp:positionH>
            <wp:positionV relativeFrom="paragraph">
              <wp:posOffset>-822960</wp:posOffset>
            </wp:positionV>
            <wp:extent cx="965835" cy="708660"/>
            <wp:effectExtent l="0" t="0" r="0" b="0"/>
            <wp:wrapNone/>
            <wp:docPr id="380" name="Imagen 38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6BF57FBF" w14:textId="4BFBFD4C" w:rsidR="007D4FA1" w:rsidRPr="00CA5E8F" w:rsidRDefault="007D4FA1" w:rsidP="007D4FA1">
      <w:pPr>
        <w:spacing w:after="0" w:line="240" w:lineRule="auto"/>
        <w:jc w:val="center"/>
        <w:rPr>
          <w:rFonts w:ascii="Century Gothic" w:hAnsi="Century Gothic"/>
          <w:b/>
          <w:sz w:val="16"/>
          <w:szCs w:val="16"/>
        </w:rPr>
      </w:pPr>
      <w:r>
        <w:rPr>
          <w:rFonts w:ascii="Century Gothic" w:hAnsi="Century Gothic"/>
          <w:b/>
          <w:sz w:val="16"/>
          <w:szCs w:val="16"/>
        </w:rPr>
        <w:t>Gráfica 19</w:t>
      </w:r>
      <w:r w:rsidRPr="00CA5E8F">
        <w:rPr>
          <w:rFonts w:ascii="Century Gothic" w:hAnsi="Century Gothic"/>
          <w:b/>
          <w:sz w:val="16"/>
          <w:szCs w:val="16"/>
        </w:rPr>
        <w:t xml:space="preserve">. </w:t>
      </w:r>
      <w:r>
        <w:rPr>
          <w:rFonts w:ascii="Century Gothic" w:hAnsi="Century Gothic"/>
          <w:b/>
          <w:sz w:val="16"/>
          <w:szCs w:val="16"/>
        </w:rPr>
        <w:t>Número de personas i</w:t>
      </w:r>
      <w:r w:rsidR="00490F50">
        <w:rPr>
          <w:rFonts w:ascii="Century Gothic" w:hAnsi="Century Gothic"/>
          <w:b/>
          <w:sz w:val="16"/>
          <w:szCs w:val="16"/>
        </w:rPr>
        <w:t xml:space="preserve">negro(a) o afrocolombiano(a) reportada en RUV </w:t>
      </w:r>
      <w:r>
        <w:rPr>
          <w:rFonts w:ascii="Century Gothic" w:hAnsi="Century Gothic"/>
          <w:b/>
          <w:sz w:val="16"/>
          <w:szCs w:val="16"/>
        </w:rPr>
        <w:t xml:space="preserve">por homicidio en el conflicto armado </w:t>
      </w:r>
      <w:r w:rsidRPr="00CA5E8F">
        <w:rPr>
          <w:rFonts w:ascii="Century Gothic" w:hAnsi="Century Gothic"/>
          <w:b/>
          <w:sz w:val="16"/>
          <w:szCs w:val="16"/>
        </w:rPr>
        <w:t>(2017-2019)</w:t>
      </w:r>
    </w:p>
    <w:p w14:paraId="6205562D" w14:textId="3E10C9F8" w:rsidR="007D4FA1" w:rsidRDefault="00490F50" w:rsidP="000E5AC0">
      <w:pPr>
        <w:spacing w:after="0" w:line="240" w:lineRule="auto"/>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730944" behindDoc="0" locked="0" layoutInCell="1" allowOverlap="1" wp14:anchorId="710DC633" wp14:editId="25211406">
            <wp:simplePos x="0" y="0"/>
            <wp:positionH relativeFrom="column">
              <wp:posOffset>1371600</wp:posOffset>
            </wp:positionH>
            <wp:positionV relativeFrom="paragraph">
              <wp:posOffset>124460</wp:posOffset>
            </wp:positionV>
            <wp:extent cx="2635250" cy="1562100"/>
            <wp:effectExtent l="0" t="0" r="6350" b="1270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525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6597E" w14:textId="762D2C7E" w:rsidR="005A2CEA" w:rsidRPr="00E94619" w:rsidRDefault="005A2CEA" w:rsidP="000E5AC0">
      <w:pPr>
        <w:spacing w:after="0" w:line="240" w:lineRule="auto"/>
        <w:jc w:val="both"/>
        <w:rPr>
          <w:rFonts w:ascii="Century Gothic" w:hAnsi="Century Gothic"/>
        </w:rPr>
      </w:pPr>
    </w:p>
    <w:p w14:paraId="5313FE2E" w14:textId="77777777" w:rsidR="0047631F" w:rsidRPr="00E94619" w:rsidRDefault="0047631F" w:rsidP="000E5AC0">
      <w:pPr>
        <w:spacing w:after="0" w:line="240" w:lineRule="auto"/>
        <w:jc w:val="both"/>
        <w:rPr>
          <w:rFonts w:ascii="Century Gothic" w:hAnsi="Century Gothic"/>
        </w:rPr>
      </w:pPr>
    </w:p>
    <w:p w14:paraId="0109F75C" w14:textId="01A90F55" w:rsidR="00490F50" w:rsidRDefault="00830DBC" w:rsidP="000E5AC0">
      <w:pPr>
        <w:rPr>
          <w:rFonts w:ascii="Century Gothic" w:hAnsi="Century Gothic"/>
        </w:rPr>
      </w:pPr>
      <w:sdt>
        <w:sdtPr>
          <w:rPr>
            <w:rFonts w:ascii="Century Gothic" w:hAnsi="Century Gothic"/>
          </w:rPr>
          <w:tag w:val="goog_rdk_29"/>
          <w:id w:val="965699660"/>
        </w:sdtPr>
        <w:sdtContent/>
      </w:sdt>
    </w:p>
    <w:p w14:paraId="080FF403" w14:textId="77777777" w:rsidR="00490F50" w:rsidRDefault="00490F50" w:rsidP="000E5AC0">
      <w:pPr>
        <w:rPr>
          <w:rFonts w:ascii="Century Gothic" w:hAnsi="Century Gothic"/>
        </w:rPr>
      </w:pPr>
    </w:p>
    <w:p w14:paraId="0B26839E" w14:textId="77777777" w:rsidR="00490F50" w:rsidRDefault="00490F50" w:rsidP="000E5AC0">
      <w:pPr>
        <w:rPr>
          <w:rFonts w:ascii="Century Gothic" w:hAnsi="Century Gothic"/>
        </w:rPr>
      </w:pPr>
    </w:p>
    <w:p w14:paraId="4B037943" w14:textId="77777777" w:rsidR="00490F50" w:rsidRDefault="00490F50" w:rsidP="000E5AC0">
      <w:pPr>
        <w:rPr>
          <w:rFonts w:ascii="Century Gothic" w:hAnsi="Century Gothic"/>
        </w:rPr>
      </w:pPr>
    </w:p>
    <w:p w14:paraId="5F93FAA5" w14:textId="77777777" w:rsidR="00490F50" w:rsidRDefault="00490F50" w:rsidP="000E5AC0">
      <w:pPr>
        <w:rPr>
          <w:rFonts w:ascii="Century Gothic" w:hAnsi="Century Gothic"/>
        </w:rPr>
      </w:pPr>
    </w:p>
    <w:p w14:paraId="410B0885" w14:textId="4DBDDE8F" w:rsidR="0047631F" w:rsidRPr="007D4FA1" w:rsidRDefault="0004636B" w:rsidP="00490F50">
      <w:pPr>
        <w:jc w:val="center"/>
        <w:rPr>
          <w:rFonts w:ascii="Century Gothic" w:hAnsi="Century Gothic"/>
          <w:noProof/>
          <w:sz w:val="16"/>
          <w:szCs w:val="16"/>
          <w:bdr w:val="none" w:sz="0" w:space="0" w:color="auto" w:frame="1"/>
        </w:rPr>
      </w:pPr>
      <w:r w:rsidRPr="007D4FA1">
        <w:rPr>
          <w:rFonts w:ascii="Century Gothic" w:hAnsi="Century Gothic"/>
          <w:sz w:val="16"/>
          <w:szCs w:val="16"/>
        </w:rPr>
        <w:t xml:space="preserve">Fuente: </w:t>
      </w:r>
      <w:r w:rsidR="0047631F" w:rsidRPr="007D4FA1">
        <w:rPr>
          <w:rFonts w:ascii="Century Gothic" w:hAnsi="Century Gothic"/>
          <w:noProof/>
          <w:sz w:val="16"/>
          <w:szCs w:val="16"/>
          <w:bdr w:val="none" w:sz="0" w:space="0" w:color="auto" w:frame="1"/>
        </w:rPr>
        <w:t xml:space="preserve"> Unidad de Victimas,  2019</w:t>
      </w:r>
    </w:p>
    <w:p w14:paraId="5F52C00A" w14:textId="77777777" w:rsidR="001238D7" w:rsidRPr="00E94619" w:rsidRDefault="0036411F" w:rsidP="000E5AC0">
      <w:pPr>
        <w:jc w:val="both"/>
        <w:rPr>
          <w:rFonts w:ascii="Century Gothic" w:hAnsi="Century Gothic"/>
        </w:rPr>
      </w:pPr>
      <w:r w:rsidRPr="00E94619">
        <w:rPr>
          <w:rFonts w:ascii="Century Gothic" w:hAnsi="Century Gothic"/>
        </w:rPr>
        <w:t>Con respecto a las personas LGBTI también se registró una disminución en el número de casos por homicidios, de 9 que se registraron en el RUV de la UARIV en el año 2012, se pasó a cero registros en octubre de 2016.</w:t>
      </w:r>
    </w:p>
    <w:p w14:paraId="049E24CA" w14:textId="77777777" w:rsidR="001238D7" w:rsidRPr="00E94619" w:rsidRDefault="00D8608E" w:rsidP="000E5AC0">
      <w:pPr>
        <w:pStyle w:val="Ttulo3"/>
        <w:rPr>
          <w:rFonts w:ascii="Century Gothic" w:eastAsia="Cambria" w:hAnsi="Century Gothic"/>
          <w:i/>
        </w:rPr>
      </w:pPr>
      <w:bookmarkStart w:id="45" w:name="_Toc488624262"/>
      <w:r w:rsidRPr="00E94619">
        <w:rPr>
          <w:rFonts w:ascii="Century Gothic" w:eastAsia="Cambria" w:hAnsi="Century Gothic"/>
        </w:rPr>
        <w:t>1.4</w:t>
      </w:r>
      <w:r w:rsidR="0036411F" w:rsidRPr="00E94619">
        <w:rPr>
          <w:rFonts w:ascii="Century Gothic" w:eastAsia="Cambria" w:hAnsi="Century Gothic"/>
        </w:rPr>
        <w:t xml:space="preserve"> Número de </w:t>
      </w:r>
      <w:r w:rsidR="00704F34" w:rsidRPr="00E94619">
        <w:rPr>
          <w:rFonts w:ascii="Century Gothic" w:eastAsia="Cambria" w:hAnsi="Century Gothic"/>
        </w:rPr>
        <w:t xml:space="preserve">personas </w:t>
      </w:r>
      <w:r w:rsidR="0036411F" w:rsidRPr="00E94619">
        <w:rPr>
          <w:rFonts w:ascii="Century Gothic" w:eastAsia="Cambria" w:hAnsi="Century Gothic"/>
        </w:rPr>
        <w:t>desplazad</w:t>
      </w:r>
      <w:r w:rsidR="00704F34" w:rsidRPr="00E94619">
        <w:rPr>
          <w:rFonts w:ascii="Century Gothic" w:eastAsia="Cambria" w:hAnsi="Century Gothic"/>
        </w:rPr>
        <w:t>as</w:t>
      </w:r>
      <w:r w:rsidR="0036411F" w:rsidRPr="00E94619">
        <w:rPr>
          <w:rFonts w:ascii="Century Gothic" w:eastAsia="Cambria" w:hAnsi="Century Gothic"/>
        </w:rPr>
        <w:t xml:space="preserve"> (ODS 16.89)</w:t>
      </w:r>
      <w:bookmarkEnd w:id="45"/>
    </w:p>
    <w:p w14:paraId="41F6151A" w14:textId="77777777" w:rsidR="001238D7" w:rsidRPr="00E94619" w:rsidRDefault="001238D7" w:rsidP="000E5AC0">
      <w:pPr>
        <w:spacing w:after="0" w:line="240" w:lineRule="auto"/>
        <w:rPr>
          <w:rFonts w:ascii="Century Gothic" w:hAnsi="Century Gothic"/>
          <w:b/>
        </w:rPr>
      </w:pPr>
    </w:p>
    <w:p w14:paraId="5209EFD0" w14:textId="77777777" w:rsidR="00B0642D" w:rsidRPr="00E94619" w:rsidRDefault="00B0642D" w:rsidP="000E5AC0">
      <w:pPr>
        <w:pStyle w:val="NormalWeb"/>
        <w:spacing w:before="0" w:beforeAutospacing="0" w:after="0" w:afterAutospacing="0"/>
        <w:jc w:val="both"/>
        <w:rPr>
          <w:rFonts w:ascii="Century Gothic" w:hAnsi="Century Gothic"/>
          <w:sz w:val="22"/>
          <w:szCs w:val="22"/>
        </w:rPr>
      </w:pPr>
      <w:r w:rsidRPr="00E94619">
        <w:rPr>
          <w:rStyle w:val="Textoennegrita"/>
          <w:rFonts w:ascii="Century Gothic" w:eastAsiaTheme="majorEastAsia" w:hAnsi="Century Gothic"/>
          <w:b w:val="0"/>
          <w:bCs w:val="0"/>
          <w:sz w:val="22"/>
          <w:szCs w:val="22"/>
        </w:rPr>
        <w:t xml:space="preserve">Según informe del </w:t>
      </w:r>
      <w:r w:rsidRPr="00E94619">
        <w:rPr>
          <w:rFonts w:ascii="Century Gothic" w:hAnsi="Century Gothic"/>
          <w:sz w:val="22"/>
          <w:szCs w:val="22"/>
        </w:rPr>
        <w:t>SISDHES d</w:t>
      </w:r>
      <w:r w:rsidRPr="00E94619">
        <w:rPr>
          <w:rStyle w:val="Textoennegrita"/>
          <w:rFonts w:ascii="Century Gothic" w:eastAsiaTheme="majorEastAsia" w:hAnsi="Century Gothic"/>
          <w:b w:val="0"/>
          <w:bCs w:val="0"/>
          <w:sz w:val="22"/>
          <w:szCs w:val="22"/>
        </w:rPr>
        <w:t>urante 2020, 32.217 personas fueron desplazadas forzosamente en 106 eventos de desplazamiento múltiple y masivo. Una</w:t>
      </w:r>
      <w:r w:rsidRPr="00E94619">
        <w:rPr>
          <w:rFonts w:ascii="Century Gothic" w:hAnsi="Century Gothic"/>
          <w:sz w:val="22"/>
          <w:szCs w:val="22"/>
        </w:rPr>
        <w:t xml:space="preserve"> de las regiones más afectadas por los desplazamientos es la del Pacífico donde solo en un departamento, Nariño, se concentró el año pasado el mayor número de eventos de desplazamiento (30) dejando 11.470 personas desplazadas. De igual manera, más del 50 por ciento de las víctimas de desplazamiento pertenecían a pueblos étnicos diferenciados, siendo la población afrodescendiente la que presentó mayor número de desplazados con 9.150 personas, mientras que 7.049 pertenecían a pueblos indígenas.</w:t>
      </w:r>
      <w:sdt>
        <w:sdtPr>
          <w:rPr>
            <w:rFonts w:ascii="Century Gothic" w:hAnsi="Century Gothic"/>
            <w:sz w:val="22"/>
            <w:szCs w:val="22"/>
          </w:rPr>
          <w:id w:val="-1958015953"/>
          <w:citation/>
        </w:sdtPr>
        <w:sdtContent>
          <w:r w:rsidRPr="00E94619">
            <w:rPr>
              <w:rFonts w:ascii="Century Gothic" w:hAnsi="Century Gothic"/>
              <w:sz w:val="22"/>
              <w:szCs w:val="22"/>
            </w:rPr>
            <w:fldChar w:fldCharType="begin"/>
          </w:r>
          <w:r w:rsidRPr="00E94619">
            <w:rPr>
              <w:rFonts w:ascii="Century Gothic" w:hAnsi="Century Gothic"/>
              <w:sz w:val="22"/>
              <w:szCs w:val="22"/>
              <w:lang w:val="es-ES"/>
            </w:rPr>
            <w:instrText xml:space="preserve"> CITATION SIS0b \l 3082 </w:instrText>
          </w:r>
          <w:r w:rsidRPr="00E94619">
            <w:rPr>
              <w:rFonts w:ascii="Century Gothic" w:hAnsi="Century Gothic"/>
              <w:sz w:val="22"/>
              <w:szCs w:val="22"/>
            </w:rPr>
            <w:fldChar w:fldCharType="separate"/>
          </w:r>
          <w:r w:rsidRPr="00E94619">
            <w:rPr>
              <w:rFonts w:ascii="Century Gothic" w:hAnsi="Century Gothic"/>
              <w:noProof/>
              <w:sz w:val="22"/>
              <w:szCs w:val="22"/>
              <w:lang w:val="es-ES"/>
            </w:rPr>
            <w:t xml:space="preserve"> (SISDHES, 2020b)</w:t>
          </w:r>
          <w:r w:rsidRPr="00E94619">
            <w:rPr>
              <w:rFonts w:ascii="Century Gothic" w:hAnsi="Century Gothic"/>
              <w:sz w:val="22"/>
              <w:szCs w:val="22"/>
            </w:rPr>
            <w:fldChar w:fldCharType="end"/>
          </w:r>
        </w:sdtContent>
      </w:sdt>
    </w:p>
    <w:p w14:paraId="1BAB11D2" w14:textId="0909C84B" w:rsidR="001F3C65" w:rsidRPr="00E94619" w:rsidRDefault="001F3C65" w:rsidP="000E5AC0">
      <w:pPr>
        <w:jc w:val="both"/>
        <w:rPr>
          <w:rFonts w:ascii="Century Gothic" w:hAnsi="Century Gothic"/>
        </w:rPr>
      </w:pPr>
    </w:p>
    <w:p w14:paraId="5755986C" w14:textId="10FE69CC" w:rsidR="006B652F" w:rsidRPr="00E94619" w:rsidRDefault="006B652F"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731968" behindDoc="0" locked="0" layoutInCell="1" allowOverlap="1" wp14:anchorId="3B06B950" wp14:editId="3B964049">
            <wp:simplePos x="0" y="0"/>
            <wp:positionH relativeFrom="column">
              <wp:posOffset>457200</wp:posOffset>
            </wp:positionH>
            <wp:positionV relativeFrom="paragraph">
              <wp:posOffset>0</wp:posOffset>
            </wp:positionV>
            <wp:extent cx="4459605" cy="2526030"/>
            <wp:effectExtent l="0" t="0" r="10795"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9605" cy="2526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E0A92" w14:textId="77777777" w:rsidR="00490F50" w:rsidRDefault="00490F50" w:rsidP="000E5AC0">
      <w:pPr>
        <w:jc w:val="both"/>
        <w:rPr>
          <w:rFonts w:ascii="Century Gothic" w:hAnsi="Century Gothic"/>
          <w:shd w:val="clear" w:color="auto" w:fill="FFFFFF"/>
        </w:rPr>
      </w:pPr>
    </w:p>
    <w:p w14:paraId="07684355" w14:textId="77777777" w:rsidR="00490F50" w:rsidRDefault="00490F50" w:rsidP="000E5AC0">
      <w:pPr>
        <w:jc w:val="both"/>
        <w:rPr>
          <w:rFonts w:ascii="Century Gothic" w:hAnsi="Century Gothic"/>
          <w:shd w:val="clear" w:color="auto" w:fill="FFFFFF"/>
        </w:rPr>
      </w:pPr>
    </w:p>
    <w:p w14:paraId="45EBC183" w14:textId="77777777" w:rsidR="00490F50" w:rsidRDefault="00490F50" w:rsidP="000E5AC0">
      <w:pPr>
        <w:jc w:val="both"/>
        <w:rPr>
          <w:rFonts w:ascii="Century Gothic" w:hAnsi="Century Gothic"/>
          <w:shd w:val="clear" w:color="auto" w:fill="FFFFFF"/>
        </w:rPr>
      </w:pPr>
    </w:p>
    <w:p w14:paraId="006B89D2" w14:textId="77777777" w:rsidR="00490F50" w:rsidRDefault="00490F50" w:rsidP="000E5AC0">
      <w:pPr>
        <w:jc w:val="both"/>
        <w:rPr>
          <w:rFonts w:ascii="Century Gothic" w:hAnsi="Century Gothic"/>
          <w:shd w:val="clear" w:color="auto" w:fill="FFFFFF"/>
        </w:rPr>
      </w:pPr>
    </w:p>
    <w:p w14:paraId="3892FEDA" w14:textId="77777777" w:rsidR="00490F50" w:rsidRDefault="00490F50" w:rsidP="000E5AC0">
      <w:pPr>
        <w:jc w:val="both"/>
        <w:rPr>
          <w:rFonts w:ascii="Century Gothic" w:hAnsi="Century Gothic"/>
          <w:shd w:val="clear" w:color="auto" w:fill="FFFFFF"/>
        </w:rPr>
      </w:pPr>
    </w:p>
    <w:p w14:paraId="7A47C88F" w14:textId="77777777" w:rsidR="00490F50" w:rsidRDefault="00490F50" w:rsidP="000E5AC0">
      <w:pPr>
        <w:jc w:val="both"/>
        <w:rPr>
          <w:rFonts w:ascii="Century Gothic" w:hAnsi="Century Gothic"/>
          <w:shd w:val="clear" w:color="auto" w:fill="FFFFFF"/>
        </w:rPr>
      </w:pPr>
    </w:p>
    <w:p w14:paraId="2EE619AD" w14:textId="77777777" w:rsidR="00490F50" w:rsidRDefault="00490F50" w:rsidP="000E5AC0">
      <w:pPr>
        <w:jc w:val="both"/>
        <w:rPr>
          <w:rFonts w:ascii="Century Gothic" w:hAnsi="Century Gothic"/>
          <w:shd w:val="clear" w:color="auto" w:fill="FFFFFF"/>
        </w:rPr>
      </w:pPr>
    </w:p>
    <w:p w14:paraId="4C73C1E9" w14:textId="77777777" w:rsidR="00490F50" w:rsidRDefault="00490F50" w:rsidP="000E5AC0">
      <w:pPr>
        <w:jc w:val="both"/>
        <w:rPr>
          <w:rFonts w:ascii="Century Gothic" w:hAnsi="Century Gothic"/>
          <w:shd w:val="clear" w:color="auto" w:fill="FFFFFF"/>
        </w:rPr>
      </w:pPr>
    </w:p>
    <w:p w14:paraId="484548E8" w14:textId="62545C57" w:rsidR="001A3BDA" w:rsidRPr="00E94619" w:rsidRDefault="001A3BDA" w:rsidP="000E5AC0">
      <w:pPr>
        <w:jc w:val="both"/>
        <w:rPr>
          <w:rFonts w:ascii="Century Gothic" w:hAnsi="Century Gothic"/>
        </w:rPr>
      </w:pPr>
      <w:r w:rsidRPr="00E94619">
        <w:rPr>
          <w:rFonts w:ascii="Century Gothic" w:hAnsi="Century Gothic"/>
          <w:shd w:val="clear" w:color="auto" w:fill="FFFFFF"/>
        </w:rPr>
        <w:t>El c</w:t>
      </w:r>
      <w:r w:rsidRPr="00E94619">
        <w:rPr>
          <w:rFonts w:ascii="Century Gothic" w:hAnsi="Century Gothic"/>
        </w:rPr>
        <w:t>omportamiento del desplazamiento forzado durante los años 2017 y 2019, tanto en mujeres como en hombres disminuyó, en parte por la firma del Acuerdo de Paz y el fin de la confrontación con la guerrilla de las FARC-EP.</w:t>
      </w:r>
    </w:p>
    <w:p w14:paraId="0DE89196" w14:textId="3A507150" w:rsidR="002B6E29" w:rsidRPr="00456E76" w:rsidRDefault="00D2173C" w:rsidP="00456E76">
      <w:pPr>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21056" behindDoc="0" locked="0" layoutInCell="1" allowOverlap="1" wp14:anchorId="7682F90C" wp14:editId="1C8F3D9D">
            <wp:simplePos x="0" y="0"/>
            <wp:positionH relativeFrom="column">
              <wp:posOffset>-1080135</wp:posOffset>
            </wp:positionH>
            <wp:positionV relativeFrom="paragraph">
              <wp:posOffset>-822960</wp:posOffset>
            </wp:positionV>
            <wp:extent cx="965835" cy="708660"/>
            <wp:effectExtent l="0" t="0" r="0" b="0"/>
            <wp:wrapNone/>
            <wp:docPr id="381" name="Imagen 38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2B6E29" w:rsidRPr="00456E76">
        <w:rPr>
          <w:rFonts w:ascii="Century Gothic" w:hAnsi="Century Gothic"/>
          <w:b/>
          <w:sz w:val="16"/>
          <w:szCs w:val="16"/>
        </w:rPr>
        <w:t>Gráfica 20</w:t>
      </w:r>
      <w:r w:rsidR="00456E76" w:rsidRPr="00456E76">
        <w:rPr>
          <w:rFonts w:ascii="Century Gothic" w:hAnsi="Century Gothic"/>
          <w:b/>
          <w:sz w:val="16"/>
          <w:szCs w:val="16"/>
        </w:rPr>
        <w:t>. Personas desplazadas – conflicto armado por sexo (2017-2019)</w:t>
      </w:r>
    </w:p>
    <w:p w14:paraId="2E25D234" w14:textId="64DFF504" w:rsidR="001238D7" w:rsidRPr="00E94619" w:rsidRDefault="00456E76" w:rsidP="000E5AC0">
      <w:pPr>
        <w:spacing w:after="0" w:line="240" w:lineRule="auto"/>
        <w:rPr>
          <w:rFonts w:ascii="Century Gothic" w:hAnsi="Century Gothic"/>
        </w:rPr>
      </w:pPr>
      <w:r w:rsidRPr="00E94619">
        <w:rPr>
          <w:rFonts w:ascii="Century Gothic" w:hAnsi="Century Gothic"/>
          <w:noProof/>
          <w:lang w:val="es-ES" w:eastAsia="es-ES"/>
        </w:rPr>
        <w:drawing>
          <wp:anchor distT="0" distB="0" distL="114300" distR="114300" simplePos="0" relativeHeight="251684864" behindDoc="0" locked="0" layoutInCell="1" allowOverlap="1" wp14:anchorId="13D489C2" wp14:editId="5AE50ECF">
            <wp:simplePos x="0" y="0"/>
            <wp:positionH relativeFrom="column">
              <wp:posOffset>1485900</wp:posOffset>
            </wp:positionH>
            <wp:positionV relativeFrom="paragraph">
              <wp:posOffset>22225</wp:posOffset>
            </wp:positionV>
            <wp:extent cx="2318385" cy="137160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18385" cy="13716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entury Gothic" w:hAnsi="Century Gothic"/>
          </w:rPr>
          <w:tag w:val="goog_rdk_31"/>
          <w:id w:val="-186988358"/>
        </w:sdtPr>
        <w:sdtContent/>
      </w:sdt>
    </w:p>
    <w:p w14:paraId="45BF47AB" w14:textId="77777777" w:rsidR="00456E76" w:rsidRDefault="00456E76" w:rsidP="000E5AC0">
      <w:pPr>
        <w:spacing w:after="0" w:line="240" w:lineRule="auto"/>
        <w:rPr>
          <w:rFonts w:ascii="Century Gothic" w:hAnsi="Century Gothic"/>
          <w:sz w:val="16"/>
          <w:szCs w:val="16"/>
        </w:rPr>
      </w:pPr>
    </w:p>
    <w:p w14:paraId="562D3752" w14:textId="77777777" w:rsidR="00456E76" w:rsidRDefault="00456E76" w:rsidP="000E5AC0">
      <w:pPr>
        <w:spacing w:after="0" w:line="240" w:lineRule="auto"/>
        <w:rPr>
          <w:rFonts w:ascii="Century Gothic" w:hAnsi="Century Gothic"/>
          <w:sz w:val="16"/>
          <w:szCs w:val="16"/>
        </w:rPr>
      </w:pPr>
    </w:p>
    <w:p w14:paraId="1FB03A94" w14:textId="77777777" w:rsidR="00456E76" w:rsidRDefault="00456E76" w:rsidP="000E5AC0">
      <w:pPr>
        <w:spacing w:after="0" w:line="240" w:lineRule="auto"/>
        <w:rPr>
          <w:rFonts w:ascii="Century Gothic" w:hAnsi="Century Gothic"/>
          <w:sz w:val="16"/>
          <w:szCs w:val="16"/>
        </w:rPr>
      </w:pPr>
    </w:p>
    <w:p w14:paraId="46C407EC" w14:textId="77777777" w:rsidR="00456E76" w:rsidRDefault="00456E76" w:rsidP="000E5AC0">
      <w:pPr>
        <w:spacing w:after="0" w:line="240" w:lineRule="auto"/>
        <w:rPr>
          <w:rFonts w:ascii="Century Gothic" w:hAnsi="Century Gothic"/>
          <w:sz w:val="16"/>
          <w:szCs w:val="16"/>
        </w:rPr>
      </w:pPr>
    </w:p>
    <w:p w14:paraId="6970BF80" w14:textId="77777777" w:rsidR="00456E76" w:rsidRDefault="00456E76" w:rsidP="000E5AC0">
      <w:pPr>
        <w:spacing w:after="0" w:line="240" w:lineRule="auto"/>
        <w:rPr>
          <w:rFonts w:ascii="Century Gothic" w:hAnsi="Century Gothic"/>
          <w:sz w:val="16"/>
          <w:szCs w:val="16"/>
        </w:rPr>
      </w:pPr>
    </w:p>
    <w:p w14:paraId="256F7861" w14:textId="77777777" w:rsidR="00456E76" w:rsidRDefault="00456E76" w:rsidP="000E5AC0">
      <w:pPr>
        <w:spacing w:after="0" w:line="240" w:lineRule="auto"/>
        <w:rPr>
          <w:rFonts w:ascii="Century Gothic" w:hAnsi="Century Gothic"/>
          <w:sz w:val="16"/>
          <w:szCs w:val="16"/>
        </w:rPr>
      </w:pPr>
    </w:p>
    <w:p w14:paraId="4069E3C6" w14:textId="77777777" w:rsidR="00456E76" w:rsidRDefault="00456E76" w:rsidP="000E5AC0">
      <w:pPr>
        <w:spacing w:after="0" w:line="240" w:lineRule="auto"/>
        <w:rPr>
          <w:rFonts w:ascii="Century Gothic" w:hAnsi="Century Gothic"/>
          <w:sz w:val="16"/>
          <w:szCs w:val="16"/>
        </w:rPr>
      </w:pPr>
    </w:p>
    <w:p w14:paraId="19F9B245" w14:textId="77777777" w:rsidR="00456E76" w:rsidRDefault="00456E76" w:rsidP="000E5AC0">
      <w:pPr>
        <w:spacing w:after="0" w:line="240" w:lineRule="auto"/>
        <w:rPr>
          <w:rFonts w:ascii="Century Gothic" w:hAnsi="Century Gothic"/>
          <w:sz w:val="16"/>
          <w:szCs w:val="16"/>
        </w:rPr>
      </w:pPr>
    </w:p>
    <w:p w14:paraId="6D5B5D29" w14:textId="77777777" w:rsidR="00456E76" w:rsidRDefault="00456E76" w:rsidP="000E5AC0">
      <w:pPr>
        <w:spacing w:after="0" w:line="240" w:lineRule="auto"/>
        <w:rPr>
          <w:rFonts w:ascii="Century Gothic" w:hAnsi="Century Gothic"/>
          <w:sz w:val="16"/>
          <w:szCs w:val="16"/>
        </w:rPr>
      </w:pPr>
    </w:p>
    <w:p w14:paraId="79A360F3" w14:textId="77777777" w:rsidR="00456E76" w:rsidRDefault="00456E76" w:rsidP="00456E76">
      <w:pPr>
        <w:spacing w:after="0" w:line="240" w:lineRule="auto"/>
        <w:jc w:val="center"/>
        <w:rPr>
          <w:rFonts w:ascii="Century Gothic" w:hAnsi="Century Gothic"/>
          <w:sz w:val="16"/>
          <w:szCs w:val="16"/>
        </w:rPr>
      </w:pPr>
    </w:p>
    <w:p w14:paraId="7BFDDCE5" w14:textId="6511DEF6" w:rsidR="001238D7" w:rsidRPr="00E94619" w:rsidRDefault="0004636B" w:rsidP="00456E76">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 xml:space="preserve"> Red Nacional de Información. Unidad para la Atención y Reparación Integral a las Víctimas. 01 de octubre de 201</w:t>
      </w:r>
      <w:r w:rsidR="002B6E29" w:rsidRPr="00E94619">
        <w:rPr>
          <w:rFonts w:ascii="Century Gothic" w:hAnsi="Century Gothic"/>
          <w:sz w:val="16"/>
          <w:szCs w:val="16"/>
        </w:rPr>
        <w:t>8</w:t>
      </w:r>
      <w:r w:rsidR="0036411F" w:rsidRPr="00E94619">
        <w:rPr>
          <w:rFonts w:ascii="Century Gothic" w:hAnsi="Century Gothic"/>
          <w:sz w:val="16"/>
          <w:szCs w:val="16"/>
        </w:rPr>
        <w:t xml:space="preserve">. </w:t>
      </w:r>
      <w:hyperlink r:id="rId42">
        <w:r w:rsidR="0036411F" w:rsidRPr="00E94619">
          <w:rPr>
            <w:rFonts w:ascii="Century Gothic" w:hAnsi="Century Gothic"/>
            <w:color w:val="0000FF"/>
            <w:sz w:val="16"/>
            <w:szCs w:val="16"/>
            <w:u w:val="single"/>
          </w:rPr>
          <w:t>http://cifras.unidadvictimas.gov.co/</w:t>
        </w:r>
      </w:hyperlink>
    </w:p>
    <w:p w14:paraId="55102C62" w14:textId="77777777" w:rsidR="001238D7" w:rsidRPr="00E94619" w:rsidRDefault="001238D7" w:rsidP="000E5AC0">
      <w:pPr>
        <w:spacing w:after="0" w:line="240" w:lineRule="auto"/>
        <w:rPr>
          <w:rFonts w:ascii="Century Gothic" w:hAnsi="Century Gothic"/>
          <w:sz w:val="16"/>
          <w:szCs w:val="16"/>
        </w:rPr>
      </w:pPr>
    </w:p>
    <w:p w14:paraId="68839AB8" w14:textId="77777777" w:rsidR="001238D7" w:rsidRPr="00E94619" w:rsidRDefault="0036411F" w:rsidP="000E5AC0">
      <w:pPr>
        <w:jc w:val="both"/>
        <w:rPr>
          <w:rFonts w:ascii="Century Gothic" w:hAnsi="Century Gothic"/>
        </w:rPr>
      </w:pPr>
      <w:r w:rsidRPr="00E94619">
        <w:rPr>
          <w:rFonts w:ascii="Century Gothic" w:hAnsi="Century Gothic"/>
        </w:rPr>
        <w:t>Al revisar las cifras sobre niños, niñas y adolescentes víctimas del desplazamiento a causa del conflicto armado se encuentra que también se presentó un fuerte descenso entre el año 201</w:t>
      </w:r>
      <w:r w:rsidR="001273BA" w:rsidRPr="00E94619">
        <w:rPr>
          <w:rFonts w:ascii="Century Gothic" w:hAnsi="Century Gothic"/>
        </w:rPr>
        <w:t>7</w:t>
      </w:r>
      <w:r w:rsidRPr="00E94619">
        <w:rPr>
          <w:rFonts w:ascii="Century Gothic" w:hAnsi="Century Gothic"/>
        </w:rPr>
        <w:t xml:space="preserve"> y el 201</w:t>
      </w:r>
      <w:r w:rsidR="001273BA" w:rsidRPr="00E94619">
        <w:rPr>
          <w:rFonts w:ascii="Century Gothic" w:hAnsi="Century Gothic"/>
        </w:rPr>
        <w:t>9</w:t>
      </w:r>
      <w:r w:rsidRPr="00E94619">
        <w:rPr>
          <w:rFonts w:ascii="Century Gothic" w:hAnsi="Century Gothic"/>
        </w:rPr>
        <w:t xml:space="preserve">, pasando de </w:t>
      </w:r>
      <w:r w:rsidR="00E81DC6" w:rsidRPr="00E94619">
        <w:rPr>
          <w:rFonts w:ascii="Century Gothic" w:hAnsi="Century Gothic"/>
        </w:rPr>
        <w:t>3</w:t>
      </w:r>
      <w:r w:rsidRPr="00E94619">
        <w:rPr>
          <w:rFonts w:ascii="Century Gothic" w:hAnsi="Century Gothic"/>
        </w:rPr>
        <w:t>9.</w:t>
      </w:r>
      <w:r w:rsidR="00E81DC6" w:rsidRPr="00E94619">
        <w:rPr>
          <w:rFonts w:ascii="Century Gothic" w:hAnsi="Century Gothic"/>
        </w:rPr>
        <w:t>154</w:t>
      </w:r>
      <w:r w:rsidRPr="00E94619">
        <w:rPr>
          <w:rFonts w:ascii="Century Gothic" w:hAnsi="Century Gothic"/>
        </w:rPr>
        <w:t xml:space="preserve"> víctimas a </w:t>
      </w:r>
      <w:r w:rsidR="0013576B" w:rsidRPr="00E94619">
        <w:rPr>
          <w:rFonts w:ascii="Century Gothic" w:hAnsi="Century Gothic"/>
        </w:rPr>
        <w:t>30</w:t>
      </w:r>
      <w:r w:rsidR="00C21908" w:rsidRPr="00E94619">
        <w:rPr>
          <w:rFonts w:ascii="Century Gothic" w:hAnsi="Century Gothic"/>
        </w:rPr>
        <w:t>.</w:t>
      </w:r>
      <w:r w:rsidR="0013576B" w:rsidRPr="00E94619">
        <w:rPr>
          <w:rFonts w:ascii="Century Gothic" w:hAnsi="Century Gothic"/>
        </w:rPr>
        <w:t>749, reportando al 2019</w:t>
      </w:r>
      <w:r w:rsidR="00C21908" w:rsidRPr="00E94619">
        <w:rPr>
          <w:rFonts w:ascii="Century Gothic" w:hAnsi="Century Gothic"/>
        </w:rPr>
        <w:t xml:space="preserve">, </w:t>
      </w:r>
      <w:r w:rsidR="0013576B" w:rsidRPr="00E94619">
        <w:rPr>
          <w:rFonts w:ascii="Century Gothic" w:hAnsi="Century Gothic"/>
        </w:rPr>
        <w:t>15</w:t>
      </w:r>
      <w:r w:rsidR="00C21908" w:rsidRPr="00E94619">
        <w:rPr>
          <w:rFonts w:ascii="Century Gothic" w:hAnsi="Century Gothic"/>
        </w:rPr>
        <w:t>.</w:t>
      </w:r>
      <w:r w:rsidR="0013576B" w:rsidRPr="00E94619">
        <w:rPr>
          <w:rFonts w:ascii="Century Gothic" w:hAnsi="Century Gothic"/>
        </w:rPr>
        <w:t>753</w:t>
      </w:r>
      <w:r w:rsidR="00C21908" w:rsidRPr="00E94619">
        <w:rPr>
          <w:rFonts w:ascii="Century Gothic" w:hAnsi="Century Gothic"/>
        </w:rPr>
        <w:t xml:space="preserve"> hombres y 14.996 mujeres. </w:t>
      </w:r>
      <w:r w:rsidRPr="00E94619">
        <w:rPr>
          <w:rFonts w:ascii="Century Gothic" w:hAnsi="Century Gothic"/>
        </w:rPr>
        <w:t>En este grupo de población los hombres fueron los de mayor afectación</w:t>
      </w:r>
      <w:r w:rsidR="00C21908" w:rsidRPr="00E94619">
        <w:rPr>
          <w:rFonts w:ascii="Century Gothic" w:hAnsi="Century Gothic"/>
        </w:rPr>
        <w:t>.</w:t>
      </w:r>
    </w:p>
    <w:p w14:paraId="1BD36CFF" w14:textId="11FCABA5" w:rsidR="00456364" w:rsidRPr="00456E76" w:rsidRDefault="00646447" w:rsidP="00456E76">
      <w:pPr>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685888" behindDoc="0" locked="0" layoutInCell="1" allowOverlap="1" wp14:anchorId="7EA9F3E8" wp14:editId="48CE4992">
            <wp:simplePos x="0" y="0"/>
            <wp:positionH relativeFrom="column">
              <wp:posOffset>1571625</wp:posOffset>
            </wp:positionH>
            <wp:positionV relativeFrom="paragraph">
              <wp:posOffset>294005</wp:posOffset>
            </wp:positionV>
            <wp:extent cx="2314575" cy="1369695"/>
            <wp:effectExtent l="0" t="0" r="0" b="190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14575"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00456364" w:rsidRPr="00456E76">
        <w:rPr>
          <w:rFonts w:ascii="Century Gothic" w:hAnsi="Century Gothic"/>
          <w:b/>
          <w:sz w:val="16"/>
          <w:szCs w:val="16"/>
        </w:rPr>
        <w:t>Gráfica 21</w:t>
      </w:r>
      <w:r w:rsidR="00456E76" w:rsidRPr="00456E76">
        <w:rPr>
          <w:rFonts w:ascii="Century Gothic" w:hAnsi="Century Gothic"/>
          <w:b/>
          <w:sz w:val="16"/>
          <w:szCs w:val="16"/>
        </w:rPr>
        <w:t>. NNA en situación de desplazamiento – conflicto armado (2017-2019)</w:t>
      </w:r>
    </w:p>
    <w:p w14:paraId="1909388C" w14:textId="672BAF9B" w:rsidR="001238D7" w:rsidRPr="00E94619" w:rsidRDefault="00830DBC" w:rsidP="000E5AC0">
      <w:pPr>
        <w:spacing w:after="0" w:line="240" w:lineRule="auto"/>
        <w:rPr>
          <w:rFonts w:ascii="Century Gothic" w:hAnsi="Century Gothic"/>
        </w:rPr>
      </w:pPr>
      <w:sdt>
        <w:sdtPr>
          <w:rPr>
            <w:rFonts w:ascii="Century Gothic" w:hAnsi="Century Gothic"/>
          </w:rPr>
          <w:tag w:val="goog_rdk_32"/>
          <w:id w:val="1100305123"/>
        </w:sdtPr>
        <w:sdtContent/>
      </w:sdt>
    </w:p>
    <w:p w14:paraId="65A6C5CD" w14:textId="77777777" w:rsidR="00456E76" w:rsidRDefault="00456E76" w:rsidP="000E5AC0">
      <w:pPr>
        <w:spacing w:after="0" w:line="240" w:lineRule="auto"/>
        <w:rPr>
          <w:rFonts w:ascii="Century Gothic" w:hAnsi="Century Gothic"/>
          <w:sz w:val="16"/>
          <w:szCs w:val="16"/>
        </w:rPr>
      </w:pPr>
    </w:p>
    <w:p w14:paraId="49FF2808" w14:textId="77777777" w:rsidR="00456E76" w:rsidRDefault="00456E76" w:rsidP="000E5AC0">
      <w:pPr>
        <w:spacing w:after="0" w:line="240" w:lineRule="auto"/>
        <w:rPr>
          <w:rFonts w:ascii="Century Gothic" w:hAnsi="Century Gothic"/>
          <w:sz w:val="16"/>
          <w:szCs w:val="16"/>
        </w:rPr>
      </w:pPr>
    </w:p>
    <w:p w14:paraId="5CAF9D96" w14:textId="77777777" w:rsidR="00456E76" w:rsidRDefault="00456E76" w:rsidP="000E5AC0">
      <w:pPr>
        <w:spacing w:after="0" w:line="240" w:lineRule="auto"/>
        <w:rPr>
          <w:rFonts w:ascii="Century Gothic" w:hAnsi="Century Gothic"/>
          <w:sz w:val="16"/>
          <w:szCs w:val="16"/>
        </w:rPr>
      </w:pPr>
    </w:p>
    <w:p w14:paraId="583D65CC" w14:textId="77777777" w:rsidR="00456E76" w:rsidRDefault="00456E76" w:rsidP="000E5AC0">
      <w:pPr>
        <w:spacing w:after="0" w:line="240" w:lineRule="auto"/>
        <w:rPr>
          <w:rFonts w:ascii="Century Gothic" w:hAnsi="Century Gothic"/>
          <w:sz w:val="16"/>
          <w:szCs w:val="16"/>
        </w:rPr>
      </w:pPr>
    </w:p>
    <w:p w14:paraId="467728F0" w14:textId="77777777" w:rsidR="00456E76" w:rsidRDefault="00456E76" w:rsidP="000E5AC0">
      <w:pPr>
        <w:spacing w:after="0" w:line="240" w:lineRule="auto"/>
        <w:rPr>
          <w:rFonts w:ascii="Century Gothic" w:hAnsi="Century Gothic"/>
          <w:sz w:val="16"/>
          <w:szCs w:val="16"/>
        </w:rPr>
      </w:pPr>
    </w:p>
    <w:p w14:paraId="646A5341" w14:textId="77777777" w:rsidR="00456E76" w:rsidRDefault="00456E76" w:rsidP="000E5AC0">
      <w:pPr>
        <w:spacing w:after="0" w:line="240" w:lineRule="auto"/>
        <w:rPr>
          <w:rFonts w:ascii="Century Gothic" w:hAnsi="Century Gothic"/>
          <w:sz w:val="16"/>
          <w:szCs w:val="16"/>
        </w:rPr>
      </w:pPr>
    </w:p>
    <w:p w14:paraId="5E08DD2C" w14:textId="77777777" w:rsidR="00456E76" w:rsidRDefault="00456E76" w:rsidP="000E5AC0">
      <w:pPr>
        <w:spacing w:after="0" w:line="240" w:lineRule="auto"/>
        <w:rPr>
          <w:rFonts w:ascii="Century Gothic" w:hAnsi="Century Gothic"/>
          <w:sz w:val="16"/>
          <w:szCs w:val="16"/>
        </w:rPr>
      </w:pPr>
    </w:p>
    <w:p w14:paraId="1519C4CB" w14:textId="77777777" w:rsidR="00456E76" w:rsidRDefault="00456E76" w:rsidP="000E5AC0">
      <w:pPr>
        <w:spacing w:after="0" w:line="240" w:lineRule="auto"/>
        <w:rPr>
          <w:rFonts w:ascii="Century Gothic" w:hAnsi="Century Gothic"/>
          <w:sz w:val="16"/>
          <w:szCs w:val="16"/>
        </w:rPr>
      </w:pPr>
    </w:p>
    <w:p w14:paraId="189F5120" w14:textId="77777777" w:rsidR="00456E76" w:rsidRDefault="00456E76" w:rsidP="000E5AC0">
      <w:pPr>
        <w:spacing w:after="0" w:line="240" w:lineRule="auto"/>
        <w:rPr>
          <w:rFonts w:ascii="Century Gothic" w:hAnsi="Century Gothic"/>
          <w:sz w:val="16"/>
          <w:szCs w:val="16"/>
        </w:rPr>
      </w:pPr>
    </w:p>
    <w:p w14:paraId="32F80700" w14:textId="77777777" w:rsidR="00456E76" w:rsidRDefault="00456E76" w:rsidP="000E5AC0">
      <w:pPr>
        <w:spacing w:after="0" w:line="240" w:lineRule="auto"/>
        <w:rPr>
          <w:rFonts w:ascii="Century Gothic" w:hAnsi="Century Gothic"/>
          <w:sz w:val="16"/>
          <w:szCs w:val="16"/>
        </w:rPr>
      </w:pPr>
    </w:p>
    <w:p w14:paraId="703164B0" w14:textId="77777777" w:rsidR="00456E76" w:rsidRDefault="00456E76" w:rsidP="00456E76">
      <w:pPr>
        <w:spacing w:after="0" w:line="240" w:lineRule="auto"/>
        <w:jc w:val="center"/>
        <w:rPr>
          <w:rFonts w:ascii="Century Gothic" w:hAnsi="Century Gothic"/>
          <w:sz w:val="16"/>
          <w:szCs w:val="16"/>
        </w:rPr>
      </w:pPr>
    </w:p>
    <w:p w14:paraId="11CB1865" w14:textId="77777777" w:rsidR="001238D7" w:rsidRPr="00E94619" w:rsidRDefault="0004636B" w:rsidP="00456E76">
      <w:pPr>
        <w:spacing w:after="0" w:line="240" w:lineRule="auto"/>
        <w:jc w:val="center"/>
        <w:rPr>
          <w:rFonts w:ascii="Century Gothic" w:hAnsi="Century Gothic"/>
          <w:color w:val="0000FF"/>
          <w:sz w:val="16"/>
          <w:szCs w:val="16"/>
          <w:u w:val="single"/>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 201</w:t>
      </w:r>
      <w:r w:rsidR="00182EB9" w:rsidRPr="00E94619">
        <w:rPr>
          <w:rFonts w:ascii="Century Gothic" w:hAnsi="Century Gothic"/>
          <w:sz w:val="16"/>
          <w:szCs w:val="16"/>
        </w:rPr>
        <w:t>8</w:t>
      </w:r>
      <w:r w:rsidR="0036411F" w:rsidRPr="00E94619">
        <w:rPr>
          <w:rFonts w:ascii="Century Gothic" w:hAnsi="Century Gothic"/>
          <w:sz w:val="16"/>
          <w:szCs w:val="16"/>
        </w:rPr>
        <w:t xml:space="preserve">. </w:t>
      </w:r>
      <w:hyperlink r:id="rId44">
        <w:r w:rsidR="0036411F" w:rsidRPr="00E94619">
          <w:rPr>
            <w:rFonts w:ascii="Century Gothic" w:hAnsi="Century Gothic"/>
            <w:color w:val="0000FF"/>
            <w:sz w:val="16"/>
            <w:szCs w:val="16"/>
            <w:u w:val="single"/>
          </w:rPr>
          <w:t>http://cifras.unidadvictimas.gov.co</w:t>
        </w:r>
      </w:hyperlink>
    </w:p>
    <w:p w14:paraId="3773A3BF" w14:textId="77777777" w:rsidR="001238D7" w:rsidRPr="00E94619" w:rsidRDefault="001238D7" w:rsidP="000E5AC0">
      <w:pPr>
        <w:spacing w:after="0" w:line="240" w:lineRule="auto"/>
        <w:rPr>
          <w:rFonts w:ascii="Century Gothic" w:hAnsi="Century Gothic"/>
          <w:sz w:val="16"/>
          <w:szCs w:val="16"/>
        </w:rPr>
      </w:pPr>
    </w:p>
    <w:p w14:paraId="1715129B" w14:textId="164DA02E" w:rsidR="00456E76" w:rsidRDefault="0036411F" w:rsidP="000E5AC0">
      <w:pPr>
        <w:jc w:val="both"/>
        <w:rPr>
          <w:rFonts w:ascii="Century Gothic" w:hAnsi="Century Gothic"/>
        </w:rPr>
      </w:pPr>
      <w:r w:rsidRPr="00E94619">
        <w:rPr>
          <w:rFonts w:ascii="Century Gothic" w:hAnsi="Century Gothic"/>
        </w:rPr>
        <w:t>Las cifras sobre población desplazada perteneciente a grupos étnicos indígenas y afrocolombianos muestran que las mujeres han sido las principales víctimas de desplazamiento forzado entre los años 201</w:t>
      </w:r>
      <w:r w:rsidR="00301CAA" w:rsidRPr="00E94619">
        <w:rPr>
          <w:rFonts w:ascii="Century Gothic" w:hAnsi="Century Gothic"/>
        </w:rPr>
        <w:t>7</w:t>
      </w:r>
      <w:r w:rsidRPr="00E94619">
        <w:rPr>
          <w:rFonts w:ascii="Century Gothic" w:hAnsi="Century Gothic"/>
        </w:rPr>
        <w:t xml:space="preserve"> y 201</w:t>
      </w:r>
      <w:r w:rsidR="00301CAA" w:rsidRPr="00E94619">
        <w:rPr>
          <w:rFonts w:ascii="Century Gothic" w:hAnsi="Century Gothic"/>
        </w:rPr>
        <w:t>9</w:t>
      </w:r>
      <w:r w:rsidRPr="00E94619">
        <w:rPr>
          <w:rFonts w:ascii="Century Gothic" w:hAnsi="Century Gothic"/>
        </w:rPr>
        <w:t xml:space="preserve"> y las mujeres afro en mayor proporción que las indígenas</w:t>
      </w:r>
      <w:r w:rsidR="00481A09" w:rsidRPr="00E94619">
        <w:rPr>
          <w:rFonts w:ascii="Century Gothic" w:hAnsi="Century Gothic"/>
        </w:rPr>
        <w:t xml:space="preserve">. Al 2019 se reportan </w:t>
      </w:r>
      <w:r w:rsidR="000D24FA" w:rsidRPr="00E94619">
        <w:rPr>
          <w:rFonts w:ascii="Century Gothic" w:hAnsi="Century Gothic"/>
        </w:rPr>
        <w:t xml:space="preserve">3.318 mujeres indígenas y 9.144 mujeres afrocolombianas </w:t>
      </w:r>
      <w:r w:rsidR="00E41DA0" w:rsidRPr="00E94619">
        <w:rPr>
          <w:rFonts w:ascii="Century Gothic" w:hAnsi="Century Gothic"/>
        </w:rPr>
        <w:t>víctimas</w:t>
      </w:r>
      <w:r w:rsidR="000D24FA" w:rsidRPr="00E94619">
        <w:rPr>
          <w:rFonts w:ascii="Century Gothic" w:hAnsi="Century Gothic"/>
        </w:rPr>
        <w:t xml:space="preserve"> de desplazamiento forzado.</w:t>
      </w:r>
    </w:p>
    <w:p w14:paraId="1E777AC9" w14:textId="0264A4F4" w:rsidR="00456E76" w:rsidRPr="00456E76" w:rsidRDefault="00456E76" w:rsidP="00456E76">
      <w:pPr>
        <w:jc w:val="center"/>
        <w:rPr>
          <w:rFonts w:ascii="Century Gothic" w:hAnsi="Century Gothic"/>
          <w:b/>
          <w:sz w:val="16"/>
          <w:szCs w:val="16"/>
        </w:rPr>
      </w:pPr>
      <w:r>
        <w:rPr>
          <w:rFonts w:ascii="Century Gothic" w:hAnsi="Century Gothic"/>
          <w:b/>
          <w:sz w:val="16"/>
          <w:szCs w:val="16"/>
        </w:rPr>
        <w:t>Gráfica 22</w:t>
      </w:r>
      <w:r w:rsidRPr="00456E76">
        <w:rPr>
          <w:rFonts w:ascii="Century Gothic" w:hAnsi="Century Gothic"/>
          <w:b/>
          <w:sz w:val="16"/>
          <w:szCs w:val="16"/>
        </w:rPr>
        <w:t xml:space="preserve">. </w:t>
      </w:r>
      <w:r>
        <w:rPr>
          <w:rFonts w:ascii="Century Gothic" w:hAnsi="Century Gothic"/>
          <w:b/>
          <w:sz w:val="16"/>
          <w:szCs w:val="16"/>
        </w:rPr>
        <w:t>Personas indígenas en situación de desplazamiento – conflicto armado (2017-2019)</w:t>
      </w:r>
    </w:p>
    <w:p w14:paraId="5F85CD5A" w14:textId="6A18CD79" w:rsidR="00456E76" w:rsidRDefault="003F560F"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86912" behindDoc="0" locked="0" layoutInCell="1" allowOverlap="1" wp14:anchorId="05C79B91" wp14:editId="548F9AF0">
            <wp:simplePos x="0" y="0"/>
            <wp:positionH relativeFrom="column">
              <wp:posOffset>1685925</wp:posOffset>
            </wp:positionH>
            <wp:positionV relativeFrom="paragraph">
              <wp:posOffset>113665</wp:posOffset>
            </wp:positionV>
            <wp:extent cx="2085975" cy="1236980"/>
            <wp:effectExtent l="0" t="0" r="0" b="762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85975" cy="1236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F9934" w14:textId="77777777" w:rsidR="00456E76" w:rsidRDefault="00456E76" w:rsidP="00456E76">
      <w:pPr>
        <w:spacing w:after="0" w:line="240" w:lineRule="auto"/>
        <w:jc w:val="center"/>
        <w:rPr>
          <w:rFonts w:ascii="Century Gothic" w:hAnsi="Century Gothic"/>
          <w:sz w:val="16"/>
          <w:szCs w:val="16"/>
        </w:rPr>
      </w:pPr>
    </w:p>
    <w:p w14:paraId="5F6557B3" w14:textId="77777777" w:rsidR="00456E76" w:rsidRDefault="00456E76" w:rsidP="00456E76">
      <w:pPr>
        <w:spacing w:after="0" w:line="240" w:lineRule="auto"/>
        <w:jc w:val="center"/>
        <w:rPr>
          <w:rFonts w:ascii="Century Gothic" w:hAnsi="Century Gothic"/>
          <w:sz w:val="16"/>
          <w:szCs w:val="16"/>
        </w:rPr>
      </w:pPr>
    </w:p>
    <w:p w14:paraId="4DE258E0" w14:textId="77777777" w:rsidR="00456E76" w:rsidRDefault="00456E76" w:rsidP="00456E76">
      <w:pPr>
        <w:spacing w:after="0" w:line="240" w:lineRule="auto"/>
        <w:jc w:val="center"/>
        <w:rPr>
          <w:rFonts w:ascii="Century Gothic" w:hAnsi="Century Gothic"/>
          <w:sz w:val="16"/>
          <w:szCs w:val="16"/>
        </w:rPr>
      </w:pPr>
    </w:p>
    <w:p w14:paraId="7F7863F6" w14:textId="77777777" w:rsidR="00456E76" w:rsidRDefault="00456E76" w:rsidP="00456E76">
      <w:pPr>
        <w:spacing w:after="0" w:line="240" w:lineRule="auto"/>
        <w:jc w:val="center"/>
        <w:rPr>
          <w:rFonts w:ascii="Century Gothic" w:hAnsi="Century Gothic"/>
          <w:sz w:val="16"/>
          <w:szCs w:val="16"/>
        </w:rPr>
      </w:pPr>
    </w:p>
    <w:p w14:paraId="489FC55C" w14:textId="77777777" w:rsidR="00456E76" w:rsidRDefault="00456E76" w:rsidP="00456E76">
      <w:pPr>
        <w:spacing w:after="0" w:line="240" w:lineRule="auto"/>
        <w:jc w:val="center"/>
        <w:rPr>
          <w:rFonts w:ascii="Century Gothic" w:hAnsi="Century Gothic"/>
          <w:sz w:val="16"/>
          <w:szCs w:val="16"/>
        </w:rPr>
      </w:pPr>
    </w:p>
    <w:p w14:paraId="5A01E5C0" w14:textId="77777777" w:rsidR="003F560F" w:rsidRDefault="003F560F" w:rsidP="00456E76">
      <w:pPr>
        <w:spacing w:after="0" w:line="240" w:lineRule="auto"/>
        <w:jc w:val="center"/>
        <w:rPr>
          <w:rFonts w:ascii="Century Gothic" w:hAnsi="Century Gothic"/>
          <w:sz w:val="16"/>
          <w:szCs w:val="16"/>
        </w:rPr>
      </w:pPr>
    </w:p>
    <w:p w14:paraId="346330F7" w14:textId="77777777" w:rsidR="00456E76" w:rsidRDefault="00456E76" w:rsidP="00456E76">
      <w:pPr>
        <w:spacing w:after="0" w:line="240" w:lineRule="auto"/>
        <w:jc w:val="center"/>
        <w:rPr>
          <w:rFonts w:ascii="Century Gothic" w:hAnsi="Century Gothic"/>
          <w:sz w:val="16"/>
          <w:szCs w:val="16"/>
        </w:rPr>
      </w:pPr>
    </w:p>
    <w:p w14:paraId="1D93EA2A" w14:textId="77777777" w:rsidR="00456E76" w:rsidRDefault="00456E76" w:rsidP="00456E76">
      <w:pPr>
        <w:spacing w:after="0" w:line="240" w:lineRule="auto"/>
        <w:jc w:val="center"/>
        <w:rPr>
          <w:rFonts w:ascii="Century Gothic" w:hAnsi="Century Gothic"/>
          <w:sz w:val="16"/>
          <w:szCs w:val="16"/>
        </w:rPr>
      </w:pPr>
    </w:p>
    <w:p w14:paraId="4E8B0B26" w14:textId="77777777" w:rsidR="00456E76" w:rsidRDefault="00456E76" w:rsidP="00456E76">
      <w:pPr>
        <w:spacing w:after="0" w:line="240" w:lineRule="auto"/>
        <w:jc w:val="center"/>
        <w:rPr>
          <w:rFonts w:ascii="Century Gothic" w:hAnsi="Century Gothic"/>
          <w:sz w:val="16"/>
          <w:szCs w:val="16"/>
        </w:rPr>
      </w:pPr>
    </w:p>
    <w:p w14:paraId="7DA6DF0B" w14:textId="77777777" w:rsidR="00456E76" w:rsidRPr="00E94619" w:rsidRDefault="00456E76" w:rsidP="00456E76">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Red Nacional de Información. Unidad para la Atención y Reparación Integral a las Víctimas.2018. </w:t>
      </w:r>
      <w:hyperlink r:id="rId46">
        <w:r w:rsidRPr="00E94619">
          <w:rPr>
            <w:rFonts w:ascii="Century Gothic" w:hAnsi="Century Gothic"/>
            <w:color w:val="0000FF"/>
            <w:sz w:val="16"/>
            <w:szCs w:val="16"/>
            <w:u w:val="single"/>
          </w:rPr>
          <w:t>http://cifras.unidadvictimas.gov.co</w:t>
        </w:r>
      </w:hyperlink>
    </w:p>
    <w:p w14:paraId="5074AAB9" w14:textId="77777777" w:rsidR="00456E76" w:rsidRDefault="00456E76" w:rsidP="00456E76">
      <w:pPr>
        <w:jc w:val="center"/>
        <w:rPr>
          <w:rFonts w:ascii="Century Gothic" w:hAnsi="Century Gothic"/>
          <w:b/>
          <w:sz w:val="16"/>
          <w:szCs w:val="16"/>
        </w:rPr>
      </w:pPr>
    </w:p>
    <w:p w14:paraId="23412251" w14:textId="6004D825" w:rsidR="00583189" w:rsidRDefault="00583189" w:rsidP="00456E76">
      <w:pPr>
        <w:jc w:val="center"/>
        <w:rPr>
          <w:rFonts w:ascii="Century Gothic" w:hAnsi="Century Gothic"/>
          <w:b/>
          <w:sz w:val="16"/>
          <w:szCs w:val="16"/>
        </w:rPr>
      </w:pPr>
    </w:p>
    <w:p w14:paraId="6C5B17A4" w14:textId="647C9753" w:rsidR="00456E76" w:rsidRPr="00456E76" w:rsidRDefault="00D2173C" w:rsidP="00456E76">
      <w:pPr>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23104" behindDoc="0" locked="0" layoutInCell="1" allowOverlap="1" wp14:anchorId="7B6321F2" wp14:editId="41CD502F">
            <wp:simplePos x="0" y="0"/>
            <wp:positionH relativeFrom="column">
              <wp:posOffset>-1080135</wp:posOffset>
            </wp:positionH>
            <wp:positionV relativeFrom="paragraph">
              <wp:posOffset>-822960</wp:posOffset>
            </wp:positionV>
            <wp:extent cx="965835" cy="708660"/>
            <wp:effectExtent l="0" t="0" r="0" b="0"/>
            <wp:wrapNone/>
            <wp:docPr id="382" name="Imagen 38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456E76">
        <w:rPr>
          <w:rFonts w:ascii="Century Gothic" w:hAnsi="Century Gothic"/>
          <w:b/>
          <w:sz w:val="16"/>
          <w:szCs w:val="16"/>
        </w:rPr>
        <w:t>Gráfica 23</w:t>
      </w:r>
      <w:r w:rsidR="00456E76" w:rsidRPr="00456E76">
        <w:rPr>
          <w:rFonts w:ascii="Century Gothic" w:hAnsi="Century Gothic"/>
          <w:b/>
          <w:sz w:val="16"/>
          <w:szCs w:val="16"/>
        </w:rPr>
        <w:t xml:space="preserve">. </w:t>
      </w:r>
      <w:r w:rsidR="00456E76">
        <w:rPr>
          <w:rFonts w:ascii="Century Gothic" w:hAnsi="Century Gothic"/>
          <w:b/>
          <w:sz w:val="16"/>
          <w:szCs w:val="16"/>
        </w:rPr>
        <w:t>Número de personas en situación de desplazamiento negro(a) o afrocolombiano(a) – conflicto armado (2017-2019)</w:t>
      </w:r>
    </w:p>
    <w:p w14:paraId="27D10C26" w14:textId="2B23CEB6" w:rsidR="00E41DA0" w:rsidRPr="00E94619" w:rsidRDefault="00D0144C"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87936" behindDoc="0" locked="0" layoutInCell="1" allowOverlap="1" wp14:anchorId="20944C3A" wp14:editId="08959FB0">
            <wp:simplePos x="0" y="0"/>
            <wp:positionH relativeFrom="column">
              <wp:posOffset>1600200</wp:posOffset>
            </wp:positionH>
            <wp:positionV relativeFrom="paragraph">
              <wp:posOffset>15240</wp:posOffset>
            </wp:positionV>
            <wp:extent cx="2266950" cy="1313815"/>
            <wp:effectExtent l="0" t="0" r="0" b="698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66950" cy="1313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BD4D7" w14:textId="77777777" w:rsidR="001238D7" w:rsidRPr="00E94619" w:rsidRDefault="00830DBC" w:rsidP="000E5AC0">
      <w:pPr>
        <w:spacing w:after="0" w:line="240" w:lineRule="auto"/>
        <w:rPr>
          <w:rFonts w:ascii="Century Gothic" w:hAnsi="Century Gothic"/>
        </w:rPr>
      </w:pPr>
      <w:sdt>
        <w:sdtPr>
          <w:rPr>
            <w:rFonts w:ascii="Century Gothic" w:hAnsi="Century Gothic"/>
          </w:rPr>
          <w:tag w:val="goog_rdk_33"/>
          <w:id w:val="1894379230"/>
          <w:showingPlcHdr/>
        </w:sdtPr>
        <w:sdtContent>
          <w:r w:rsidR="00D0144C" w:rsidRPr="00E94619">
            <w:rPr>
              <w:rFonts w:ascii="Century Gothic" w:hAnsi="Century Gothic"/>
            </w:rPr>
            <w:t xml:space="preserve">     </w:t>
          </w:r>
        </w:sdtContent>
      </w:sdt>
      <w:sdt>
        <w:sdtPr>
          <w:rPr>
            <w:rFonts w:ascii="Century Gothic" w:hAnsi="Century Gothic"/>
          </w:rPr>
          <w:tag w:val="goog_rdk_34"/>
          <w:id w:val="888922085"/>
          <w:showingPlcHdr/>
        </w:sdtPr>
        <w:sdtContent>
          <w:r w:rsidR="00D0144C" w:rsidRPr="00E94619">
            <w:rPr>
              <w:rFonts w:ascii="Century Gothic" w:hAnsi="Century Gothic"/>
            </w:rPr>
            <w:t xml:space="preserve">     </w:t>
          </w:r>
        </w:sdtContent>
      </w:sdt>
    </w:p>
    <w:p w14:paraId="4738DFC1" w14:textId="77777777" w:rsidR="00456E76" w:rsidRDefault="00456E76" w:rsidP="00456E76">
      <w:pPr>
        <w:spacing w:after="0" w:line="240" w:lineRule="auto"/>
        <w:jc w:val="center"/>
        <w:rPr>
          <w:rFonts w:ascii="Century Gothic" w:hAnsi="Century Gothic"/>
          <w:sz w:val="16"/>
          <w:szCs w:val="16"/>
        </w:rPr>
      </w:pPr>
    </w:p>
    <w:p w14:paraId="6BECBA57" w14:textId="77777777" w:rsidR="00456E76" w:rsidRDefault="00456E76" w:rsidP="00456E76">
      <w:pPr>
        <w:spacing w:after="0" w:line="240" w:lineRule="auto"/>
        <w:jc w:val="center"/>
        <w:rPr>
          <w:rFonts w:ascii="Century Gothic" w:hAnsi="Century Gothic"/>
          <w:sz w:val="16"/>
          <w:szCs w:val="16"/>
        </w:rPr>
      </w:pPr>
    </w:p>
    <w:p w14:paraId="73B58387" w14:textId="77777777" w:rsidR="00456E76" w:rsidRDefault="00456E76" w:rsidP="00456E76">
      <w:pPr>
        <w:spacing w:after="0" w:line="240" w:lineRule="auto"/>
        <w:jc w:val="center"/>
        <w:rPr>
          <w:rFonts w:ascii="Century Gothic" w:hAnsi="Century Gothic"/>
          <w:sz w:val="16"/>
          <w:szCs w:val="16"/>
        </w:rPr>
      </w:pPr>
    </w:p>
    <w:p w14:paraId="1583CFDA" w14:textId="77777777" w:rsidR="00456E76" w:rsidRDefault="00456E76" w:rsidP="00456E76">
      <w:pPr>
        <w:spacing w:after="0" w:line="240" w:lineRule="auto"/>
        <w:jc w:val="center"/>
        <w:rPr>
          <w:rFonts w:ascii="Century Gothic" w:hAnsi="Century Gothic"/>
          <w:sz w:val="16"/>
          <w:szCs w:val="16"/>
        </w:rPr>
      </w:pPr>
    </w:p>
    <w:p w14:paraId="7CC990C5" w14:textId="77777777" w:rsidR="00456E76" w:rsidRDefault="00456E76" w:rsidP="00456E76">
      <w:pPr>
        <w:spacing w:after="0" w:line="240" w:lineRule="auto"/>
        <w:jc w:val="center"/>
        <w:rPr>
          <w:rFonts w:ascii="Century Gothic" w:hAnsi="Century Gothic"/>
          <w:sz w:val="16"/>
          <w:szCs w:val="16"/>
        </w:rPr>
      </w:pPr>
    </w:p>
    <w:p w14:paraId="5BC3C6B5" w14:textId="77777777" w:rsidR="00456E76" w:rsidRDefault="00456E76" w:rsidP="00456E76">
      <w:pPr>
        <w:spacing w:after="0" w:line="240" w:lineRule="auto"/>
        <w:jc w:val="center"/>
        <w:rPr>
          <w:rFonts w:ascii="Century Gothic" w:hAnsi="Century Gothic"/>
          <w:sz w:val="16"/>
          <w:szCs w:val="16"/>
        </w:rPr>
      </w:pPr>
    </w:p>
    <w:p w14:paraId="00AAF263" w14:textId="77777777" w:rsidR="00456E76" w:rsidRDefault="00456E76" w:rsidP="00456E76">
      <w:pPr>
        <w:spacing w:after="0" w:line="240" w:lineRule="auto"/>
        <w:jc w:val="center"/>
        <w:rPr>
          <w:rFonts w:ascii="Century Gothic" w:hAnsi="Century Gothic"/>
          <w:sz w:val="16"/>
          <w:szCs w:val="16"/>
        </w:rPr>
      </w:pPr>
    </w:p>
    <w:p w14:paraId="39217145" w14:textId="77777777" w:rsidR="00456E76" w:rsidRDefault="00456E76" w:rsidP="00456E76">
      <w:pPr>
        <w:spacing w:after="0" w:line="240" w:lineRule="auto"/>
        <w:jc w:val="center"/>
        <w:rPr>
          <w:rFonts w:ascii="Century Gothic" w:hAnsi="Century Gothic"/>
          <w:sz w:val="16"/>
          <w:szCs w:val="16"/>
        </w:rPr>
      </w:pPr>
    </w:p>
    <w:p w14:paraId="3BB0F713" w14:textId="77777777" w:rsidR="001238D7" w:rsidRPr="00E94619" w:rsidRDefault="0004636B" w:rsidP="00456E76">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w:t>
      </w:r>
      <w:r w:rsidR="00D0144C" w:rsidRPr="00E94619">
        <w:rPr>
          <w:rFonts w:ascii="Century Gothic" w:hAnsi="Century Gothic"/>
          <w:sz w:val="16"/>
          <w:szCs w:val="16"/>
        </w:rPr>
        <w:t>2018</w:t>
      </w:r>
      <w:r w:rsidR="0036411F" w:rsidRPr="00E94619">
        <w:rPr>
          <w:rFonts w:ascii="Century Gothic" w:hAnsi="Century Gothic"/>
          <w:sz w:val="16"/>
          <w:szCs w:val="16"/>
        </w:rPr>
        <w:t xml:space="preserve">. </w:t>
      </w:r>
      <w:hyperlink r:id="rId48">
        <w:r w:rsidR="0036411F" w:rsidRPr="00E94619">
          <w:rPr>
            <w:rFonts w:ascii="Century Gothic" w:hAnsi="Century Gothic"/>
            <w:color w:val="0000FF"/>
            <w:sz w:val="16"/>
            <w:szCs w:val="16"/>
            <w:u w:val="single"/>
          </w:rPr>
          <w:t>http://cifras.unidadvictimas.gov.co</w:t>
        </w:r>
      </w:hyperlink>
    </w:p>
    <w:p w14:paraId="0F036BDF" w14:textId="77777777" w:rsidR="001238D7" w:rsidRPr="00E94619" w:rsidRDefault="001238D7" w:rsidP="000E5AC0">
      <w:pPr>
        <w:spacing w:after="0" w:line="240" w:lineRule="auto"/>
        <w:rPr>
          <w:rFonts w:ascii="Century Gothic" w:hAnsi="Century Gothic"/>
          <w:sz w:val="16"/>
          <w:szCs w:val="16"/>
        </w:rPr>
      </w:pPr>
    </w:p>
    <w:p w14:paraId="114E06EE"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Los registros de la Unidad para la Reparación Integral a las Víctimas indican que en la población LGTBI, como en los demás grupos poblacionales, hubo un descenso en el número de víctimas del desplazamiento forzado, de </w:t>
      </w:r>
      <w:r w:rsidR="00E70695" w:rsidRPr="00E94619">
        <w:rPr>
          <w:rFonts w:ascii="Century Gothic" w:hAnsi="Century Gothic"/>
        </w:rPr>
        <w:t>189</w:t>
      </w:r>
      <w:r w:rsidRPr="00E94619">
        <w:rPr>
          <w:rFonts w:ascii="Century Gothic" w:hAnsi="Century Gothic"/>
        </w:rPr>
        <w:t xml:space="preserve"> personas en el año 201</w:t>
      </w:r>
      <w:r w:rsidR="00AE3DDC" w:rsidRPr="00E94619">
        <w:rPr>
          <w:rFonts w:ascii="Century Gothic" w:hAnsi="Century Gothic"/>
        </w:rPr>
        <w:t>7</w:t>
      </w:r>
      <w:r w:rsidRPr="00E94619">
        <w:rPr>
          <w:rFonts w:ascii="Century Gothic" w:hAnsi="Century Gothic"/>
        </w:rPr>
        <w:t xml:space="preserve"> a </w:t>
      </w:r>
      <w:r w:rsidR="00E70695" w:rsidRPr="00E94619">
        <w:rPr>
          <w:rFonts w:ascii="Century Gothic" w:hAnsi="Century Gothic"/>
        </w:rPr>
        <w:t>136</w:t>
      </w:r>
      <w:r w:rsidRPr="00E94619">
        <w:rPr>
          <w:rFonts w:ascii="Century Gothic" w:hAnsi="Century Gothic"/>
        </w:rPr>
        <w:t xml:space="preserve"> </w:t>
      </w:r>
      <w:r w:rsidR="00AE3DDC" w:rsidRPr="00E94619">
        <w:rPr>
          <w:rFonts w:ascii="Century Gothic" w:hAnsi="Century Gothic"/>
        </w:rPr>
        <w:t>al año</w:t>
      </w:r>
      <w:r w:rsidRPr="00E94619">
        <w:rPr>
          <w:rFonts w:ascii="Century Gothic" w:hAnsi="Century Gothic"/>
        </w:rPr>
        <w:t xml:space="preserve"> 201</w:t>
      </w:r>
      <w:r w:rsidR="00AE3DDC" w:rsidRPr="00E94619">
        <w:rPr>
          <w:rFonts w:ascii="Century Gothic" w:hAnsi="Century Gothic"/>
        </w:rPr>
        <w:t>9</w:t>
      </w:r>
      <w:r w:rsidRPr="00E94619">
        <w:rPr>
          <w:rFonts w:ascii="Century Gothic" w:hAnsi="Century Gothic"/>
        </w:rPr>
        <w:t>. Sin embargo, llama la atención que el mayor número de personas registradas se hizo en el año 201</w:t>
      </w:r>
      <w:r w:rsidR="00312E5C" w:rsidRPr="00E94619">
        <w:rPr>
          <w:rFonts w:ascii="Century Gothic" w:hAnsi="Century Gothic"/>
        </w:rPr>
        <w:t>8</w:t>
      </w:r>
      <w:r w:rsidRPr="00E94619">
        <w:rPr>
          <w:rFonts w:ascii="Century Gothic" w:hAnsi="Century Gothic"/>
        </w:rPr>
        <w:t xml:space="preserve"> con </w:t>
      </w:r>
      <w:r w:rsidR="00312E5C" w:rsidRPr="00E94619">
        <w:rPr>
          <w:rFonts w:ascii="Century Gothic" w:hAnsi="Century Gothic"/>
        </w:rPr>
        <w:t>223</w:t>
      </w:r>
      <w:r w:rsidRPr="00E94619">
        <w:rPr>
          <w:rFonts w:ascii="Century Gothic" w:hAnsi="Century Gothic"/>
        </w:rPr>
        <w:t xml:space="preserve"> personas.</w:t>
      </w:r>
      <w:sdt>
        <w:sdtPr>
          <w:rPr>
            <w:rFonts w:ascii="Century Gothic" w:hAnsi="Century Gothic"/>
          </w:rPr>
          <w:tag w:val="goog_rdk_35"/>
          <w:id w:val="1831942508"/>
          <w:showingPlcHdr/>
        </w:sdtPr>
        <w:sdtContent>
          <w:r w:rsidR="0004636B" w:rsidRPr="00E94619">
            <w:rPr>
              <w:rFonts w:ascii="Century Gothic" w:hAnsi="Century Gothic"/>
            </w:rPr>
            <w:t xml:space="preserve">     </w:t>
          </w:r>
        </w:sdtContent>
      </w:sdt>
    </w:p>
    <w:p w14:paraId="796CA5C9" w14:textId="77777777" w:rsidR="001238D7" w:rsidRPr="00E94619" w:rsidRDefault="001238D7" w:rsidP="000E5AC0">
      <w:pPr>
        <w:spacing w:after="0" w:line="240" w:lineRule="auto"/>
        <w:jc w:val="both"/>
        <w:rPr>
          <w:rFonts w:ascii="Century Gothic" w:hAnsi="Century Gothic"/>
        </w:rPr>
      </w:pPr>
    </w:p>
    <w:p w14:paraId="5820FB3E" w14:textId="1A7F6916" w:rsidR="00456364" w:rsidRPr="00456E76" w:rsidRDefault="00456364" w:rsidP="00456E76">
      <w:pPr>
        <w:spacing w:after="0" w:line="240" w:lineRule="auto"/>
        <w:jc w:val="center"/>
        <w:rPr>
          <w:rFonts w:ascii="Century Gothic" w:hAnsi="Century Gothic"/>
          <w:b/>
          <w:sz w:val="16"/>
          <w:szCs w:val="16"/>
        </w:rPr>
      </w:pPr>
      <w:r w:rsidRPr="00456E76">
        <w:rPr>
          <w:rFonts w:ascii="Century Gothic" w:hAnsi="Century Gothic"/>
          <w:b/>
          <w:sz w:val="16"/>
          <w:szCs w:val="16"/>
        </w:rPr>
        <w:t>Gráfica 24</w:t>
      </w:r>
      <w:r w:rsidR="00456E76" w:rsidRPr="00456E76">
        <w:rPr>
          <w:rFonts w:ascii="Century Gothic" w:hAnsi="Century Gothic"/>
          <w:b/>
          <w:sz w:val="16"/>
          <w:szCs w:val="16"/>
        </w:rPr>
        <w:t>. Personas LGBTI en situación de desplazamiento – conflicto armado (2017-2019)</w:t>
      </w:r>
    </w:p>
    <w:p w14:paraId="045350AB" w14:textId="7E64C7A0" w:rsidR="001238D7" w:rsidRPr="00E94619" w:rsidRDefault="00456E76" w:rsidP="000E5AC0">
      <w:pPr>
        <w:spacing w:after="0" w:line="240" w:lineRule="auto"/>
        <w:rPr>
          <w:rFonts w:ascii="Century Gothic" w:hAnsi="Century Gothic"/>
        </w:rPr>
      </w:pPr>
      <w:r w:rsidRPr="00E94619">
        <w:rPr>
          <w:rFonts w:ascii="Century Gothic" w:hAnsi="Century Gothic"/>
          <w:noProof/>
          <w:lang w:val="es-ES" w:eastAsia="es-ES"/>
        </w:rPr>
        <w:drawing>
          <wp:anchor distT="0" distB="0" distL="114300" distR="114300" simplePos="0" relativeHeight="251688960" behindDoc="0" locked="0" layoutInCell="1" allowOverlap="1" wp14:anchorId="24EF23F2" wp14:editId="5A276C42">
            <wp:simplePos x="0" y="0"/>
            <wp:positionH relativeFrom="column">
              <wp:posOffset>1828800</wp:posOffset>
            </wp:positionH>
            <wp:positionV relativeFrom="paragraph">
              <wp:posOffset>90170</wp:posOffset>
            </wp:positionV>
            <wp:extent cx="2171700" cy="1288415"/>
            <wp:effectExtent l="0" t="0" r="12700" b="698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1700" cy="128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A6D1E" w14:textId="4C7D4FA2" w:rsidR="001238D7" w:rsidRPr="00E94619" w:rsidRDefault="001238D7" w:rsidP="000E5AC0">
      <w:pPr>
        <w:spacing w:after="0" w:line="240" w:lineRule="auto"/>
        <w:rPr>
          <w:rFonts w:ascii="Century Gothic" w:hAnsi="Century Gothic"/>
        </w:rPr>
      </w:pPr>
    </w:p>
    <w:p w14:paraId="4148C5D4" w14:textId="77777777" w:rsidR="001238D7" w:rsidRPr="00E94619" w:rsidRDefault="001238D7" w:rsidP="000E5AC0">
      <w:pPr>
        <w:spacing w:after="0" w:line="240" w:lineRule="auto"/>
        <w:rPr>
          <w:rFonts w:ascii="Century Gothic" w:hAnsi="Century Gothic"/>
        </w:rPr>
      </w:pPr>
    </w:p>
    <w:p w14:paraId="0F0ED787" w14:textId="77777777" w:rsidR="00456E76" w:rsidRDefault="00456E76" w:rsidP="000E5AC0">
      <w:pPr>
        <w:spacing w:after="0" w:line="240" w:lineRule="auto"/>
        <w:rPr>
          <w:rFonts w:ascii="Century Gothic" w:hAnsi="Century Gothic"/>
          <w:sz w:val="16"/>
          <w:szCs w:val="16"/>
        </w:rPr>
      </w:pPr>
    </w:p>
    <w:p w14:paraId="476F155B" w14:textId="77777777" w:rsidR="00456E76" w:rsidRDefault="00456E76" w:rsidP="000E5AC0">
      <w:pPr>
        <w:spacing w:after="0" w:line="240" w:lineRule="auto"/>
        <w:rPr>
          <w:rFonts w:ascii="Century Gothic" w:hAnsi="Century Gothic"/>
          <w:sz w:val="16"/>
          <w:szCs w:val="16"/>
        </w:rPr>
      </w:pPr>
    </w:p>
    <w:p w14:paraId="0B93308F" w14:textId="77777777" w:rsidR="00456E76" w:rsidRDefault="00456E76" w:rsidP="000E5AC0">
      <w:pPr>
        <w:spacing w:after="0" w:line="240" w:lineRule="auto"/>
        <w:rPr>
          <w:rFonts w:ascii="Century Gothic" w:hAnsi="Century Gothic"/>
          <w:sz w:val="16"/>
          <w:szCs w:val="16"/>
        </w:rPr>
      </w:pPr>
    </w:p>
    <w:p w14:paraId="28BA9207" w14:textId="77777777" w:rsidR="00456E76" w:rsidRDefault="00456E76" w:rsidP="000E5AC0">
      <w:pPr>
        <w:spacing w:after="0" w:line="240" w:lineRule="auto"/>
        <w:rPr>
          <w:rFonts w:ascii="Century Gothic" w:hAnsi="Century Gothic"/>
          <w:sz w:val="16"/>
          <w:szCs w:val="16"/>
        </w:rPr>
      </w:pPr>
    </w:p>
    <w:p w14:paraId="1880D33D" w14:textId="77777777" w:rsidR="00456E76" w:rsidRDefault="00456E76" w:rsidP="000E5AC0">
      <w:pPr>
        <w:spacing w:after="0" w:line="240" w:lineRule="auto"/>
        <w:rPr>
          <w:rFonts w:ascii="Century Gothic" w:hAnsi="Century Gothic"/>
          <w:sz w:val="16"/>
          <w:szCs w:val="16"/>
        </w:rPr>
      </w:pPr>
    </w:p>
    <w:p w14:paraId="424E9EA3" w14:textId="77777777" w:rsidR="00456E76" w:rsidRDefault="00456E76" w:rsidP="000E5AC0">
      <w:pPr>
        <w:spacing w:after="0" w:line="240" w:lineRule="auto"/>
        <w:rPr>
          <w:rFonts w:ascii="Century Gothic" w:hAnsi="Century Gothic"/>
          <w:sz w:val="16"/>
          <w:szCs w:val="16"/>
        </w:rPr>
      </w:pPr>
    </w:p>
    <w:p w14:paraId="5D28BA3D" w14:textId="77777777" w:rsidR="00456E76" w:rsidRDefault="00456E76" w:rsidP="000E5AC0">
      <w:pPr>
        <w:spacing w:after="0" w:line="240" w:lineRule="auto"/>
        <w:rPr>
          <w:rFonts w:ascii="Century Gothic" w:hAnsi="Century Gothic"/>
          <w:sz w:val="16"/>
          <w:szCs w:val="16"/>
        </w:rPr>
      </w:pPr>
    </w:p>
    <w:p w14:paraId="7E7DACFE" w14:textId="77777777" w:rsidR="00456E76" w:rsidRDefault="00456E76" w:rsidP="000E5AC0">
      <w:pPr>
        <w:spacing w:after="0" w:line="240" w:lineRule="auto"/>
        <w:rPr>
          <w:rFonts w:ascii="Century Gothic" w:hAnsi="Century Gothic"/>
          <w:sz w:val="16"/>
          <w:szCs w:val="16"/>
        </w:rPr>
      </w:pPr>
    </w:p>
    <w:p w14:paraId="1FDA3D1F" w14:textId="36628FA0" w:rsidR="001238D7" w:rsidRPr="00E94619" w:rsidRDefault="0004636B" w:rsidP="00456E76">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w:t>
      </w:r>
      <w:r w:rsidR="0028066F" w:rsidRPr="00E94619">
        <w:rPr>
          <w:rFonts w:ascii="Century Gothic" w:hAnsi="Century Gothic"/>
          <w:sz w:val="16"/>
          <w:szCs w:val="16"/>
        </w:rPr>
        <w:t xml:space="preserve"> 2018</w:t>
      </w:r>
      <w:r w:rsidR="0036411F" w:rsidRPr="00E94619">
        <w:rPr>
          <w:rFonts w:ascii="Century Gothic" w:hAnsi="Century Gothic"/>
          <w:sz w:val="16"/>
          <w:szCs w:val="16"/>
        </w:rPr>
        <w:t xml:space="preserve"> </w:t>
      </w:r>
      <w:hyperlink r:id="rId50">
        <w:r w:rsidR="0036411F" w:rsidRPr="00E94619">
          <w:rPr>
            <w:rFonts w:ascii="Century Gothic" w:hAnsi="Century Gothic"/>
            <w:color w:val="0000FF"/>
            <w:sz w:val="16"/>
            <w:szCs w:val="16"/>
            <w:u w:val="single"/>
          </w:rPr>
          <w:t>http://cifras.unidadvictimas.gov.co/</w:t>
        </w:r>
      </w:hyperlink>
    </w:p>
    <w:p w14:paraId="12677F58" w14:textId="77777777" w:rsidR="001238D7" w:rsidRPr="00E94619" w:rsidRDefault="001238D7" w:rsidP="000E5AC0">
      <w:pPr>
        <w:spacing w:after="0" w:line="240" w:lineRule="auto"/>
        <w:rPr>
          <w:rFonts w:ascii="Century Gothic" w:hAnsi="Century Gothic"/>
          <w:sz w:val="16"/>
          <w:szCs w:val="16"/>
        </w:rPr>
      </w:pPr>
    </w:p>
    <w:p w14:paraId="70CB65CD" w14:textId="77777777" w:rsidR="00456364" w:rsidRPr="00E94619" w:rsidRDefault="00456364" w:rsidP="000E5AC0">
      <w:pPr>
        <w:spacing w:after="0" w:line="240" w:lineRule="auto"/>
        <w:rPr>
          <w:rFonts w:ascii="Century Gothic" w:hAnsi="Century Gothic"/>
          <w:sz w:val="16"/>
          <w:szCs w:val="16"/>
        </w:rPr>
      </w:pPr>
    </w:p>
    <w:p w14:paraId="460D5931" w14:textId="033DBA01" w:rsidR="001238D7" w:rsidRPr="00456E76" w:rsidRDefault="00D8608E" w:rsidP="000E5AC0">
      <w:pPr>
        <w:pStyle w:val="Ttulo3"/>
        <w:rPr>
          <w:rFonts w:ascii="Century Gothic" w:eastAsia="Cambria" w:hAnsi="Century Gothic"/>
          <w:b w:val="0"/>
          <w:i/>
          <w:color w:val="C73465"/>
        </w:rPr>
      </w:pPr>
      <w:bookmarkStart w:id="46" w:name="_Toc488624263"/>
      <w:r w:rsidRPr="00456E76">
        <w:rPr>
          <w:rFonts w:ascii="Century Gothic" w:eastAsia="Cambria" w:hAnsi="Century Gothic"/>
          <w:b w:val="0"/>
          <w:color w:val="C73465"/>
        </w:rPr>
        <w:t>1.5</w:t>
      </w:r>
      <w:r w:rsidR="00456E76">
        <w:rPr>
          <w:rFonts w:ascii="Century Gothic" w:eastAsia="Cambria" w:hAnsi="Century Gothic"/>
          <w:b w:val="0"/>
          <w:color w:val="C73465"/>
        </w:rPr>
        <w:t>. Nú</w:t>
      </w:r>
      <w:r w:rsidR="0036411F" w:rsidRPr="00456E76">
        <w:rPr>
          <w:rFonts w:ascii="Century Gothic" w:eastAsia="Cambria" w:hAnsi="Century Gothic"/>
          <w:b w:val="0"/>
          <w:color w:val="C73465"/>
        </w:rPr>
        <w:t>mero de desapariciones forzadas</w:t>
      </w:r>
      <w:bookmarkEnd w:id="46"/>
    </w:p>
    <w:p w14:paraId="0923800D" w14:textId="77777777" w:rsidR="0028066F" w:rsidRPr="00E94619" w:rsidRDefault="0028066F" w:rsidP="000E5AC0">
      <w:pPr>
        <w:spacing w:after="0" w:line="240" w:lineRule="auto"/>
        <w:jc w:val="both"/>
        <w:rPr>
          <w:rFonts w:ascii="Century Gothic" w:hAnsi="Century Gothic"/>
        </w:rPr>
      </w:pPr>
    </w:p>
    <w:p w14:paraId="31F41EA2" w14:textId="4C068F6A" w:rsidR="001238D7" w:rsidRDefault="0036411F" w:rsidP="000E5AC0">
      <w:pPr>
        <w:spacing w:after="0" w:line="240" w:lineRule="auto"/>
        <w:jc w:val="both"/>
        <w:rPr>
          <w:rFonts w:ascii="Century Gothic" w:hAnsi="Century Gothic"/>
        </w:rPr>
      </w:pPr>
      <w:r w:rsidRPr="00E94619">
        <w:rPr>
          <w:rFonts w:ascii="Century Gothic" w:hAnsi="Century Gothic"/>
        </w:rPr>
        <w:t xml:space="preserve">Las desapariciones forzadas son otra de las formas de violencia presentes en el conflicto armado colombiano y de las más complejas tanto para las víctimas como para las familias, por la incertidumbre que genera el hecho de no saber qué pasó con la persona. Las desapariciones forzadas generalmente están asociadas a razones políticas o extorsivas. </w:t>
      </w:r>
      <w:r w:rsidR="00663111" w:rsidRPr="00E94619">
        <w:rPr>
          <w:rFonts w:ascii="Century Gothic" w:hAnsi="Century Gothic"/>
        </w:rPr>
        <w:t xml:space="preserve">El </w:t>
      </w:r>
      <w:r w:rsidR="00C034C7" w:rsidRPr="00E94619">
        <w:rPr>
          <w:rFonts w:ascii="Century Gothic" w:hAnsi="Century Gothic"/>
        </w:rPr>
        <w:t xml:space="preserve">Centro Nacional de </w:t>
      </w:r>
      <w:r w:rsidR="00663111" w:rsidRPr="00E94619">
        <w:rPr>
          <w:rFonts w:ascii="Century Gothic" w:hAnsi="Century Gothic"/>
        </w:rPr>
        <w:t xml:space="preserve">Memoria </w:t>
      </w:r>
      <w:r w:rsidR="00C034C7" w:rsidRPr="00E94619">
        <w:rPr>
          <w:rFonts w:ascii="Century Gothic" w:hAnsi="Century Gothic"/>
        </w:rPr>
        <w:t>Histórica (</w:t>
      </w:r>
      <w:r w:rsidR="00663111" w:rsidRPr="00E94619">
        <w:rPr>
          <w:rFonts w:ascii="Century Gothic" w:hAnsi="Century Gothic"/>
        </w:rPr>
        <w:t>CNMH</w:t>
      </w:r>
      <w:r w:rsidR="00C034C7" w:rsidRPr="00E94619">
        <w:rPr>
          <w:rFonts w:ascii="Century Gothic" w:hAnsi="Century Gothic"/>
        </w:rPr>
        <w:t>)</w:t>
      </w:r>
      <w:r w:rsidR="00663111" w:rsidRPr="00E94619">
        <w:rPr>
          <w:rFonts w:ascii="Century Gothic" w:hAnsi="Century Gothic"/>
        </w:rPr>
        <w:t xml:space="preserve"> </w:t>
      </w:r>
      <w:r w:rsidR="00C034C7" w:rsidRPr="00E94619">
        <w:rPr>
          <w:rFonts w:ascii="Century Gothic" w:hAnsi="Century Gothic"/>
        </w:rPr>
        <w:t xml:space="preserve">reporta que </w:t>
      </w:r>
      <w:r w:rsidR="00663111" w:rsidRPr="00E94619">
        <w:rPr>
          <w:rFonts w:ascii="Century Gothic" w:hAnsi="Century Gothic"/>
        </w:rPr>
        <w:t xml:space="preserve">hasta agosto del 2018 </w:t>
      </w:r>
      <w:r w:rsidR="00C034C7" w:rsidRPr="00E94619">
        <w:rPr>
          <w:rFonts w:ascii="Century Gothic" w:hAnsi="Century Gothic"/>
        </w:rPr>
        <w:t>existen</w:t>
      </w:r>
      <w:r w:rsidR="00663111" w:rsidRPr="00E94619">
        <w:rPr>
          <w:rFonts w:ascii="Century Gothic" w:hAnsi="Century Gothic"/>
        </w:rPr>
        <w:t xml:space="preserve"> 80.000 víctimas de</w:t>
      </w:r>
      <w:r w:rsidR="00C034C7" w:rsidRPr="00E94619">
        <w:rPr>
          <w:rFonts w:ascii="Century Gothic" w:hAnsi="Century Gothic"/>
        </w:rPr>
        <w:t xml:space="preserve"> Desaparición Forzada. </w:t>
      </w:r>
      <w:r w:rsidR="00BD470B" w:rsidRPr="00E94619">
        <w:rPr>
          <w:rFonts w:ascii="Century Gothic" w:hAnsi="Century Gothic"/>
        </w:rPr>
        <w:t xml:space="preserve"> </w:t>
      </w:r>
      <w:r w:rsidRPr="00E94619">
        <w:rPr>
          <w:rFonts w:ascii="Century Gothic" w:hAnsi="Century Gothic"/>
        </w:rPr>
        <w:t>Al hacer el seguimiento al comportamiento de las desapariciones forzadas entre los años 201</w:t>
      </w:r>
      <w:r w:rsidR="00173C3C" w:rsidRPr="00E94619">
        <w:rPr>
          <w:rFonts w:ascii="Century Gothic" w:hAnsi="Century Gothic"/>
        </w:rPr>
        <w:t>7</w:t>
      </w:r>
      <w:r w:rsidRPr="00E94619">
        <w:rPr>
          <w:rFonts w:ascii="Century Gothic" w:hAnsi="Century Gothic"/>
        </w:rPr>
        <w:t xml:space="preserve"> y octubre de 201</w:t>
      </w:r>
      <w:r w:rsidR="00173C3C" w:rsidRPr="00E94619">
        <w:rPr>
          <w:rFonts w:ascii="Century Gothic" w:hAnsi="Century Gothic"/>
        </w:rPr>
        <w:t>9</w:t>
      </w:r>
      <w:r w:rsidRPr="00E94619">
        <w:rPr>
          <w:rFonts w:ascii="Century Gothic" w:hAnsi="Century Gothic"/>
        </w:rPr>
        <w:t>, se encuentra que el porcentaje de hombres</w:t>
      </w:r>
      <w:r w:rsidR="00BD470B" w:rsidRPr="00E94619">
        <w:rPr>
          <w:rFonts w:ascii="Century Gothic" w:hAnsi="Century Gothic"/>
        </w:rPr>
        <w:t xml:space="preserve"> y mujeres víctimas de desaparición forzada es muy similar.</w:t>
      </w:r>
      <w:r w:rsidRPr="00E94619">
        <w:rPr>
          <w:rFonts w:ascii="Century Gothic" w:hAnsi="Century Gothic"/>
        </w:rPr>
        <w:t xml:space="preserve"> Al igual que en los demás hechos victimizantes se evidencia un</w:t>
      </w:r>
      <w:r w:rsidR="00BD470B" w:rsidRPr="00E94619">
        <w:rPr>
          <w:rFonts w:ascii="Century Gothic" w:hAnsi="Century Gothic"/>
        </w:rPr>
        <w:t>a</w:t>
      </w:r>
      <w:r w:rsidRPr="00E94619">
        <w:rPr>
          <w:rFonts w:ascii="Century Gothic" w:hAnsi="Century Gothic"/>
        </w:rPr>
        <w:t xml:space="preserve"> fuerte </w:t>
      </w:r>
      <w:r w:rsidR="00BD470B" w:rsidRPr="00E94619">
        <w:rPr>
          <w:rFonts w:ascii="Century Gothic" w:hAnsi="Century Gothic"/>
        </w:rPr>
        <w:t>disminución luego de la firma del acuerdo de Paz</w:t>
      </w:r>
      <w:r w:rsidR="00456E76">
        <w:rPr>
          <w:rFonts w:ascii="Century Gothic" w:hAnsi="Century Gothic"/>
        </w:rPr>
        <w:t>.</w:t>
      </w:r>
    </w:p>
    <w:p w14:paraId="56F3CF31" w14:textId="77777777" w:rsidR="00646447" w:rsidRDefault="00646447" w:rsidP="000E5AC0">
      <w:pPr>
        <w:spacing w:after="0" w:line="240" w:lineRule="auto"/>
        <w:jc w:val="both"/>
        <w:rPr>
          <w:rFonts w:ascii="Century Gothic" w:hAnsi="Century Gothic"/>
        </w:rPr>
      </w:pPr>
    </w:p>
    <w:p w14:paraId="62606EC1" w14:textId="77777777" w:rsidR="00646447" w:rsidRDefault="00646447" w:rsidP="000E5AC0">
      <w:pPr>
        <w:spacing w:after="0" w:line="240" w:lineRule="auto"/>
        <w:jc w:val="both"/>
        <w:rPr>
          <w:rFonts w:ascii="Century Gothic" w:hAnsi="Century Gothic"/>
        </w:rPr>
      </w:pPr>
    </w:p>
    <w:p w14:paraId="2885C7CB" w14:textId="77777777" w:rsidR="00646447" w:rsidRDefault="00646447" w:rsidP="000E5AC0">
      <w:pPr>
        <w:spacing w:after="0" w:line="240" w:lineRule="auto"/>
        <w:jc w:val="both"/>
        <w:rPr>
          <w:rFonts w:ascii="Century Gothic" w:hAnsi="Century Gothic"/>
        </w:rPr>
      </w:pPr>
    </w:p>
    <w:p w14:paraId="14CE3387" w14:textId="77777777" w:rsidR="00583189" w:rsidRDefault="00583189" w:rsidP="000E5AC0">
      <w:pPr>
        <w:spacing w:after="0" w:line="240" w:lineRule="auto"/>
        <w:jc w:val="both"/>
        <w:rPr>
          <w:rFonts w:ascii="Century Gothic" w:hAnsi="Century Gothic"/>
        </w:rPr>
      </w:pPr>
    </w:p>
    <w:p w14:paraId="459B7B10" w14:textId="77777777" w:rsidR="00583189" w:rsidRDefault="00583189" w:rsidP="000E5AC0">
      <w:pPr>
        <w:spacing w:after="0" w:line="240" w:lineRule="auto"/>
        <w:jc w:val="both"/>
        <w:rPr>
          <w:rFonts w:ascii="Century Gothic" w:hAnsi="Century Gothic"/>
        </w:rPr>
      </w:pPr>
    </w:p>
    <w:p w14:paraId="2F4E7CE1" w14:textId="0955E8C4" w:rsidR="00646447" w:rsidRDefault="00646447" w:rsidP="000E5AC0">
      <w:pPr>
        <w:spacing w:after="0" w:line="240" w:lineRule="auto"/>
        <w:jc w:val="both"/>
        <w:rPr>
          <w:rFonts w:ascii="Century Gothic" w:hAnsi="Century Gothic"/>
        </w:rPr>
      </w:pPr>
    </w:p>
    <w:p w14:paraId="75873455" w14:textId="1BEEFA61" w:rsidR="00456E76" w:rsidRDefault="00D2173C" w:rsidP="00456E76">
      <w:pPr>
        <w:spacing w:after="0" w:line="240" w:lineRule="auto"/>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25152" behindDoc="0" locked="0" layoutInCell="1" allowOverlap="1" wp14:anchorId="7DA53999" wp14:editId="63852481">
            <wp:simplePos x="0" y="0"/>
            <wp:positionH relativeFrom="column">
              <wp:posOffset>-1080135</wp:posOffset>
            </wp:positionH>
            <wp:positionV relativeFrom="paragraph">
              <wp:posOffset>-822960</wp:posOffset>
            </wp:positionV>
            <wp:extent cx="965835" cy="708660"/>
            <wp:effectExtent l="0" t="0" r="0" b="0"/>
            <wp:wrapNone/>
            <wp:docPr id="383" name="Imagen 38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2B8C5C0" w14:textId="122D8F5A" w:rsidR="00456E76" w:rsidRPr="00456E76" w:rsidRDefault="00456E76" w:rsidP="00456E76">
      <w:pPr>
        <w:spacing w:after="0" w:line="240" w:lineRule="auto"/>
        <w:jc w:val="center"/>
        <w:rPr>
          <w:rFonts w:ascii="Century Gothic" w:hAnsi="Century Gothic"/>
          <w:b/>
          <w:sz w:val="16"/>
          <w:szCs w:val="16"/>
        </w:rPr>
      </w:pPr>
      <w:r>
        <w:rPr>
          <w:rFonts w:ascii="Century Gothic" w:hAnsi="Century Gothic"/>
          <w:b/>
          <w:sz w:val="16"/>
          <w:szCs w:val="16"/>
        </w:rPr>
        <w:t>Gráfica 25</w:t>
      </w:r>
      <w:r w:rsidRPr="00456E76">
        <w:rPr>
          <w:rFonts w:ascii="Century Gothic" w:hAnsi="Century Gothic"/>
          <w:b/>
          <w:sz w:val="16"/>
          <w:szCs w:val="16"/>
        </w:rPr>
        <w:t xml:space="preserve">. </w:t>
      </w:r>
      <w:r>
        <w:rPr>
          <w:rFonts w:ascii="Century Gothic" w:hAnsi="Century Gothic"/>
          <w:b/>
          <w:sz w:val="16"/>
          <w:szCs w:val="16"/>
        </w:rPr>
        <w:t>Desapariciones forzadas resportadas en RUV – conflcito armado, por sexo (2017-2019)</w:t>
      </w:r>
    </w:p>
    <w:p w14:paraId="3AC5A98E" w14:textId="77777777" w:rsidR="00456E76" w:rsidRPr="00E94619" w:rsidRDefault="00456E76" w:rsidP="000E5AC0">
      <w:pPr>
        <w:spacing w:after="0" w:line="240" w:lineRule="auto"/>
        <w:jc w:val="both"/>
        <w:rPr>
          <w:rFonts w:ascii="Century Gothic" w:hAnsi="Century Gothic"/>
          <w:sz w:val="16"/>
          <w:szCs w:val="16"/>
        </w:rPr>
      </w:pPr>
    </w:p>
    <w:p w14:paraId="7D47F142" w14:textId="4C508B5F" w:rsidR="001238D7" w:rsidRPr="00E94619" w:rsidRDefault="00456E76" w:rsidP="000E5AC0">
      <w:pPr>
        <w:spacing w:after="0" w:line="240" w:lineRule="auto"/>
        <w:rPr>
          <w:rFonts w:ascii="Century Gothic" w:hAnsi="Century Gothic"/>
          <w:sz w:val="16"/>
          <w:szCs w:val="16"/>
        </w:rPr>
      </w:pPr>
      <w:r w:rsidRPr="00E94619">
        <w:rPr>
          <w:rFonts w:ascii="Century Gothic" w:hAnsi="Century Gothic"/>
          <w:noProof/>
          <w:lang w:val="es-ES" w:eastAsia="es-ES"/>
        </w:rPr>
        <w:drawing>
          <wp:anchor distT="0" distB="0" distL="114300" distR="114300" simplePos="0" relativeHeight="251689984" behindDoc="0" locked="0" layoutInCell="1" allowOverlap="1" wp14:anchorId="58B67D26" wp14:editId="48FF9846">
            <wp:simplePos x="0" y="0"/>
            <wp:positionH relativeFrom="column">
              <wp:posOffset>1600200</wp:posOffset>
            </wp:positionH>
            <wp:positionV relativeFrom="paragraph">
              <wp:posOffset>27940</wp:posOffset>
            </wp:positionV>
            <wp:extent cx="2483485" cy="1472565"/>
            <wp:effectExtent l="0" t="0" r="5715" b="63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83485" cy="1472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F6AF6" w14:textId="0AD29952" w:rsidR="001238D7" w:rsidRPr="00E94619" w:rsidRDefault="00830DBC" w:rsidP="000E5AC0">
      <w:pPr>
        <w:spacing w:after="0" w:line="240" w:lineRule="auto"/>
        <w:rPr>
          <w:rFonts w:ascii="Century Gothic" w:hAnsi="Century Gothic"/>
        </w:rPr>
      </w:pPr>
      <w:sdt>
        <w:sdtPr>
          <w:rPr>
            <w:rFonts w:ascii="Century Gothic" w:hAnsi="Century Gothic"/>
          </w:rPr>
          <w:tag w:val="goog_rdk_36"/>
          <w:id w:val="805890039"/>
        </w:sdtPr>
        <w:sdtContent/>
      </w:sdt>
    </w:p>
    <w:p w14:paraId="58D54290" w14:textId="77777777" w:rsidR="00A341A7" w:rsidRDefault="00A341A7" w:rsidP="000E5AC0">
      <w:pPr>
        <w:spacing w:after="0" w:line="240" w:lineRule="auto"/>
        <w:rPr>
          <w:rFonts w:ascii="Century Gothic" w:hAnsi="Century Gothic"/>
          <w:sz w:val="16"/>
          <w:szCs w:val="16"/>
        </w:rPr>
      </w:pPr>
    </w:p>
    <w:p w14:paraId="086782AE" w14:textId="77777777" w:rsidR="00A341A7" w:rsidRDefault="00A341A7" w:rsidP="000E5AC0">
      <w:pPr>
        <w:spacing w:after="0" w:line="240" w:lineRule="auto"/>
        <w:rPr>
          <w:rFonts w:ascii="Century Gothic" w:hAnsi="Century Gothic"/>
          <w:sz w:val="16"/>
          <w:szCs w:val="16"/>
        </w:rPr>
      </w:pPr>
    </w:p>
    <w:p w14:paraId="060D0410" w14:textId="77777777" w:rsidR="00A341A7" w:rsidRDefault="00A341A7" w:rsidP="000E5AC0">
      <w:pPr>
        <w:spacing w:after="0" w:line="240" w:lineRule="auto"/>
        <w:rPr>
          <w:rFonts w:ascii="Century Gothic" w:hAnsi="Century Gothic"/>
          <w:sz w:val="16"/>
          <w:szCs w:val="16"/>
        </w:rPr>
      </w:pPr>
    </w:p>
    <w:p w14:paraId="3C618BCA" w14:textId="77777777" w:rsidR="00A341A7" w:rsidRDefault="00A341A7" w:rsidP="000E5AC0">
      <w:pPr>
        <w:spacing w:after="0" w:line="240" w:lineRule="auto"/>
        <w:rPr>
          <w:rFonts w:ascii="Century Gothic" w:hAnsi="Century Gothic"/>
          <w:sz w:val="16"/>
          <w:szCs w:val="16"/>
        </w:rPr>
      </w:pPr>
    </w:p>
    <w:p w14:paraId="053CA425" w14:textId="77777777" w:rsidR="00A341A7" w:rsidRDefault="00A341A7" w:rsidP="000E5AC0">
      <w:pPr>
        <w:spacing w:after="0" w:line="240" w:lineRule="auto"/>
        <w:rPr>
          <w:rFonts w:ascii="Century Gothic" w:hAnsi="Century Gothic"/>
          <w:sz w:val="16"/>
          <w:szCs w:val="16"/>
        </w:rPr>
      </w:pPr>
    </w:p>
    <w:p w14:paraId="0271D82B" w14:textId="77777777" w:rsidR="00A341A7" w:rsidRDefault="00A341A7" w:rsidP="000E5AC0">
      <w:pPr>
        <w:spacing w:after="0" w:line="240" w:lineRule="auto"/>
        <w:rPr>
          <w:rFonts w:ascii="Century Gothic" w:hAnsi="Century Gothic"/>
          <w:sz w:val="16"/>
          <w:szCs w:val="16"/>
        </w:rPr>
      </w:pPr>
    </w:p>
    <w:p w14:paraId="647E89FD" w14:textId="77777777" w:rsidR="00A341A7" w:rsidRDefault="00A341A7" w:rsidP="000E5AC0">
      <w:pPr>
        <w:spacing w:after="0" w:line="240" w:lineRule="auto"/>
        <w:rPr>
          <w:rFonts w:ascii="Century Gothic" w:hAnsi="Century Gothic"/>
          <w:sz w:val="16"/>
          <w:szCs w:val="16"/>
        </w:rPr>
      </w:pPr>
    </w:p>
    <w:p w14:paraId="65809ABB" w14:textId="77777777" w:rsidR="00A341A7" w:rsidRDefault="00A341A7" w:rsidP="000E5AC0">
      <w:pPr>
        <w:spacing w:after="0" w:line="240" w:lineRule="auto"/>
        <w:rPr>
          <w:rFonts w:ascii="Century Gothic" w:hAnsi="Century Gothic"/>
          <w:sz w:val="16"/>
          <w:szCs w:val="16"/>
        </w:rPr>
      </w:pPr>
    </w:p>
    <w:p w14:paraId="11BCF764" w14:textId="77777777" w:rsidR="00A341A7" w:rsidRDefault="00A341A7" w:rsidP="000E5AC0">
      <w:pPr>
        <w:spacing w:after="0" w:line="240" w:lineRule="auto"/>
        <w:rPr>
          <w:rFonts w:ascii="Century Gothic" w:hAnsi="Century Gothic"/>
          <w:sz w:val="16"/>
          <w:szCs w:val="16"/>
        </w:rPr>
      </w:pPr>
    </w:p>
    <w:p w14:paraId="196B69AF" w14:textId="77777777" w:rsidR="00A341A7" w:rsidRDefault="00A341A7" w:rsidP="000E5AC0">
      <w:pPr>
        <w:spacing w:after="0" w:line="240" w:lineRule="auto"/>
        <w:rPr>
          <w:rFonts w:ascii="Century Gothic" w:hAnsi="Century Gothic"/>
          <w:sz w:val="16"/>
          <w:szCs w:val="16"/>
        </w:rPr>
      </w:pPr>
    </w:p>
    <w:p w14:paraId="20B72E1E" w14:textId="77777777" w:rsidR="001238D7" w:rsidRPr="00E94619" w:rsidRDefault="0004636B" w:rsidP="00A341A7">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w:t>
      </w:r>
      <w:r w:rsidR="00C13EA9" w:rsidRPr="00E94619">
        <w:rPr>
          <w:rFonts w:ascii="Century Gothic" w:hAnsi="Century Gothic"/>
          <w:sz w:val="16"/>
          <w:szCs w:val="16"/>
        </w:rPr>
        <w:t>. Centro Nacional de Memoria Histórica 2018-2019</w:t>
      </w:r>
    </w:p>
    <w:p w14:paraId="2E710B11" w14:textId="77777777" w:rsidR="001E2738" w:rsidRPr="00E94619" w:rsidRDefault="001E2738" w:rsidP="000E5AC0">
      <w:pPr>
        <w:jc w:val="both"/>
        <w:rPr>
          <w:rFonts w:ascii="Century Gothic" w:hAnsi="Century Gothic"/>
        </w:rPr>
      </w:pPr>
    </w:p>
    <w:p w14:paraId="41C260AB" w14:textId="77777777" w:rsidR="001238D7" w:rsidRDefault="0036411F" w:rsidP="000E5AC0">
      <w:pPr>
        <w:jc w:val="both"/>
        <w:rPr>
          <w:rFonts w:ascii="Century Gothic" w:hAnsi="Century Gothic"/>
        </w:rPr>
      </w:pPr>
      <w:r w:rsidRPr="00E94619">
        <w:rPr>
          <w:rFonts w:ascii="Century Gothic" w:hAnsi="Century Gothic"/>
        </w:rPr>
        <w:t>Las cifras sobre desaparición forzada relacionadas con niños, niñas y adolescentes para los años 201</w:t>
      </w:r>
      <w:r w:rsidR="001B1220" w:rsidRPr="00E94619">
        <w:rPr>
          <w:rFonts w:ascii="Century Gothic" w:hAnsi="Century Gothic"/>
        </w:rPr>
        <w:t>7</w:t>
      </w:r>
      <w:r w:rsidRPr="00E94619">
        <w:rPr>
          <w:rFonts w:ascii="Century Gothic" w:hAnsi="Century Gothic"/>
        </w:rPr>
        <w:t xml:space="preserve"> y 201</w:t>
      </w:r>
      <w:r w:rsidR="001B1220" w:rsidRPr="00E94619">
        <w:rPr>
          <w:rFonts w:ascii="Century Gothic" w:hAnsi="Century Gothic"/>
        </w:rPr>
        <w:t>9</w:t>
      </w:r>
      <w:r w:rsidRPr="00E94619">
        <w:rPr>
          <w:rFonts w:ascii="Century Gothic" w:hAnsi="Century Gothic"/>
        </w:rPr>
        <w:t xml:space="preserve"> tienen el mismo comportamiento de las cifras de los adultos, esto quiere decir que</w:t>
      </w:r>
      <w:r w:rsidR="001B1220" w:rsidRPr="00E94619">
        <w:rPr>
          <w:rFonts w:ascii="Century Gothic" w:hAnsi="Century Gothic"/>
        </w:rPr>
        <w:t xml:space="preserve"> el porcentaje de víctimas fue muy similar en ambos sexos.</w:t>
      </w:r>
      <w:r w:rsidRPr="00E94619">
        <w:rPr>
          <w:rFonts w:ascii="Century Gothic" w:hAnsi="Century Gothic"/>
        </w:rPr>
        <w:t xml:space="preserve"> Sin embargo, durante el 201</w:t>
      </w:r>
      <w:r w:rsidR="001E2738" w:rsidRPr="00E94619">
        <w:rPr>
          <w:rFonts w:ascii="Century Gothic" w:hAnsi="Century Gothic"/>
        </w:rPr>
        <w:t>7</w:t>
      </w:r>
      <w:r w:rsidR="0004636B" w:rsidRPr="00E94619">
        <w:rPr>
          <w:rFonts w:ascii="Century Gothic" w:hAnsi="Century Gothic"/>
        </w:rPr>
        <w:t xml:space="preserve">, </w:t>
      </w:r>
      <w:r w:rsidRPr="00E94619">
        <w:rPr>
          <w:rFonts w:ascii="Century Gothic" w:hAnsi="Century Gothic"/>
        </w:rPr>
        <w:t xml:space="preserve">las mujeres fueron las principales víctimas. </w:t>
      </w:r>
    </w:p>
    <w:p w14:paraId="3F088E95" w14:textId="5CE6940B" w:rsidR="00A341A7" w:rsidRPr="00456E76" w:rsidRDefault="00A341A7" w:rsidP="00A341A7">
      <w:pPr>
        <w:spacing w:after="0" w:line="240" w:lineRule="auto"/>
        <w:jc w:val="center"/>
        <w:rPr>
          <w:rFonts w:ascii="Century Gothic" w:hAnsi="Century Gothic"/>
          <w:b/>
          <w:sz w:val="16"/>
          <w:szCs w:val="16"/>
        </w:rPr>
      </w:pPr>
      <w:r>
        <w:rPr>
          <w:rFonts w:ascii="Century Gothic" w:hAnsi="Century Gothic"/>
          <w:b/>
          <w:sz w:val="16"/>
          <w:szCs w:val="16"/>
        </w:rPr>
        <w:t>Gráfica 26</w:t>
      </w:r>
      <w:r w:rsidRPr="00456E76">
        <w:rPr>
          <w:rFonts w:ascii="Century Gothic" w:hAnsi="Century Gothic"/>
          <w:b/>
          <w:sz w:val="16"/>
          <w:szCs w:val="16"/>
        </w:rPr>
        <w:t xml:space="preserve">. </w:t>
      </w:r>
      <w:r>
        <w:rPr>
          <w:rFonts w:ascii="Century Gothic" w:hAnsi="Century Gothic"/>
          <w:b/>
          <w:sz w:val="16"/>
          <w:szCs w:val="16"/>
        </w:rPr>
        <w:t>Desapariciones forzadas resportadas en RUV  de NNA– conflcito armado, por sexo (2017-2019)</w:t>
      </w:r>
    </w:p>
    <w:p w14:paraId="58974A41" w14:textId="36452EEF" w:rsidR="00A341A7" w:rsidRPr="00E94619" w:rsidRDefault="00A341A7"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91008" behindDoc="0" locked="0" layoutInCell="1" allowOverlap="1" wp14:anchorId="14CA609C" wp14:editId="17265B1F">
            <wp:simplePos x="0" y="0"/>
            <wp:positionH relativeFrom="column">
              <wp:posOffset>1714500</wp:posOffset>
            </wp:positionH>
            <wp:positionV relativeFrom="paragraph">
              <wp:posOffset>114935</wp:posOffset>
            </wp:positionV>
            <wp:extent cx="1978660" cy="1172845"/>
            <wp:effectExtent l="0" t="0" r="254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78660" cy="1172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363A0" w14:textId="6C0927B5" w:rsidR="001238D7" w:rsidRPr="00E94619" w:rsidRDefault="00830DBC" w:rsidP="000E5AC0">
      <w:pPr>
        <w:spacing w:after="0" w:line="240" w:lineRule="auto"/>
        <w:rPr>
          <w:rFonts w:ascii="Century Gothic" w:hAnsi="Century Gothic"/>
        </w:rPr>
      </w:pPr>
      <w:sdt>
        <w:sdtPr>
          <w:rPr>
            <w:rFonts w:ascii="Century Gothic" w:hAnsi="Century Gothic"/>
          </w:rPr>
          <w:tag w:val="goog_rdk_37"/>
          <w:id w:val="-984922376"/>
        </w:sdtPr>
        <w:sdtContent/>
      </w:sdt>
    </w:p>
    <w:p w14:paraId="35827500" w14:textId="77777777" w:rsidR="00A341A7" w:rsidRDefault="00A341A7" w:rsidP="000E5AC0">
      <w:pPr>
        <w:spacing w:after="0" w:line="240" w:lineRule="auto"/>
        <w:rPr>
          <w:rFonts w:ascii="Century Gothic" w:hAnsi="Century Gothic"/>
          <w:sz w:val="16"/>
          <w:szCs w:val="16"/>
        </w:rPr>
      </w:pPr>
    </w:p>
    <w:p w14:paraId="68CF5870" w14:textId="77777777" w:rsidR="00A341A7" w:rsidRDefault="00A341A7" w:rsidP="000E5AC0">
      <w:pPr>
        <w:spacing w:after="0" w:line="240" w:lineRule="auto"/>
        <w:rPr>
          <w:rFonts w:ascii="Century Gothic" w:hAnsi="Century Gothic"/>
          <w:sz w:val="16"/>
          <w:szCs w:val="16"/>
        </w:rPr>
      </w:pPr>
    </w:p>
    <w:p w14:paraId="7580BFEA" w14:textId="77777777" w:rsidR="00A341A7" w:rsidRDefault="00A341A7" w:rsidP="000E5AC0">
      <w:pPr>
        <w:spacing w:after="0" w:line="240" w:lineRule="auto"/>
        <w:rPr>
          <w:rFonts w:ascii="Century Gothic" w:hAnsi="Century Gothic"/>
          <w:sz w:val="16"/>
          <w:szCs w:val="16"/>
        </w:rPr>
      </w:pPr>
    </w:p>
    <w:p w14:paraId="674F5E2E" w14:textId="77777777" w:rsidR="00A341A7" w:rsidRDefault="00A341A7" w:rsidP="000E5AC0">
      <w:pPr>
        <w:spacing w:after="0" w:line="240" w:lineRule="auto"/>
        <w:rPr>
          <w:rFonts w:ascii="Century Gothic" w:hAnsi="Century Gothic"/>
          <w:sz w:val="16"/>
          <w:szCs w:val="16"/>
        </w:rPr>
      </w:pPr>
    </w:p>
    <w:p w14:paraId="6ADCF362" w14:textId="77777777" w:rsidR="00A341A7" w:rsidRDefault="00A341A7" w:rsidP="000E5AC0">
      <w:pPr>
        <w:spacing w:after="0" w:line="240" w:lineRule="auto"/>
        <w:rPr>
          <w:rFonts w:ascii="Century Gothic" w:hAnsi="Century Gothic"/>
          <w:sz w:val="16"/>
          <w:szCs w:val="16"/>
        </w:rPr>
      </w:pPr>
    </w:p>
    <w:p w14:paraId="6F2633DF" w14:textId="77777777" w:rsidR="00A341A7" w:rsidRDefault="00A341A7" w:rsidP="000E5AC0">
      <w:pPr>
        <w:spacing w:after="0" w:line="240" w:lineRule="auto"/>
        <w:rPr>
          <w:rFonts w:ascii="Century Gothic" w:hAnsi="Century Gothic"/>
          <w:sz w:val="16"/>
          <w:szCs w:val="16"/>
        </w:rPr>
      </w:pPr>
    </w:p>
    <w:p w14:paraId="3971ED4A" w14:textId="77777777" w:rsidR="00A341A7" w:rsidRDefault="00A341A7" w:rsidP="000E5AC0">
      <w:pPr>
        <w:spacing w:after="0" w:line="240" w:lineRule="auto"/>
        <w:rPr>
          <w:rFonts w:ascii="Century Gothic" w:hAnsi="Century Gothic"/>
          <w:sz w:val="16"/>
          <w:szCs w:val="16"/>
        </w:rPr>
      </w:pPr>
    </w:p>
    <w:p w14:paraId="62A8FEEE" w14:textId="77777777" w:rsidR="00A341A7" w:rsidRDefault="00A341A7" w:rsidP="000E5AC0">
      <w:pPr>
        <w:spacing w:after="0" w:line="240" w:lineRule="auto"/>
        <w:rPr>
          <w:rFonts w:ascii="Century Gothic" w:hAnsi="Century Gothic"/>
          <w:sz w:val="16"/>
          <w:szCs w:val="16"/>
        </w:rPr>
      </w:pPr>
    </w:p>
    <w:p w14:paraId="7211D35A" w14:textId="0848E281" w:rsidR="001238D7" w:rsidRPr="00E94619" w:rsidRDefault="0004636B" w:rsidP="00A341A7">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 201</w:t>
      </w:r>
      <w:r w:rsidR="0016653B" w:rsidRPr="00E94619">
        <w:rPr>
          <w:rFonts w:ascii="Century Gothic" w:hAnsi="Century Gothic"/>
          <w:sz w:val="16"/>
          <w:szCs w:val="16"/>
        </w:rPr>
        <w:t>9</w:t>
      </w:r>
      <w:r w:rsidR="0036411F" w:rsidRPr="00E94619">
        <w:rPr>
          <w:rFonts w:ascii="Century Gothic" w:hAnsi="Century Gothic"/>
          <w:sz w:val="16"/>
          <w:szCs w:val="16"/>
        </w:rPr>
        <w:t xml:space="preserve">. </w:t>
      </w:r>
      <w:hyperlink r:id="rId53">
        <w:r w:rsidR="0036411F" w:rsidRPr="00E94619">
          <w:rPr>
            <w:rFonts w:ascii="Century Gothic" w:hAnsi="Century Gothic"/>
            <w:color w:val="0000FF"/>
            <w:sz w:val="16"/>
            <w:szCs w:val="16"/>
            <w:u w:val="single"/>
          </w:rPr>
          <w:t>http://cifras.unidadvictimas.gov.co</w:t>
        </w:r>
      </w:hyperlink>
    </w:p>
    <w:p w14:paraId="30E628EB" w14:textId="77777777" w:rsidR="001238D7" w:rsidRPr="00E94619" w:rsidRDefault="001238D7" w:rsidP="000E5AC0">
      <w:pPr>
        <w:spacing w:after="0" w:line="240" w:lineRule="auto"/>
        <w:rPr>
          <w:rFonts w:ascii="Century Gothic" w:hAnsi="Century Gothic"/>
        </w:rPr>
      </w:pPr>
    </w:p>
    <w:p w14:paraId="08BC97B7" w14:textId="77777777" w:rsidR="001238D7" w:rsidRDefault="0036411F" w:rsidP="000E5AC0">
      <w:pPr>
        <w:spacing w:after="0" w:line="240" w:lineRule="auto"/>
        <w:jc w:val="both"/>
        <w:rPr>
          <w:rFonts w:ascii="Century Gothic" w:hAnsi="Century Gothic"/>
        </w:rPr>
      </w:pPr>
      <w:r w:rsidRPr="00E94619">
        <w:rPr>
          <w:rFonts w:ascii="Century Gothic" w:hAnsi="Century Gothic"/>
        </w:rPr>
        <w:t>Los registros de desapariciones forzadas de población perteneciente a grupos étnicos muestran que para el caso de comunidades indígenas</w:t>
      </w:r>
      <w:r w:rsidR="00BD2FEC" w:rsidRPr="00E94619">
        <w:rPr>
          <w:rFonts w:ascii="Century Gothic" w:hAnsi="Century Gothic"/>
        </w:rPr>
        <w:t xml:space="preserve"> y </w:t>
      </w:r>
      <w:r w:rsidR="00D13AD5" w:rsidRPr="00E94619">
        <w:rPr>
          <w:rFonts w:ascii="Century Gothic" w:hAnsi="Century Gothic"/>
        </w:rPr>
        <w:t>afrocolombianas</w:t>
      </w:r>
      <w:r w:rsidR="00AD49CD" w:rsidRPr="00E94619">
        <w:rPr>
          <w:rFonts w:ascii="Century Gothic" w:hAnsi="Century Gothic"/>
        </w:rPr>
        <w:t xml:space="preserve"> según lo reportado para el año 2017, 2018 y 2019, </w:t>
      </w:r>
      <w:r w:rsidRPr="00E94619">
        <w:rPr>
          <w:rFonts w:ascii="Century Gothic" w:hAnsi="Century Gothic"/>
        </w:rPr>
        <w:t>las mujeres</w:t>
      </w:r>
      <w:r w:rsidR="00AD49CD" w:rsidRPr="00E94619">
        <w:rPr>
          <w:rFonts w:ascii="Century Gothic" w:hAnsi="Century Gothic"/>
        </w:rPr>
        <w:t xml:space="preserve"> y los hombres se vieron afectados casi en la misma proporción</w:t>
      </w:r>
      <w:r w:rsidRPr="00E94619">
        <w:rPr>
          <w:rFonts w:ascii="Century Gothic" w:hAnsi="Century Gothic"/>
        </w:rPr>
        <w:t>. Con relación a la población LGBTI, no hay reportes de desaparición forzada</w:t>
      </w:r>
    </w:p>
    <w:p w14:paraId="78CCF76A" w14:textId="77777777" w:rsidR="00583189" w:rsidRPr="00E94619" w:rsidRDefault="00583189" w:rsidP="000E5AC0">
      <w:pPr>
        <w:spacing w:after="0" w:line="240" w:lineRule="auto"/>
        <w:jc w:val="both"/>
        <w:rPr>
          <w:rFonts w:ascii="Century Gothic" w:hAnsi="Century Gothic"/>
        </w:rPr>
      </w:pPr>
    </w:p>
    <w:p w14:paraId="65D2F872" w14:textId="0F438B9C" w:rsidR="00A341A7" w:rsidRPr="00490F50" w:rsidRDefault="00830DBC" w:rsidP="00490F50">
      <w:pPr>
        <w:spacing w:after="0" w:line="240" w:lineRule="auto"/>
        <w:jc w:val="center"/>
        <w:rPr>
          <w:rFonts w:ascii="Century Gothic" w:hAnsi="Century Gothic"/>
        </w:rPr>
      </w:pPr>
      <w:sdt>
        <w:sdtPr>
          <w:rPr>
            <w:rFonts w:ascii="Century Gothic" w:hAnsi="Century Gothic"/>
          </w:rPr>
          <w:tag w:val="goog_rdk_38"/>
          <w:id w:val="-365672703"/>
          <w:showingPlcHdr/>
        </w:sdtPr>
        <w:sdtContent>
          <w:r w:rsidR="00490F50">
            <w:rPr>
              <w:rFonts w:ascii="Century Gothic" w:hAnsi="Century Gothic"/>
            </w:rPr>
            <w:t xml:space="preserve">     </w:t>
          </w:r>
        </w:sdtContent>
      </w:sdt>
      <w:r w:rsidR="00A341A7">
        <w:rPr>
          <w:rFonts w:ascii="Century Gothic" w:hAnsi="Century Gothic"/>
          <w:b/>
          <w:sz w:val="16"/>
          <w:szCs w:val="16"/>
        </w:rPr>
        <w:t>Gráfica 27</w:t>
      </w:r>
      <w:r w:rsidR="00A341A7" w:rsidRPr="00456E76">
        <w:rPr>
          <w:rFonts w:ascii="Century Gothic" w:hAnsi="Century Gothic"/>
          <w:b/>
          <w:sz w:val="16"/>
          <w:szCs w:val="16"/>
        </w:rPr>
        <w:t xml:space="preserve">. </w:t>
      </w:r>
      <w:r w:rsidR="00A341A7">
        <w:rPr>
          <w:rFonts w:ascii="Century Gothic" w:hAnsi="Century Gothic"/>
          <w:b/>
          <w:sz w:val="16"/>
          <w:szCs w:val="16"/>
        </w:rPr>
        <w:t>Desapariciones forzadas resportadas en RUV  de NNA– conflcito armado indígenas (2017-2019)</w:t>
      </w:r>
    </w:p>
    <w:p w14:paraId="45F1BC56" w14:textId="1B74F731" w:rsidR="00A341A7" w:rsidRPr="00E94619" w:rsidRDefault="00A341A7" w:rsidP="000E5AC0">
      <w:pPr>
        <w:spacing w:after="0" w:line="240" w:lineRule="auto"/>
        <w:rPr>
          <w:rFonts w:ascii="Century Gothic" w:hAnsi="Century Gothic"/>
          <w:noProof/>
        </w:rPr>
      </w:pPr>
      <w:r w:rsidRPr="00E94619">
        <w:rPr>
          <w:rFonts w:ascii="Century Gothic" w:hAnsi="Century Gothic"/>
          <w:noProof/>
          <w:lang w:val="es-ES" w:eastAsia="es-ES"/>
        </w:rPr>
        <w:drawing>
          <wp:anchor distT="0" distB="0" distL="114300" distR="114300" simplePos="0" relativeHeight="251692032" behindDoc="0" locked="0" layoutInCell="1" allowOverlap="1" wp14:anchorId="09682E09" wp14:editId="713BDF13">
            <wp:simplePos x="0" y="0"/>
            <wp:positionH relativeFrom="column">
              <wp:posOffset>1485900</wp:posOffset>
            </wp:positionH>
            <wp:positionV relativeFrom="paragraph">
              <wp:posOffset>161290</wp:posOffset>
            </wp:positionV>
            <wp:extent cx="2519045" cy="1495425"/>
            <wp:effectExtent l="0" t="0" r="0" b="317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904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B7FFD" w14:textId="5B4905EB" w:rsidR="00A341A7" w:rsidRDefault="00A341A7" w:rsidP="000E5AC0">
      <w:pPr>
        <w:spacing w:after="0" w:line="240" w:lineRule="auto"/>
        <w:rPr>
          <w:rFonts w:ascii="Century Gothic" w:hAnsi="Century Gothic"/>
        </w:rPr>
      </w:pPr>
    </w:p>
    <w:p w14:paraId="515D7541" w14:textId="77777777" w:rsidR="00A341A7" w:rsidRDefault="00A341A7" w:rsidP="000E5AC0">
      <w:pPr>
        <w:spacing w:after="0" w:line="240" w:lineRule="auto"/>
        <w:rPr>
          <w:rFonts w:ascii="Century Gothic" w:hAnsi="Century Gothic"/>
        </w:rPr>
      </w:pPr>
    </w:p>
    <w:p w14:paraId="20E9D8A9" w14:textId="77777777" w:rsidR="00A341A7" w:rsidRDefault="00A341A7" w:rsidP="000E5AC0">
      <w:pPr>
        <w:spacing w:after="0" w:line="240" w:lineRule="auto"/>
        <w:rPr>
          <w:rFonts w:ascii="Century Gothic" w:hAnsi="Century Gothic"/>
        </w:rPr>
      </w:pPr>
    </w:p>
    <w:p w14:paraId="46298F81" w14:textId="77777777" w:rsidR="00A341A7" w:rsidRDefault="00A341A7" w:rsidP="000E5AC0">
      <w:pPr>
        <w:spacing w:after="0" w:line="240" w:lineRule="auto"/>
        <w:rPr>
          <w:rFonts w:ascii="Century Gothic" w:hAnsi="Century Gothic"/>
        </w:rPr>
      </w:pPr>
    </w:p>
    <w:p w14:paraId="437325F9" w14:textId="77777777" w:rsidR="00A341A7" w:rsidRDefault="00A341A7" w:rsidP="000E5AC0">
      <w:pPr>
        <w:spacing w:after="0" w:line="240" w:lineRule="auto"/>
        <w:rPr>
          <w:rFonts w:ascii="Century Gothic" w:hAnsi="Century Gothic"/>
        </w:rPr>
      </w:pPr>
    </w:p>
    <w:p w14:paraId="3384A0B1" w14:textId="77777777" w:rsidR="00A341A7" w:rsidRDefault="00A341A7" w:rsidP="000E5AC0">
      <w:pPr>
        <w:spacing w:after="0" w:line="240" w:lineRule="auto"/>
        <w:rPr>
          <w:rFonts w:ascii="Century Gothic" w:hAnsi="Century Gothic"/>
        </w:rPr>
      </w:pPr>
    </w:p>
    <w:p w14:paraId="02157AF9" w14:textId="77777777" w:rsidR="00A341A7" w:rsidRDefault="00A341A7" w:rsidP="000E5AC0">
      <w:pPr>
        <w:spacing w:after="0" w:line="240" w:lineRule="auto"/>
        <w:rPr>
          <w:rFonts w:ascii="Century Gothic" w:hAnsi="Century Gothic"/>
        </w:rPr>
      </w:pPr>
    </w:p>
    <w:p w14:paraId="0D1B5FAD" w14:textId="77777777" w:rsidR="00A341A7" w:rsidRDefault="00A341A7" w:rsidP="000E5AC0">
      <w:pPr>
        <w:spacing w:after="0" w:line="240" w:lineRule="auto"/>
        <w:rPr>
          <w:rFonts w:ascii="Century Gothic" w:hAnsi="Century Gothic"/>
        </w:rPr>
      </w:pPr>
    </w:p>
    <w:p w14:paraId="6E3232AF" w14:textId="77777777" w:rsidR="00A341A7" w:rsidRDefault="00A341A7" w:rsidP="000E5AC0">
      <w:pPr>
        <w:spacing w:after="0" w:line="240" w:lineRule="auto"/>
        <w:rPr>
          <w:rFonts w:ascii="Century Gothic" w:hAnsi="Century Gothic"/>
        </w:rPr>
      </w:pPr>
    </w:p>
    <w:p w14:paraId="16CF554F" w14:textId="61DB109D" w:rsidR="00A341A7" w:rsidRDefault="00A341A7" w:rsidP="00583189">
      <w:pPr>
        <w:spacing w:after="0" w:line="240" w:lineRule="auto"/>
        <w:jc w:val="center"/>
        <w:rPr>
          <w:rFonts w:ascii="Century Gothic" w:hAnsi="Century Gothic"/>
        </w:rPr>
      </w:pPr>
      <w:r w:rsidRPr="00E94619">
        <w:rPr>
          <w:rFonts w:ascii="Century Gothic" w:hAnsi="Century Gothic"/>
          <w:sz w:val="16"/>
          <w:szCs w:val="16"/>
        </w:rPr>
        <w:t xml:space="preserve">Elaboración propia con base en datos de la Red Nacional de Información. Unidad para la Atención y Reparación Integral a las Víctimas. 2018. </w:t>
      </w:r>
      <w:hyperlink r:id="rId55">
        <w:r w:rsidRPr="00E94619">
          <w:rPr>
            <w:rFonts w:ascii="Century Gothic" w:hAnsi="Century Gothic"/>
            <w:color w:val="0000FF"/>
            <w:sz w:val="16"/>
            <w:szCs w:val="16"/>
            <w:u w:val="single"/>
          </w:rPr>
          <w:t>http://cifras.unidadvictimas.gov.co</w:t>
        </w:r>
      </w:hyperlink>
    </w:p>
    <w:p w14:paraId="71199E2D" w14:textId="25B4C5A3" w:rsidR="00646447" w:rsidRDefault="00D2173C" w:rsidP="00A341A7">
      <w:pPr>
        <w:spacing w:after="0" w:line="240" w:lineRule="auto"/>
        <w:jc w:val="center"/>
        <w:rPr>
          <w:rFonts w:ascii="Century Gothic" w:hAnsi="Century Gothic"/>
        </w:rPr>
      </w:pPr>
      <w:r>
        <w:rPr>
          <w:rFonts w:ascii="Century Gothic" w:hAnsi="Century Gothic"/>
          <w:b/>
          <w:noProof/>
          <w:szCs w:val="24"/>
          <w:lang w:val="es-ES"/>
        </w:rPr>
        <w:lastRenderedPageBreak/>
        <w:drawing>
          <wp:anchor distT="0" distB="0" distL="114300" distR="114300" simplePos="0" relativeHeight="251827200" behindDoc="0" locked="0" layoutInCell="1" allowOverlap="1" wp14:anchorId="0D1201A4" wp14:editId="230EBCC8">
            <wp:simplePos x="0" y="0"/>
            <wp:positionH relativeFrom="column">
              <wp:posOffset>-1080135</wp:posOffset>
            </wp:positionH>
            <wp:positionV relativeFrom="paragraph">
              <wp:posOffset>-822960</wp:posOffset>
            </wp:positionV>
            <wp:extent cx="965835" cy="708660"/>
            <wp:effectExtent l="0" t="0" r="0" b="0"/>
            <wp:wrapNone/>
            <wp:docPr id="384" name="Imagen 38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76587A68" w14:textId="0D104A4F" w:rsidR="00A341A7" w:rsidRPr="00456E76" w:rsidRDefault="00A341A7" w:rsidP="00A341A7">
      <w:pPr>
        <w:spacing w:after="0" w:line="240" w:lineRule="auto"/>
        <w:jc w:val="center"/>
        <w:rPr>
          <w:rFonts w:ascii="Century Gothic" w:hAnsi="Century Gothic"/>
          <w:b/>
          <w:sz w:val="16"/>
          <w:szCs w:val="16"/>
        </w:rPr>
      </w:pPr>
      <w:r>
        <w:rPr>
          <w:rFonts w:ascii="Century Gothic" w:hAnsi="Century Gothic"/>
          <w:b/>
          <w:sz w:val="16"/>
          <w:szCs w:val="16"/>
        </w:rPr>
        <w:t>Gráfica 28</w:t>
      </w:r>
      <w:r w:rsidRPr="00456E76">
        <w:rPr>
          <w:rFonts w:ascii="Century Gothic" w:hAnsi="Century Gothic"/>
          <w:b/>
          <w:sz w:val="16"/>
          <w:szCs w:val="16"/>
        </w:rPr>
        <w:t xml:space="preserve">. </w:t>
      </w:r>
      <w:r>
        <w:rPr>
          <w:rFonts w:ascii="Century Gothic" w:hAnsi="Century Gothic"/>
          <w:b/>
          <w:sz w:val="16"/>
          <w:szCs w:val="16"/>
        </w:rPr>
        <w:t>Desapariciones forzadas resportadas en RUV  de NNA– conflcito armado negro(a) afrocolombiano(a) (2017-2019)</w:t>
      </w:r>
    </w:p>
    <w:p w14:paraId="2B087810" w14:textId="77777777" w:rsidR="00A341A7" w:rsidRDefault="00A341A7" w:rsidP="000E5AC0">
      <w:pPr>
        <w:spacing w:after="0" w:line="240" w:lineRule="auto"/>
        <w:rPr>
          <w:rFonts w:ascii="Century Gothic" w:hAnsi="Century Gothic"/>
        </w:rPr>
      </w:pPr>
    </w:p>
    <w:p w14:paraId="2ECF7076" w14:textId="6C59F01D" w:rsidR="00311C24" w:rsidRPr="00E94619" w:rsidRDefault="00480A0A" w:rsidP="000E5AC0">
      <w:pPr>
        <w:spacing w:after="0" w:line="240" w:lineRule="auto"/>
        <w:rPr>
          <w:rFonts w:ascii="Century Gothic" w:hAnsi="Century Gothic"/>
        </w:rPr>
      </w:pPr>
      <w:r w:rsidRPr="00E94619">
        <w:rPr>
          <w:rFonts w:ascii="Century Gothic" w:hAnsi="Century Gothic"/>
          <w:noProof/>
          <w:lang w:val="es-ES" w:eastAsia="es-ES"/>
        </w:rPr>
        <w:drawing>
          <wp:anchor distT="0" distB="0" distL="114300" distR="114300" simplePos="0" relativeHeight="251693056" behindDoc="0" locked="0" layoutInCell="1" allowOverlap="1" wp14:anchorId="4D6924DC" wp14:editId="061FC224">
            <wp:simplePos x="0" y="0"/>
            <wp:positionH relativeFrom="column">
              <wp:posOffset>1600200</wp:posOffset>
            </wp:positionH>
            <wp:positionV relativeFrom="paragraph">
              <wp:posOffset>8255</wp:posOffset>
            </wp:positionV>
            <wp:extent cx="2439670" cy="1448435"/>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39670" cy="1448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79182" w14:textId="77777777" w:rsidR="00A341A7" w:rsidRDefault="00A341A7" w:rsidP="00A341A7">
      <w:pPr>
        <w:spacing w:after="0" w:line="240" w:lineRule="auto"/>
        <w:jc w:val="center"/>
        <w:rPr>
          <w:rFonts w:ascii="Century Gothic" w:hAnsi="Century Gothic"/>
          <w:sz w:val="16"/>
          <w:szCs w:val="16"/>
        </w:rPr>
      </w:pPr>
    </w:p>
    <w:p w14:paraId="1F45E512" w14:textId="77777777" w:rsidR="00A341A7" w:rsidRDefault="00A341A7" w:rsidP="00A341A7">
      <w:pPr>
        <w:spacing w:after="0" w:line="240" w:lineRule="auto"/>
        <w:jc w:val="center"/>
        <w:rPr>
          <w:rFonts w:ascii="Century Gothic" w:hAnsi="Century Gothic"/>
          <w:sz w:val="16"/>
          <w:szCs w:val="16"/>
        </w:rPr>
      </w:pPr>
    </w:p>
    <w:p w14:paraId="5771A9E5" w14:textId="77777777" w:rsidR="00A341A7" w:rsidRDefault="00A341A7" w:rsidP="00A341A7">
      <w:pPr>
        <w:spacing w:after="0" w:line="240" w:lineRule="auto"/>
        <w:jc w:val="center"/>
        <w:rPr>
          <w:rFonts w:ascii="Century Gothic" w:hAnsi="Century Gothic"/>
          <w:sz w:val="16"/>
          <w:szCs w:val="16"/>
        </w:rPr>
      </w:pPr>
    </w:p>
    <w:p w14:paraId="3E8FA589" w14:textId="77777777" w:rsidR="00A341A7" w:rsidRDefault="00A341A7" w:rsidP="00A341A7">
      <w:pPr>
        <w:spacing w:after="0" w:line="240" w:lineRule="auto"/>
        <w:jc w:val="center"/>
        <w:rPr>
          <w:rFonts w:ascii="Century Gothic" w:hAnsi="Century Gothic"/>
          <w:sz w:val="16"/>
          <w:szCs w:val="16"/>
        </w:rPr>
      </w:pPr>
    </w:p>
    <w:p w14:paraId="27CE4F77" w14:textId="77777777" w:rsidR="00A341A7" w:rsidRDefault="00A341A7" w:rsidP="00A341A7">
      <w:pPr>
        <w:spacing w:after="0" w:line="240" w:lineRule="auto"/>
        <w:jc w:val="center"/>
        <w:rPr>
          <w:rFonts w:ascii="Century Gothic" w:hAnsi="Century Gothic"/>
          <w:sz w:val="16"/>
          <w:szCs w:val="16"/>
        </w:rPr>
      </w:pPr>
    </w:p>
    <w:p w14:paraId="30CB41C7" w14:textId="77777777" w:rsidR="00A341A7" w:rsidRDefault="00A341A7" w:rsidP="00A341A7">
      <w:pPr>
        <w:spacing w:after="0" w:line="240" w:lineRule="auto"/>
        <w:jc w:val="center"/>
        <w:rPr>
          <w:rFonts w:ascii="Century Gothic" w:hAnsi="Century Gothic"/>
          <w:sz w:val="16"/>
          <w:szCs w:val="16"/>
        </w:rPr>
      </w:pPr>
    </w:p>
    <w:p w14:paraId="00A735F4" w14:textId="77777777" w:rsidR="00A341A7" w:rsidRDefault="00A341A7" w:rsidP="00A341A7">
      <w:pPr>
        <w:spacing w:after="0" w:line="240" w:lineRule="auto"/>
        <w:jc w:val="center"/>
        <w:rPr>
          <w:rFonts w:ascii="Century Gothic" w:hAnsi="Century Gothic"/>
          <w:sz w:val="16"/>
          <w:szCs w:val="16"/>
        </w:rPr>
      </w:pPr>
    </w:p>
    <w:p w14:paraId="29CD9022" w14:textId="77777777" w:rsidR="00A341A7" w:rsidRDefault="00A341A7" w:rsidP="00A341A7">
      <w:pPr>
        <w:spacing w:after="0" w:line="240" w:lineRule="auto"/>
        <w:jc w:val="center"/>
        <w:rPr>
          <w:rFonts w:ascii="Century Gothic" w:hAnsi="Century Gothic"/>
          <w:sz w:val="16"/>
          <w:szCs w:val="16"/>
        </w:rPr>
      </w:pPr>
    </w:p>
    <w:p w14:paraId="4E1F2E8F" w14:textId="77777777" w:rsidR="00A341A7" w:rsidRDefault="00A341A7" w:rsidP="00A341A7">
      <w:pPr>
        <w:spacing w:after="0" w:line="240" w:lineRule="auto"/>
        <w:jc w:val="center"/>
        <w:rPr>
          <w:rFonts w:ascii="Century Gothic" w:hAnsi="Century Gothic"/>
          <w:sz w:val="16"/>
          <w:szCs w:val="16"/>
        </w:rPr>
      </w:pPr>
    </w:p>
    <w:p w14:paraId="1D4A10DC" w14:textId="77777777" w:rsidR="00A341A7" w:rsidRDefault="00A341A7" w:rsidP="00A341A7">
      <w:pPr>
        <w:spacing w:after="0" w:line="240" w:lineRule="auto"/>
        <w:jc w:val="center"/>
        <w:rPr>
          <w:rFonts w:ascii="Century Gothic" w:hAnsi="Century Gothic"/>
          <w:sz w:val="16"/>
          <w:szCs w:val="16"/>
        </w:rPr>
      </w:pPr>
    </w:p>
    <w:p w14:paraId="3D758F1B" w14:textId="77777777" w:rsidR="00A341A7" w:rsidRDefault="00A341A7" w:rsidP="00A341A7">
      <w:pPr>
        <w:spacing w:after="0" w:line="240" w:lineRule="auto"/>
        <w:jc w:val="center"/>
        <w:rPr>
          <w:rFonts w:ascii="Century Gothic" w:hAnsi="Century Gothic"/>
          <w:sz w:val="16"/>
          <w:szCs w:val="16"/>
        </w:rPr>
      </w:pPr>
    </w:p>
    <w:p w14:paraId="671A2599" w14:textId="45731166" w:rsidR="001238D7" w:rsidRPr="00E94619" w:rsidRDefault="0036411F" w:rsidP="00A341A7">
      <w:pPr>
        <w:spacing w:after="0" w:line="240" w:lineRule="auto"/>
        <w:jc w:val="center"/>
        <w:rPr>
          <w:rFonts w:ascii="Century Gothic" w:hAnsi="Century Gothic"/>
        </w:rPr>
      </w:pPr>
      <w:r w:rsidRPr="00E94619">
        <w:rPr>
          <w:rFonts w:ascii="Century Gothic" w:hAnsi="Century Gothic"/>
          <w:sz w:val="16"/>
          <w:szCs w:val="16"/>
        </w:rPr>
        <w:t>Elaboración propia con base en datos de la Red Nacional de Información. Unidad para la Atención y Reparación Integral a las Víctimas. 201</w:t>
      </w:r>
      <w:r w:rsidR="00480A0A" w:rsidRPr="00E94619">
        <w:rPr>
          <w:rFonts w:ascii="Century Gothic" w:hAnsi="Century Gothic"/>
          <w:sz w:val="16"/>
          <w:szCs w:val="16"/>
        </w:rPr>
        <w:t>8</w:t>
      </w:r>
      <w:r w:rsidRPr="00E94619">
        <w:rPr>
          <w:rFonts w:ascii="Century Gothic" w:hAnsi="Century Gothic"/>
          <w:sz w:val="16"/>
          <w:szCs w:val="16"/>
        </w:rPr>
        <w:t xml:space="preserve">. </w:t>
      </w:r>
      <w:hyperlink r:id="rId57">
        <w:r w:rsidRPr="00E94619">
          <w:rPr>
            <w:rFonts w:ascii="Century Gothic" w:hAnsi="Century Gothic"/>
            <w:color w:val="0000FF"/>
            <w:sz w:val="16"/>
            <w:szCs w:val="16"/>
            <w:u w:val="single"/>
          </w:rPr>
          <w:t>http://cifras.unidadvictimas.gov.co</w:t>
        </w:r>
      </w:hyperlink>
    </w:p>
    <w:p w14:paraId="71214A67" w14:textId="77777777" w:rsidR="001238D7" w:rsidRPr="00E94619" w:rsidRDefault="001238D7" w:rsidP="000E5AC0">
      <w:pPr>
        <w:jc w:val="both"/>
        <w:rPr>
          <w:rFonts w:ascii="Century Gothic" w:hAnsi="Century Gothic"/>
          <w:b/>
        </w:rPr>
      </w:pPr>
    </w:p>
    <w:p w14:paraId="253039DF" w14:textId="77777777" w:rsidR="001238D7" w:rsidRPr="00A341A7" w:rsidRDefault="009021F5" w:rsidP="000E5AC0">
      <w:pPr>
        <w:pStyle w:val="Ttulo3"/>
        <w:rPr>
          <w:rFonts w:ascii="Century Gothic" w:eastAsia="Cambria" w:hAnsi="Century Gothic"/>
          <w:b w:val="0"/>
          <w:color w:val="C73465"/>
        </w:rPr>
      </w:pPr>
      <w:bookmarkStart w:id="47" w:name="_Toc488624264"/>
      <w:r w:rsidRPr="00A341A7">
        <w:rPr>
          <w:rFonts w:ascii="Century Gothic" w:eastAsia="Cambria" w:hAnsi="Century Gothic"/>
          <w:b w:val="0"/>
          <w:color w:val="C73465"/>
        </w:rPr>
        <w:t>1.6</w:t>
      </w:r>
      <w:r w:rsidR="0036411F" w:rsidRPr="00A341A7">
        <w:rPr>
          <w:rFonts w:ascii="Century Gothic" w:eastAsia="Cambria" w:hAnsi="Century Gothic"/>
          <w:b w:val="0"/>
          <w:color w:val="C73465"/>
        </w:rPr>
        <w:t xml:space="preserve"> Número de niños y niñas víctimas del reclutamiento forzado</w:t>
      </w:r>
      <w:bookmarkEnd w:id="47"/>
    </w:p>
    <w:p w14:paraId="4628DB94" w14:textId="77777777" w:rsidR="00397B04" w:rsidRPr="00E94619" w:rsidRDefault="00397B04" w:rsidP="000E5AC0">
      <w:pPr>
        <w:spacing w:line="240" w:lineRule="auto"/>
        <w:jc w:val="both"/>
        <w:rPr>
          <w:rFonts w:ascii="Century Gothic" w:hAnsi="Century Gothic"/>
        </w:rPr>
      </w:pPr>
    </w:p>
    <w:p w14:paraId="48778883" w14:textId="73D324C3" w:rsidR="00646447" w:rsidRPr="00E94619" w:rsidRDefault="0036411F" w:rsidP="000E5AC0">
      <w:pPr>
        <w:spacing w:line="240" w:lineRule="auto"/>
        <w:jc w:val="both"/>
        <w:rPr>
          <w:rFonts w:ascii="Century Gothic" w:hAnsi="Century Gothic"/>
        </w:rPr>
      </w:pPr>
      <w:r w:rsidRPr="00E94619">
        <w:rPr>
          <w:rFonts w:ascii="Century Gothic" w:hAnsi="Century Gothic"/>
        </w:rPr>
        <w:t xml:space="preserve">Los niños, las niñas y los adolescentes al igual que las mujeres han sido la población de mayor vulnerabilidad en el conflicto armado, vivieron prácticamente todas las vulneraciones de derechos propias de la guerra. </w:t>
      </w:r>
      <w:r w:rsidR="00F22663" w:rsidRPr="00E94619">
        <w:rPr>
          <w:rFonts w:ascii="Century Gothic" w:hAnsi="Century Gothic"/>
        </w:rPr>
        <w:t xml:space="preserve">Según cifras del </w:t>
      </w:r>
      <w:r w:rsidR="0004636B" w:rsidRPr="00E94619">
        <w:rPr>
          <w:rFonts w:ascii="Century Gothic" w:hAnsi="Century Gothic"/>
        </w:rPr>
        <w:t>I</w:t>
      </w:r>
      <w:r w:rsidR="00F22663" w:rsidRPr="00E94619">
        <w:rPr>
          <w:rFonts w:ascii="Century Gothic" w:hAnsi="Century Gothic"/>
        </w:rPr>
        <w:t>CBF, en el 2018 fueron reclutados 149 menores, en 2019 fueron 97, y en el 2020, 71. El E</w:t>
      </w:r>
      <w:r w:rsidR="00CF12A3" w:rsidRPr="00E94619">
        <w:rPr>
          <w:rFonts w:ascii="Century Gothic" w:hAnsi="Century Gothic"/>
        </w:rPr>
        <w:t>L</w:t>
      </w:r>
      <w:r w:rsidR="00F22663" w:rsidRPr="00E94619">
        <w:rPr>
          <w:rFonts w:ascii="Century Gothic" w:hAnsi="Century Gothic"/>
        </w:rPr>
        <w:t>N sería el responsable del 38</w:t>
      </w:r>
      <w:r w:rsidR="00CF12A3" w:rsidRPr="00E94619">
        <w:rPr>
          <w:rFonts w:ascii="Century Gothic" w:hAnsi="Century Gothic"/>
        </w:rPr>
        <w:t>%</w:t>
      </w:r>
      <w:r w:rsidR="00F22663" w:rsidRPr="00E94619">
        <w:rPr>
          <w:rFonts w:ascii="Century Gothic" w:hAnsi="Century Gothic"/>
        </w:rPr>
        <w:t xml:space="preserve"> de los casos; las disidencias de las F</w:t>
      </w:r>
      <w:r w:rsidR="00CF12A3" w:rsidRPr="00E94619">
        <w:rPr>
          <w:rFonts w:ascii="Century Gothic" w:hAnsi="Century Gothic"/>
        </w:rPr>
        <w:t>ARC</w:t>
      </w:r>
      <w:r w:rsidR="00F22663" w:rsidRPr="00E94619">
        <w:rPr>
          <w:rFonts w:ascii="Century Gothic" w:hAnsi="Century Gothic"/>
        </w:rPr>
        <w:t xml:space="preserve"> del 34</w:t>
      </w:r>
      <w:r w:rsidR="00CF12A3" w:rsidRPr="00E94619">
        <w:rPr>
          <w:rFonts w:ascii="Century Gothic" w:hAnsi="Century Gothic"/>
        </w:rPr>
        <w:t>%</w:t>
      </w:r>
      <w:r w:rsidR="00F22663" w:rsidRPr="00E94619">
        <w:rPr>
          <w:rFonts w:ascii="Century Gothic" w:hAnsi="Century Gothic"/>
        </w:rPr>
        <w:t>, y el 'clan del Golfo', del 20</w:t>
      </w:r>
      <w:r w:rsidR="00CF12A3" w:rsidRPr="00E94619">
        <w:rPr>
          <w:rFonts w:ascii="Century Gothic" w:hAnsi="Century Gothic"/>
        </w:rPr>
        <w:t>%</w:t>
      </w:r>
      <w:r w:rsidR="00F22663" w:rsidRPr="00E94619">
        <w:rPr>
          <w:rFonts w:ascii="Century Gothic" w:hAnsi="Century Gothic"/>
        </w:rPr>
        <w:t>.</w:t>
      </w:r>
      <w:r w:rsidRPr="00E94619">
        <w:rPr>
          <w:rFonts w:ascii="Century Gothic" w:hAnsi="Century Gothic"/>
        </w:rPr>
        <w:t xml:space="preserve"> Al revisar el comportamiento de este delito de lesa humanidad para los años 201</w:t>
      </w:r>
      <w:r w:rsidR="00F22663" w:rsidRPr="00E94619">
        <w:rPr>
          <w:rFonts w:ascii="Century Gothic" w:hAnsi="Century Gothic"/>
        </w:rPr>
        <w:t>7</w:t>
      </w:r>
      <w:r w:rsidR="008250F3" w:rsidRPr="00E94619">
        <w:rPr>
          <w:rFonts w:ascii="Century Gothic" w:hAnsi="Century Gothic"/>
        </w:rPr>
        <w:t>,</w:t>
      </w:r>
      <w:r w:rsidRPr="00E94619">
        <w:rPr>
          <w:rFonts w:ascii="Century Gothic" w:hAnsi="Century Gothic"/>
        </w:rPr>
        <w:t xml:space="preserve"> 201</w:t>
      </w:r>
      <w:r w:rsidR="00F22663" w:rsidRPr="00E94619">
        <w:rPr>
          <w:rFonts w:ascii="Century Gothic" w:hAnsi="Century Gothic"/>
        </w:rPr>
        <w:t>8</w:t>
      </w:r>
      <w:r w:rsidR="008250F3" w:rsidRPr="00E94619">
        <w:rPr>
          <w:rFonts w:ascii="Century Gothic" w:hAnsi="Century Gothic"/>
        </w:rPr>
        <w:t xml:space="preserve"> y 2019</w:t>
      </w:r>
      <w:r w:rsidRPr="00E94619">
        <w:rPr>
          <w:rFonts w:ascii="Century Gothic" w:hAnsi="Century Gothic"/>
        </w:rPr>
        <w:t xml:space="preserve"> por sexo, se encuentra que fueron los hombres los más afectados</w:t>
      </w:r>
      <w:r w:rsidR="00552885" w:rsidRPr="00E94619">
        <w:rPr>
          <w:rFonts w:ascii="Century Gothic" w:hAnsi="Century Gothic"/>
        </w:rPr>
        <w:t>.</w:t>
      </w:r>
      <w:r w:rsidRPr="00E94619">
        <w:rPr>
          <w:rFonts w:ascii="Century Gothic" w:hAnsi="Century Gothic"/>
        </w:rPr>
        <w:t xml:space="preserve"> En las comunidades indígenas</w:t>
      </w:r>
      <w:r w:rsidR="008250F3" w:rsidRPr="00E94619">
        <w:rPr>
          <w:rFonts w:ascii="Century Gothic" w:hAnsi="Century Gothic"/>
        </w:rPr>
        <w:t xml:space="preserve"> y afrocolombianas </w:t>
      </w:r>
      <w:r w:rsidRPr="00E94619">
        <w:rPr>
          <w:rFonts w:ascii="Century Gothic" w:hAnsi="Century Gothic"/>
        </w:rPr>
        <w:t xml:space="preserve">el </w:t>
      </w:r>
      <w:r w:rsidR="008250F3" w:rsidRPr="00E94619">
        <w:rPr>
          <w:rFonts w:ascii="Century Gothic" w:hAnsi="Century Gothic"/>
        </w:rPr>
        <w:t>reporte es similar para</w:t>
      </w:r>
      <w:r w:rsidRPr="00E94619">
        <w:rPr>
          <w:rFonts w:ascii="Century Gothic" w:hAnsi="Century Gothic"/>
        </w:rPr>
        <w:t xml:space="preserve"> los años 201</w:t>
      </w:r>
      <w:r w:rsidR="002A5EAB" w:rsidRPr="00E94619">
        <w:rPr>
          <w:rFonts w:ascii="Century Gothic" w:hAnsi="Century Gothic"/>
        </w:rPr>
        <w:t>7</w:t>
      </w:r>
      <w:r w:rsidRPr="00E94619">
        <w:rPr>
          <w:rFonts w:ascii="Century Gothic" w:hAnsi="Century Gothic"/>
        </w:rPr>
        <w:t xml:space="preserve"> </w:t>
      </w:r>
      <w:r w:rsidR="003C1AC9" w:rsidRPr="00E94619">
        <w:rPr>
          <w:rFonts w:ascii="Century Gothic" w:hAnsi="Century Gothic"/>
        </w:rPr>
        <w:t xml:space="preserve">a </w:t>
      </w:r>
      <w:r w:rsidRPr="00E94619">
        <w:rPr>
          <w:rFonts w:ascii="Century Gothic" w:hAnsi="Century Gothic"/>
        </w:rPr>
        <w:t>201</w:t>
      </w:r>
      <w:r w:rsidR="002A5EAB" w:rsidRPr="00E94619">
        <w:rPr>
          <w:rFonts w:ascii="Century Gothic" w:hAnsi="Century Gothic"/>
        </w:rPr>
        <w:t>9</w:t>
      </w:r>
      <w:r w:rsidR="00CF12A3" w:rsidRPr="00E94619">
        <w:rPr>
          <w:rFonts w:ascii="Century Gothic" w:hAnsi="Century Gothic"/>
        </w:rPr>
        <w:t>.</w:t>
      </w:r>
      <w:r w:rsidRPr="00E94619">
        <w:rPr>
          <w:rFonts w:ascii="Century Gothic" w:hAnsi="Century Gothic"/>
        </w:rPr>
        <w:t xml:space="preserve"> </w:t>
      </w:r>
    </w:p>
    <w:p w14:paraId="50FD8F36" w14:textId="61FFC7B6" w:rsidR="00207435" w:rsidRPr="00A341A7" w:rsidRDefault="00207435" w:rsidP="00A341A7">
      <w:pPr>
        <w:spacing w:line="240" w:lineRule="auto"/>
        <w:jc w:val="center"/>
        <w:rPr>
          <w:rFonts w:ascii="Century Gothic" w:hAnsi="Century Gothic"/>
          <w:b/>
          <w:sz w:val="16"/>
          <w:szCs w:val="16"/>
        </w:rPr>
      </w:pPr>
      <w:r w:rsidRPr="00A341A7">
        <w:rPr>
          <w:rFonts w:ascii="Century Gothic" w:hAnsi="Century Gothic"/>
          <w:b/>
          <w:sz w:val="16"/>
          <w:szCs w:val="16"/>
        </w:rPr>
        <w:t>Gráfica 29</w:t>
      </w:r>
      <w:r w:rsidR="00A341A7" w:rsidRPr="00A341A7">
        <w:rPr>
          <w:rFonts w:ascii="Century Gothic" w:hAnsi="Century Gothic"/>
          <w:b/>
          <w:sz w:val="16"/>
          <w:szCs w:val="16"/>
        </w:rPr>
        <w:t>. NNA vinculados al conflicto armado por sexo (2017-2019)</w:t>
      </w:r>
    </w:p>
    <w:p w14:paraId="2A6BDAF1" w14:textId="77777777" w:rsidR="001238D7" w:rsidRPr="00E94619" w:rsidRDefault="003C0F05" w:rsidP="000E5AC0">
      <w:pPr>
        <w:spacing w:after="0" w:line="240" w:lineRule="auto"/>
        <w:rPr>
          <w:rFonts w:ascii="Century Gothic" w:hAnsi="Century Gothic"/>
          <w:sz w:val="16"/>
          <w:szCs w:val="16"/>
        </w:rPr>
      </w:pPr>
      <w:r w:rsidRPr="00E94619">
        <w:rPr>
          <w:rFonts w:ascii="Century Gothic" w:hAnsi="Century Gothic"/>
          <w:noProof/>
          <w:lang w:val="es-ES" w:eastAsia="es-ES"/>
        </w:rPr>
        <w:drawing>
          <wp:anchor distT="0" distB="0" distL="114300" distR="114300" simplePos="0" relativeHeight="251694080" behindDoc="0" locked="0" layoutInCell="1" allowOverlap="1" wp14:anchorId="2C9D8735" wp14:editId="5825CB6C">
            <wp:simplePos x="0" y="0"/>
            <wp:positionH relativeFrom="column">
              <wp:posOffset>1828800</wp:posOffset>
            </wp:positionH>
            <wp:positionV relativeFrom="paragraph">
              <wp:posOffset>17780</wp:posOffset>
            </wp:positionV>
            <wp:extent cx="1828800" cy="1085215"/>
            <wp:effectExtent l="0" t="0" r="0" b="698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28800" cy="1085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B1E9B" w14:textId="77777777" w:rsidR="001238D7" w:rsidRPr="00E94619" w:rsidRDefault="00830DBC" w:rsidP="000E5AC0">
      <w:pPr>
        <w:spacing w:after="0" w:line="240" w:lineRule="auto"/>
        <w:rPr>
          <w:rFonts w:ascii="Century Gothic" w:hAnsi="Century Gothic"/>
        </w:rPr>
      </w:pPr>
      <w:sdt>
        <w:sdtPr>
          <w:rPr>
            <w:rFonts w:ascii="Century Gothic" w:hAnsi="Century Gothic"/>
          </w:rPr>
          <w:tag w:val="goog_rdk_40"/>
          <w:id w:val="-1935731461"/>
          <w:showingPlcHdr/>
        </w:sdtPr>
        <w:sdtContent>
          <w:r w:rsidR="0004636B" w:rsidRPr="00E94619">
            <w:rPr>
              <w:rFonts w:ascii="Century Gothic" w:hAnsi="Century Gothic"/>
            </w:rPr>
            <w:t xml:space="preserve">     </w:t>
          </w:r>
        </w:sdtContent>
      </w:sdt>
    </w:p>
    <w:p w14:paraId="3CF9E033" w14:textId="77777777" w:rsidR="00A341A7" w:rsidRDefault="00A341A7" w:rsidP="000E5AC0">
      <w:pPr>
        <w:spacing w:after="0" w:line="240" w:lineRule="auto"/>
        <w:rPr>
          <w:rFonts w:ascii="Century Gothic" w:hAnsi="Century Gothic"/>
          <w:sz w:val="16"/>
          <w:szCs w:val="16"/>
        </w:rPr>
      </w:pPr>
    </w:p>
    <w:p w14:paraId="591AE8EE" w14:textId="77777777" w:rsidR="00A341A7" w:rsidRDefault="00A341A7" w:rsidP="000E5AC0">
      <w:pPr>
        <w:spacing w:after="0" w:line="240" w:lineRule="auto"/>
        <w:rPr>
          <w:rFonts w:ascii="Century Gothic" w:hAnsi="Century Gothic"/>
          <w:sz w:val="16"/>
          <w:szCs w:val="16"/>
        </w:rPr>
      </w:pPr>
    </w:p>
    <w:p w14:paraId="7866DB95" w14:textId="77777777" w:rsidR="00A341A7" w:rsidRDefault="00A341A7" w:rsidP="000E5AC0">
      <w:pPr>
        <w:spacing w:after="0" w:line="240" w:lineRule="auto"/>
        <w:rPr>
          <w:rFonts w:ascii="Century Gothic" w:hAnsi="Century Gothic"/>
          <w:sz w:val="16"/>
          <w:szCs w:val="16"/>
        </w:rPr>
      </w:pPr>
    </w:p>
    <w:p w14:paraId="1D02DD44" w14:textId="77777777" w:rsidR="00A341A7" w:rsidRDefault="00A341A7" w:rsidP="000E5AC0">
      <w:pPr>
        <w:spacing w:after="0" w:line="240" w:lineRule="auto"/>
        <w:rPr>
          <w:rFonts w:ascii="Century Gothic" w:hAnsi="Century Gothic"/>
          <w:sz w:val="16"/>
          <w:szCs w:val="16"/>
        </w:rPr>
      </w:pPr>
    </w:p>
    <w:p w14:paraId="11EF302E" w14:textId="77777777" w:rsidR="00A341A7" w:rsidRDefault="00A341A7" w:rsidP="000E5AC0">
      <w:pPr>
        <w:spacing w:after="0" w:line="240" w:lineRule="auto"/>
        <w:rPr>
          <w:rFonts w:ascii="Century Gothic" w:hAnsi="Century Gothic"/>
          <w:sz w:val="16"/>
          <w:szCs w:val="16"/>
        </w:rPr>
      </w:pPr>
    </w:p>
    <w:p w14:paraId="20180A36" w14:textId="77777777" w:rsidR="00A341A7" w:rsidRDefault="00A341A7" w:rsidP="000E5AC0">
      <w:pPr>
        <w:spacing w:after="0" w:line="240" w:lineRule="auto"/>
        <w:rPr>
          <w:rFonts w:ascii="Century Gothic" w:hAnsi="Century Gothic"/>
          <w:sz w:val="16"/>
          <w:szCs w:val="16"/>
        </w:rPr>
      </w:pPr>
    </w:p>
    <w:p w14:paraId="554C879E" w14:textId="77777777" w:rsidR="00A341A7" w:rsidRDefault="00A341A7" w:rsidP="000E5AC0">
      <w:pPr>
        <w:spacing w:after="0" w:line="240" w:lineRule="auto"/>
        <w:rPr>
          <w:rFonts w:ascii="Century Gothic" w:hAnsi="Century Gothic"/>
          <w:sz w:val="16"/>
          <w:szCs w:val="16"/>
        </w:rPr>
      </w:pPr>
    </w:p>
    <w:p w14:paraId="5391C59F" w14:textId="73FB959B" w:rsidR="001238D7" w:rsidRPr="00E94619" w:rsidRDefault="00CF12A3" w:rsidP="00A341A7">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 xml:space="preserve">Red Nacional de Información. Unidad para la Atención y Reparación Integral a las Víctimas. </w:t>
      </w:r>
      <w:r w:rsidR="003C0F05" w:rsidRPr="00E94619">
        <w:rPr>
          <w:rFonts w:ascii="Century Gothic" w:hAnsi="Century Gothic"/>
          <w:sz w:val="16"/>
          <w:szCs w:val="16"/>
        </w:rPr>
        <w:t>2019</w:t>
      </w:r>
      <w:r w:rsidR="0036411F" w:rsidRPr="00E94619">
        <w:rPr>
          <w:rFonts w:ascii="Century Gothic" w:hAnsi="Century Gothic"/>
          <w:sz w:val="16"/>
          <w:szCs w:val="16"/>
        </w:rPr>
        <w:t>.</w:t>
      </w:r>
    </w:p>
    <w:p w14:paraId="1A575023" w14:textId="77777777" w:rsidR="001238D7" w:rsidRDefault="001238D7" w:rsidP="000E5AC0">
      <w:pPr>
        <w:spacing w:after="0" w:line="240" w:lineRule="auto"/>
        <w:rPr>
          <w:rFonts w:ascii="Century Gothic" w:hAnsi="Century Gothic"/>
          <w:sz w:val="16"/>
          <w:szCs w:val="16"/>
        </w:rPr>
      </w:pPr>
    </w:p>
    <w:p w14:paraId="22AA0D5B" w14:textId="6CED6FE4" w:rsidR="001238D7" w:rsidRDefault="00F97172" w:rsidP="00F97172">
      <w:pPr>
        <w:spacing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695104" behindDoc="0" locked="0" layoutInCell="1" allowOverlap="1" wp14:anchorId="595C02F0" wp14:editId="0471A540">
            <wp:simplePos x="0" y="0"/>
            <wp:positionH relativeFrom="column">
              <wp:posOffset>1600200</wp:posOffset>
            </wp:positionH>
            <wp:positionV relativeFrom="paragraph">
              <wp:posOffset>228600</wp:posOffset>
            </wp:positionV>
            <wp:extent cx="2054225" cy="1219200"/>
            <wp:effectExtent l="0" t="0" r="317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542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16"/>
          <w:szCs w:val="16"/>
        </w:rPr>
        <w:t>Gráfica 30</w:t>
      </w:r>
      <w:r w:rsidR="00A341A7" w:rsidRPr="00A341A7">
        <w:rPr>
          <w:rFonts w:ascii="Century Gothic" w:hAnsi="Century Gothic"/>
          <w:b/>
          <w:sz w:val="16"/>
          <w:szCs w:val="16"/>
        </w:rPr>
        <w:t xml:space="preserve">. NNA </w:t>
      </w:r>
      <w:r>
        <w:rPr>
          <w:rFonts w:ascii="Century Gothic" w:hAnsi="Century Gothic"/>
          <w:b/>
          <w:sz w:val="16"/>
          <w:szCs w:val="16"/>
        </w:rPr>
        <w:t xml:space="preserve">indígenas vinculados – conflicto armado </w:t>
      </w:r>
      <w:r w:rsidR="00A341A7" w:rsidRPr="00A341A7">
        <w:rPr>
          <w:rFonts w:ascii="Century Gothic" w:hAnsi="Century Gothic"/>
          <w:b/>
          <w:sz w:val="16"/>
          <w:szCs w:val="16"/>
        </w:rPr>
        <w:t>(2017-2019)</w:t>
      </w:r>
    </w:p>
    <w:p w14:paraId="1F561F36" w14:textId="476BB15B" w:rsidR="00F97172" w:rsidRPr="00F97172" w:rsidRDefault="00F97172" w:rsidP="00F97172">
      <w:pPr>
        <w:spacing w:line="240" w:lineRule="auto"/>
        <w:jc w:val="center"/>
        <w:rPr>
          <w:rFonts w:ascii="Century Gothic" w:hAnsi="Century Gothic"/>
          <w:b/>
          <w:sz w:val="16"/>
          <w:szCs w:val="16"/>
        </w:rPr>
      </w:pPr>
    </w:p>
    <w:p w14:paraId="4C20E80D" w14:textId="78328771" w:rsidR="00F97172" w:rsidRDefault="00F97172" w:rsidP="000E5AC0">
      <w:pPr>
        <w:spacing w:after="0" w:line="240" w:lineRule="auto"/>
        <w:rPr>
          <w:rFonts w:ascii="Century Gothic" w:hAnsi="Century Gothic"/>
          <w:noProof/>
        </w:rPr>
      </w:pPr>
    </w:p>
    <w:p w14:paraId="7497F7CB" w14:textId="77777777" w:rsidR="00F97172" w:rsidRDefault="00F97172" w:rsidP="000E5AC0">
      <w:pPr>
        <w:spacing w:after="0" w:line="240" w:lineRule="auto"/>
        <w:rPr>
          <w:rFonts w:ascii="Century Gothic" w:hAnsi="Century Gothic"/>
          <w:noProof/>
        </w:rPr>
      </w:pPr>
    </w:p>
    <w:p w14:paraId="050A2A19" w14:textId="77777777" w:rsidR="00F97172" w:rsidRDefault="00F97172" w:rsidP="000E5AC0">
      <w:pPr>
        <w:spacing w:after="0" w:line="240" w:lineRule="auto"/>
        <w:rPr>
          <w:rFonts w:ascii="Century Gothic" w:hAnsi="Century Gothic"/>
          <w:noProof/>
        </w:rPr>
      </w:pPr>
    </w:p>
    <w:p w14:paraId="71FDC497" w14:textId="77777777" w:rsidR="00F97172" w:rsidRDefault="00F97172" w:rsidP="000E5AC0">
      <w:pPr>
        <w:spacing w:after="0" w:line="240" w:lineRule="auto"/>
        <w:rPr>
          <w:rFonts w:ascii="Century Gothic" w:hAnsi="Century Gothic"/>
          <w:noProof/>
        </w:rPr>
      </w:pPr>
    </w:p>
    <w:p w14:paraId="2F6BC7F2" w14:textId="77777777" w:rsidR="00F97172" w:rsidRDefault="00F97172" w:rsidP="000E5AC0">
      <w:pPr>
        <w:spacing w:after="0" w:line="240" w:lineRule="auto"/>
        <w:rPr>
          <w:rFonts w:ascii="Century Gothic" w:hAnsi="Century Gothic"/>
          <w:noProof/>
        </w:rPr>
      </w:pPr>
    </w:p>
    <w:p w14:paraId="54E268C1" w14:textId="77777777" w:rsidR="00F97172" w:rsidRDefault="00F97172" w:rsidP="000E5AC0">
      <w:pPr>
        <w:spacing w:after="0" w:line="240" w:lineRule="auto"/>
        <w:rPr>
          <w:rFonts w:ascii="Century Gothic" w:hAnsi="Century Gothic"/>
          <w:noProof/>
        </w:rPr>
      </w:pPr>
    </w:p>
    <w:p w14:paraId="6C12ABAE" w14:textId="77777777" w:rsidR="00F97172" w:rsidRDefault="00F97172" w:rsidP="00F97172">
      <w:pPr>
        <w:spacing w:after="0" w:line="240" w:lineRule="auto"/>
        <w:rPr>
          <w:rFonts w:ascii="Century Gothic" w:hAnsi="Century Gothic"/>
          <w:sz w:val="16"/>
          <w:szCs w:val="16"/>
        </w:rPr>
      </w:pPr>
    </w:p>
    <w:p w14:paraId="498FB981" w14:textId="7856544F" w:rsidR="00F97172" w:rsidRDefault="00F97172" w:rsidP="00F97172">
      <w:pPr>
        <w:spacing w:after="0" w:line="240" w:lineRule="auto"/>
        <w:jc w:val="center"/>
        <w:rPr>
          <w:rFonts w:ascii="Century Gothic" w:hAnsi="Century Gothic"/>
          <w:sz w:val="16"/>
          <w:szCs w:val="16"/>
        </w:rPr>
      </w:pPr>
      <w:r w:rsidRPr="00E94619">
        <w:rPr>
          <w:rFonts w:ascii="Century Gothic" w:hAnsi="Century Gothic"/>
          <w:sz w:val="16"/>
          <w:szCs w:val="16"/>
        </w:rPr>
        <w:t>Fuente: Red Nacional de Información. Unidad para la Atención y Reparación Integral a las Víctimas.</w:t>
      </w:r>
    </w:p>
    <w:p w14:paraId="7A2D30ED" w14:textId="77777777" w:rsidR="00646447" w:rsidRDefault="00646447" w:rsidP="00F97172">
      <w:pPr>
        <w:spacing w:after="0" w:line="240" w:lineRule="auto"/>
        <w:jc w:val="center"/>
        <w:rPr>
          <w:rFonts w:ascii="Century Gothic" w:hAnsi="Century Gothic"/>
          <w:sz w:val="16"/>
          <w:szCs w:val="16"/>
        </w:rPr>
      </w:pPr>
    </w:p>
    <w:p w14:paraId="32BAEF35" w14:textId="77777777" w:rsidR="00646447" w:rsidRDefault="00646447" w:rsidP="00F97172">
      <w:pPr>
        <w:spacing w:after="0" w:line="240" w:lineRule="auto"/>
        <w:jc w:val="center"/>
        <w:rPr>
          <w:rFonts w:ascii="Century Gothic" w:hAnsi="Century Gothic"/>
          <w:sz w:val="16"/>
          <w:szCs w:val="16"/>
        </w:rPr>
      </w:pPr>
    </w:p>
    <w:p w14:paraId="6FCDEDCA" w14:textId="04C8C831" w:rsidR="00F97172" w:rsidRDefault="00F97172" w:rsidP="00F97172">
      <w:pPr>
        <w:spacing w:line="240" w:lineRule="auto"/>
        <w:jc w:val="center"/>
        <w:rPr>
          <w:rFonts w:ascii="Century Gothic" w:hAnsi="Century Gothic"/>
          <w:b/>
          <w:sz w:val="16"/>
          <w:szCs w:val="16"/>
        </w:rPr>
      </w:pPr>
    </w:p>
    <w:p w14:paraId="16DD3FED" w14:textId="0242786C" w:rsidR="00F97172" w:rsidRPr="00F97172" w:rsidRDefault="00D2173C" w:rsidP="00F97172">
      <w:pPr>
        <w:spacing w:line="240" w:lineRule="auto"/>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29248" behindDoc="0" locked="0" layoutInCell="1" allowOverlap="1" wp14:anchorId="0D964965" wp14:editId="20CEF4B7">
            <wp:simplePos x="0" y="0"/>
            <wp:positionH relativeFrom="column">
              <wp:posOffset>-1080135</wp:posOffset>
            </wp:positionH>
            <wp:positionV relativeFrom="paragraph">
              <wp:posOffset>-822960</wp:posOffset>
            </wp:positionV>
            <wp:extent cx="965835" cy="708660"/>
            <wp:effectExtent l="0" t="0" r="0" b="0"/>
            <wp:wrapNone/>
            <wp:docPr id="385" name="Imagen 38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97172">
        <w:rPr>
          <w:rFonts w:ascii="Century Gothic" w:hAnsi="Century Gothic"/>
          <w:b/>
          <w:sz w:val="16"/>
          <w:szCs w:val="16"/>
        </w:rPr>
        <w:t>Gráfica 31</w:t>
      </w:r>
      <w:r w:rsidR="00F97172" w:rsidRPr="00A341A7">
        <w:rPr>
          <w:rFonts w:ascii="Century Gothic" w:hAnsi="Century Gothic"/>
          <w:b/>
          <w:sz w:val="16"/>
          <w:szCs w:val="16"/>
        </w:rPr>
        <w:t xml:space="preserve">. NNA </w:t>
      </w:r>
      <w:r w:rsidR="00F97172">
        <w:rPr>
          <w:rFonts w:ascii="Century Gothic" w:hAnsi="Century Gothic"/>
          <w:b/>
          <w:sz w:val="16"/>
          <w:szCs w:val="16"/>
        </w:rPr>
        <w:t>negro(a) afrocolombiano(a) vinculados – conflicto armado</w:t>
      </w:r>
      <w:r w:rsidR="00F97172" w:rsidRPr="00A341A7">
        <w:rPr>
          <w:rFonts w:ascii="Century Gothic" w:hAnsi="Century Gothic"/>
          <w:b/>
          <w:sz w:val="16"/>
          <w:szCs w:val="16"/>
        </w:rPr>
        <w:t xml:space="preserve"> (2017-2019)</w:t>
      </w:r>
    </w:p>
    <w:p w14:paraId="29CC5F0F" w14:textId="0683EED2" w:rsidR="00F97172" w:rsidRDefault="00F97172" w:rsidP="000E5AC0">
      <w:pPr>
        <w:spacing w:after="0" w:line="240" w:lineRule="auto"/>
        <w:rPr>
          <w:rFonts w:ascii="Century Gothic" w:hAnsi="Century Gothic"/>
          <w:noProof/>
        </w:rPr>
      </w:pPr>
      <w:r w:rsidRPr="00E94619">
        <w:rPr>
          <w:rFonts w:ascii="Century Gothic" w:hAnsi="Century Gothic"/>
          <w:noProof/>
          <w:lang w:val="es-ES" w:eastAsia="es-ES"/>
        </w:rPr>
        <w:drawing>
          <wp:anchor distT="0" distB="0" distL="114300" distR="114300" simplePos="0" relativeHeight="251696128" behindDoc="0" locked="0" layoutInCell="1" allowOverlap="1" wp14:anchorId="22ED5DAD" wp14:editId="3B17ABFA">
            <wp:simplePos x="0" y="0"/>
            <wp:positionH relativeFrom="column">
              <wp:posOffset>1600200</wp:posOffset>
            </wp:positionH>
            <wp:positionV relativeFrom="paragraph">
              <wp:posOffset>50165</wp:posOffset>
            </wp:positionV>
            <wp:extent cx="2038350" cy="1209675"/>
            <wp:effectExtent l="0" t="0" r="0" b="952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835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2EB6F" w14:textId="7C4BE458" w:rsidR="00F97172" w:rsidRPr="00E94619" w:rsidRDefault="00F97172" w:rsidP="000E5AC0">
      <w:pPr>
        <w:spacing w:after="0" w:line="240" w:lineRule="auto"/>
        <w:rPr>
          <w:rFonts w:ascii="Century Gothic" w:hAnsi="Century Gothic"/>
          <w:noProof/>
        </w:rPr>
      </w:pPr>
    </w:p>
    <w:p w14:paraId="5B033CEB" w14:textId="77777777" w:rsidR="003C0F05" w:rsidRPr="00E94619" w:rsidRDefault="003C0F05" w:rsidP="000E5AC0">
      <w:pPr>
        <w:spacing w:after="0" w:line="240" w:lineRule="auto"/>
        <w:rPr>
          <w:rFonts w:ascii="Century Gothic" w:hAnsi="Century Gothic"/>
          <w:noProof/>
        </w:rPr>
      </w:pPr>
    </w:p>
    <w:p w14:paraId="1F062C53" w14:textId="77777777" w:rsidR="00F97172" w:rsidRDefault="00F97172" w:rsidP="000E5AC0">
      <w:pPr>
        <w:spacing w:after="0" w:line="240" w:lineRule="auto"/>
        <w:rPr>
          <w:rFonts w:ascii="Century Gothic" w:hAnsi="Century Gothic"/>
          <w:sz w:val="16"/>
          <w:szCs w:val="16"/>
        </w:rPr>
      </w:pPr>
    </w:p>
    <w:p w14:paraId="4ADF3A74" w14:textId="77777777" w:rsidR="00F97172" w:rsidRDefault="00F97172" w:rsidP="000E5AC0">
      <w:pPr>
        <w:spacing w:after="0" w:line="240" w:lineRule="auto"/>
        <w:rPr>
          <w:rFonts w:ascii="Century Gothic" w:hAnsi="Century Gothic"/>
          <w:sz w:val="16"/>
          <w:szCs w:val="16"/>
        </w:rPr>
      </w:pPr>
    </w:p>
    <w:p w14:paraId="70D246DC" w14:textId="77777777" w:rsidR="00F97172" w:rsidRDefault="00F97172" w:rsidP="000E5AC0">
      <w:pPr>
        <w:spacing w:after="0" w:line="240" w:lineRule="auto"/>
        <w:rPr>
          <w:rFonts w:ascii="Century Gothic" w:hAnsi="Century Gothic"/>
          <w:sz w:val="16"/>
          <w:szCs w:val="16"/>
        </w:rPr>
      </w:pPr>
    </w:p>
    <w:p w14:paraId="4DF55424" w14:textId="77777777" w:rsidR="00F97172" w:rsidRDefault="00F97172" w:rsidP="000E5AC0">
      <w:pPr>
        <w:spacing w:after="0" w:line="240" w:lineRule="auto"/>
        <w:rPr>
          <w:rFonts w:ascii="Century Gothic" w:hAnsi="Century Gothic"/>
          <w:sz w:val="16"/>
          <w:szCs w:val="16"/>
        </w:rPr>
      </w:pPr>
    </w:p>
    <w:p w14:paraId="57A9CA69" w14:textId="77777777" w:rsidR="00F97172" w:rsidRDefault="00F97172" w:rsidP="000E5AC0">
      <w:pPr>
        <w:spacing w:after="0" w:line="240" w:lineRule="auto"/>
        <w:rPr>
          <w:rFonts w:ascii="Century Gothic" w:hAnsi="Century Gothic"/>
          <w:sz w:val="16"/>
          <w:szCs w:val="16"/>
        </w:rPr>
      </w:pPr>
    </w:p>
    <w:p w14:paraId="27C6F61D" w14:textId="77777777" w:rsidR="00F97172" w:rsidRDefault="00F97172" w:rsidP="000E5AC0">
      <w:pPr>
        <w:spacing w:after="0" w:line="240" w:lineRule="auto"/>
        <w:rPr>
          <w:rFonts w:ascii="Century Gothic" w:hAnsi="Century Gothic"/>
          <w:sz w:val="16"/>
          <w:szCs w:val="16"/>
        </w:rPr>
      </w:pPr>
    </w:p>
    <w:p w14:paraId="16DC7374" w14:textId="77777777" w:rsidR="00F97172" w:rsidRDefault="00F97172" w:rsidP="000E5AC0">
      <w:pPr>
        <w:spacing w:after="0" w:line="240" w:lineRule="auto"/>
        <w:rPr>
          <w:rFonts w:ascii="Century Gothic" w:hAnsi="Century Gothic"/>
          <w:sz w:val="16"/>
          <w:szCs w:val="16"/>
        </w:rPr>
      </w:pPr>
    </w:p>
    <w:p w14:paraId="2245F678" w14:textId="77777777" w:rsidR="00F97172" w:rsidRDefault="00F97172" w:rsidP="000E5AC0">
      <w:pPr>
        <w:spacing w:after="0" w:line="240" w:lineRule="auto"/>
        <w:rPr>
          <w:rFonts w:ascii="Century Gothic" w:hAnsi="Century Gothic"/>
          <w:sz w:val="16"/>
          <w:szCs w:val="16"/>
        </w:rPr>
      </w:pPr>
    </w:p>
    <w:p w14:paraId="2644E96D" w14:textId="710D1E73" w:rsidR="001238D7" w:rsidRPr="00E94619" w:rsidRDefault="00CF12A3" w:rsidP="00F97172">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w:t>
      </w:r>
    </w:p>
    <w:p w14:paraId="3CBBBD36" w14:textId="77777777" w:rsidR="001238D7" w:rsidRPr="00E94619" w:rsidRDefault="001238D7" w:rsidP="000E5AC0">
      <w:pPr>
        <w:spacing w:after="0" w:line="240" w:lineRule="auto"/>
        <w:rPr>
          <w:rFonts w:ascii="Century Gothic" w:hAnsi="Century Gothic"/>
        </w:rPr>
      </w:pPr>
    </w:p>
    <w:p w14:paraId="09568674" w14:textId="77777777" w:rsidR="001238D7" w:rsidRPr="00F97172" w:rsidRDefault="0036411F" w:rsidP="000E5AC0">
      <w:pPr>
        <w:pStyle w:val="Ttulo3"/>
        <w:rPr>
          <w:rFonts w:ascii="Century Gothic" w:eastAsia="Cambria" w:hAnsi="Century Gothic"/>
          <w:b w:val="0"/>
          <w:color w:val="C73465"/>
        </w:rPr>
      </w:pPr>
      <w:bookmarkStart w:id="48" w:name="_Toc488624265"/>
      <w:r w:rsidRPr="00F97172">
        <w:rPr>
          <w:rFonts w:ascii="Century Gothic" w:eastAsia="Cambria" w:hAnsi="Century Gothic"/>
          <w:b w:val="0"/>
          <w:color w:val="C73465"/>
        </w:rPr>
        <w:t>1.</w:t>
      </w:r>
      <w:r w:rsidR="00DA57C6" w:rsidRPr="00F97172">
        <w:rPr>
          <w:rFonts w:ascii="Century Gothic" w:eastAsia="Cambria" w:hAnsi="Century Gothic"/>
          <w:b w:val="0"/>
          <w:color w:val="C73465"/>
        </w:rPr>
        <w:t>7</w:t>
      </w:r>
      <w:r w:rsidRPr="00F97172">
        <w:rPr>
          <w:rFonts w:ascii="Century Gothic" w:eastAsia="Cambria" w:hAnsi="Century Gothic"/>
          <w:b w:val="0"/>
          <w:color w:val="C73465"/>
        </w:rPr>
        <w:t xml:space="preserve"> Número de excombatientes </w:t>
      </w:r>
      <w:r w:rsidR="00180521" w:rsidRPr="00F97172">
        <w:rPr>
          <w:rFonts w:ascii="Century Gothic" w:eastAsia="Cambria" w:hAnsi="Century Gothic"/>
          <w:b w:val="0"/>
          <w:color w:val="C73465"/>
        </w:rPr>
        <w:t>en proceso de reincorporación</w:t>
      </w:r>
      <w:bookmarkEnd w:id="48"/>
    </w:p>
    <w:p w14:paraId="5770CEB4" w14:textId="77777777" w:rsidR="001238D7" w:rsidRPr="00E94619" w:rsidRDefault="001238D7" w:rsidP="000E5AC0">
      <w:pPr>
        <w:spacing w:after="0" w:line="240" w:lineRule="auto"/>
        <w:rPr>
          <w:rFonts w:ascii="Century Gothic" w:hAnsi="Century Gothic"/>
          <w:b/>
        </w:rPr>
      </w:pPr>
    </w:p>
    <w:p w14:paraId="49D5174D" w14:textId="598CB32E" w:rsidR="00335114" w:rsidRPr="00FF2D35" w:rsidRDefault="00CF12A3" w:rsidP="00FF2D35">
      <w:pPr>
        <w:jc w:val="both"/>
        <w:rPr>
          <w:rFonts w:ascii="Century Gothic" w:hAnsi="Century Gothic"/>
        </w:rPr>
      </w:pPr>
      <w:r w:rsidRPr="00E94619">
        <w:rPr>
          <w:rFonts w:ascii="Century Gothic" w:hAnsi="Century Gothic"/>
        </w:rPr>
        <w:t xml:space="preserve">Posterior a la firma del Acuerdo de Paz, </w:t>
      </w:r>
      <w:r w:rsidR="003C3181" w:rsidRPr="00E94619">
        <w:rPr>
          <w:rFonts w:ascii="Century Gothic" w:hAnsi="Century Gothic"/>
        </w:rPr>
        <w:t xml:space="preserve"> 73.617 excombatientes iniciaron un proceso de reincorporación</w:t>
      </w:r>
      <w:r w:rsidR="0036411F" w:rsidRPr="00E94619">
        <w:rPr>
          <w:rFonts w:ascii="Century Gothic" w:hAnsi="Century Gothic"/>
        </w:rPr>
        <w:t>,</w:t>
      </w:r>
      <w:r w:rsidR="00E07205" w:rsidRPr="00E94619">
        <w:rPr>
          <w:rFonts w:ascii="Century Gothic" w:hAnsi="Century Gothic"/>
        </w:rPr>
        <w:t xml:space="preserve"> que contempla el abordaje integral de la persona en proceso de reintegración y su familia a través de ocho dimensiones (personal, familiar, salud, educativa, productiva, seguridad, ciudadana y hábitat), que inciden en el desarrollo y fortalecimiento de capacidades, conducentes al ejercicio autónomo de la ciudadanía en el marco de la legalidad</w:t>
      </w:r>
      <w:r w:rsidR="004E26AC" w:rsidRPr="00E94619">
        <w:rPr>
          <w:rFonts w:ascii="Century Gothic" w:hAnsi="Century Gothic"/>
        </w:rPr>
        <w:t xml:space="preserve">. Según lo dispuesto por la </w:t>
      </w:r>
      <w:r w:rsidR="00E07205" w:rsidRPr="00E94619">
        <w:rPr>
          <w:rFonts w:ascii="Century Gothic" w:hAnsi="Century Gothic"/>
        </w:rPr>
        <w:t xml:space="preserve">Ley 975 de 2005, una vez recobren su libertad efectiva, </w:t>
      </w:r>
      <w:r w:rsidR="004E26AC" w:rsidRPr="00E94619">
        <w:rPr>
          <w:rFonts w:ascii="Century Gothic" w:hAnsi="Century Gothic"/>
        </w:rPr>
        <w:t xml:space="preserve">las personas en proceso de reincorporación tienen </w:t>
      </w:r>
      <w:r w:rsidR="00E07205" w:rsidRPr="00E94619">
        <w:rPr>
          <w:rFonts w:ascii="Century Gothic" w:hAnsi="Century Gothic"/>
        </w:rPr>
        <w:t>acceso a los beneficios de acompañamiento psicosocial, formación académica y formación para el trabajo, promoviendo habilidades que les permitan ser sostenibles en la legalidad y cumplir con los compromisos adquiridos con las víctimas en materia de reparación simbólica</w:t>
      </w:r>
      <w:r w:rsidR="0098674A" w:rsidRPr="00E94619">
        <w:rPr>
          <w:rFonts w:ascii="Century Gothic" w:hAnsi="Century Gothic"/>
        </w:rPr>
        <w:t>.</w:t>
      </w:r>
      <w:r w:rsidR="0073148A" w:rsidRPr="00E94619">
        <w:rPr>
          <w:rFonts w:ascii="Century Gothic" w:hAnsi="Century Gothic"/>
        </w:rPr>
        <w:t xml:space="preserve">  Para el 2018 según las cifras de la Agencia de Reincorporación y Normalización ARN se reportan 65.413 hombres y 8.204 mujeres. </w:t>
      </w:r>
    </w:p>
    <w:p w14:paraId="0EEBC46F" w14:textId="77777777" w:rsidR="00335114" w:rsidRPr="00E94619" w:rsidRDefault="00335114" w:rsidP="000E5AC0">
      <w:pPr>
        <w:spacing w:after="0" w:line="240" w:lineRule="auto"/>
        <w:rPr>
          <w:rFonts w:ascii="Century Gothic" w:hAnsi="Century Gothic"/>
          <w:sz w:val="16"/>
          <w:szCs w:val="16"/>
        </w:rPr>
      </w:pPr>
    </w:p>
    <w:p w14:paraId="05DB998A" w14:textId="77777777" w:rsidR="00DD3000" w:rsidRPr="00E94619" w:rsidRDefault="00DD3000" w:rsidP="000E5AC0">
      <w:pPr>
        <w:spacing w:after="0" w:line="240" w:lineRule="auto"/>
        <w:jc w:val="both"/>
        <w:rPr>
          <w:rFonts w:ascii="Century Gothic" w:hAnsi="Century Gothic"/>
        </w:rPr>
      </w:pPr>
      <w:r w:rsidRPr="00E94619">
        <w:rPr>
          <w:rFonts w:ascii="Century Gothic" w:hAnsi="Century Gothic"/>
        </w:rPr>
        <w:t>Al 2021</w:t>
      </w:r>
      <w:r w:rsidR="004E26AC" w:rsidRPr="00E94619">
        <w:rPr>
          <w:rFonts w:ascii="Century Gothic" w:hAnsi="Century Gothic"/>
        </w:rPr>
        <w:t>,</w:t>
      </w:r>
      <w:r w:rsidRPr="00E94619">
        <w:rPr>
          <w:rFonts w:ascii="Century Gothic" w:hAnsi="Century Gothic"/>
        </w:rPr>
        <w:t xml:space="preserve"> 276 excombatientes de las FARC han sido asesinados desde </w:t>
      </w:r>
      <w:r w:rsidR="004E26AC" w:rsidRPr="00E94619">
        <w:rPr>
          <w:rFonts w:ascii="Century Gothic" w:hAnsi="Century Gothic"/>
        </w:rPr>
        <w:t>la firma del Acuerdo de Paz</w:t>
      </w:r>
      <w:r w:rsidRPr="00E94619">
        <w:rPr>
          <w:rFonts w:ascii="Century Gothic" w:hAnsi="Century Gothic"/>
        </w:rPr>
        <w:t xml:space="preserve">, según un informe de la Jurisdicción Especial para La Paz (JEP). </w:t>
      </w:r>
    </w:p>
    <w:p w14:paraId="549DF3FC" w14:textId="77777777" w:rsidR="00335114" w:rsidRPr="00E94619" w:rsidRDefault="00335114" w:rsidP="000E5AC0">
      <w:pPr>
        <w:spacing w:after="0" w:line="240" w:lineRule="auto"/>
        <w:rPr>
          <w:rFonts w:ascii="Century Gothic" w:hAnsi="Century Gothic"/>
          <w:sz w:val="16"/>
          <w:szCs w:val="16"/>
        </w:rPr>
      </w:pPr>
    </w:p>
    <w:p w14:paraId="4AA5F4DF" w14:textId="77777777" w:rsidR="00335114" w:rsidRPr="00E94619" w:rsidRDefault="00335114" w:rsidP="000E5AC0">
      <w:pPr>
        <w:spacing w:after="0" w:line="240" w:lineRule="auto"/>
        <w:rPr>
          <w:rFonts w:ascii="Century Gothic" w:hAnsi="Century Gothic"/>
          <w:sz w:val="16"/>
          <w:szCs w:val="16"/>
        </w:rPr>
      </w:pPr>
    </w:p>
    <w:p w14:paraId="5BAFDF2F" w14:textId="77777777" w:rsidR="001238D7" w:rsidRPr="00FF2D35" w:rsidRDefault="00DA57C6" w:rsidP="000E5AC0">
      <w:pPr>
        <w:pStyle w:val="Ttulo3"/>
        <w:rPr>
          <w:rFonts w:ascii="Century Gothic" w:eastAsia="Cambria" w:hAnsi="Century Gothic"/>
          <w:b w:val="0"/>
          <w:color w:val="C73465"/>
        </w:rPr>
      </w:pPr>
      <w:bookmarkStart w:id="49" w:name="_Toc488624266"/>
      <w:r w:rsidRPr="00FF2D35">
        <w:rPr>
          <w:rFonts w:ascii="Century Gothic" w:eastAsia="Cambria" w:hAnsi="Century Gothic"/>
          <w:b w:val="0"/>
          <w:color w:val="C73465"/>
        </w:rPr>
        <w:t>1.8</w:t>
      </w:r>
      <w:r w:rsidR="0036411F" w:rsidRPr="00FF2D35">
        <w:rPr>
          <w:rFonts w:ascii="Century Gothic" w:eastAsia="Cambria" w:hAnsi="Century Gothic"/>
          <w:b w:val="0"/>
          <w:color w:val="C73465"/>
        </w:rPr>
        <w:t xml:space="preserve"> Violencia contra Defensores</w:t>
      </w:r>
      <w:r w:rsidR="000041A4" w:rsidRPr="00FF2D35">
        <w:rPr>
          <w:rFonts w:ascii="Century Gothic" w:eastAsia="Cambria" w:hAnsi="Century Gothic"/>
          <w:b w:val="0"/>
          <w:color w:val="C73465"/>
        </w:rPr>
        <w:t>/</w:t>
      </w:r>
      <w:r w:rsidR="0036411F" w:rsidRPr="00FF2D35">
        <w:rPr>
          <w:rFonts w:ascii="Century Gothic" w:eastAsia="Cambria" w:hAnsi="Century Gothic"/>
          <w:b w:val="0"/>
          <w:color w:val="C73465"/>
        </w:rPr>
        <w:t>as de Derechos Humanos</w:t>
      </w:r>
      <w:bookmarkEnd w:id="49"/>
    </w:p>
    <w:p w14:paraId="0511F58E" w14:textId="77777777" w:rsidR="008E4A83" w:rsidRPr="00E94619" w:rsidRDefault="008E4A83" w:rsidP="000E5AC0">
      <w:pPr>
        <w:jc w:val="both"/>
        <w:rPr>
          <w:rFonts w:ascii="Century Gothic" w:hAnsi="Century Gothic"/>
          <w:lang w:val="es-ES_tradnl"/>
        </w:rPr>
      </w:pPr>
    </w:p>
    <w:p w14:paraId="1D05F625" w14:textId="77777777" w:rsidR="001238D7" w:rsidRPr="00E94619" w:rsidRDefault="0036411F" w:rsidP="000E5AC0">
      <w:pPr>
        <w:jc w:val="both"/>
        <w:rPr>
          <w:rFonts w:ascii="Century Gothic" w:hAnsi="Century Gothic"/>
        </w:rPr>
      </w:pPr>
      <w:r w:rsidRPr="00E94619">
        <w:rPr>
          <w:rFonts w:ascii="Century Gothic" w:hAnsi="Century Gothic"/>
        </w:rPr>
        <w:t xml:space="preserve">En el conflicto armado colombiano ha estado presente la eliminación de líderes y lideresas que desarrollan su labor para proteger los derechos humanos de víctimas por diversas razones, entre ellas por habitar territorios con problemas estructurales como la concentración, uso y propiedad de la tierra, los cultivos y comercio de drogas ilícitas y la minería, entre otros. </w:t>
      </w:r>
    </w:p>
    <w:p w14:paraId="08C0ADB4" w14:textId="0CA977AA" w:rsidR="00AA1B97" w:rsidRPr="00E94619" w:rsidRDefault="00AA1B97" w:rsidP="000E5AC0">
      <w:pPr>
        <w:jc w:val="both"/>
        <w:rPr>
          <w:rFonts w:ascii="Century Gothic" w:hAnsi="Century Gothic"/>
        </w:rPr>
      </w:pPr>
      <w:r w:rsidRPr="00E94619">
        <w:rPr>
          <w:rFonts w:ascii="Century Gothic" w:hAnsi="Century Gothic"/>
        </w:rPr>
        <w:t>Según el informe de la Unidad de Investigación y Acusación (UIA) de la Jurisdicción Especial para la Paz</w:t>
      </w:r>
      <w:r w:rsidR="004D5388" w:rsidRPr="00E94619">
        <w:rPr>
          <w:rFonts w:ascii="Century Gothic" w:hAnsi="Century Gothic"/>
        </w:rPr>
        <w:t xml:space="preserve"> (</w:t>
      </w:r>
      <w:r w:rsidRPr="00E94619">
        <w:rPr>
          <w:rFonts w:ascii="Century Gothic" w:hAnsi="Century Gothic"/>
        </w:rPr>
        <w:t>JEP</w:t>
      </w:r>
      <w:r w:rsidR="004D5388" w:rsidRPr="00E94619">
        <w:rPr>
          <w:rFonts w:ascii="Century Gothic" w:hAnsi="Century Gothic"/>
        </w:rPr>
        <w:t>)</w:t>
      </w:r>
      <w:r w:rsidRPr="00E94619">
        <w:rPr>
          <w:rFonts w:ascii="Century Gothic" w:hAnsi="Century Gothic"/>
        </w:rPr>
        <w:t xml:space="preserve">, en un principio contabilizó que entre el primero de diciembre de 2016 y el </w:t>
      </w:r>
      <w:r w:rsidR="004D5388" w:rsidRPr="00E94619">
        <w:rPr>
          <w:rFonts w:ascii="Century Gothic" w:hAnsi="Century Gothic"/>
        </w:rPr>
        <w:t>2020,</w:t>
      </w:r>
      <w:r w:rsidRPr="00E94619">
        <w:rPr>
          <w:rFonts w:ascii="Century Gothic" w:hAnsi="Century Gothic"/>
        </w:rPr>
        <w:t xml:space="preserve"> 864 líderes</w:t>
      </w:r>
      <w:r w:rsidR="000041A4" w:rsidRPr="00E94619">
        <w:rPr>
          <w:rFonts w:ascii="Century Gothic" w:hAnsi="Century Gothic"/>
        </w:rPr>
        <w:t xml:space="preserve"> y lideresas</w:t>
      </w:r>
      <w:r w:rsidRPr="00E94619">
        <w:rPr>
          <w:rFonts w:ascii="Century Gothic" w:hAnsi="Century Gothic"/>
        </w:rPr>
        <w:t xml:space="preserve"> fueron asesinados, de los cuales cerca de la mitad realizaban tareas que ayudaban a materializar la implementación del </w:t>
      </w:r>
      <w:r w:rsidR="000041A4" w:rsidRPr="00E94619">
        <w:rPr>
          <w:rFonts w:ascii="Century Gothic" w:hAnsi="Century Gothic"/>
        </w:rPr>
        <w:t>A</w:t>
      </w:r>
      <w:r w:rsidRPr="00E94619">
        <w:rPr>
          <w:rFonts w:ascii="Century Gothic" w:hAnsi="Century Gothic"/>
        </w:rPr>
        <w:t xml:space="preserve">cuerdo de </w:t>
      </w:r>
      <w:r w:rsidR="000041A4" w:rsidRPr="00E94619">
        <w:rPr>
          <w:rFonts w:ascii="Century Gothic" w:hAnsi="Century Gothic"/>
        </w:rPr>
        <w:t>P</w:t>
      </w:r>
      <w:r w:rsidRPr="00E94619">
        <w:rPr>
          <w:rFonts w:ascii="Century Gothic" w:hAnsi="Century Gothic"/>
        </w:rPr>
        <w:t>az.</w:t>
      </w:r>
      <w:r w:rsidR="009B5964" w:rsidRPr="00E94619">
        <w:rPr>
          <w:rFonts w:ascii="Century Gothic" w:hAnsi="Century Gothic"/>
        </w:rPr>
        <w:t xml:space="preserve"> Según datos de la </w:t>
      </w:r>
      <w:r w:rsidR="000041A4" w:rsidRPr="00E94619">
        <w:rPr>
          <w:rFonts w:ascii="Century Gothic" w:hAnsi="Century Gothic"/>
        </w:rPr>
        <w:t>C</w:t>
      </w:r>
      <w:r w:rsidR="009B5964" w:rsidRPr="00E94619">
        <w:rPr>
          <w:rFonts w:ascii="Century Gothic" w:hAnsi="Century Gothic"/>
        </w:rPr>
        <w:t xml:space="preserve">omisión de la </w:t>
      </w:r>
      <w:r w:rsidR="000041A4" w:rsidRPr="00E94619">
        <w:rPr>
          <w:rFonts w:ascii="Century Gothic" w:hAnsi="Century Gothic"/>
        </w:rPr>
        <w:t>V</w:t>
      </w:r>
      <w:r w:rsidR="009B5964" w:rsidRPr="00E94619">
        <w:rPr>
          <w:rFonts w:ascii="Century Gothic" w:hAnsi="Century Gothic"/>
        </w:rPr>
        <w:t>erdad</w:t>
      </w:r>
      <w:r w:rsidR="000041A4" w:rsidRPr="00E94619">
        <w:rPr>
          <w:rFonts w:ascii="Century Gothic" w:hAnsi="Century Gothic"/>
        </w:rPr>
        <w:t>,</w:t>
      </w:r>
      <w:r w:rsidR="009B5964" w:rsidRPr="00E94619">
        <w:rPr>
          <w:rFonts w:ascii="Century Gothic" w:hAnsi="Century Gothic"/>
        </w:rPr>
        <w:t xml:space="preserve"> las poblaciones más afectadas por estas situaciones </w:t>
      </w:r>
      <w:r w:rsidR="009B5964" w:rsidRPr="00E94619">
        <w:rPr>
          <w:rFonts w:ascii="Century Gothic" w:hAnsi="Century Gothic"/>
        </w:rPr>
        <w:lastRenderedPageBreak/>
        <w:t>viven en los departamentos de Norte de Santander, Antioquia, Chocó y Nariño.</w:t>
      </w:r>
    </w:p>
    <w:p w14:paraId="62D49812" w14:textId="61D0C562" w:rsidR="00FB3BE8" w:rsidRPr="00E94619" w:rsidRDefault="00D2173C" w:rsidP="000E5AC0">
      <w:pPr>
        <w:spacing w:before="120" w:after="120" w:line="240" w:lineRule="auto"/>
        <w:jc w:val="both"/>
        <w:rPr>
          <w:rFonts w:ascii="Century Gothic" w:hAnsi="Century Gothic" w:cstheme="minorHAnsi"/>
        </w:rPr>
      </w:pPr>
      <w:r>
        <w:rPr>
          <w:rFonts w:ascii="Century Gothic" w:hAnsi="Century Gothic"/>
          <w:b/>
          <w:noProof/>
          <w:szCs w:val="24"/>
          <w:lang w:val="es-ES"/>
        </w:rPr>
        <w:drawing>
          <wp:anchor distT="0" distB="0" distL="114300" distR="114300" simplePos="0" relativeHeight="251831296" behindDoc="0" locked="0" layoutInCell="1" allowOverlap="1" wp14:anchorId="06E626AA" wp14:editId="773A0B68">
            <wp:simplePos x="0" y="0"/>
            <wp:positionH relativeFrom="column">
              <wp:posOffset>-1080135</wp:posOffset>
            </wp:positionH>
            <wp:positionV relativeFrom="paragraph">
              <wp:posOffset>-1294130</wp:posOffset>
            </wp:positionV>
            <wp:extent cx="965835" cy="708660"/>
            <wp:effectExtent l="0" t="0" r="0" b="0"/>
            <wp:wrapNone/>
            <wp:docPr id="386" name="Imagen 38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550FAD" w:rsidRPr="00E94619">
        <w:rPr>
          <w:rFonts w:ascii="Century Gothic" w:hAnsi="Century Gothic" w:cstheme="minorHAnsi"/>
        </w:rPr>
        <w:t xml:space="preserve">2020 y 2021 han sido años difíciles </w:t>
      </w:r>
      <w:r w:rsidR="00FB3BE8" w:rsidRPr="00E94619">
        <w:rPr>
          <w:rFonts w:ascii="Century Gothic" w:hAnsi="Century Gothic" w:cstheme="minorHAnsi"/>
        </w:rPr>
        <w:t>para las personas que defienden los derechos humanos en Colombia, qu</w:t>
      </w:r>
      <w:r w:rsidR="00550FAD" w:rsidRPr="00E94619">
        <w:rPr>
          <w:rFonts w:ascii="Century Gothic" w:hAnsi="Century Gothic" w:cstheme="minorHAnsi"/>
        </w:rPr>
        <w:t>ienes</w:t>
      </w:r>
      <w:r w:rsidR="00FB3BE8" w:rsidRPr="00E94619">
        <w:rPr>
          <w:rFonts w:ascii="Century Gothic" w:hAnsi="Century Gothic" w:cstheme="minorHAnsi"/>
        </w:rPr>
        <w:t xml:space="preserve"> además de enfrentar la compleja situación de violencia social y política, así como el recrudecimiento del conflicto en los territorios, también tienen que afrontar las consecuencias de la pandemia del COVID-19</w:t>
      </w:r>
      <w:r w:rsidR="00550FAD" w:rsidRPr="00E94619">
        <w:rPr>
          <w:rFonts w:ascii="Century Gothic" w:hAnsi="Century Gothic" w:cstheme="minorHAnsi"/>
        </w:rPr>
        <w:t>.</w:t>
      </w:r>
      <w:r w:rsidR="00FB3BE8" w:rsidRPr="00E94619">
        <w:rPr>
          <w:rFonts w:ascii="Century Gothic" w:hAnsi="Century Gothic" w:cstheme="minorHAnsi"/>
        </w:rPr>
        <w:t xml:space="preserve"> </w:t>
      </w:r>
    </w:p>
    <w:p w14:paraId="51AA8F16" w14:textId="05C2D18B" w:rsidR="001E06D6" w:rsidRPr="00E94619" w:rsidRDefault="00550FAD" w:rsidP="000E5AC0">
      <w:pPr>
        <w:spacing w:before="120" w:after="120" w:line="240" w:lineRule="auto"/>
        <w:jc w:val="both"/>
        <w:rPr>
          <w:rFonts w:ascii="Century Gothic" w:hAnsi="Century Gothic" w:cstheme="minorHAnsi"/>
        </w:rPr>
      </w:pPr>
      <w:r w:rsidRPr="00E94619">
        <w:rPr>
          <w:rFonts w:ascii="Century Gothic" w:hAnsi="Century Gothic" w:cstheme="minorHAnsi"/>
        </w:rPr>
        <w:t xml:space="preserve">En </w:t>
      </w:r>
      <w:r w:rsidR="00FB3BE8" w:rsidRPr="00E94619">
        <w:rPr>
          <w:rFonts w:ascii="Century Gothic" w:hAnsi="Century Gothic" w:cstheme="minorHAnsi"/>
        </w:rPr>
        <w:t xml:space="preserve">el período enero </w:t>
      </w:r>
      <w:r w:rsidRPr="00E94619">
        <w:rPr>
          <w:rFonts w:ascii="Century Gothic" w:hAnsi="Century Gothic" w:cstheme="minorHAnsi"/>
        </w:rPr>
        <w:t>–</w:t>
      </w:r>
      <w:r w:rsidR="00FB3BE8" w:rsidRPr="00E94619">
        <w:rPr>
          <w:rFonts w:ascii="Century Gothic" w:hAnsi="Century Gothic" w:cstheme="minorHAnsi"/>
        </w:rPr>
        <w:t xml:space="preserve"> marzo</w:t>
      </w:r>
      <w:r w:rsidRPr="00E94619">
        <w:rPr>
          <w:rFonts w:ascii="Century Gothic" w:hAnsi="Century Gothic" w:cstheme="minorHAnsi"/>
        </w:rPr>
        <w:t xml:space="preserve"> de 2021</w:t>
      </w:r>
      <w:r w:rsidR="00FB3BE8" w:rsidRPr="00E94619">
        <w:rPr>
          <w:rFonts w:ascii="Century Gothic" w:hAnsi="Century Gothic" w:cstheme="minorHAnsi"/>
        </w:rPr>
        <w:t xml:space="preserve"> el </w:t>
      </w:r>
      <w:r w:rsidRPr="00E94619">
        <w:rPr>
          <w:rFonts w:ascii="Century Gothic" w:hAnsi="Century Gothic" w:cstheme="minorHAnsi"/>
        </w:rPr>
        <w:t xml:space="preserve">Sistema de Información sobre Agresiones contra Personas Defensoras de Derechos Humanos en Colombia - </w:t>
      </w:r>
      <w:r w:rsidR="00FB3BE8" w:rsidRPr="00E94619">
        <w:rPr>
          <w:rFonts w:ascii="Century Gothic" w:hAnsi="Century Gothic" w:cstheme="minorHAnsi"/>
        </w:rPr>
        <w:t>SIADDHH confirmó 180 agresiones individuales contra 176 personas defensoras de derechos humanos, es decir, en el primer trimestre del año en promedio se cometieron dos agresiones diarias a través de los distintos tipos de violencia: asesinatos, amenazas, atentados, detenciones arbitrarias, judicializaciones, desapariciones forzadas y robos de información.</w:t>
      </w:r>
    </w:p>
    <w:p w14:paraId="1781690D" w14:textId="77777777" w:rsidR="001E06D6" w:rsidRPr="00E94619" w:rsidRDefault="001E06D6" w:rsidP="000E5AC0">
      <w:pPr>
        <w:spacing w:line="240" w:lineRule="auto"/>
        <w:jc w:val="both"/>
        <w:rPr>
          <w:rFonts w:ascii="Century Gothic" w:hAnsi="Century Gothic"/>
        </w:rPr>
      </w:pPr>
      <w:r w:rsidRPr="00E94619">
        <w:rPr>
          <w:rFonts w:ascii="Century Gothic" w:hAnsi="Century Gothic"/>
        </w:rPr>
        <w:t>En el informe del Programa Somos Defensores del 2020 sobre las a</w:t>
      </w:r>
      <w:r w:rsidRPr="00E94619">
        <w:rPr>
          <w:rFonts w:ascii="Century Gothic" w:hAnsi="Century Gothic"/>
          <w:color w:val="050505"/>
          <w:shd w:val="clear" w:color="auto" w:fill="FFFFFF"/>
        </w:rPr>
        <w:t xml:space="preserve">gresiones contra Personas Defensoras de Derechos Humanos se registra que </w:t>
      </w:r>
      <w:r w:rsidRPr="00E94619">
        <w:rPr>
          <w:rFonts w:ascii="Century Gothic" w:hAnsi="Century Gothic"/>
        </w:rPr>
        <w:t>de las 452 personas defensoras que fueron víctimas en los diferentes hechos de agresión, 28% (125) son mujeres y 72% (327) hombres. En relación con los porcentajes del mismo período del año 2019, es posible decir que se trata de una cifra sostenida, pues el año pasado el 29% de las agresiones ocurrieron contra mujeres y el 71% contra hombres, lo cual no representa una variación ostensible. Sin embargo, en este período se debe resaltar la ocurrencia de feminicidios; el SIADDHH registró 3 posibles casos en el primer semestre de 2020, todos dentro de la cuarentena, lo que coincide con la Alerta Temprana N° 018 de Inminencia de carácter nacional, emitida el 30 de abril de 2020 por el Sistema de Alertas Tempranas de la Defensoría del Pueblo, en la cual, entre los 11 grupos poblacionales de mayor riesgo identificados, se encuentran “Líderes/as sociales y personas defensoras de DD.HH” y “Mujeres”. También se relaciona con las alertas que Inminencia de carácter nacional, emitida el 30 de abril de 2020 por el Sistema de Alertas tempranas de la Defensoría del Pueblo, en la cual, entre los 11 grupos poblacionales de mayor riesgo identificados, se encuentran “Líderes/as sociales y personas defensoras de DD.HH” y Mujeres. También se relaciona con las alertas que desde diferentes organizaciones (entre ellas Sisma Mujer) se han he cho sobre el incremento del riesgo para las mujeres de ser víctimas de violencia en sus hogares. Esto pone en evidencia las dificultades que enfrentan las defensoras de derechos.</w:t>
      </w:r>
      <w:r w:rsidRPr="00E94619">
        <w:rPr>
          <w:rFonts w:ascii="Century Gothic" w:hAnsi="Century Gothic"/>
          <w:noProof/>
          <w:lang w:val="es-ES"/>
        </w:rPr>
        <w:t xml:space="preserve"> (Programa Somos Defensores, 2020)</w:t>
      </w:r>
    </w:p>
    <w:p w14:paraId="5AA7D876" w14:textId="37454601" w:rsidR="001E06D6" w:rsidRPr="00E94619" w:rsidRDefault="00687A2D" w:rsidP="000E5AC0">
      <w:pPr>
        <w:spacing w:before="120" w:after="120" w:line="240" w:lineRule="auto"/>
        <w:jc w:val="both"/>
        <w:rPr>
          <w:rFonts w:ascii="Century Gothic" w:hAnsi="Century Gothic" w:cstheme="minorHAnsi"/>
        </w:rPr>
      </w:pPr>
      <w:r w:rsidRPr="00E94619">
        <w:rPr>
          <w:rFonts w:ascii="Century Gothic" w:hAnsi="Century Gothic"/>
          <w:noProof/>
          <w:lang w:val="es-ES" w:eastAsia="es-ES"/>
        </w:rPr>
        <w:drawing>
          <wp:anchor distT="0" distB="0" distL="114300" distR="114300" simplePos="0" relativeHeight="251697152" behindDoc="0" locked="0" layoutInCell="1" allowOverlap="1" wp14:anchorId="1DED6F34" wp14:editId="37A8F0E9">
            <wp:simplePos x="0" y="0"/>
            <wp:positionH relativeFrom="column">
              <wp:posOffset>1485900</wp:posOffset>
            </wp:positionH>
            <wp:positionV relativeFrom="paragraph">
              <wp:posOffset>0</wp:posOffset>
            </wp:positionV>
            <wp:extent cx="2615565" cy="1669415"/>
            <wp:effectExtent l="0" t="0" r="635" b="698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15565" cy="1669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DF9B6" w14:textId="77777777" w:rsidR="001E06D6" w:rsidRPr="00E94619" w:rsidRDefault="001E06D6" w:rsidP="000E5AC0">
      <w:pPr>
        <w:spacing w:before="120" w:after="120" w:line="240" w:lineRule="auto"/>
        <w:jc w:val="both"/>
        <w:rPr>
          <w:rFonts w:ascii="Century Gothic" w:hAnsi="Century Gothic" w:cstheme="minorHAnsi"/>
        </w:rPr>
      </w:pPr>
    </w:p>
    <w:p w14:paraId="38FF119C" w14:textId="77777777" w:rsidR="00FB3BE8" w:rsidRPr="00E94619" w:rsidRDefault="00FB3BE8" w:rsidP="000E5AC0">
      <w:pPr>
        <w:spacing w:before="120" w:after="120" w:line="240" w:lineRule="auto"/>
        <w:jc w:val="both"/>
        <w:rPr>
          <w:rFonts w:ascii="Century Gothic" w:hAnsi="Century Gothic" w:cstheme="minorHAnsi"/>
        </w:rPr>
      </w:pPr>
    </w:p>
    <w:p w14:paraId="672EEC04" w14:textId="46512B44" w:rsidR="00FF2D35" w:rsidRDefault="00830DBC" w:rsidP="000E5AC0">
      <w:pPr>
        <w:spacing w:after="0"/>
        <w:jc w:val="both"/>
        <w:rPr>
          <w:rFonts w:ascii="Century Gothic" w:hAnsi="Century Gothic"/>
        </w:rPr>
      </w:pPr>
      <w:sdt>
        <w:sdtPr>
          <w:rPr>
            <w:rFonts w:ascii="Century Gothic" w:hAnsi="Century Gothic"/>
          </w:rPr>
          <w:tag w:val="goog_rdk_44"/>
          <w:id w:val="1273821152"/>
        </w:sdtPr>
        <w:sdtContent/>
      </w:sdt>
    </w:p>
    <w:p w14:paraId="17841381" w14:textId="77777777" w:rsidR="00FF2D35" w:rsidRDefault="00FF2D35" w:rsidP="000E5AC0">
      <w:pPr>
        <w:spacing w:after="0"/>
        <w:jc w:val="both"/>
        <w:rPr>
          <w:rFonts w:ascii="Century Gothic" w:hAnsi="Century Gothic"/>
        </w:rPr>
      </w:pPr>
    </w:p>
    <w:p w14:paraId="40ECFC01" w14:textId="77777777" w:rsidR="00FF2D35" w:rsidRDefault="00FF2D35" w:rsidP="000E5AC0">
      <w:pPr>
        <w:spacing w:after="0"/>
        <w:jc w:val="both"/>
        <w:rPr>
          <w:rFonts w:ascii="Century Gothic" w:hAnsi="Century Gothic"/>
        </w:rPr>
      </w:pPr>
    </w:p>
    <w:p w14:paraId="5E8C786B" w14:textId="77777777" w:rsidR="00FF2D35" w:rsidRDefault="00FF2D35" w:rsidP="000E5AC0">
      <w:pPr>
        <w:spacing w:after="0"/>
        <w:jc w:val="both"/>
        <w:rPr>
          <w:rFonts w:ascii="Century Gothic" w:hAnsi="Century Gothic"/>
        </w:rPr>
      </w:pPr>
    </w:p>
    <w:p w14:paraId="4DF49AB4" w14:textId="77777777" w:rsidR="00FF2D35" w:rsidRDefault="00FF2D35" w:rsidP="000E5AC0">
      <w:pPr>
        <w:spacing w:after="0"/>
        <w:jc w:val="both"/>
        <w:rPr>
          <w:rFonts w:ascii="Century Gothic" w:hAnsi="Century Gothic"/>
        </w:rPr>
      </w:pPr>
    </w:p>
    <w:p w14:paraId="3BDFD291" w14:textId="77777777" w:rsidR="00FF2D35" w:rsidRDefault="00FF2D35" w:rsidP="000E5AC0">
      <w:pPr>
        <w:spacing w:after="0"/>
        <w:jc w:val="both"/>
        <w:rPr>
          <w:rFonts w:ascii="Century Gothic" w:hAnsi="Century Gothic"/>
        </w:rPr>
      </w:pPr>
    </w:p>
    <w:p w14:paraId="149DE317" w14:textId="08CC6E66" w:rsidR="00FF2D35" w:rsidRDefault="00FF2D35" w:rsidP="000E5AC0">
      <w:pPr>
        <w:spacing w:after="0"/>
        <w:jc w:val="both"/>
        <w:rPr>
          <w:rFonts w:ascii="Century Gothic" w:hAnsi="Century Gothic"/>
        </w:rPr>
      </w:pPr>
    </w:p>
    <w:p w14:paraId="2C536A36" w14:textId="0B20BC5A" w:rsidR="001238D7" w:rsidRDefault="00D2173C" w:rsidP="000E5AC0">
      <w:pPr>
        <w:spacing w:after="0"/>
        <w:jc w:val="both"/>
        <w:rPr>
          <w:rFonts w:ascii="Century Gothic" w:hAnsi="Century Gothic"/>
          <w:b/>
        </w:rPr>
      </w:pPr>
      <w:r>
        <w:rPr>
          <w:rFonts w:ascii="Century Gothic" w:hAnsi="Century Gothic"/>
          <w:b/>
          <w:noProof/>
          <w:szCs w:val="24"/>
          <w:lang w:val="es-ES"/>
        </w:rPr>
        <w:lastRenderedPageBreak/>
        <w:drawing>
          <wp:anchor distT="0" distB="0" distL="114300" distR="114300" simplePos="0" relativeHeight="251833344" behindDoc="0" locked="0" layoutInCell="1" allowOverlap="1" wp14:anchorId="3B474A0B" wp14:editId="023F1546">
            <wp:simplePos x="0" y="0"/>
            <wp:positionH relativeFrom="column">
              <wp:posOffset>-1080135</wp:posOffset>
            </wp:positionH>
            <wp:positionV relativeFrom="paragraph">
              <wp:posOffset>-822960</wp:posOffset>
            </wp:positionV>
            <wp:extent cx="965835" cy="708660"/>
            <wp:effectExtent l="0" t="0" r="0" b="0"/>
            <wp:wrapNone/>
            <wp:docPr id="387" name="Imagen 38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rPr>
        <w:t>Respuesta del Estado frente a la violencia contra las mujeres y niñas en el conflicto armado</w:t>
      </w:r>
    </w:p>
    <w:p w14:paraId="081D97BD" w14:textId="77777777" w:rsidR="00FF2D35" w:rsidRPr="00E94619" w:rsidRDefault="00FF2D35" w:rsidP="000E5AC0">
      <w:pPr>
        <w:spacing w:after="0"/>
        <w:jc w:val="both"/>
        <w:rPr>
          <w:rFonts w:ascii="Century Gothic" w:hAnsi="Century Gothic"/>
          <w:b/>
        </w:rPr>
      </w:pPr>
    </w:p>
    <w:tbl>
      <w:tblPr>
        <w:tblStyle w:val="affff2"/>
        <w:tblW w:w="91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3"/>
      </w:tblGrid>
      <w:tr w:rsidR="001238D7" w:rsidRPr="00E94619" w14:paraId="02606DCC" w14:textId="77777777" w:rsidTr="0089786B">
        <w:tc>
          <w:tcPr>
            <w:tcW w:w="9193" w:type="dxa"/>
            <w:tcBorders>
              <w:top w:val="single" w:sz="4" w:space="0" w:color="CC0066"/>
              <w:bottom w:val="single" w:sz="4" w:space="0" w:color="CC0066"/>
              <w:right w:val="single" w:sz="4" w:space="0" w:color="CC0066"/>
            </w:tcBorders>
            <w:shd w:val="clear" w:color="auto" w:fill="FF99CC"/>
          </w:tcPr>
          <w:p w14:paraId="171E599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MARCO NORMATIVO</w:t>
            </w:r>
          </w:p>
        </w:tc>
      </w:tr>
      <w:tr w:rsidR="001238D7" w:rsidRPr="00E94619" w14:paraId="7B0976FA" w14:textId="77777777" w:rsidTr="0089786B">
        <w:tc>
          <w:tcPr>
            <w:tcW w:w="9193" w:type="dxa"/>
            <w:tcBorders>
              <w:top w:val="single" w:sz="4" w:space="0" w:color="CC0066"/>
              <w:left w:val="single" w:sz="4" w:space="0" w:color="CC0066"/>
              <w:bottom w:val="single" w:sz="4" w:space="0" w:color="CC0066"/>
              <w:right w:val="single" w:sz="4" w:space="0" w:color="CC0066"/>
            </w:tcBorders>
          </w:tcPr>
          <w:p w14:paraId="4860E075"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VÍCTIMAS DEL CONFLICTO ARMADO: </w:t>
            </w:r>
          </w:p>
          <w:p w14:paraId="478FCEE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1448 de 2011: </w:t>
            </w:r>
            <w:r w:rsidRPr="00E94619">
              <w:rPr>
                <w:rFonts w:ascii="Century Gothic" w:hAnsi="Century Gothic"/>
                <w:sz w:val="16"/>
                <w:szCs w:val="16"/>
              </w:rPr>
              <w:t>tiene por objeto establecer un conjunto de medidas judiciales, administrativas, sociales y económicas, individuales y colectivas, en beneficio de las víctimas de las violaciones contempladas en el artículo 3º de la ley, dentro de un marco de justicia transicional para posibilitar hacer efectivo el goce de sus derechos a la verdad, la justicia y la reparación con garantía de no repetición. Las niñas, los niños y las mujeres son considerados como sujetos de especial protección constitucional.</w:t>
            </w:r>
          </w:p>
          <w:p w14:paraId="73027CEA" w14:textId="77777777" w:rsidR="001238D7" w:rsidRPr="00E94619" w:rsidRDefault="001238D7" w:rsidP="000E5AC0">
            <w:pPr>
              <w:spacing w:after="0" w:line="240" w:lineRule="auto"/>
              <w:jc w:val="both"/>
              <w:rPr>
                <w:rFonts w:ascii="Century Gothic" w:hAnsi="Century Gothic"/>
                <w:b/>
                <w:sz w:val="16"/>
                <w:szCs w:val="16"/>
              </w:rPr>
            </w:pPr>
          </w:p>
          <w:p w14:paraId="417F11E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DESPLAZAMIENTO</w:t>
            </w:r>
          </w:p>
          <w:p w14:paraId="42DE65D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-Auto 098 de 2013:</w:t>
            </w:r>
            <w:r w:rsidRPr="00E94619">
              <w:rPr>
                <w:rFonts w:ascii="Century Gothic" w:hAnsi="Century Gothic"/>
                <w:sz w:val="16"/>
                <w:szCs w:val="16"/>
              </w:rPr>
              <w:t xml:space="preserve"> seguimiento sobre prevención y protección del derecho a la vida, integridad y seguridad personal de mujeres líderes desplazadas y mujeres de organizaciones que trabajan a favor de población desplazada según sentencia T-025/04 y autos A200/07 y A092/08.</w:t>
            </w:r>
          </w:p>
          <w:p w14:paraId="68F4E4C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-AUTO 092 DE 2008: </w:t>
            </w:r>
            <w:r w:rsidRPr="00E94619">
              <w:rPr>
                <w:rFonts w:ascii="Century Gothic" w:hAnsi="Century Gothic"/>
                <w:sz w:val="16"/>
                <w:szCs w:val="16"/>
              </w:rPr>
              <w:t>la Corte Constitucional adopta medidas comprehensivas para la protección de los derechos fundamentales de las mujeres desplazadas por el conflicto armado en el país y la prevención del impacto de género desproporcionado del conflicto armado y del desplazamiento forzado.</w:t>
            </w:r>
          </w:p>
          <w:p w14:paraId="15F9AF0A" w14:textId="77777777" w:rsidR="001238D7" w:rsidRPr="00E94619" w:rsidRDefault="001238D7" w:rsidP="000E5AC0">
            <w:pPr>
              <w:spacing w:after="0" w:line="240" w:lineRule="auto"/>
              <w:jc w:val="both"/>
              <w:rPr>
                <w:rFonts w:ascii="Century Gothic" w:hAnsi="Century Gothic"/>
                <w:b/>
                <w:sz w:val="16"/>
                <w:szCs w:val="16"/>
              </w:rPr>
            </w:pPr>
          </w:p>
          <w:p w14:paraId="26BCD911" w14:textId="6122C477" w:rsidR="001238D7" w:rsidRPr="00E94619" w:rsidRDefault="008F5780" w:rsidP="000E5AC0">
            <w:pPr>
              <w:spacing w:after="0" w:line="240" w:lineRule="auto"/>
              <w:jc w:val="both"/>
              <w:rPr>
                <w:rFonts w:ascii="Century Gothic" w:hAnsi="Century Gothic"/>
                <w:b/>
                <w:sz w:val="16"/>
                <w:szCs w:val="16"/>
              </w:rPr>
            </w:pPr>
            <w:r w:rsidRPr="00E94619">
              <w:rPr>
                <w:rFonts w:ascii="Century Gothic" w:hAnsi="Century Gothic"/>
                <w:b/>
                <w:sz w:val="16"/>
                <w:szCs w:val="16"/>
              </w:rPr>
              <w:t>REINCORPORACIÓN</w:t>
            </w:r>
          </w:p>
          <w:p w14:paraId="35E0312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 -Ley 975 de 2005: </w:t>
            </w:r>
            <w:r w:rsidRPr="00E94619">
              <w:rPr>
                <w:rFonts w:ascii="Century Gothic" w:hAnsi="Century Gothic"/>
                <w:sz w:val="16"/>
                <w:szCs w:val="16"/>
              </w:rPr>
              <w:t>facilita los procesos de paz y la reincorporación individual o colectiva a la vida civil de miembros de grupos armados al margen de la ley, garantizando los derechos de las víctimas a la verdad, la justicia y la reparación.</w:t>
            </w:r>
            <w:r w:rsidRPr="00E94619">
              <w:rPr>
                <w:rFonts w:ascii="Century Gothic" w:hAnsi="Century Gothic"/>
                <w:b/>
                <w:sz w:val="16"/>
                <w:szCs w:val="16"/>
              </w:rPr>
              <w:t xml:space="preserve"> </w:t>
            </w:r>
            <w:r w:rsidRPr="00E94619">
              <w:rPr>
                <w:rFonts w:ascii="Century Gothic" w:hAnsi="Century Gothic"/>
                <w:sz w:val="16"/>
                <w:szCs w:val="16"/>
              </w:rPr>
              <w:t>Teniendo en cuenta</w:t>
            </w:r>
            <w:r w:rsidRPr="00E94619">
              <w:rPr>
                <w:rFonts w:ascii="Century Gothic" w:hAnsi="Century Gothic"/>
                <w:b/>
                <w:sz w:val="16"/>
                <w:szCs w:val="16"/>
              </w:rPr>
              <w:t xml:space="preserve"> </w:t>
            </w:r>
            <w:r w:rsidRPr="00E94619">
              <w:rPr>
                <w:rFonts w:ascii="Century Gothic" w:hAnsi="Century Gothic"/>
                <w:sz w:val="16"/>
                <w:szCs w:val="16"/>
              </w:rPr>
              <w:t>todos los factores pertinentes, incluidos la edad, el género y la salud, así como la índole del delito, en particular cuando este entrañe violencia sexual, irrespeto a la igualdad de género o violencia contra niños y niñas.</w:t>
            </w:r>
          </w:p>
          <w:p w14:paraId="74C96B31" w14:textId="77777777" w:rsidR="0036304D" w:rsidRPr="00E94619" w:rsidRDefault="0036304D"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Decreto Ley 899 de 2017 </w:t>
            </w:r>
            <w:r w:rsidRPr="00E94619">
              <w:rPr>
                <w:rFonts w:ascii="Century Gothic" w:hAnsi="Century Gothic"/>
                <w:sz w:val="16"/>
                <w:szCs w:val="16"/>
              </w:rPr>
              <w:t xml:space="preserve">por el cual </w:t>
            </w:r>
            <w:r w:rsidR="008B5AC4" w:rsidRPr="00E94619">
              <w:rPr>
                <w:rFonts w:ascii="Century Gothic" w:hAnsi="Century Gothic"/>
                <w:sz w:val="16"/>
                <w:szCs w:val="16"/>
              </w:rPr>
              <w:t>se especifican los Beneficios Reincorporación Económica y Social para los integrantes de las FARC-EP</w:t>
            </w:r>
          </w:p>
          <w:p w14:paraId="6E223D7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PROTECCIÓN A DEFENSORES Y DEFENSORAS DE DERECHOS HUMANOS</w:t>
            </w:r>
          </w:p>
          <w:p w14:paraId="329C27F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-Resolución 1085 de 2015</w:t>
            </w:r>
            <w:r w:rsidRPr="00E94619">
              <w:rPr>
                <w:rFonts w:ascii="Century Gothic" w:hAnsi="Century Gothic"/>
                <w:sz w:val="16"/>
                <w:szCs w:val="16"/>
              </w:rPr>
              <w:t>: se expide Protocolo para implementar ruta de protección colectiva del programa de Prevención y Protección del Ministerio del Interior y la Unidad Nacional de Protección.</w:t>
            </w:r>
          </w:p>
          <w:p w14:paraId="2BB6EC3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-Decreto 1066 de 2015:</w:t>
            </w:r>
            <w:r w:rsidRPr="00E94619">
              <w:rPr>
                <w:rFonts w:ascii="Century Gothic" w:hAnsi="Century Gothic"/>
                <w:sz w:val="16"/>
                <w:szCs w:val="16"/>
              </w:rPr>
              <w:t xml:space="preserve"> establece que el Ministerio del Interior tendrá como objetivo adoptar, dirigir, coordinar y ejecutar la política pública, planes, programas y proyectos en materia de derechos humanos, derecho internacional humanitario, integración de la Nación con las entidades territoriales, seguridad y convivencia ciudadana, asuntos étnicos, población LGBTI, población vulnerable, democracia, participación ciudadana, acción comunal, la libertad de cultos y el derecho individual a profesar una religión o credo, consulta previa, derecho de autor y derechos conexos.</w:t>
            </w:r>
          </w:p>
          <w:p w14:paraId="239051D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-Decreto 4065 de 2011:</w:t>
            </w:r>
            <w:r w:rsidRPr="00E94619">
              <w:rPr>
                <w:rFonts w:ascii="Century Gothic" w:hAnsi="Century Gothic"/>
                <w:sz w:val="16"/>
                <w:szCs w:val="16"/>
              </w:rPr>
              <w:t xml:space="preserve"> por medio del cual se crea la Unidad Nacional de Protección para víctimas del conflicto armado.</w:t>
            </w:r>
          </w:p>
          <w:p w14:paraId="729FB157" w14:textId="77777777" w:rsidR="001238D7" w:rsidRPr="00E94619" w:rsidRDefault="001238D7" w:rsidP="000E5AC0">
            <w:pPr>
              <w:spacing w:after="0" w:line="240" w:lineRule="auto"/>
              <w:jc w:val="both"/>
              <w:rPr>
                <w:rFonts w:ascii="Century Gothic" w:hAnsi="Century Gothic"/>
                <w:sz w:val="16"/>
                <w:szCs w:val="16"/>
              </w:rPr>
            </w:pPr>
          </w:p>
          <w:p w14:paraId="73633E7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NIÑOS, NIÑAS Y ADOLESCENTES: </w:t>
            </w:r>
          </w:p>
          <w:p w14:paraId="415FDF0D"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-Resolución 0623 de 2014</w:t>
            </w:r>
            <w:r w:rsidRPr="00E94619">
              <w:rPr>
                <w:rFonts w:ascii="Century Gothic" w:hAnsi="Century Gothic"/>
                <w:sz w:val="16"/>
                <w:szCs w:val="16"/>
              </w:rPr>
              <w:t>: se adoptó el Protocolo de participación de niños, niñas y adolescentes víctimas del conflicto armado.</w:t>
            </w:r>
            <w:r w:rsidRPr="00E94619">
              <w:rPr>
                <w:rFonts w:ascii="Century Gothic" w:hAnsi="Century Gothic"/>
                <w:b/>
                <w:sz w:val="16"/>
                <w:szCs w:val="16"/>
              </w:rPr>
              <w:t xml:space="preserve"> </w:t>
            </w:r>
          </w:p>
          <w:p w14:paraId="15FCD9C1" w14:textId="77777777" w:rsidR="001238D7" w:rsidRPr="00E94619" w:rsidRDefault="001238D7" w:rsidP="000E5AC0">
            <w:pPr>
              <w:spacing w:after="0" w:line="240" w:lineRule="auto"/>
              <w:jc w:val="both"/>
              <w:rPr>
                <w:rFonts w:ascii="Century Gothic" w:hAnsi="Century Gothic"/>
                <w:b/>
                <w:sz w:val="16"/>
                <w:szCs w:val="16"/>
              </w:rPr>
            </w:pPr>
          </w:p>
          <w:p w14:paraId="203A8766" w14:textId="77777777" w:rsidR="001238D7" w:rsidRPr="00E94619" w:rsidRDefault="0036411F" w:rsidP="000E5AC0">
            <w:pPr>
              <w:spacing w:after="0" w:line="240" w:lineRule="auto"/>
              <w:ind w:left="39"/>
              <w:jc w:val="both"/>
              <w:rPr>
                <w:rFonts w:ascii="Century Gothic" w:hAnsi="Century Gothic"/>
                <w:b/>
                <w:sz w:val="16"/>
                <w:szCs w:val="16"/>
              </w:rPr>
            </w:pPr>
            <w:r w:rsidRPr="00E94619">
              <w:rPr>
                <w:rFonts w:ascii="Century Gothic" w:hAnsi="Century Gothic"/>
                <w:b/>
                <w:sz w:val="16"/>
                <w:szCs w:val="16"/>
              </w:rPr>
              <w:t xml:space="preserve">ENFOQUE DIFERENCIAL: </w:t>
            </w:r>
          </w:p>
          <w:p w14:paraId="00691612" w14:textId="77777777" w:rsidR="001238D7" w:rsidRPr="00E94619" w:rsidRDefault="0036411F" w:rsidP="000E5AC0">
            <w:pPr>
              <w:spacing w:after="0" w:line="240" w:lineRule="auto"/>
              <w:ind w:left="39"/>
              <w:jc w:val="both"/>
              <w:rPr>
                <w:rFonts w:ascii="Century Gothic" w:hAnsi="Century Gothic"/>
                <w:sz w:val="16"/>
                <w:szCs w:val="16"/>
              </w:rPr>
            </w:pPr>
            <w:r w:rsidRPr="00E94619">
              <w:rPr>
                <w:rFonts w:ascii="Century Gothic" w:hAnsi="Century Gothic"/>
                <w:b/>
                <w:sz w:val="16"/>
                <w:szCs w:val="16"/>
              </w:rPr>
              <w:t>-Decreto 016 de 2014</w:t>
            </w:r>
            <w:r w:rsidRPr="00E94619">
              <w:rPr>
                <w:rFonts w:ascii="Century Gothic" w:hAnsi="Century Gothic"/>
                <w:sz w:val="16"/>
                <w:szCs w:val="16"/>
              </w:rPr>
              <w:t>: la Dirección Nacional de Protección y Asistencia de la Fiscalía debía incorporar enfoques diferenciales en las medidas de protección implementadas (art. 28.7).</w:t>
            </w:r>
          </w:p>
          <w:p w14:paraId="5A8064FD" w14:textId="77777777" w:rsidR="001238D7" w:rsidRPr="00E94619" w:rsidRDefault="0036411F" w:rsidP="000E5AC0">
            <w:pPr>
              <w:spacing w:after="0" w:line="240" w:lineRule="auto"/>
              <w:ind w:left="39"/>
              <w:jc w:val="both"/>
              <w:rPr>
                <w:rFonts w:ascii="Century Gothic" w:hAnsi="Century Gothic"/>
                <w:sz w:val="16"/>
                <w:szCs w:val="16"/>
              </w:rPr>
            </w:pPr>
            <w:r w:rsidRPr="00E94619">
              <w:rPr>
                <w:rFonts w:ascii="Century Gothic" w:hAnsi="Century Gothic"/>
                <w:b/>
                <w:sz w:val="16"/>
                <w:szCs w:val="16"/>
              </w:rPr>
              <w:t xml:space="preserve">-Resolución 758 de 2014: </w:t>
            </w:r>
            <w:r w:rsidRPr="00E94619">
              <w:rPr>
                <w:rFonts w:ascii="Century Gothic" w:hAnsi="Century Gothic"/>
                <w:sz w:val="16"/>
                <w:szCs w:val="16"/>
              </w:rPr>
              <w:t>a través de la cual se construye el modelo de enfoque diferencial y de género que brinda las orientaciones prácticas y operativas para concretar acciones en estos enfoques.</w:t>
            </w:r>
          </w:p>
          <w:p w14:paraId="0AAF1D73"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-Resolución 3788 de 2009: </w:t>
            </w:r>
            <w:r w:rsidRPr="00E94619">
              <w:rPr>
                <w:rFonts w:ascii="Century Gothic" w:hAnsi="Century Gothic"/>
                <w:sz w:val="16"/>
                <w:szCs w:val="16"/>
              </w:rPr>
              <w:t>la Fiscalía General de la Nación establece la conformación de un grupo de trabajo interinstitucional encargado de formular estrategias investigativas y asistenciales destinadas a las víctimas de delitos de violencia de género</w:t>
            </w:r>
            <w:r w:rsidRPr="00E94619">
              <w:rPr>
                <w:rFonts w:ascii="Century Gothic" w:hAnsi="Century Gothic"/>
                <w:b/>
                <w:sz w:val="16"/>
                <w:szCs w:val="16"/>
              </w:rPr>
              <w:t>.</w:t>
            </w:r>
          </w:p>
        </w:tc>
      </w:tr>
      <w:tr w:rsidR="001238D7" w:rsidRPr="00E94619" w14:paraId="18DDECD8" w14:textId="77777777" w:rsidTr="0089786B">
        <w:tc>
          <w:tcPr>
            <w:tcW w:w="9193" w:type="dxa"/>
            <w:tcBorders>
              <w:top w:val="single" w:sz="4" w:space="0" w:color="CC0066"/>
              <w:bottom w:val="single" w:sz="4" w:space="0" w:color="CC0066"/>
            </w:tcBorders>
          </w:tcPr>
          <w:p w14:paraId="3526497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MARCO PROGRAMÁTICO</w:t>
            </w:r>
          </w:p>
        </w:tc>
      </w:tr>
      <w:tr w:rsidR="001238D7" w:rsidRPr="00E94619" w14:paraId="0179AB57" w14:textId="77777777" w:rsidTr="0089786B">
        <w:tc>
          <w:tcPr>
            <w:tcW w:w="9193" w:type="dxa"/>
            <w:tcBorders>
              <w:top w:val="single" w:sz="4" w:space="0" w:color="CC0066"/>
              <w:left w:val="single" w:sz="4" w:space="0" w:color="CC0066"/>
              <w:bottom w:val="single" w:sz="4" w:space="0" w:color="CC0066"/>
              <w:right w:val="single" w:sz="4" w:space="0" w:color="CC0066"/>
            </w:tcBorders>
          </w:tcPr>
          <w:p w14:paraId="14D3E94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Agencia Colombiana para la Reintegración Social: </w:t>
            </w:r>
            <w:r w:rsidRPr="00E94619">
              <w:rPr>
                <w:rFonts w:ascii="Century Gothic" w:hAnsi="Century Gothic"/>
                <w:sz w:val="16"/>
                <w:szCs w:val="16"/>
              </w:rPr>
              <w:t>entidad adscrita a la Presidencia de la República de Colombia, encargada de coordinar, asesorar y ejecutar, en alianza con otras entidades públicas y privadas para la reintegración social y económica de las personas desmovilizadas de los grupos armados al margen de la Ley.</w:t>
            </w:r>
          </w:p>
          <w:p w14:paraId="20A9BF6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Unidad para la Atención y Reparación a las Víctimas: </w:t>
            </w:r>
            <w:r w:rsidRPr="00E94619">
              <w:rPr>
                <w:rFonts w:ascii="Century Gothic" w:hAnsi="Century Gothic"/>
                <w:sz w:val="16"/>
                <w:szCs w:val="16"/>
              </w:rPr>
              <w:t xml:space="preserve">tiene como función la implementación de la Ley 1448 de 2011. Asume género y los derechos de las mujeres como uno de los enfoques orientadores de las intervenciones. Cuenta con varios grupos de trabajo, entre ellos uno con dedicación a los asuntos de las mujeres y género y otro, de niñez y juventud. </w:t>
            </w:r>
          </w:p>
          <w:p w14:paraId="2B1FE3F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Centro de Memoria Histórica: </w:t>
            </w:r>
            <w:r w:rsidRPr="00E94619">
              <w:rPr>
                <w:rFonts w:ascii="Century Gothic" w:hAnsi="Century Gothic"/>
                <w:sz w:val="16"/>
                <w:szCs w:val="16"/>
              </w:rPr>
              <w:t>entidad pública que aporta a la</w:t>
            </w:r>
            <w:r w:rsidRPr="00E94619">
              <w:rPr>
                <w:rFonts w:ascii="Century Gothic" w:hAnsi="Century Gothic"/>
                <w:b/>
                <w:sz w:val="16"/>
                <w:szCs w:val="16"/>
              </w:rPr>
              <w:t xml:space="preserve"> </w:t>
            </w:r>
            <w:r w:rsidRPr="00E94619">
              <w:rPr>
                <w:rFonts w:ascii="Century Gothic" w:hAnsi="Century Gothic"/>
                <w:sz w:val="16"/>
                <w:szCs w:val="16"/>
              </w:rPr>
              <w:t>reparación de las víctimas del conflicto armado a partir de reconstruir los relatos sobre los hechos ocurridos, reconstruyendo la memoria histórica, con el propósito de que sirvan como soporte. Esta entidad tiene entre sus enfoques el de género, desde el cual realiza acciones con mujeres víctimas.</w:t>
            </w:r>
            <w:r w:rsidRPr="00E94619">
              <w:rPr>
                <w:rFonts w:ascii="Century Gothic" w:hAnsi="Century Gothic"/>
                <w:b/>
                <w:sz w:val="16"/>
                <w:szCs w:val="16"/>
              </w:rPr>
              <w:t xml:space="preserve"> </w:t>
            </w:r>
          </w:p>
        </w:tc>
      </w:tr>
    </w:tbl>
    <w:p w14:paraId="33AEE0F4" w14:textId="77777777" w:rsidR="001238D7" w:rsidRPr="00E94619" w:rsidRDefault="001238D7" w:rsidP="000E5AC0">
      <w:pPr>
        <w:spacing w:after="0" w:line="240" w:lineRule="auto"/>
        <w:jc w:val="both"/>
        <w:rPr>
          <w:rFonts w:ascii="Century Gothic" w:hAnsi="Century Gothic"/>
        </w:rPr>
      </w:pPr>
    </w:p>
    <w:p w14:paraId="56F8BAE5" w14:textId="77777777" w:rsidR="001238D7" w:rsidRDefault="0036411F" w:rsidP="000E5AC0">
      <w:pPr>
        <w:spacing w:after="0" w:line="240" w:lineRule="auto"/>
        <w:jc w:val="both"/>
        <w:rPr>
          <w:rFonts w:ascii="Century Gothic" w:hAnsi="Century Gothic"/>
          <w:b/>
        </w:rPr>
      </w:pPr>
      <w:r w:rsidRPr="00E94619">
        <w:rPr>
          <w:rFonts w:ascii="Century Gothic" w:hAnsi="Century Gothic"/>
          <w:b/>
        </w:rPr>
        <w:t xml:space="preserve">Respuesta de la sociedad civil </w:t>
      </w:r>
    </w:p>
    <w:p w14:paraId="7252F1D8" w14:textId="77777777" w:rsidR="00FF2D35" w:rsidRPr="00E94619" w:rsidRDefault="00FF2D35" w:rsidP="000E5AC0">
      <w:pPr>
        <w:spacing w:after="0" w:line="240" w:lineRule="auto"/>
        <w:jc w:val="both"/>
        <w:rPr>
          <w:rFonts w:ascii="Century Gothic" w:hAnsi="Century Gothic"/>
          <w:b/>
        </w:rPr>
      </w:pPr>
    </w:p>
    <w:tbl>
      <w:tblPr>
        <w:tblStyle w:val="affff3"/>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7326"/>
      </w:tblGrid>
      <w:tr w:rsidR="001238D7" w:rsidRPr="00E94619" w14:paraId="3BE60866" w14:textId="77777777" w:rsidTr="0089786B">
        <w:tc>
          <w:tcPr>
            <w:tcW w:w="1720" w:type="dxa"/>
            <w:tcBorders>
              <w:top w:val="single" w:sz="4" w:space="0" w:color="CC0066"/>
              <w:left w:val="single" w:sz="4" w:space="0" w:color="CC0066"/>
              <w:bottom w:val="single" w:sz="4" w:space="0" w:color="CC0066"/>
              <w:right w:val="single" w:sz="4" w:space="0" w:color="CC0066"/>
            </w:tcBorders>
            <w:shd w:val="clear" w:color="auto" w:fill="FF99CC"/>
          </w:tcPr>
          <w:p w14:paraId="1F26C8C2" w14:textId="3ECA36BC"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Organizaciones de la sociedad civil</w:t>
            </w:r>
          </w:p>
        </w:tc>
        <w:tc>
          <w:tcPr>
            <w:tcW w:w="7326" w:type="dxa"/>
            <w:tcBorders>
              <w:top w:val="single" w:sz="4" w:space="0" w:color="CC0066"/>
              <w:left w:val="single" w:sz="4" w:space="0" w:color="CC0066"/>
              <w:bottom w:val="single" w:sz="4" w:space="0" w:color="CC0066"/>
              <w:right w:val="single" w:sz="4" w:space="0" w:color="CC0066"/>
            </w:tcBorders>
          </w:tcPr>
          <w:p w14:paraId="2DF0894D" w14:textId="63806E53"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Las organizaciones de la Coalición 1325:</w:t>
            </w:r>
            <w:r w:rsidRPr="00E94619">
              <w:rPr>
                <w:rFonts w:ascii="Century Gothic" w:hAnsi="Century Gothic"/>
                <w:sz w:val="16"/>
                <w:szCs w:val="16"/>
              </w:rPr>
              <w:t xml:space="preserve"> hacen incidencia para que el Estado colombiano aplique la Resolución 1325 y las subsiguientes Resoluciones del Consejo de </w:t>
            </w:r>
            <w:r w:rsidRPr="00E94619">
              <w:rPr>
                <w:rFonts w:ascii="Century Gothic" w:hAnsi="Century Gothic"/>
                <w:sz w:val="16"/>
                <w:szCs w:val="16"/>
              </w:rPr>
              <w:lastRenderedPageBreak/>
              <w:t>Seguridad de las Naciones Unidas sobre Mujer, Paz y seguridad. Desde el año 2011 hacen un informe anual sobre el seguimiento al cumplimiento. Esta Coalición está constituida por las siguientes organizaciones: Red Nacional de Mujeres (RNM); Corporación de Investigación y Acción Social y Económica (CIASE); Alianza Iniciativa Colombiana de Mujeres por la Paz (IMP); Liga Internacional de Mujeres por la Paz y la Libertad (LIMPAL); Dejusticia; Liga de Mujeres Desplazadas; Observatorio de Género, Democracia y Derechos Humanos (OGDDH); Conferencia Nacional de Organizaciones Afrocolombianas (CNOA); Afrolider; Red de Mujeres Indígenas Piemsikupanayaf</w:t>
            </w:r>
            <w:r w:rsidRPr="00E94619">
              <w:rPr>
                <w:rFonts w:ascii="Century Gothic" w:hAnsi="Century Gothic"/>
                <w:b/>
                <w:sz w:val="16"/>
                <w:szCs w:val="16"/>
              </w:rPr>
              <w:t>.</w:t>
            </w:r>
          </w:p>
          <w:p w14:paraId="7FD02C1B" w14:textId="7652A54C" w:rsidR="001238D7" w:rsidRPr="00E94619" w:rsidRDefault="00D2173C" w:rsidP="000E5AC0">
            <w:pPr>
              <w:spacing w:after="0" w:line="240" w:lineRule="auto"/>
              <w:jc w:val="both"/>
              <w:rPr>
                <w:rFonts w:ascii="Century Gothic" w:hAnsi="Century Gothic"/>
                <w:sz w:val="16"/>
                <w:szCs w:val="16"/>
              </w:rPr>
            </w:pPr>
            <w:r>
              <w:rPr>
                <w:rFonts w:ascii="Century Gothic" w:hAnsi="Century Gothic"/>
                <w:b/>
                <w:noProof/>
                <w:szCs w:val="24"/>
                <w:lang w:val="es-ES"/>
              </w:rPr>
              <w:drawing>
                <wp:anchor distT="0" distB="0" distL="114300" distR="114300" simplePos="0" relativeHeight="251835392" behindDoc="0" locked="0" layoutInCell="1" allowOverlap="1" wp14:anchorId="2573F304" wp14:editId="17AADE85">
                  <wp:simplePos x="0" y="0"/>
                  <wp:positionH relativeFrom="column">
                    <wp:posOffset>-2172335</wp:posOffset>
                  </wp:positionH>
                  <wp:positionV relativeFrom="paragraph">
                    <wp:posOffset>-1825625</wp:posOffset>
                  </wp:positionV>
                  <wp:extent cx="965835" cy="708660"/>
                  <wp:effectExtent l="0" t="0" r="0" b="0"/>
                  <wp:wrapNone/>
                  <wp:docPr id="388" name="Imagen 38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sz w:val="16"/>
                <w:szCs w:val="16"/>
              </w:rPr>
              <w:t xml:space="preserve">Observatorio de la Corporación Humanas: Mujeres, paz y seguridad: </w:t>
            </w:r>
            <w:r w:rsidR="0036411F" w:rsidRPr="00E94619">
              <w:rPr>
                <w:rFonts w:ascii="Century Gothic" w:hAnsi="Century Gothic"/>
                <w:sz w:val="16"/>
                <w:szCs w:val="16"/>
              </w:rPr>
              <w:t>para hacer seguimiento al Estado en el cumplimiento de lo establecido por la Resolución 1325 de 2000 del Consejo de Seguridad de Naciones Unidas y subsiguientes resoluciones (1820 de 2008, 1882 de 2009, 1888 de 2009, 1889 de 2009, 1960 de 2010, 2106, 2122 de 2013 y 2242 de 2015).</w:t>
            </w:r>
          </w:p>
          <w:p w14:paraId="7038FF8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Cumbre de Mujeres y Paz:</w:t>
            </w:r>
            <w:r w:rsidRPr="00E94619">
              <w:rPr>
                <w:rFonts w:ascii="Century Gothic" w:hAnsi="Century Gothic"/>
                <w:sz w:val="16"/>
                <w:szCs w:val="16"/>
              </w:rPr>
              <w:t xml:space="preserve"> Desarrolló de dos encuentros uno en el 2013 y otro en el 2016, en los cuales se hicieron planteamientos relacionados con la participación de las mujeres en la negociación adelantada por el gobierno con la FARC-EP en la Habana-Cuba. Esta plataforma está constituida por: Casa de la Mujer, Ruta Pacífica de las Mujeres, Red Nacional de Mujeres, Mujeres por la paz, Colectivo de Pensamiento y Acción Mujeres, Paz y Seguridad, Grupo de Seguimiento de la Resolución 1325, Conferencia Nacional de Organizaciones Afrocolombianas – CNOA –, Iniciativa de Mujeres Colombianas por la Paz – IMP – y la Asociación Nacional de Mujeres Campesinas, Negras e Indígenas de Colombia – ANMUCIC -.</w:t>
            </w:r>
          </w:p>
          <w:p w14:paraId="55B05B8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Mesa de Trabajo Mujer y Conflicto Armado</w:t>
            </w:r>
            <w:r w:rsidRPr="00E94619">
              <w:rPr>
                <w:rFonts w:ascii="Century Gothic" w:hAnsi="Century Gothic"/>
                <w:sz w:val="16"/>
                <w:szCs w:val="16"/>
              </w:rPr>
              <w:t>: constituida desde el año 2000, con el objetivo de documentar y hacer visible nacional e internacionalmente el impacto del conflicto armado en la vida y el cuerpo de las mujeres, jóvenes y niñas. Anualmente produce un informe con análisis y actualización de datos.</w:t>
            </w:r>
          </w:p>
          <w:p w14:paraId="69B4106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Programa Somos Defensores</w:t>
            </w:r>
            <w:r w:rsidRPr="00E94619">
              <w:rPr>
                <w:rFonts w:ascii="Century Gothic" w:hAnsi="Century Gothic"/>
                <w:sz w:val="16"/>
                <w:szCs w:val="16"/>
              </w:rPr>
              <w:t xml:space="preserve">: elabora cada semestre un informe sobre las agresiones contra Defensores-as de derechos humanos. </w:t>
            </w:r>
          </w:p>
        </w:tc>
      </w:tr>
      <w:tr w:rsidR="001238D7" w:rsidRPr="00E94619" w14:paraId="507A268B" w14:textId="77777777" w:rsidTr="0089786B">
        <w:tc>
          <w:tcPr>
            <w:tcW w:w="1720" w:type="dxa"/>
            <w:tcBorders>
              <w:top w:val="single" w:sz="4" w:space="0" w:color="CC0066"/>
              <w:left w:val="single" w:sz="4" w:space="0" w:color="CC0066"/>
              <w:bottom w:val="single" w:sz="4" w:space="0" w:color="CC0066"/>
              <w:right w:val="single" w:sz="4" w:space="0" w:color="CC0066"/>
            </w:tcBorders>
            <w:shd w:val="clear" w:color="auto" w:fill="FF99CC"/>
          </w:tcPr>
          <w:p w14:paraId="02DD07C0"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Cooperación Internacional</w:t>
            </w:r>
          </w:p>
        </w:tc>
        <w:tc>
          <w:tcPr>
            <w:tcW w:w="7326" w:type="dxa"/>
            <w:tcBorders>
              <w:top w:val="single" w:sz="4" w:space="0" w:color="CC0066"/>
              <w:left w:val="single" w:sz="4" w:space="0" w:color="CC0066"/>
              <w:bottom w:val="single" w:sz="4" w:space="0" w:color="CC0066"/>
              <w:right w:val="single" w:sz="4" w:space="0" w:color="CC0066"/>
            </w:tcBorders>
          </w:tcPr>
          <w:p w14:paraId="747F0A4B"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Sistema de Naciones Unidas: </w:t>
            </w:r>
          </w:p>
          <w:p w14:paraId="48BACC4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PNUD:</w:t>
            </w:r>
            <w:r w:rsidRPr="00E94619">
              <w:rPr>
                <w:rFonts w:ascii="Century Gothic" w:hAnsi="Century Gothic"/>
                <w:sz w:val="16"/>
                <w:szCs w:val="16"/>
              </w:rPr>
              <w:t xml:space="preserve"> Impulsa la participación de las mujeres en los procesos de construcción de paz en el marco de la Resolución 1325 y otros instrumentos internacionales. </w:t>
            </w:r>
          </w:p>
          <w:p w14:paraId="413B488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Oficina del Alto Comisionado para los Derechos Humanos:</w:t>
            </w:r>
            <w:r w:rsidRPr="00E94619">
              <w:rPr>
                <w:rFonts w:ascii="Century Gothic" w:eastAsia="Arial" w:hAnsi="Century Gothic" w:cs="Arial"/>
                <w:color w:val="222222"/>
              </w:rPr>
              <w:t xml:space="preserve"> </w:t>
            </w:r>
            <w:r w:rsidRPr="00E94619">
              <w:rPr>
                <w:rFonts w:ascii="Century Gothic" w:hAnsi="Century Gothic"/>
                <w:sz w:val="16"/>
                <w:szCs w:val="16"/>
              </w:rPr>
              <w:t>tiene como objetivo promover y proteger los derechos humanos.</w:t>
            </w:r>
          </w:p>
          <w:p w14:paraId="1A5B797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Cooperación Alemana GIZ:</w:t>
            </w:r>
            <w:r w:rsidRPr="00E94619">
              <w:rPr>
                <w:rFonts w:ascii="Century Gothic" w:hAnsi="Century Gothic"/>
                <w:sz w:val="16"/>
                <w:szCs w:val="16"/>
              </w:rPr>
              <w:t xml:space="preserve"> Cuenta con el programa Seguridad Reconstrucción y Paz, que incluye proyectos para la asistencia al desplazamiento. </w:t>
            </w:r>
          </w:p>
          <w:p w14:paraId="424F395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Cooperación española AECID</w:t>
            </w:r>
            <w:r w:rsidRPr="00E94619">
              <w:rPr>
                <w:rFonts w:ascii="Century Gothic" w:hAnsi="Century Gothic"/>
                <w:sz w:val="16"/>
                <w:szCs w:val="16"/>
              </w:rPr>
              <w:t xml:space="preserve">: desde su sector de género coopera con la Mesa de Apoyo “derechos humanos de las mujeres y paz en Colombia”. </w:t>
            </w:r>
          </w:p>
          <w:p w14:paraId="7458D05E"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Cooperación Sueca: </w:t>
            </w:r>
            <w:r w:rsidRPr="00E94619">
              <w:rPr>
                <w:rFonts w:ascii="Century Gothic" w:hAnsi="Century Gothic"/>
                <w:sz w:val="16"/>
                <w:szCs w:val="16"/>
              </w:rPr>
              <w:t>línea de trabajo en participación de mujeres en la construcción de paz.</w:t>
            </w:r>
            <w:r w:rsidRPr="00E94619">
              <w:rPr>
                <w:rFonts w:ascii="Century Gothic" w:hAnsi="Century Gothic"/>
                <w:b/>
                <w:sz w:val="16"/>
                <w:szCs w:val="16"/>
              </w:rPr>
              <w:t xml:space="preserve"> </w:t>
            </w:r>
          </w:p>
          <w:p w14:paraId="0E3EA4B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Mesa de Género de la Cooperación Internacional en Colombia: </w:t>
            </w:r>
            <w:r w:rsidRPr="00E94619">
              <w:rPr>
                <w:rFonts w:ascii="Century Gothic" w:hAnsi="Century Gothic"/>
                <w:sz w:val="16"/>
                <w:szCs w:val="16"/>
              </w:rPr>
              <w:t xml:space="preserve">línea de acción en construcción de paz y justicia de género. </w:t>
            </w:r>
          </w:p>
          <w:p w14:paraId="14415F4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Organización Internacional para las Migraciones: </w:t>
            </w:r>
            <w:r w:rsidRPr="00E94619">
              <w:rPr>
                <w:rFonts w:ascii="Century Gothic" w:hAnsi="Century Gothic"/>
                <w:sz w:val="16"/>
                <w:szCs w:val="16"/>
              </w:rPr>
              <w:t>en su Plan Indicativo 2015-2019, en el objetivo estratégico tres “Construcción de la Paz” considera género como uno de sus enfoques transversales.</w:t>
            </w:r>
          </w:p>
          <w:p w14:paraId="2AF161D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Consejo Noruego para refugiados:</w:t>
            </w:r>
            <w:r w:rsidRPr="00E94619">
              <w:rPr>
                <w:rFonts w:ascii="Century Gothic" w:hAnsi="Century Gothic"/>
                <w:sz w:val="16"/>
                <w:szCs w:val="16"/>
              </w:rPr>
              <w:t xml:space="preserve"> Programa refugio para la protección internacional de víctimas del conflicto armado. </w:t>
            </w:r>
          </w:p>
          <w:p w14:paraId="094250C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USAID</w:t>
            </w:r>
            <w:r w:rsidRPr="00E94619">
              <w:rPr>
                <w:rFonts w:ascii="Century Gothic" w:hAnsi="Century Gothic"/>
                <w:sz w:val="16"/>
                <w:szCs w:val="16"/>
              </w:rPr>
              <w:t>: programas para atención a niños-as excombatientes, desmovilización y reintegración, atención a víctimas del conflicto armado, resolución de conflictos de tierras.</w:t>
            </w:r>
          </w:p>
          <w:p w14:paraId="5022224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Fokus </w:t>
            </w:r>
            <w:r w:rsidRPr="00E94619">
              <w:rPr>
                <w:rFonts w:ascii="Century Gothic" w:hAnsi="Century Gothic"/>
                <w:sz w:val="16"/>
                <w:szCs w:val="16"/>
              </w:rPr>
              <w:t>(Foro de Mujeres y Desarrollo): Plataforma Noruega que agrupa 77 organizaciones y forma parte del </w:t>
            </w:r>
            <w:r w:rsidRPr="00E94619">
              <w:rPr>
                <w:rFonts w:ascii="Century Gothic" w:hAnsi="Century Gothic"/>
                <w:i/>
                <w:sz w:val="16"/>
                <w:szCs w:val="16"/>
              </w:rPr>
              <w:t>Programa Fokus 1325 en Colombia</w:t>
            </w:r>
            <w:r w:rsidRPr="00E94619">
              <w:rPr>
                <w:rFonts w:ascii="Century Gothic" w:hAnsi="Century Gothic"/>
                <w:sz w:val="16"/>
                <w:szCs w:val="16"/>
              </w:rPr>
              <w:t>.</w:t>
            </w:r>
          </w:p>
          <w:p w14:paraId="488925C1"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FOS- Fondo Sueco-Noruego de Cooperación con la Sociedad Civil Colombiana: </w:t>
            </w:r>
            <w:r w:rsidRPr="00E94619">
              <w:rPr>
                <w:rFonts w:ascii="Century Gothic" w:hAnsi="Century Gothic"/>
                <w:sz w:val="16"/>
                <w:szCs w:val="16"/>
              </w:rPr>
              <w:t>apoyo a organizaciones que trabajan con organizaciones de mujeres en temas relacionados con la paz</w:t>
            </w:r>
            <w:r w:rsidRPr="00E94619">
              <w:rPr>
                <w:rFonts w:ascii="Century Gothic" w:hAnsi="Century Gothic"/>
                <w:b/>
                <w:sz w:val="16"/>
                <w:szCs w:val="16"/>
              </w:rPr>
              <w:t>.</w:t>
            </w:r>
          </w:p>
        </w:tc>
      </w:tr>
    </w:tbl>
    <w:p w14:paraId="79257CA2" w14:textId="77777777" w:rsidR="001238D7" w:rsidRDefault="001238D7" w:rsidP="000E5AC0">
      <w:pPr>
        <w:spacing w:after="0" w:line="240" w:lineRule="auto"/>
        <w:jc w:val="both"/>
        <w:rPr>
          <w:rFonts w:ascii="Century Gothic" w:hAnsi="Century Gothic"/>
          <w:b/>
        </w:rPr>
      </w:pPr>
    </w:p>
    <w:p w14:paraId="7314D08B" w14:textId="77777777" w:rsidR="00FF2D35" w:rsidRDefault="00FF2D35" w:rsidP="000E5AC0">
      <w:pPr>
        <w:spacing w:after="0" w:line="240" w:lineRule="auto"/>
        <w:jc w:val="both"/>
        <w:rPr>
          <w:rFonts w:ascii="Century Gothic" w:hAnsi="Century Gothic"/>
          <w:b/>
        </w:rPr>
      </w:pPr>
    </w:p>
    <w:p w14:paraId="0091660D" w14:textId="77777777" w:rsidR="00FF2D35" w:rsidRDefault="00FF2D35" w:rsidP="000E5AC0">
      <w:pPr>
        <w:spacing w:after="0" w:line="240" w:lineRule="auto"/>
        <w:jc w:val="both"/>
        <w:rPr>
          <w:rFonts w:ascii="Century Gothic" w:hAnsi="Century Gothic"/>
          <w:b/>
        </w:rPr>
      </w:pPr>
    </w:p>
    <w:p w14:paraId="162D6D6A" w14:textId="77777777" w:rsidR="00646447" w:rsidRDefault="00646447" w:rsidP="000E5AC0">
      <w:pPr>
        <w:spacing w:after="0" w:line="240" w:lineRule="auto"/>
        <w:jc w:val="both"/>
        <w:rPr>
          <w:rFonts w:ascii="Century Gothic" w:hAnsi="Century Gothic"/>
          <w:b/>
        </w:rPr>
      </w:pPr>
    </w:p>
    <w:p w14:paraId="67CB3BF2" w14:textId="77777777" w:rsidR="00646447" w:rsidRDefault="00646447" w:rsidP="000E5AC0">
      <w:pPr>
        <w:spacing w:after="0" w:line="240" w:lineRule="auto"/>
        <w:jc w:val="both"/>
        <w:rPr>
          <w:rFonts w:ascii="Century Gothic" w:hAnsi="Century Gothic"/>
          <w:b/>
        </w:rPr>
      </w:pPr>
    </w:p>
    <w:p w14:paraId="7AC794D8" w14:textId="77777777" w:rsidR="00646447" w:rsidRDefault="00646447" w:rsidP="000E5AC0">
      <w:pPr>
        <w:spacing w:after="0" w:line="240" w:lineRule="auto"/>
        <w:jc w:val="both"/>
        <w:rPr>
          <w:rFonts w:ascii="Century Gothic" w:hAnsi="Century Gothic"/>
          <w:b/>
        </w:rPr>
      </w:pPr>
    </w:p>
    <w:p w14:paraId="55A60BD1" w14:textId="77777777" w:rsidR="00646447" w:rsidRDefault="00646447" w:rsidP="000E5AC0">
      <w:pPr>
        <w:spacing w:after="0" w:line="240" w:lineRule="auto"/>
        <w:jc w:val="both"/>
        <w:rPr>
          <w:rFonts w:ascii="Century Gothic" w:hAnsi="Century Gothic"/>
          <w:b/>
        </w:rPr>
      </w:pPr>
    </w:p>
    <w:p w14:paraId="5E2039C0" w14:textId="77777777" w:rsidR="00646447" w:rsidRDefault="00646447" w:rsidP="000E5AC0">
      <w:pPr>
        <w:spacing w:after="0" w:line="240" w:lineRule="auto"/>
        <w:jc w:val="both"/>
        <w:rPr>
          <w:rFonts w:ascii="Century Gothic" w:hAnsi="Century Gothic"/>
          <w:b/>
        </w:rPr>
      </w:pPr>
    </w:p>
    <w:p w14:paraId="15545903" w14:textId="77777777" w:rsidR="00646447" w:rsidRDefault="00646447" w:rsidP="000E5AC0">
      <w:pPr>
        <w:spacing w:after="0" w:line="240" w:lineRule="auto"/>
        <w:jc w:val="both"/>
        <w:rPr>
          <w:rFonts w:ascii="Century Gothic" w:hAnsi="Century Gothic"/>
          <w:b/>
        </w:rPr>
      </w:pPr>
    </w:p>
    <w:p w14:paraId="5FE78EE5" w14:textId="77777777" w:rsidR="00646447" w:rsidRDefault="00646447" w:rsidP="000E5AC0">
      <w:pPr>
        <w:spacing w:after="0" w:line="240" w:lineRule="auto"/>
        <w:jc w:val="both"/>
        <w:rPr>
          <w:rFonts w:ascii="Century Gothic" w:hAnsi="Century Gothic"/>
          <w:b/>
        </w:rPr>
      </w:pPr>
    </w:p>
    <w:p w14:paraId="5161D9FB" w14:textId="77777777" w:rsidR="00646447" w:rsidRDefault="00646447" w:rsidP="000E5AC0">
      <w:pPr>
        <w:spacing w:after="0" w:line="240" w:lineRule="auto"/>
        <w:jc w:val="both"/>
        <w:rPr>
          <w:rFonts w:ascii="Century Gothic" w:hAnsi="Century Gothic"/>
          <w:b/>
        </w:rPr>
      </w:pPr>
    </w:p>
    <w:p w14:paraId="6504B672" w14:textId="18787274" w:rsidR="00FF2D35" w:rsidRPr="00E94619" w:rsidRDefault="00FF2D35" w:rsidP="000E5AC0">
      <w:pPr>
        <w:spacing w:after="0" w:line="240" w:lineRule="auto"/>
        <w:jc w:val="both"/>
        <w:rPr>
          <w:rFonts w:ascii="Century Gothic" w:hAnsi="Century Gothic"/>
          <w:b/>
        </w:rPr>
      </w:pPr>
    </w:p>
    <w:p w14:paraId="2E2B4066" w14:textId="18C174BF" w:rsidR="001238D7" w:rsidRDefault="00D2173C" w:rsidP="000E5AC0">
      <w:pPr>
        <w:spacing w:after="0" w:line="240" w:lineRule="auto"/>
        <w:jc w:val="both"/>
        <w:rPr>
          <w:rFonts w:ascii="Century Gothic" w:hAnsi="Century Gothic"/>
          <w:b/>
        </w:rPr>
      </w:pPr>
      <w:r>
        <w:rPr>
          <w:rFonts w:ascii="Century Gothic" w:hAnsi="Century Gothic"/>
          <w:b/>
          <w:noProof/>
          <w:szCs w:val="24"/>
          <w:lang w:val="es-ES"/>
        </w:rPr>
        <w:lastRenderedPageBreak/>
        <w:drawing>
          <wp:anchor distT="0" distB="0" distL="114300" distR="114300" simplePos="0" relativeHeight="251837440" behindDoc="0" locked="0" layoutInCell="1" allowOverlap="1" wp14:anchorId="3ED5BCB3" wp14:editId="6E377C2A">
            <wp:simplePos x="0" y="0"/>
            <wp:positionH relativeFrom="column">
              <wp:posOffset>-1080135</wp:posOffset>
            </wp:positionH>
            <wp:positionV relativeFrom="paragraph">
              <wp:posOffset>-822960</wp:posOffset>
            </wp:positionV>
            <wp:extent cx="965835" cy="708660"/>
            <wp:effectExtent l="0" t="0" r="0" b="0"/>
            <wp:wrapNone/>
            <wp:docPr id="389" name="Imagen 38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rPr>
        <w:t>Avances y retos para responder a las afectaciones por causa del conflicto armado</w:t>
      </w:r>
    </w:p>
    <w:p w14:paraId="00D81653" w14:textId="77777777" w:rsidR="00FF2D35" w:rsidRPr="00E94619" w:rsidRDefault="00FF2D35" w:rsidP="000E5AC0">
      <w:pPr>
        <w:spacing w:after="0" w:line="240" w:lineRule="auto"/>
        <w:jc w:val="both"/>
        <w:rPr>
          <w:rFonts w:ascii="Century Gothic" w:hAnsi="Century Gothic"/>
        </w:rPr>
      </w:pPr>
    </w:p>
    <w:tbl>
      <w:tblPr>
        <w:tblStyle w:val="affff4"/>
        <w:tblW w:w="922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984"/>
        <w:gridCol w:w="4820"/>
      </w:tblGrid>
      <w:tr w:rsidR="001238D7" w:rsidRPr="00E94619" w14:paraId="0FC4BC01" w14:textId="77777777" w:rsidTr="0089786B">
        <w:tc>
          <w:tcPr>
            <w:tcW w:w="1418" w:type="dxa"/>
            <w:tcBorders>
              <w:top w:val="single" w:sz="4" w:space="0" w:color="CC0066"/>
              <w:left w:val="single" w:sz="4" w:space="0" w:color="CC0066"/>
              <w:bottom w:val="single" w:sz="4" w:space="0" w:color="CC0066"/>
              <w:right w:val="single" w:sz="4" w:space="0" w:color="CC0066"/>
            </w:tcBorders>
            <w:shd w:val="clear" w:color="auto" w:fill="FF99CC"/>
          </w:tcPr>
          <w:p w14:paraId="0D24D9D6" w14:textId="77777777" w:rsidR="001238D7" w:rsidRPr="00E94619" w:rsidRDefault="001238D7" w:rsidP="000E5AC0">
            <w:pPr>
              <w:spacing w:after="0" w:line="240" w:lineRule="auto"/>
              <w:jc w:val="both"/>
              <w:rPr>
                <w:rFonts w:ascii="Century Gothic" w:hAnsi="Century Gothic"/>
                <w:b/>
                <w:sz w:val="16"/>
                <w:szCs w:val="16"/>
              </w:rPr>
            </w:pPr>
          </w:p>
        </w:tc>
        <w:tc>
          <w:tcPr>
            <w:tcW w:w="2984" w:type="dxa"/>
            <w:tcBorders>
              <w:top w:val="single" w:sz="4" w:space="0" w:color="CC0066"/>
              <w:left w:val="single" w:sz="4" w:space="0" w:color="CC0066"/>
              <w:bottom w:val="single" w:sz="4" w:space="0" w:color="CC0066"/>
              <w:right w:val="single" w:sz="4" w:space="0" w:color="CC0066"/>
            </w:tcBorders>
            <w:shd w:val="clear" w:color="auto" w:fill="FF99CC"/>
          </w:tcPr>
          <w:p w14:paraId="59C59C2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Avances</w:t>
            </w:r>
          </w:p>
        </w:tc>
        <w:tc>
          <w:tcPr>
            <w:tcW w:w="4820" w:type="dxa"/>
            <w:tcBorders>
              <w:top w:val="single" w:sz="4" w:space="0" w:color="CC0066"/>
              <w:left w:val="single" w:sz="4" w:space="0" w:color="CC0066"/>
              <w:bottom w:val="single" w:sz="4" w:space="0" w:color="CC0066"/>
              <w:right w:val="single" w:sz="4" w:space="0" w:color="CC0066"/>
            </w:tcBorders>
            <w:shd w:val="clear" w:color="auto" w:fill="FF99CC"/>
          </w:tcPr>
          <w:p w14:paraId="0D04E4A8"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Retos</w:t>
            </w:r>
          </w:p>
        </w:tc>
      </w:tr>
      <w:tr w:rsidR="001238D7" w:rsidRPr="00E94619" w14:paraId="2817AA3D" w14:textId="77777777" w:rsidTr="0089786B">
        <w:trPr>
          <w:trHeight w:val="7201"/>
        </w:trPr>
        <w:tc>
          <w:tcPr>
            <w:tcW w:w="1418" w:type="dxa"/>
            <w:tcBorders>
              <w:top w:val="single" w:sz="4" w:space="0" w:color="CC0066"/>
              <w:left w:val="single" w:sz="4" w:space="0" w:color="CC0066"/>
              <w:bottom w:val="single" w:sz="4" w:space="0" w:color="CC0066"/>
              <w:right w:val="single" w:sz="4" w:space="0" w:color="CC0066"/>
            </w:tcBorders>
          </w:tcPr>
          <w:p w14:paraId="096D23F8"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Transversales </w:t>
            </w:r>
          </w:p>
        </w:tc>
        <w:tc>
          <w:tcPr>
            <w:tcW w:w="2984" w:type="dxa"/>
            <w:tcBorders>
              <w:top w:val="single" w:sz="4" w:space="0" w:color="CC0066"/>
              <w:left w:val="single" w:sz="4" w:space="0" w:color="CC0066"/>
              <w:bottom w:val="single" w:sz="4" w:space="0" w:color="CC0066"/>
              <w:right w:val="single" w:sz="4" w:space="0" w:color="CC0066"/>
            </w:tcBorders>
          </w:tcPr>
          <w:p w14:paraId="3B099E03" w14:textId="12942529"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De acuerdo con el </w:t>
            </w:r>
            <w:r w:rsidR="00160B20" w:rsidRPr="00E94619">
              <w:rPr>
                <w:rFonts w:ascii="Century Gothic" w:hAnsi="Century Gothic"/>
                <w:b/>
                <w:sz w:val="16"/>
                <w:szCs w:val="16"/>
              </w:rPr>
              <w:t>sexto</w:t>
            </w:r>
            <w:r w:rsidRPr="00E94619">
              <w:rPr>
                <w:rFonts w:ascii="Century Gothic" w:hAnsi="Century Gothic"/>
                <w:b/>
                <w:sz w:val="16"/>
                <w:szCs w:val="16"/>
              </w:rPr>
              <w:t xml:space="preserve"> informe de la Coalición 1325 de 2015 (</w:t>
            </w:r>
            <w:r w:rsidR="00227464" w:rsidRPr="00E94619">
              <w:rPr>
                <w:rFonts w:ascii="Century Gothic" w:hAnsi="Century Gothic"/>
                <w:b/>
                <w:sz w:val="16"/>
                <w:szCs w:val="16"/>
              </w:rPr>
              <w:t>Octubre</w:t>
            </w:r>
            <w:r w:rsidRPr="00E94619">
              <w:rPr>
                <w:rFonts w:ascii="Century Gothic" w:hAnsi="Century Gothic"/>
                <w:b/>
                <w:sz w:val="16"/>
                <w:szCs w:val="16"/>
              </w:rPr>
              <w:t xml:space="preserve"> de 201</w:t>
            </w:r>
            <w:r w:rsidR="00227464" w:rsidRPr="00E94619">
              <w:rPr>
                <w:rFonts w:ascii="Century Gothic" w:hAnsi="Century Gothic"/>
                <w:b/>
                <w:sz w:val="16"/>
                <w:szCs w:val="16"/>
              </w:rPr>
              <w:t>7</w:t>
            </w:r>
            <w:r w:rsidRPr="00E94619">
              <w:rPr>
                <w:rFonts w:ascii="Century Gothic" w:hAnsi="Century Gothic"/>
                <w:b/>
                <w:sz w:val="16"/>
                <w:szCs w:val="16"/>
              </w:rPr>
              <w:t>)</w:t>
            </w:r>
          </w:p>
          <w:p w14:paraId="5D8186D2" w14:textId="7BA763AB" w:rsidR="00770001" w:rsidRPr="00E94619" w:rsidRDefault="00770001" w:rsidP="000E5AC0">
            <w:pPr>
              <w:pStyle w:val="Prrafodelista"/>
              <w:numPr>
                <w:ilvl w:val="0"/>
                <w:numId w:val="9"/>
              </w:numPr>
              <w:spacing w:after="0" w:line="240" w:lineRule="auto"/>
              <w:ind w:left="142" w:hanging="142"/>
              <w:contextualSpacing w:val="0"/>
              <w:rPr>
                <w:rFonts w:ascii="Century Gothic" w:hAnsi="Century Gothic"/>
                <w:sz w:val="16"/>
                <w:szCs w:val="16"/>
              </w:rPr>
            </w:pPr>
            <w:r w:rsidRPr="00E94619">
              <w:rPr>
                <w:rFonts w:ascii="Century Gothic" w:hAnsi="Century Gothic"/>
                <w:sz w:val="16"/>
                <w:szCs w:val="16"/>
              </w:rPr>
              <w:t>Conformación de instancias de participación de las comunidades al interior del PNIS.</w:t>
            </w:r>
          </w:p>
          <w:p w14:paraId="4D1DFF3A" w14:textId="77777777" w:rsidR="00770001" w:rsidRPr="00E94619" w:rsidRDefault="00770001" w:rsidP="000E5AC0">
            <w:pPr>
              <w:pStyle w:val="Prrafodelista"/>
              <w:numPr>
                <w:ilvl w:val="0"/>
                <w:numId w:val="9"/>
              </w:numPr>
              <w:spacing w:after="0" w:line="240" w:lineRule="auto"/>
              <w:ind w:left="142" w:hanging="142"/>
              <w:contextualSpacing w:val="0"/>
              <w:rPr>
                <w:rFonts w:ascii="Century Gothic" w:hAnsi="Century Gothic"/>
                <w:sz w:val="16"/>
                <w:szCs w:val="16"/>
              </w:rPr>
            </w:pPr>
            <w:r w:rsidRPr="00E94619">
              <w:rPr>
                <w:rFonts w:ascii="Century Gothic" w:hAnsi="Century Gothic"/>
                <w:sz w:val="16"/>
                <w:szCs w:val="16"/>
              </w:rPr>
              <w:t>Medidas adoptadas en los Planes de Atención Inmediata y desarrollo de proyectos productivos (PAI).</w:t>
            </w:r>
          </w:p>
          <w:p w14:paraId="12D54537" w14:textId="77777777" w:rsidR="00770001" w:rsidRPr="00E94619" w:rsidRDefault="00770001" w:rsidP="000E5AC0">
            <w:pPr>
              <w:pStyle w:val="Prrafodelista"/>
              <w:numPr>
                <w:ilvl w:val="0"/>
                <w:numId w:val="9"/>
              </w:numPr>
              <w:spacing w:after="0" w:line="240" w:lineRule="auto"/>
              <w:ind w:left="142" w:hanging="142"/>
              <w:contextualSpacing w:val="0"/>
              <w:rPr>
                <w:rFonts w:ascii="Century Gothic" w:hAnsi="Century Gothic"/>
                <w:sz w:val="16"/>
                <w:szCs w:val="16"/>
              </w:rPr>
            </w:pPr>
            <w:r w:rsidRPr="00E94619">
              <w:rPr>
                <w:rFonts w:ascii="Century Gothic" w:hAnsi="Century Gothic"/>
                <w:sz w:val="16"/>
                <w:szCs w:val="16"/>
              </w:rPr>
              <w:t>Medidas adoptadas relacionadas con la seguridad.</w:t>
            </w:r>
          </w:p>
          <w:p w14:paraId="1ACD0D19" w14:textId="77777777" w:rsidR="00770001" w:rsidRPr="00E94619" w:rsidRDefault="00770001" w:rsidP="000E5AC0">
            <w:pPr>
              <w:pStyle w:val="Prrafodelista"/>
              <w:numPr>
                <w:ilvl w:val="0"/>
                <w:numId w:val="9"/>
              </w:numPr>
              <w:spacing w:after="0" w:line="240" w:lineRule="auto"/>
              <w:ind w:left="142" w:hanging="142"/>
              <w:contextualSpacing w:val="0"/>
              <w:rPr>
                <w:rFonts w:ascii="Century Gothic" w:hAnsi="Century Gothic"/>
                <w:sz w:val="16"/>
                <w:szCs w:val="16"/>
              </w:rPr>
            </w:pPr>
            <w:r w:rsidRPr="00E94619">
              <w:rPr>
                <w:rFonts w:ascii="Century Gothic" w:hAnsi="Century Gothic"/>
                <w:sz w:val="16"/>
                <w:szCs w:val="16"/>
              </w:rPr>
              <w:t>Participación en la suscripción de los Acuerdos por parte de las comunidades.</w:t>
            </w:r>
          </w:p>
          <w:p w14:paraId="069D145C" w14:textId="477C41D0" w:rsidR="00581171" w:rsidRPr="00E94619" w:rsidRDefault="00581171" w:rsidP="000E5AC0">
            <w:pPr>
              <w:spacing w:after="0" w:line="240" w:lineRule="auto"/>
              <w:jc w:val="both"/>
              <w:rPr>
                <w:rFonts w:ascii="Century Gothic" w:hAnsi="Century Gothic"/>
                <w:b/>
                <w:sz w:val="16"/>
                <w:szCs w:val="16"/>
              </w:rPr>
            </w:pPr>
          </w:p>
          <w:p w14:paraId="6554AC13" w14:textId="00E76C7A"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Según el informe de la UARIV del año 201</w:t>
            </w:r>
            <w:r w:rsidR="00A73C1B" w:rsidRPr="00E94619">
              <w:rPr>
                <w:rFonts w:ascii="Century Gothic" w:hAnsi="Century Gothic"/>
                <w:b/>
                <w:sz w:val="16"/>
                <w:szCs w:val="16"/>
              </w:rPr>
              <w:t>6</w:t>
            </w:r>
          </w:p>
          <w:p w14:paraId="7C5A384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 -</w:t>
            </w:r>
            <w:r w:rsidRPr="00E94619">
              <w:rPr>
                <w:rFonts w:ascii="Century Gothic" w:hAnsi="Century Gothic"/>
                <w:sz w:val="16"/>
                <w:szCs w:val="16"/>
              </w:rPr>
              <w:t>Se cuenta con 77 planes de reparación colectiva. De estos planes 5 son de organizaciones de mujeres (Afromupaz, OFP, ANMUCIC Nacional, ANMUCIC el Zulia y Narrar para Vivir).</w:t>
            </w:r>
          </w:p>
          <w:p w14:paraId="2C2D1046" w14:textId="77777777" w:rsidR="001238D7" w:rsidRPr="00E94619" w:rsidRDefault="001238D7" w:rsidP="000E5AC0">
            <w:pPr>
              <w:spacing w:after="0" w:line="240" w:lineRule="auto"/>
              <w:jc w:val="both"/>
              <w:rPr>
                <w:rFonts w:ascii="Century Gothic" w:hAnsi="Century Gothic"/>
                <w:i/>
                <w:sz w:val="16"/>
                <w:szCs w:val="16"/>
              </w:rPr>
            </w:pPr>
          </w:p>
          <w:p w14:paraId="57D60E3E" w14:textId="77777777" w:rsidR="001238D7" w:rsidRPr="00E94619" w:rsidRDefault="001238D7" w:rsidP="000E5AC0">
            <w:pPr>
              <w:spacing w:after="0" w:line="240" w:lineRule="auto"/>
              <w:jc w:val="both"/>
              <w:rPr>
                <w:rFonts w:ascii="Century Gothic" w:hAnsi="Century Gothic"/>
                <w:i/>
                <w:sz w:val="16"/>
                <w:szCs w:val="16"/>
              </w:rPr>
            </w:pPr>
          </w:p>
        </w:tc>
        <w:tc>
          <w:tcPr>
            <w:tcW w:w="4820" w:type="dxa"/>
            <w:tcBorders>
              <w:top w:val="single" w:sz="4" w:space="0" w:color="CC0066"/>
              <w:left w:val="single" w:sz="4" w:space="0" w:color="CC0066"/>
              <w:bottom w:val="single" w:sz="4" w:space="0" w:color="CC0066"/>
              <w:right w:val="single" w:sz="4" w:space="0" w:color="CC0066"/>
            </w:tcBorders>
          </w:tcPr>
          <w:p w14:paraId="18EB67E1" w14:textId="77777777" w:rsidR="00B1547F" w:rsidRPr="00E94619" w:rsidRDefault="00B1547F" w:rsidP="000E5AC0">
            <w:pPr>
              <w:spacing w:after="0" w:line="240" w:lineRule="auto"/>
              <w:jc w:val="both"/>
              <w:rPr>
                <w:rFonts w:ascii="Century Gothic" w:hAnsi="Century Gothic"/>
                <w:b/>
                <w:sz w:val="16"/>
                <w:szCs w:val="16"/>
              </w:rPr>
            </w:pPr>
            <w:r w:rsidRPr="00E94619">
              <w:rPr>
                <w:rFonts w:ascii="Century Gothic" w:hAnsi="Century Gothic"/>
                <w:b/>
                <w:sz w:val="16"/>
                <w:szCs w:val="16"/>
              </w:rPr>
              <w:t>De acuerdo con el sexto informe de la Coalición 1325 de 2015 (Octubre de 2017)</w:t>
            </w:r>
          </w:p>
          <w:p w14:paraId="67E055F5" w14:textId="77777777" w:rsidR="0089643C" w:rsidRPr="00E94619" w:rsidRDefault="0089643C"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 xml:space="preserve">-Promover la participación en términos de paridad entre hombres y mujeres dentro de los mecanismos de participación establecidos para la formulación de preacuerdos y acuerdos así como en la conformación de las instancias de participación de las comunidades al interior del PNIS. Adicionalmente, este principio debe estar presente en la composición de los equipos de trabajo de las entidades del Estado que están interviniendo e intervendrán en los territorios. </w:t>
            </w:r>
          </w:p>
          <w:p w14:paraId="244E9044" w14:textId="77777777" w:rsidR="0089643C" w:rsidRPr="00E94619" w:rsidRDefault="0089643C"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 xml:space="preserve">-Impulsar la implementación de acciones desde el Sistema Nacional de Economía del Cuidado para aligerar las cargas desproporcionadas del trabajo de cuidado sobre las mujeres, y redistribuirlas de tal manera que ellas puedan participar activamente de los espacios de participación vinculados al PNIS. Dentro de las medidas a desarrollar deben tenerse en cuenta acciones pedagógicas dirigidas a la renegociación y redistribución de las cargas de cuidado entre los miembros de los núcleos familiares, la comunidad y el sector público. </w:t>
            </w:r>
          </w:p>
          <w:p w14:paraId="5D3E23C9" w14:textId="6A672323" w:rsidR="001238D7" w:rsidRPr="00E94619" w:rsidRDefault="001238D7" w:rsidP="000E5AC0">
            <w:pPr>
              <w:spacing w:after="0" w:line="240" w:lineRule="auto"/>
              <w:jc w:val="both"/>
              <w:rPr>
                <w:rFonts w:ascii="Century Gothic" w:hAnsi="Century Gothic"/>
                <w:sz w:val="16"/>
                <w:szCs w:val="16"/>
              </w:rPr>
            </w:pPr>
          </w:p>
          <w:p w14:paraId="0D6B3A6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Según el informe de la Oficina del Alto Comisionado para los Derechos Humanos (2015)</w:t>
            </w:r>
          </w:p>
          <w:p w14:paraId="65AC14B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-Se reconoce el esfuerzo realizado con el informe de la Comisión Histórica del Conflicto, sin embargo, considera que faltó profundizar en las perspectivas de las mujeres, los pueblos indígenas y afrodescendientes.</w:t>
            </w:r>
          </w:p>
          <w:p w14:paraId="15A4DE59" w14:textId="77777777" w:rsidR="001238D7" w:rsidRPr="00E94619" w:rsidRDefault="001238D7" w:rsidP="000E5AC0">
            <w:pPr>
              <w:spacing w:after="0" w:line="240" w:lineRule="auto"/>
              <w:jc w:val="both"/>
              <w:rPr>
                <w:rFonts w:ascii="Century Gothic" w:hAnsi="Century Gothic"/>
                <w:sz w:val="16"/>
                <w:szCs w:val="16"/>
              </w:rPr>
            </w:pPr>
          </w:p>
          <w:p w14:paraId="70F2B29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Según informe de la UARIV del año 2015</w:t>
            </w:r>
          </w:p>
          <w:p w14:paraId="29B9C516"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-En algunas entidades aún falta desarrollar gestiones que garanticen la participación de las mujeres víctimas.</w:t>
            </w:r>
          </w:p>
          <w:p w14:paraId="56CAB76E"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-A nivel nacional se debe visibilizar más el trabajo de las lideresas en el territorio</w:t>
            </w:r>
            <w:r w:rsidRPr="00E94619">
              <w:rPr>
                <w:rFonts w:ascii="Century Gothic" w:hAnsi="Century Gothic"/>
                <w:i/>
                <w:sz w:val="16"/>
                <w:szCs w:val="16"/>
              </w:rPr>
              <w:t>.</w:t>
            </w:r>
          </w:p>
          <w:p w14:paraId="39EBDA0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-Incidir en sentencias judiciales para la condena a los victimarios de las mujeres. </w:t>
            </w:r>
          </w:p>
        </w:tc>
      </w:tr>
      <w:tr w:rsidR="001238D7" w:rsidRPr="00E94619" w14:paraId="67000F01" w14:textId="77777777" w:rsidTr="0089786B">
        <w:tc>
          <w:tcPr>
            <w:tcW w:w="1418" w:type="dxa"/>
            <w:tcBorders>
              <w:top w:val="single" w:sz="4" w:space="0" w:color="CC0066"/>
              <w:left w:val="single" w:sz="4" w:space="0" w:color="CC0066"/>
              <w:bottom w:val="single" w:sz="4" w:space="0" w:color="CC0066"/>
              <w:right w:val="single" w:sz="4" w:space="0" w:color="CC0066"/>
            </w:tcBorders>
          </w:tcPr>
          <w:p w14:paraId="2EEAB762"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Prevención</w:t>
            </w:r>
          </w:p>
        </w:tc>
        <w:tc>
          <w:tcPr>
            <w:tcW w:w="2984" w:type="dxa"/>
            <w:tcBorders>
              <w:top w:val="single" w:sz="4" w:space="0" w:color="CC0066"/>
              <w:left w:val="single" w:sz="4" w:space="0" w:color="CC0066"/>
              <w:bottom w:val="single" w:sz="4" w:space="0" w:color="CC0066"/>
              <w:right w:val="single" w:sz="4" w:space="0" w:color="CC0066"/>
            </w:tcBorders>
          </w:tcPr>
          <w:p w14:paraId="7D8A008A" w14:textId="77777777" w:rsidR="001238D7" w:rsidRPr="00E94619" w:rsidRDefault="001238D7" w:rsidP="000E5AC0">
            <w:pPr>
              <w:spacing w:after="0" w:line="240" w:lineRule="auto"/>
              <w:rPr>
                <w:rFonts w:ascii="Century Gothic" w:hAnsi="Century Gothic"/>
                <w:b/>
                <w:sz w:val="16"/>
                <w:szCs w:val="16"/>
              </w:rPr>
            </w:pPr>
          </w:p>
        </w:tc>
        <w:tc>
          <w:tcPr>
            <w:tcW w:w="4820" w:type="dxa"/>
            <w:tcBorders>
              <w:top w:val="single" w:sz="4" w:space="0" w:color="CC0066"/>
              <w:left w:val="single" w:sz="4" w:space="0" w:color="CC0066"/>
              <w:bottom w:val="single" w:sz="4" w:space="0" w:color="CC0066"/>
              <w:right w:val="single" w:sz="4" w:space="0" w:color="CC0066"/>
            </w:tcBorders>
          </w:tcPr>
          <w:p w14:paraId="3243BB7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Según el informe de la Oficina del Alto Comisionado de las Naciones Unidas para los Derechos Humanos (2015)</w:t>
            </w:r>
          </w:p>
          <w:p w14:paraId="6B7AF46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-Para que el país avance en la construcción de una paz estable y duradera es necesario que el Estado y la sociedad superen los estereotipos de género y las violencias contra las mujeres, personas lesbianas, gays, bisexuales transexuales e intersexuales.</w:t>
            </w:r>
          </w:p>
        </w:tc>
      </w:tr>
      <w:tr w:rsidR="001238D7" w:rsidRPr="00E94619" w14:paraId="7A4FE7F8" w14:textId="77777777" w:rsidTr="0089786B">
        <w:trPr>
          <w:trHeight w:val="3991"/>
        </w:trPr>
        <w:tc>
          <w:tcPr>
            <w:tcW w:w="1418" w:type="dxa"/>
            <w:tcBorders>
              <w:top w:val="single" w:sz="4" w:space="0" w:color="CC0066"/>
              <w:left w:val="single" w:sz="4" w:space="0" w:color="CC0066"/>
              <w:bottom w:val="single" w:sz="4" w:space="0" w:color="CC0066"/>
              <w:right w:val="single" w:sz="4" w:space="0" w:color="CC0066"/>
            </w:tcBorders>
          </w:tcPr>
          <w:p w14:paraId="084C7AB3" w14:textId="3DC70439"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Atención</w:t>
            </w:r>
          </w:p>
        </w:tc>
        <w:tc>
          <w:tcPr>
            <w:tcW w:w="2984" w:type="dxa"/>
            <w:tcBorders>
              <w:top w:val="single" w:sz="4" w:space="0" w:color="CC0066"/>
              <w:left w:val="single" w:sz="4" w:space="0" w:color="CC0066"/>
              <w:bottom w:val="single" w:sz="4" w:space="0" w:color="CC0066"/>
              <w:right w:val="single" w:sz="4" w:space="0" w:color="CC0066"/>
            </w:tcBorders>
          </w:tcPr>
          <w:p w14:paraId="790BD6A0"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Informe de la Unidad para las Reparación a las Víctimas 2015</w:t>
            </w:r>
          </w:p>
          <w:p w14:paraId="5635C1C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 </w:t>
            </w:r>
            <w:r w:rsidRPr="00E94619">
              <w:rPr>
                <w:rFonts w:ascii="Century Gothic" w:hAnsi="Century Gothic"/>
                <w:sz w:val="16"/>
                <w:szCs w:val="16"/>
              </w:rPr>
              <w:t>En lo que tiene que ver con medidas de rehabilitación, se han atendido desde el 2012 a 63.596 víctimas mediante la Estrategia de Recuperación Emocional a nivel grupal ERE-G. De este total, se tiene la identificación poblacional por sexo con los siguientes resultados, el 77% de las víctimas atendidas son mujeres, mientras que el 23% son hombres.</w:t>
            </w:r>
          </w:p>
        </w:tc>
        <w:tc>
          <w:tcPr>
            <w:tcW w:w="4820" w:type="dxa"/>
            <w:tcBorders>
              <w:top w:val="single" w:sz="4" w:space="0" w:color="CC0066"/>
              <w:left w:val="single" w:sz="4" w:space="0" w:color="CC0066"/>
              <w:bottom w:val="single" w:sz="4" w:space="0" w:color="CC0066"/>
              <w:right w:val="single" w:sz="4" w:space="0" w:color="CC0066"/>
            </w:tcBorders>
          </w:tcPr>
          <w:p w14:paraId="50298C3A" w14:textId="77777777" w:rsidR="00A035E2" w:rsidRPr="00E94619" w:rsidRDefault="00A035E2" w:rsidP="000E5AC0">
            <w:pPr>
              <w:spacing w:after="0" w:line="240" w:lineRule="auto"/>
              <w:jc w:val="both"/>
              <w:rPr>
                <w:rFonts w:ascii="Century Gothic" w:hAnsi="Century Gothic"/>
                <w:b/>
                <w:sz w:val="16"/>
                <w:szCs w:val="16"/>
              </w:rPr>
            </w:pPr>
            <w:r w:rsidRPr="00E94619">
              <w:rPr>
                <w:rFonts w:ascii="Century Gothic" w:hAnsi="Century Gothic"/>
                <w:b/>
                <w:sz w:val="16"/>
                <w:szCs w:val="16"/>
              </w:rPr>
              <w:t>De acuerdo con el sexto informe de la Coalición 1325 de 2015 (Octubre de 2017)</w:t>
            </w:r>
          </w:p>
          <w:p w14:paraId="019BBC86" w14:textId="77777777" w:rsidR="00A035E2" w:rsidRPr="00E94619" w:rsidRDefault="00A035E2"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 xml:space="preserve">-Poner en marcha una estrategia de seguridad construida desde un enfoque diferencial, territorial y de género, de tal manera que se tengan en cuenta los riesgos específicos que enfrentan las mujeres y quienes integran la comunidad LGTBI. Para su formulación deberá existir un espacio de reflexión autónomo de las mujeres cultivadoras, recolectoras y amedieras, con el objetivo de caracterizar los riesgos a los que se enfrentan, así como las medidas específicas que deben implementarse para garantizar su seguridad. 35 Las propuestas reseñadas son aquellas presentadas al Gobierno por GPaz y Dejusticia. </w:t>
            </w:r>
          </w:p>
          <w:p w14:paraId="0BC78DE8" w14:textId="77777777" w:rsidR="00A035E2" w:rsidRPr="00E94619" w:rsidRDefault="00A035E2" w:rsidP="000E5AC0">
            <w:pPr>
              <w:spacing w:after="0" w:line="240" w:lineRule="auto"/>
              <w:jc w:val="both"/>
              <w:rPr>
                <w:rFonts w:ascii="Century Gothic" w:hAnsi="Century Gothic"/>
                <w:sz w:val="16"/>
                <w:szCs w:val="16"/>
              </w:rPr>
            </w:pPr>
          </w:p>
          <w:p w14:paraId="67576FF7" w14:textId="0BC47BA1"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el acceso eficaz y oportuno de las víctimas a los diferentes programas de atención.</w:t>
            </w:r>
          </w:p>
          <w:p w14:paraId="206F48E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-Mejorar la gestión de recursos para la atención a las víctimas a nivel local.</w:t>
            </w:r>
          </w:p>
          <w:p w14:paraId="7CDD2419" w14:textId="77777777" w:rsidR="001238D7"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-Garantizar la capacidad técnica del personal que tiene responsabilidad en la atención a víctimas. </w:t>
            </w:r>
          </w:p>
          <w:p w14:paraId="4ABECAE5" w14:textId="77777777" w:rsidR="00FF2D35" w:rsidRDefault="00FF2D35" w:rsidP="000E5AC0">
            <w:pPr>
              <w:spacing w:after="0" w:line="240" w:lineRule="auto"/>
              <w:jc w:val="both"/>
              <w:rPr>
                <w:rFonts w:ascii="Century Gothic" w:hAnsi="Century Gothic"/>
                <w:sz w:val="16"/>
                <w:szCs w:val="16"/>
              </w:rPr>
            </w:pPr>
          </w:p>
          <w:p w14:paraId="684D58AE" w14:textId="77777777" w:rsidR="00FF2D35" w:rsidRPr="00E94619" w:rsidRDefault="00FF2D35" w:rsidP="000E5AC0">
            <w:pPr>
              <w:spacing w:after="0" w:line="240" w:lineRule="auto"/>
              <w:jc w:val="both"/>
              <w:rPr>
                <w:rFonts w:ascii="Century Gothic" w:hAnsi="Century Gothic"/>
                <w:sz w:val="16"/>
                <w:szCs w:val="16"/>
              </w:rPr>
            </w:pPr>
          </w:p>
        </w:tc>
      </w:tr>
      <w:tr w:rsidR="001238D7" w:rsidRPr="00E94619" w14:paraId="259457E5" w14:textId="77777777" w:rsidTr="0089786B">
        <w:tc>
          <w:tcPr>
            <w:tcW w:w="1418" w:type="dxa"/>
            <w:tcBorders>
              <w:top w:val="single" w:sz="4" w:space="0" w:color="CC0066"/>
              <w:left w:val="single" w:sz="4" w:space="0" w:color="CC0066"/>
              <w:bottom w:val="single" w:sz="4" w:space="0" w:color="CC0066"/>
              <w:right w:val="single" w:sz="4" w:space="0" w:color="CC0066"/>
            </w:tcBorders>
          </w:tcPr>
          <w:p w14:paraId="66831059" w14:textId="01FDC6AC" w:rsidR="001238D7" w:rsidRPr="00E94619" w:rsidRDefault="00D2173C" w:rsidP="000E5AC0">
            <w:pPr>
              <w:spacing w:after="0" w:line="240" w:lineRule="auto"/>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39488" behindDoc="0" locked="0" layoutInCell="1" allowOverlap="1" wp14:anchorId="17519F5A" wp14:editId="53ACD8BF">
                  <wp:simplePos x="0" y="0"/>
                  <wp:positionH relativeFrom="column">
                    <wp:posOffset>-968375</wp:posOffset>
                  </wp:positionH>
                  <wp:positionV relativeFrom="paragraph">
                    <wp:posOffset>-829310</wp:posOffset>
                  </wp:positionV>
                  <wp:extent cx="965835" cy="708660"/>
                  <wp:effectExtent l="0" t="0" r="0" b="0"/>
                  <wp:wrapNone/>
                  <wp:docPr id="390" name="Imagen 39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sz w:val="16"/>
                <w:szCs w:val="16"/>
              </w:rPr>
              <w:t>Protección</w:t>
            </w:r>
          </w:p>
        </w:tc>
        <w:tc>
          <w:tcPr>
            <w:tcW w:w="2984" w:type="dxa"/>
            <w:tcBorders>
              <w:top w:val="single" w:sz="4" w:space="0" w:color="CC0066"/>
              <w:left w:val="single" w:sz="4" w:space="0" w:color="CC0066"/>
              <w:bottom w:val="single" w:sz="4" w:space="0" w:color="CC0066"/>
              <w:right w:val="single" w:sz="4" w:space="0" w:color="CC0066"/>
            </w:tcBorders>
          </w:tcPr>
          <w:p w14:paraId="4D171EE4" w14:textId="77777777" w:rsidR="001238D7" w:rsidRPr="00E94619" w:rsidRDefault="001238D7" w:rsidP="000E5AC0">
            <w:pPr>
              <w:spacing w:after="0" w:line="240" w:lineRule="auto"/>
              <w:rPr>
                <w:rFonts w:ascii="Century Gothic" w:hAnsi="Century Gothic"/>
                <w:b/>
                <w:sz w:val="16"/>
                <w:szCs w:val="16"/>
              </w:rPr>
            </w:pPr>
          </w:p>
          <w:p w14:paraId="0B08F4A3" w14:textId="77777777" w:rsidR="001238D7" w:rsidRPr="00E94619" w:rsidRDefault="001238D7" w:rsidP="000E5AC0">
            <w:pPr>
              <w:spacing w:after="0" w:line="240" w:lineRule="auto"/>
              <w:rPr>
                <w:rFonts w:ascii="Century Gothic" w:hAnsi="Century Gothic"/>
                <w:b/>
                <w:sz w:val="16"/>
                <w:szCs w:val="16"/>
              </w:rPr>
            </w:pPr>
          </w:p>
        </w:tc>
        <w:tc>
          <w:tcPr>
            <w:tcW w:w="4820" w:type="dxa"/>
            <w:tcBorders>
              <w:top w:val="single" w:sz="4" w:space="0" w:color="CC0066"/>
              <w:left w:val="single" w:sz="4" w:space="0" w:color="CC0066"/>
              <w:bottom w:val="single" w:sz="4" w:space="0" w:color="CC0066"/>
              <w:right w:val="single" w:sz="4" w:space="0" w:color="CC0066"/>
            </w:tcBorders>
          </w:tcPr>
          <w:p w14:paraId="43638719" w14:textId="77777777" w:rsidR="00FB1AA2" w:rsidRPr="00E94619" w:rsidRDefault="00FB1AA2" w:rsidP="000E5AC0">
            <w:pPr>
              <w:spacing w:after="0" w:line="240" w:lineRule="auto"/>
              <w:rPr>
                <w:rFonts w:ascii="Century Gothic" w:hAnsi="Century Gothic"/>
                <w:b/>
                <w:sz w:val="16"/>
                <w:szCs w:val="16"/>
              </w:rPr>
            </w:pPr>
          </w:p>
          <w:p w14:paraId="6873BBDE" w14:textId="77777777" w:rsidR="001A492E" w:rsidRPr="00E94619" w:rsidRDefault="001A492E" w:rsidP="000E5AC0">
            <w:pPr>
              <w:spacing w:after="0" w:line="240" w:lineRule="auto"/>
              <w:jc w:val="both"/>
              <w:rPr>
                <w:rFonts w:ascii="Century Gothic" w:hAnsi="Century Gothic"/>
                <w:b/>
                <w:sz w:val="16"/>
                <w:szCs w:val="16"/>
              </w:rPr>
            </w:pPr>
            <w:r w:rsidRPr="00E94619">
              <w:rPr>
                <w:rFonts w:ascii="Century Gothic" w:hAnsi="Century Gothic"/>
                <w:b/>
                <w:sz w:val="16"/>
                <w:szCs w:val="16"/>
              </w:rPr>
              <w:t>De acuerdo con el sexto informe de la Coalición 1325 de 2015 (Octubre de 2017)</w:t>
            </w:r>
          </w:p>
          <w:p w14:paraId="710EC90F" w14:textId="77777777" w:rsidR="00FB1AA2" w:rsidRPr="00E94619" w:rsidRDefault="00FB1AA2" w:rsidP="000E5AC0">
            <w:pPr>
              <w:spacing w:after="0" w:line="240" w:lineRule="auto"/>
              <w:rPr>
                <w:rFonts w:ascii="Century Gothic" w:hAnsi="Century Gothic"/>
                <w:b/>
                <w:sz w:val="16"/>
                <w:szCs w:val="16"/>
              </w:rPr>
            </w:pPr>
          </w:p>
          <w:p w14:paraId="310AB18B" w14:textId="77777777" w:rsidR="00FB1AA2" w:rsidRPr="00E94619" w:rsidRDefault="00FB1AA2"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 xml:space="preserve">-Poner en marcha una estrategia de seguridad construida desde un enfoque diferencial, territorial y de género, de tal manera que se tengan en cuenta los riesgos específicos que enfrentan las mujeres y quienes integran la comunidad LGTBI. Para su formulación deberá existir un espacio de reflexión autónomo de las mujeres cultivadoras, recolectoras y amedieras, con el objetivo de caracterizar los riesgos a los que se enfrentan, así como las medidas específicas que deben implementarse para garantizar su seguridad. 35 Las propuestas reseñadas son aquellas presentadas al Gobierno por GPaz y Dejusticia. </w:t>
            </w:r>
          </w:p>
          <w:p w14:paraId="0249FC63" w14:textId="77777777" w:rsidR="00FB1AA2" w:rsidRPr="00E94619" w:rsidRDefault="00FB1AA2" w:rsidP="000E5AC0">
            <w:pPr>
              <w:spacing w:after="0" w:line="240" w:lineRule="auto"/>
              <w:jc w:val="both"/>
              <w:rPr>
                <w:rFonts w:ascii="Century Gothic" w:hAnsi="Century Gothic" w:cs="Calibri"/>
                <w:sz w:val="16"/>
                <w:szCs w:val="16"/>
              </w:rPr>
            </w:pPr>
          </w:p>
          <w:p w14:paraId="6B64221A" w14:textId="77777777" w:rsidR="00FB1AA2" w:rsidRPr="00E94619" w:rsidRDefault="00FB1AA2"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-Dentro de la estrategia de comunicación, diseñar e implementar mecanismos de comunicación que permitan el acceso a la información por parte de las mujeres cultivadoras y recolectoras, teniendo en cuenta su menor acceso a los espacios considerados “público-políticos”.</w:t>
            </w:r>
          </w:p>
          <w:p w14:paraId="7B7D2BDE" w14:textId="77777777" w:rsidR="00FB1AA2" w:rsidRPr="00E94619" w:rsidRDefault="00FB1AA2"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 xml:space="preserve"> -Crear un Observatorio de mujer rural, con énfasis en la relación entre las mujeres y los cultivos de uso ilícitos, en virtud del punto 4.1.2. del Acuerdo. </w:t>
            </w:r>
          </w:p>
          <w:p w14:paraId="0C08CE20" w14:textId="77777777" w:rsidR="00E94619" w:rsidRPr="00E94619" w:rsidRDefault="00FB1AA2" w:rsidP="000E5AC0">
            <w:pPr>
              <w:spacing w:after="0" w:line="240" w:lineRule="auto"/>
              <w:jc w:val="both"/>
              <w:rPr>
                <w:rFonts w:ascii="Century Gothic" w:hAnsi="Century Gothic" w:cs="Calibri"/>
                <w:sz w:val="16"/>
                <w:szCs w:val="16"/>
              </w:rPr>
            </w:pPr>
            <w:r w:rsidRPr="00E94619">
              <w:rPr>
                <w:rFonts w:ascii="Century Gothic" w:hAnsi="Century Gothic" w:cs="Calibri"/>
                <w:sz w:val="16"/>
                <w:szCs w:val="16"/>
              </w:rPr>
              <w:t>-Garantizar que una porcentaje mínimo de al menos el 5 % del presupuesto establecido para cada acuerdo colectivo se ha destinado al empoderamiento específico de las mujeres.</w:t>
            </w:r>
          </w:p>
          <w:p w14:paraId="56EB44EE" w14:textId="77777777" w:rsidR="00FB1AA2" w:rsidRPr="00E94619" w:rsidRDefault="00FB1AA2" w:rsidP="000E5AC0">
            <w:pPr>
              <w:spacing w:after="0" w:line="240" w:lineRule="auto"/>
              <w:rPr>
                <w:rFonts w:ascii="Century Gothic" w:hAnsi="Century Gothic"/>
                <w:b/>
                <w:sz w:val="16"/>
                <w:szCs w:val="16"/>
              </w:rPr>
            </w:pPr>
          </w:p>
          <w:p w14:paraId="05809617" w14:textId="77777777" w:rsidR="00FB1AA2" w:rsidRPr="00E94619" w:rsidRDefault="00FB1AA2" w:rsidP="000E5AC0">
            <w:pPr>
              <w:spacing w:after="0" w:line="240" w:lineRule="auto"/>
              <w:rPr>
                <w:rFonts w:ascii="Century Gothic" w:hAnsi="Century Gothic"/>
                <w:b/>
                <w:sz w:val="16"/>
                <w:szCs w:val="16"/>
              </w:rPr>
            </w:pPr>
          </w:p>
          <w:p w14:paraId="719DC297" w14:textId="467B5BE1"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b/>
                <w:sz w:val="16"/>
                <w:szCs w:val="16"/>
              </w:rPr>
              <w:t>Según el Informe del Programa de Defensores de enero junio de 2016</w:t>
            </w:r>
          </w:p>
          <w:p w14:paraId="4C3F0F9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-Crear estrategias para garantizar la protección efectiva de las víctimas del conflicto armado.</w:t>
            </w:r>
          </w:p>
          <w:p w14:paraId="2A46140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la seguridad de los defensores-as de derechos humanos.</w:t>
            </w:r>
          </w:p>
          <w:p w14:paraId="5D7C551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la seguridad de las personas desmovilizadas de las FARC-EP, para la entrada en la vida civil.</w:t>
            </w:r>
          </w:p>
          <w:p w14:paraId="05DA5FA8" w14:textId="77777777"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sz w:val="16"/>
                <w:szCs w:val="16"/>
              </w:rPr>
              <w:t xml:space="preserve">-Desconfianza frente al sector justicia, por considerar que no tiene suficientes condiciones para garantizar la protección de los derechos de las víctimas y de los-as defensores de derechos humanos. </w:t>
            </w:r>
          </w:p>
        </w:tc>
      </w:tr>
      <w:tr w:rsidR="001238D7" w:rsidRPr="00E94619" w14:paraId="6F4109DB" w14:textId="77777777" w:rsidTr="0089786B">
        <w:tc>
          <w:tcPr>
            <w:tcW w:w="1418" w:type="dxa"/>
            <w:tcBorders>
              <w:top w:val="single" w:sz="4" w:space="0" w:color="CC0066"/>
              <w:left w:val="single" w:sz="4" w:space="0" w:color="CC0066"/>
              <w:bottom w:val="single" w:sz="4" w:space="0" w:color="CC0066"/>
              <w:right w:val="single" w:sz="4" w:space="0" w:color="CC0066"/>
            </w:tcBorders>
          </w:tcPr>
          <w:p w14:paraId="46FCB7F2"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Judicialización</w:t>
            </w:r>
          </w:p>
        </w:tc>
        <w:tc>
          <w:tcPr>
            <w:tcW w:w="2984" w:type="dxa"/>
            <w:tcBorders>
              <w:top w:val="single" w:sz="4" w:space="0" w:color="CC0066"/>
              <w:left w:val="single" w:sz="4" w:space="0" w:color="CC0066"/>
              <w:bottom w:val="single" w:sz="4" w:space="0" w:color="CC0066"/>
              <w:right w:val="single" w:sz="4" w:space="0" w:color="CC0066"/>
            </w:tcBorders>
          </w:tcPr>
          <w:p w14:paraId="68298AE4" w14:textId="77777777" w:rsidR="001238D7" w:rsidRPr="00E94619" w:rsidRDefault="001238D7" w:rsidP="000E5AC0">
            <w:pPr>
              <w:spacing w:after="0" w:line="240" w:lineRule="auto"/>
              <w:rPr>
                <w:rFonts w:ascii="Century Gothic" w:hAnsi="Century Gothic"/>
                <w:b/>
                <w:sz w:val="16"/>
                <w:szCs w:val="16"/>
              </w:rPr>
            </w:pPr>
          </w:p>
        </w:tc>
        <w:tc>
          <w:tcPr>
            <w:tcW w:w="4820" w:type="dxa"/>
            <w:tcBorders>
              <w:top w:val="single" w:sz="4" w:space="0" w:color="CC0066"/>
              <w:left w:val="single" w:sz="4" w:space="0" w:color="CC0066"/>
              <w:bottom w:val="single" w:sz="4" w:space="0" w:color="CC0066"/>
              <w:right w:val="single" w:sz="4" w:space="0" w:color="CC0066"/>
            </w:tcBorders>
          </w:tcPr>
          <w:p w14:paraId="1CC22DB6"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sz w:val="16"/>
                <w:szCs w:val="16"/>
              </w:rPr>
              <w:t>-Fortalecer el sistema judicial para disminuir la impunidad en casos de violación de derechos humanos en el marco del conflicto armado.</w:t>
            </w:r>
          </w:p>
          <w:p w14:paraId="606073A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el desmantelamiento de redes y grupos criminales que atentan contra los derechos humanos en las diferentes regiones.</w:t>
            </w:r>
          </w:p>
        </w:tc>
      </w:tr>
    </w:tbl>
    <w:p w14:paraId="2D240800" w14:textId="77777777" w:rsidR="001238D7" w:rsidRPr="00E94619" w:rsidRDefault="001238D7" w:rsidP="000E5AC0">
      <w:pPr>
        <w:spacing w:after="0" w:line="240" w:lineRule="auto"/>
        <w:rPr>
          <w:rFonts w:ascii="Century Gothic" w:hAnsi="Century Gothic"/>
        </w:rPr>
      </w:pPr>
    </w:p>
    <w:p w14:paraId="5A53C223" w14:textId="77777777" w:rsidR="001238D7" w:rsidRPr="00E94619" w:rsidRDefault="001238D7" w:rsidP="000E5AC0">
      <w:pPr>
        <w:spacing w:after="0" w:line="240" w:lineRule="auto"/>
        <w:rPr>
          <w:rFonts w:ascii="Century Gothic" w:hAnsi="Century Gothic"/>
          <w:u w:val="single"/>
        </w:rPr>
      </w:pPr>
    </w:p>
    <w:p w14:paraId="5A4BA642" w14:textId="77777777" w:rsidR="001238D7" w:rsidRPr="00FF2D35" w:rsidRDefault="00DA57C6" w:rsidP="000E5AC0">
      <w:pPr>
        <w:pStyle w:val="Ttulo3"/>
        <w:rPr>
          <w:rFonts w:ascii="Century Gothic" w:hAnsi="Century Gothic"/>
          <w:b w:val="0"/>
          <w:color w:val="C73465"/>
        </w:rPr>
      </w:pPr>
      <w:bookmarkStart w:id="50" w:name="_Toc488624267"/>
      <w:r w:rsidRPr="00FF2D35">
        <w:rPr>
          <w:rFonts w:ascii="Century Gothic" w:hAnsi="Century Gothic"/>
          <w:b w:val="0"/>
          <w:color w:val="C73465"/>
        </w:rPr>
        <w:t>1.9</w:t>
      </w:r>
      <w:r w:rsidR="0036411F" w:rsidRPr="00FF2D35">
        <w:rPr>
          <w:rFonts w:ascii="Century Gothic" w:hAnsi="Century Gothic"/>
          <w:b w:val="0"/>
          <w:color w:val="C73465"/>
        </w:rPr>
        <w:t xml:space="preserve"> Violencias sexuales contra las mujeres y niñas en el marco de</w:t>
      </w:r>
      <w:r w:rsidR="00496EB9" w:rsidRPr="00FF2D35">
        <w:rPr>
          <w:rFonts w:ascii="Century Gothic" w:hAnsi="Century Gothic"/>
          <w:b w:val="0"/>
          <w:color w:val="C73465"/>
        </w:rPr>
        <w:t xml:space="preserve"> </w:t>
      </w:r>
      <w:r w:rsidR="0036411F" w:rsidRPr="00FF2D35">
        <w:rPr>
          <w:rFonts w:ascii="Century Gothic" w:hAnsi="Century Gothic"/>
          <w:b w:val="0"/>
          <w:color w:val="C73465"/>
        </w:rPr>
        <w:t>conflicto armado</w:t>
      </w:r>
      <w:bookmarkEnd w:id="50"/>
    </w:p>
    <w:p w14:paraId="2336213F" w14:textId="77777777" w:rsidR="008B5AC4" w:rsidRPr="00E94619" w:rsidRDefault="008B5AC4" w:rsidP="000E5AC0">
      <w:pPr>
        <w:jc w:val="both"/>
        <w:rPr>
          <w:rFonts w:ascii="Century Gothic" w:hAnsi="Century Gothic"/>
        </w:rPr>
      </w:pPr>
    </w:p>
    <w:p w14:paraId="6EA63D9C" w14:textId="70EA99ED" w:rsidR="001238D7" w:rsidRPr="00E94619" w:rsidRDefault="0036411F" w:rsidP="000E5AC0">
      <w:pPr>
        <w:jc w:val="both"/>
        <w:rPr>
          <w:rFonts w:ascii="Century Gothic" w:hAnsi="Century Gothic"/>
        </w:rPr>
      </w:pPr>
      <w:r w:rsidRPr="00E94619">
        <w:rPr>
          <w:rFonts w:ascii="Century Gothic" w:hAnsi="Century Gothic"/>
        </w:rPr>
        <w:t xml:space="preserve">De acuerdo con las cifras de la Unidad de Atención y Reparación Integral de víctimas (UARIV), sobre violencia sexual, </w:t>
      </w:r>
      <w:r w:rsidR="003B65CF" w:rsidRPr="00E94619">
        <w:rPr>
          <w:rFonts w:ascii="Century Gothic" w:hAnsi="Century Gothic"/>
        </w:rPr>
        <w:t xml:space="preserve">en el marco del conflicto armado para </w:t>
      </w:r>
      <w:r w:rsidR="003265D2" w:rsidRPr="00E94619">
        <w:rPr>
          <w:rFonts w:ascii="Century Gothic" w:hAnsi="Century Gothic"/>
        </w:rPr>
        <w:t xml:space="preserve">el año </w:t>
      </w:r>
      <w:r w:rsidR="003B65CF" w:rsidRPr="00E94619">
        <w:rPr>
          <w:rFonts w:ascii="Century Gothic" w:hAnsi="Century Gothic"/>
        </w:rPr>
        <w:t xml:space="preserve">2019, se reportan </w:t>
      </w:r>
      <w:r w:rsidR="003265D2" w:rsidRPr="00E94619">
        <w:rPr>
          <w:rFonts w:ascii="Century Gothic" w:hAnsi="Century Gothic"/>
        </w:rPr>
        <w:t xml:space="preserve">282 mujeres victimas y 30 hombres. </w:t>
      </w:r>
      <w:r w:rsidRPr="00E94619">
        <w:rPr>
          <w:rFonts w:ascii="Century Gothic" w:hAnsi="Century Gothic"/>
        </w:rPr>
        <w:t>Estas cifras reiteran la vulnerabilidad de las mujeres frente a este tipo de delitos, que según organizaciones de mujeres y la Corte Constitucional, en los Autos 092 de 2008 y 009 de 2015, dejan claro que fue una vulneración sistemática, habitual, extensa e invisible en el contexto del conflicto armado.</w:t>
      </w:r>
    </w:p>
    <w:p w14:paraId="7A966DB3" w14:textId="66DCD526" w:rsidR="001238D7" w:rsidRDefault="00D2173C" w:rsidP="000E5AC0">
      <w:pPr>
        <w:spacing w:after="0"/>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41536" behindDoc="0" locked="0" layoutInCell="1" allowOverlap="1" wp14:anchorId="0FE389B4" wp14:editId="6E49EC82">
            <wp:simplePos x="0" y="0"/>
            <wp:positionH relativeFrom="column">
              <wp:posOffset>-1080135</wp:posOffset>
            </wp:positionH>
            <wp:positionV relativeFrom="paragraph">
              <wp:posOffset>-822960</wp:posOffset>
            </wp:positionV>
            <wp:extent cx="965835" cy="708660"/>
            <wp:effectExtent l="0" t="0" r="0" b="0"/>
            <wp:wrapNone/>
            <wp:docPr id="391" name="Imagen 39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rPr>
        <w:t>Al revisar las cifras sobre violencia sexual entre los años 201</w:t>
      </w:r>
      <w:r w:rsidR="003265D2" w:rsidRPr="00E94619">
        <w:rPr>
          <w:rFonts w:ascii="Century Gothic" w:hAnsi="Century Gothic"/>
        </w:rPr>
        <w:t>7</w:t>
      </w:r>
      <w:r w:rsidR="0036411F" w:rsidRPr="00E94619">
        <w:rPr>
          <w:rFonts w:ascii="Century Gothic" w:hAnsi="Century Gothic"/>
        </w:rPr>
        <w:t xml:space="preserve"> y 201</w:t>
      </w:r>
      <w:r w:rsidR="003265D2" w:rsidRPr="00E94619">
        <w:rPr>
          <w:rFonts w:ascii="Century Gothic" w:hAnsi="Century Gothic"/>
        </w:rPr>
        <w:t>9</w:t>
      </w:r>
      <w:r w:rsidR="0036411F" w:rsidRPr="00E94619">
        <w:rPr>
          <w:rFonts w:ascii="Century Gothic" w:hAnsi="Century Gothic"/>
        </w:rPr>
        <w:t xml:space="preserve"> se encuentra que fue una práctica usada por todos los grupos armados, tanto ilegales como por las fuerzas militares. </w:t>
      </w:r>
    </w:p>
    <w:p w14:paraId="71E46BA5" w14:textId="77777777" w:rsidR="00FF2D35" w:rsidRPr="00E94619" w:rsidRDefault="00FF2D35" w:rsidP="000E5AC0">
      <w:pPr>
        <w:spacing w:after="0"/>
        <w:jc w:val="both"/>
        <w:rPr>
          <w:rFonts w:ascii="Century Gothic" w:hAnsi="Century Gothic"/>
        </w:rPr>
      </w:pPr>
    </w:p>
    <w:p w14:paraId="77FB58BF" w14:textId="2E724C43" w:rsidR="0054312C" w:rsidRDefault="00FF2D35" w:rsidP="00FF2D35">
      <w:pPr>
        <w:spacing w:after="0"/>
        <w:jc w:val="center"/>
        <w:rPr>
          <w:rFonts w:ascii="Century Gothic" w:hAnsi="Century Gothic"/>
          <w:b/>
          <w:sz w:val="16"/>
          <w:szCs w:val="16"/>
        </w:rPr>
      </w:pPr>
      <w:r w:rsidRPr="00FF2D35">
        <w:rPr>
          <w:rFonts w:ascii="Century Gothic" w:hAnsi="Century Gothic"/>
          <w:b/>
          <w:sz w:val="16"/>
          <w:szCs w:val="16"/>
        </w:rPr>
        <w:t>Grafica 33. Delitos contra la libertad y la integridad sexual – conflicto armado por sexo (2017-2019)</w:t>
      </w:r>
    </w:p>
    <w:p w14:paraId="630299D1" w14:textId="77777777" w:rsidR="00FF2D35" w:rsidRPr="00FF2D35" w:rsidRDefault="00FF2D35" w:rsidP="00FF2D35">
      <w:pPr>
        <w:spacing w:after="0"/>
        <w:jc w:val="center"/>
        <w:rPr>
          <w:rFonts w:ascii="Century Gothic" w:hAnsi="Century Gothic"/>
          <w:b/>
          <w:sz w:val="16"/>
          <w:szCs w:val="16"/>
        </w:rPr>
      </w:pPr>
    </w:p>
    <w:p w14:paraId="008886CF" w14:textId="4AE7E470" w:rsidR="001238D7" w:rsidRPr="00E94619" w:rsidRDefault="00FF2D35" w:rsidP="000E5AC0">
      <w:pPr>
        <w:spacing w:after="0"/>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698176" behindDoc="0" locked="0" layoutInCell="1" allowOverlap="1" wp14:anchorId="75D3D0F2" wp14:editId="5A80D629">
            <wp:simplePos x="0" y="0"/>
            <wp:positionH relativeFrom="column">
              <wp:posOffset>1371600</wp:posOffset>
            </wp:positionH>
            <wp:positionV relativeFrom="paragraph">
              <wp:posOffset>20320</wp:posOffset>
            </wp:positionV>
            <wp:extent cx="2514600" cy="140525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140525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entury Gothic" w:hAnsi="Century Gothic"/>
          </w:rPr>
          <w:tag w:val="goog_rdk_45"/>
          <w:id w:val="-1996640281"/>
        </w:sdtPr>
        <w:sdtContent/>
      </w:sdt>
    </w:p>
    <w:p w14:paraId="263EDA36" w14:textId="77777777" w:rsidR="00FF2D35" w:rsidRDefault="00FF2D35" w:rsidP="000E5AC0">
      <w:pPr>
        <w:jc w:val="both"/>
        <w:rPr>
          <w:rFonts w:ascii="Century Gothic" w:hAnsi="Century Gothic"/>
          <w:sz w:val="16"/>
          <w:szCs w:val="16"/>
        </w:rPr>
      </w:pPr>
    </w:p>
    <w:p w14:paraId="54461FB5" w14:textId="77777777" w:rsidR="00FF2D35" w:rsidRDefault="00FF2D35" w:rsidP="000E5AC0">
      <w:pPr>
        <w:jc w:val="both"/>
        <w:rPr>
          <w:rFonts w:ascii="Century Gothic" w:hAnsi="Century Gothic"/>
          <w:sz w:val="16"/>
          <w:szCs w:val="16"/>
        </w:rPr>
      </w:pPr>
    </w:p>
    <w:p w14:paraId="213B57A5" w14:textId="77777777" w:rsidR="00FF2D35" w:rsidRDefault="00FF2D35" w:rsidP="000E5AC0">
      <w:pPr>
        <w:jc w:val="both"/>
        <w:rPr>
          <w:rFonts w:ascii="Century Gothic" w:hAnsi="Century Gothic"/>
          <w:sz w:val="16"/>
          <w:szCs w:val="16"/>
        </w:rPr>
      </w:pPr>
    </w:p>
    <w:p w14:paraId="57C6AABF" w14:textId="77777777" w:rsidR="00FF2D35" w:rsidRDefault="00FF2D35" w:rsidP="000E5AC0">
      <w:pPr>
        <w:jc w:val="both"/>
        <w:rPr>
          <w:rFonts w:ascii="Century Gothic" w:hAnsi="Century Gothic"/>
          <w:sz w:val="16"/>
          <w:szCs w:val="16"/>
        </w:rPr>
      </w:pPr>
    </w:p>
    <w:p w14:paraId="36CA6C43" w14:textId="77777777" w:rsidR="00646447" w:rsidRDefault="00646447" w:rsidP="000E5AC0">
      <w:pPr>
        <w:jc w:val="both"/>
        <w:rPr>
          <w:rFonts w:ascii="Century Gothic" w:hAnsi="Century Gothic"/>
          <w:sz w:val="16"/>
          <w:szCs w:val="16"/>
        </w:rPr>
      </w:pPr>
    </w:p>
    <w:p w14:paraId="7B9143EA" w14:textId="77777777" w:rsidR="00FF2D35" w:rsidRDefault="00FF2D35" w:rsidP="000E5AC0">
      <w:pPr>
        <w:jc w:val="both"/>
        <w:rPr>
          <w:rFonts w:ascii="Century Gothic" w:hAnsi="Century Gothic"/>
          <w:sz w:val="16"/>
          <w:szCs w:val="16"/>
        </w:rPr>
      </w:pPr>
    </w:p>
    <w:p w14:paraId="10A86A93" w14:textId="77777777" w:rsidR="001238D7" w:rsidRPr="00E94619" w:rsidRDefault="002C6BFD" w:rsidP="000E5AC0">
      <w:pPr>
        <w:jc w:val="both"/>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w:t>
      </w:r>
      <w:r w:rsidR="00E2789A" w:rsidRPr="00E94619">
        <w:rPr>
          <w:rFonts w:ascii="Century Gothic" w:hAnsi="Century Gothic"/>
          <w:sz w:val="16"/>
          <w:szCs w:val="16"/>
        </w:rPr>
        <w:t xml:space="preserve"> 2019</w:t>
      </w:r>
      <w:r w:rsidR="0036411F" w:rsidRPr="00E94619">
        <w:rPr>
          <w:rFonts w:ascii="Century Gothic" w:hAnsi="Century Gothic"/>
          <w:sz w:val="16"/>
          <w:szCs w:val="16"/>
        </w:rPr>
        <w:t xml:space="preserve">. </w:t>
      </w:r>
    </w:p>
    <w:p w14:paraId="203B7186" w14:textId="1D412282" w:rsidR="00EA778B" w:rsidRPr="00646447" w:rsidRDefault="00EA778B" w:rsidP="00646447">
      <w:pPr>
        <w:pStyle w:val="Ttulo3"/>
        <w:rPr>
          <w:rFonts w:ascii="Century Gothic" w:eastAsia="Cambria" w:hAnsi="Century Gothic"/>
          <w:b w:val="0"/>
          <w:color w:val="C73465"/>
        </w:rPr>
      </w:pPr>
      <w:bookmarkStart w:id="51" w:name="_Toc488624268"/>
      <w:r w:rsidRPr="00FF2D35">
        <w:rPr>
          <w:rFonts w:ascii="Century Gothic" w:eastAsia="Cambria" w:hAnsi="Century Gothic"/>
          <w:b w:val="0"/>
          <w:color w:val="C73465"/>
        </w:rPr>
        <w:t>1.10</w:t>
      </w:r>
      <w:r w:rsidR="0036411F" w:rsidRPr="00FF2D35">
        <w:rPr>
          <w:rFonts w:ascii="Century Gothic" w:eastAsia="Cambria" w:hAnsi="Century Gothic"/>
          <w:b w:val="0"/>
          <w:color w:val="C73465"/>
        </w:rPr>
        <w:t xml:space="preserve"> Violencia sexual contra niños y niñas en el conflicto armado</w:t>
      </w:r>
      <w:bookmarkEnd w:id="51"/>
    </w:p>
    <w:p w14:paraId="237EEBAC" w14:textId="77777777" w:rsidR="001238D7" w:rsidRDefault="0036411F" w:rsidP="000E5AC0">
      <w:pPr>
        <w:jc w:val="both"/>
        <w:rPr>
          <w:rFonts w:ascii="Century Gothic" w:hAnsi="Century Gothic"/>
        </w:rPr>
      </w:pPr>
      <w:r w:rsidRPr="00E94619">
        <w:rPr>
          <w:rFonts w:ascii="Century Gothic" w:hAnsi="Century Gothic"/>
        </w:rPr>
        <w:t>Según las estadísticas de la UARIV los niños, las niñas y adolescentes también han sido víctimas de los delitos sexuales en el conflicto armado, entre los años 201</w:t>
      </w:r>
      <w:r w:rsidR="00A41534" w:rsidRPr="00E94619">
        <w:rPr>
          <w:rFonts w:ascii="Century Gothic" w:hAnsi="Century Gothic"/>
        </w:rPr>
        <w:t>7</w:t>
      </w:r>
      <w:r w:rsidRPr="00E94619">
        <w:rPr>
          <w:rFonts w:ascii="Century Gothic" w:hAnsi="Century Gothic"/>
        </w:rPr>
        <w:t xml:space="preserve"> y 201</w:t>
      </w:r>
      <w:r w:rsidR="00A41534" w:rsidRPr="00E94619">
        <w:rPr>
          <w:rFonts w:ascii="Century Gothic" w:hAnsi="Century Gothic"/>
        </w:rPr>
        <w:t>9</w:t>
      </w:r>
      <w:r w:rsidRPr="00E94619">
        <w:rPr>
          <w:rFonts w:ascii="Century Gothic" w:hAnsi="Century Gothic"/>
        </w:rPr>
        <w:t xml:space="preserve"> se reportaron </w:t>
      </w:r>
      <w:r w:rsidR="0021369D" w:rsidRPr="00E94619">
        <w:rPr>
          <w:rFonts w:ascii="Century Gothic" w:hAnsi="Century Gothic"/>
        </w:rPr>
        <w:t>140</w:t>
      </w:r>
      <w:r w:rsidRPr="00E94619">
        <w:rPr>
          <w:rFonts w:ascii="Century Gothic" w:hAnsi="Century Gothic"/>
        </w:rPr>
        <w:t xml:space="preserve"> casos. En este grupo poblacional las niñas también fueron las principales víctimas</w:t>
      </w:r>
      <w:r w:rsidR="0021369D" w:rsidRPr="00E94619">
        <w:rPr>
          <w:rFonts w:ascii="Century Gothic" w:hAnsi="Century Gothic"/>
        </w:rPr>
        <w:t>.</w:t>
      </w:r>
    </w:p>
    <w:p w14:paraId="5DC3DAE1" w14:textId="4BC594C2" w:rsidR="00FF2D35" w:rsidRDefault="00FF2D35" w:rsidP="00FF2D35">
      <w:pPr>
        <w:spacing w:after="0"/>
        <w:jc w:val="center"/>
        <w:rPr>
          <w:rFonts w:ascii="Century Gothic" w:hAnsi="Century Gothic"/>
          <w:b/>
          <w:sz w:val="16"/>
          <w:szCs w:val="16"/>
        </w:rPr>
      </w:pPr>
      <w:r>
        <w:rPr>
          <w:rFonts w:ascii="Century Gothic" w:hAnsi="Century Gothic"/>
          <w:b/>
          <w:sz w:val="16"/>
          <w:szCs w:val="16"/>
        </w:rPr>
        <w:t>Grafica 34</w:t>
      </w:r>
      <w:r w:rsidRPr="00FF2D35">
        <w:rPr>
          <w:rFonts w:ascii="Century Gothic" w:hAnsi="Century Gothic"/>
          <w:b/>
          <w:sz w:val="16"/>
          <w:szCs w:val="16"/>
        </w:rPr>
        <w:t>. Delitos contra la libertad y la integridad sexual</w:t>
      </w:r>
      <w:r>
        <w:rPr>
          <w:rFonts w:ascii="Century Gothic" w:hAnsi="Century Gothic"/>
          <w:b/>
          <w:sz w:val="16"/>
          <w:szCs w:val="16"/>
        </w:rPr>
        <w:t xml:space="preserve"> NNA</w:t>
      </w:r>
      <w:r w:rsidRPr="00FF2D35">
        <w:rPr>
          <w:rFonts w:ascii="Century Gothic" w:hAnsi="Century Gothic"/>
          <w:b/>
          <w:sz w:val="16"/>
          <w:szCs w:val="16"/>
        </w:rPr>
        <w:t xml:space="preserve"> – conflicto armado por sexo (2017-2019)</w:t>
      </w:r>
    </w:p>
    <w:p w14:paraId="4907D00E" w14:textId="4D733E55" w:rsidR="00FF2D35" w:rsidRPr="00FF2D35" w:rsidRDefault="00FF2D35" w:rsidP="00FF2D35">
      <w:pPr>
        <w:spacing w:after="0"/>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699200" behindDoc="0" locked="0" layoutInCell="1" allowOverlap="1" wp14:anchorId="75E8B0FD" wp14:editId="7D400D0A">
            <wp:simplePos x="0" y="0"/>
            <wp:positionH relativeFrom="column">
              <wp:posOffset>1378585</wp:posOffset>
            </wp:positionH>
            <wp:positionV relativeFrom="paragraph">
              <wp:posOffset>64770</wp:posOffset>
            </wp:positionV>
            <wp:extent cx="2507615" cy="1488440"/>
            <wp:effectExtent l="0" t="0" r="6985" b="1016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0761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FA57" w14:textId="776DE190" w:rsidR="001238D7" w:rsidRPr="00E94619" w:rsidRDefault="00830DBC" w:rsidP="000E5AC0">
      <w:pPr>
        <w:spacing w:after="0"/>
        <w:jc w:val="both"/>
        <w:rPr>
          <w:rFonts w:ascii="Century Gothic" w:hAnsi="Century Gothic"/>
          <w:sz w:val="16"/>
          <w:szCs w:val="16"/>
        </w:rPr>
      </w:pPr>
      <w:sdt>
        <w:sdtPr>
          <w:rPr>
            <w:rFonts w:ascii="Century Gothic" w:hAnsi="Century Gothic"/>
          </w:rPr>
          <w:tag w:val="goog_rdk_46"/>
          <w:id w:val="74941641"/>
        </w:sdtPr>
        <w:sdtContent/>
      </w:sdt>
    </w:p>
    <w:p w14:paraId="67A2FD60" w14:textId="77777777" w:rsidR="00FF2D35" w:rsidRDefault="00FF2D35" w:rsidP="000E5AC0">
      <w:pPr>
        <w:spacing w:after="0"/>
        <w:jc w:val="both"/>
        <w:rPr>
          <w:rFonts w:ascii="Century Gothic" w:hAnsi="Century Gothic"/>
          <w:sz w:val="16"/>
          <w:szCs w:val="16"/>
        </w:rPr>
      </w:pPr>
    </w:p>
    <w:p w14:paraId="72DF2928" w14:textId="77777777" w:rsidR="00FF2D35" w:rsidRDefault="00FF2D35" w:rsidP="000E5AC0">
      <w:pPr>
        <w:spacing w:after="0"/>
        <w:jc w:val="both"/>
        <w:rPr>
          <w:rFonts w:ascii="Century Gothic" w:hAnsi="Century Gothic"/>
          <w:sz w:val="16"/>
          <w:szCs w:val="16"/>
        </w:rPr>
      </w:pPr>
    </w:p>
    <w:p w14:paraId="763AE933" w14:textId="77777777" w:rsidR="00FF2D35" w:rsidRDefault="00FF2D35" w:rsidP="000E5AC0">
      <w:pPr>
        <w:spacing w:after="0"/>
        <w:jc w:val="both"/>
        <w:rPr>
          <w:rFonts w:ascii="Century Gothic" w:hAnsi="Century Gothic"/>
          <w:sz w:val="16"/>
          <w:szCs w:val="16"/>
        </w:rPr>
      </w:pPr>
    </w:p>
    <w:p w14:paraId="4D114B87" w14:textId="77777777" w:rsidR="00FF2D35" w:rsidRDefault="00FF2D35" w:rsidP="000E5AC0">
      <w:pPr>
        <w:spacing w:after="0"/>
        <w:jc w:val="both"/>
        <w:rPr>
          <w:rFonts w:ascii="Century Gothic" w:hAnsi="Century Gothic"/>
          <w:sz w:val="16"/>
          <w:szCs w:val="16"/>
        </w:rPr>
      </w:pPr>
    </w:p>
    <w:p w14:paraId="2B8B5994" w14:textId="77777777" w:rsidR="00FF2D35" w:rsidRDefault="00FF2D35" w:rsidP="000E5AC0">
      <w:pPr>
        <w:spacing w:after="0"/>
        <w:jc w:val="both"/>
        <w:rPr>
          <w:rFonts w:ascii="Century Gothic" w:hAnsi="Century Gothic"/>
          <w:sz w:val="16"/>
          <w:szCs w:val="16"/>
        </w:rPr>
      </w:pPr>
    </w:p>
    <w:p w14:paraId="1BF84CF2" w14:textId="77777777" w:rsidR="00FF2D35" w:rsidRDefault="00FF2D35" w:rsidP="000E5AC0">
      <w:pPr>
        <w:spacing w:after="0"/>
        <w:jc w:val="both"/>
        <w:rPr>
          <w:rFonts w:ascii="Century Gothic" w:hAnsi="Century Gothic"/>
          <w:sz w:val="16"/>
          <w:szCs w:val="16"/>
        </w:rPr>
      </w:pPr>
    </w:p>
    <w:p w14:paraId="1FACB303" w14:textId="77777777" w:rsidR="00FF2D35" w:rsidRDefault="00FF2D35" w:rsidP="000E5AC0">
      <w:pPr>
        <w:spacing w:after="0"/>
        <w:jc w:val="both"/>
        <w:rPr>
          <w:rFonts w:ascii="Century Gothic" w:hAnsi="Century Gothic"/>
          <w:sz w:val="16"/>
          <w:szCs w:val="16"/>
        </w:rPr>
      </w:pPr>
    </w:p>
    <w:p w14:paraId="3F5C3E6D" w14:textId="77777777" w:rsidR="00FF2D35" w:rsidRDefault="00FF2D35" w:rsidP="000E5AC0">
      <w:pPr>
        <w:spacing w:after="0"/>
        <w:jc w:val="both"/>
        <w:rPr>
          <w:rFonts w:ascii="Century Gothic" w:hAnsi="Century Gothic"/>
          <w:sz w:val="16"/>
          <w:szCs w:val="16"/>
        </w:rPr>
      </w:pPr>
    </w:p>
    <w:p w14:paraId="22976E32" w14:textId="77777777" w:rsidR="00FF2D35" w:rsidRDefault="00FF2D35" w:rsidP="000E5AC0">
      <w:pPr>
        <w:spacing w:after="0"/>
        <w:jc w:val="both"/>
        <w:rPr>
          <w:rFonts w:ascii="Century Gothic" w:hAnsi="Century Gothic"/>
          <w:sz w:val="16"/>
          <w:szCs w:val="16"/>
        </w:rPr>
      </w:pPr>
    </w:p>
    <w:p w14:paraId="266B2E29" w14:textId="77777777" w:rsidR="00FF2D35" w:rsidRDefault="00FF2D35" w:rsidP="000E5AC0">
      <w:pPr>
        <w:spacing w:after="0"/>
        <w:jc w:val="both"/>
        <w:rPr>
          <w:rFonts w:ascii="Century Gothic" w:hAnsi="Century Gothic"/>
          <w:sz w:val="16"/>
          <w:szCs w:val="16"/>
        </w:rPr>
      </w:pPr>
    </w:p>
    <w:p w14:paraId="1A47BD6D" w14:textId="78D6A4FF" w:rsidR="001238D7" w:rsidRPr="00E94619" w:rsidRDefault="002C6BFD" w:rsidP="00FF2D35">
      <w:pPr>
        <w:spacing w:after="0"/>
        <w:jc w:val="center"/>
        <w:rPr>
          <w:rFonts w:ascii="Century Gothic" w:hAnsi="Century Gothic"/>
          <w:sz w:val="16"/>
          <w:szCs w:val="16"/>
        </w:rPr>
      </w:pPr>
      <w:r w:rsidRPr="00E94619">
        <w:rPr>
          <w:rFonts w:ascii="Century Gothic" w:hAnsi="Century Gothic"/>
          <w:sz w:val="16"/>
          <w:szCs w:val="16"/>
        </w:rPr>
        <w:t>Fuente: R</w:t>
      </w:r>
      <w:r w:rsidR="0036411F" w:rsidRPr="00E94619">
        <w:rPr>
          <w:rFonts w:ascii="Century Gothic" w:hAnsi="Century Gothic"/>
          <w:sz w:val="16"/>
          <w:szCs w:val="16"/>
        </w:rPr>
        <w:t xml:space="preserve">ed Nacional de Información. Unidad para la Atención y Reparación Integral a las Víctimas. </w:t>
      </w:r>
      <w:r w:rsidR="00455CCE" w:rsidRPr="00E94619">
        <w:rPr>
          <w:rFonts w:ascii="Century Gothic" w:hAnsi="Century Gothic"/>
          <w:sz w:val="16"/>
          <w:szCs w:val="16"/>
        </w:rPr>
        <w:t>2019</w:t>
      </w:r>
      <w:r w:rsidR="0036411F" w:rsidRPr="00E94619">
        <w:rPr>
          <w:rFonts w:ascii="Century Gothic" w:hAnsi="Century Gothic"/>
          <w:sz w:val="16"/>
          <w:szCs w:val="16"/>
        </w:rPr>
        <w:t>.</w:t>
      </w:r>
    </w:p>
    <w:p w14:paraId="4D3ACA46" w14:textId="77777777" w:rsidR="001238D7" w:rsidRPr="00E94619" w:rsidRDefault="001238D7" w:rsidP="000E5AC0">
      <w:pPr>
        <w:spacing w:after="0"/>
        <w:jc w:val="both"/>
        <w:rPr>
          <w:rFonts w:ascii="Century Gothic" w:hAnsi="Century Gothic"/>
          <w:sz w:val="16"/>
          <w:szCs w:val="16"/>
        </w:rPr>
      </w:pPr>
    </w:p>
    <w:p w14:paraId="18C074B4" w14:textId="453C906E" w:rsidR="00FF2D35" w:rsidRDefault="0036411F" w:rsidP="000E5AC0">
      <w:pPr>
        <w:jc w:val="both"/>
        <w:rPr>
          <w:rFonts w:ascii="Century Gothic" w:hAnsi="Century Gothic"/>
        </w:rPr>
      </w:pPr>
      <w:r w:rsidRPr="00E94619">
        <w:rPr>
          <w:rFonts w:ascii="Century Gothic" w:hAnsi="Century Gothic"/>
        </w:rPr>
        <w:t>Al revisar las cifras sobre delitos sexuales en grupos étnicos se encuentra que las mujeres afrodescendientes han sido las principales víctimas, pues entre 201</w:t>
      </w:r>
      <w:r w:rsidR="00E17D48" w:rsidRPr="00E94619">
        <w:rPr>
          <w:rFonts w:ascii="Century Gothic" w:hAnsi="Century Gothic"/>
        </w:rPr>
        <w:t>8</w:t>
      </w:r>
      <w:r w:rsidRPr="00E94619">
        <w:rPr>
          <w:rFonts w:ascii="Century Gothic" w:hAnsi="Century Gothic"/>
        </w:rPr>
        <w:t xml:space="preserve"> y 201</w:t>
      </w:r>
      <w:r w:rsidR="00E17D48" w:rsidRPr="00E94619">
        <w:rPr>
          <w:rFonts w:ascii="Century Gothic" w:hAnsi="Century Gothic"/>
        </w:rPr>
        <w:t>9</w:t>
      </w:r>
      <w:r w:rsidR="0063615F" w:rsidRPr="00E94619">
        <w:rPr>
          <w:rFonts w:ascii="Century Gothic" w:hAnsi="Century Gothic"/>
        </w:rPr>
        <w:t xml:space="preserve"> se reportaron </w:t>
      </w:r>
      <w:r w:rsidR="00A42060" w:rsidRPr="00E94619">
        <w:rPr>
          <w:rFonts w:ascii="Century Gothic" w:hAnsi="Century Gothic"/>
        </w:rPr>
        <w:t xml:space="preserve">449 casos, </w:t>
      </w:r>
      <w:r w:rsidRPr="00E94619">
        <w:rPr>
          <w:rFonts w:ascii="Century Gothic" w:hAnsi="Century Gothic"/>
        </w:rPr>
        <w:t>mientras en mujeres indígenas se reportaron 5</w:t>
      </w:r>
      <w:r w:rsidR="00A42060" w:rsidRPr="00E94619">
        <w:rPr>
          <w:rFonts w:ascii="Century Gothic" w:hAnsi="Century Gothic"/>
        </w:rPr>
        <w:t>6</w:t>
      </w:r>
      <w:r w:rsidRPr="00E94619">
        <w:rPr>
          <w:rFonts w:ascii="Century Gothic" w:hAnsi="Century Gothic"/>
        </w:rPr>
        <w:t xml:space="preserve"> casos; tanto para las mujeres indígenas como para las mujeres afro el año 201</w:t>
      </w:r>
      <w:r w:rsidR="00E459AA" w:rsidRPr="00E94619">
        <w:rPr>
          <w:rFonts w:ascii="Century Gothic" w:hAnsi="Century Gothic"/>
        </w:rPr>
        <w:t>8</w:t>
      </w:r>
      <w:r w:rsidRPr="00E94619">
        <w:rPr>
          <w:rFonts w:ascii="Century Gothic" w:hAnsi="Century Gothic"/>
        </w:rPr>
        <w:t xml:space="preserve"> fue el de mayor número de casos </w:t>
      </w:r>
      <w:r w:rsidR="00E966BF" w:rsidRPr="00E94619">
        <w:rPr>
          <w:rFonts w:ascii="Century Gothic" w:hAnsi="Century Gothic"/>
        </w:rPr>
        <w:t>reportados respectivamente</w:t>
      </w:r>
      <w:r w:rsidRPr="00E94619">
        <w:rPr>
          <w:rFonts w:ascii="Century Gothic" w:hAnsi="Century Gothic"/>
        </w:rPr>
        <w:t>.</w:t>
      </w:r>
    </w:p>
    <w:p w14:paraId="6FE9A345" w14:textId="7648A773" w:rsidR="00FF2D35" w:rsidRDefault="00FF2D35" w:rsidP="00FF2D35">
      <w:pPr>
        <w:spacing w:after="0"/>
        <w:jc w:val="center"/>
        <w:rPr>
          <w:rFonts w:ascii="Century Gothic" w:hAnsi="Century Gothic"/>
          <w:b/>
          <w:sz w:val="16"/>
          <w:szCs w:val="16"/>
        </w:rPr>
      </w:pPr>
      <w:r>
        <w:rPr>
          <w:rFonts w:ascii="Century Gothic" w:hAnsi="Century Gothic"/>
          <w:b/>
          <w:sz w:val="16"/>
          <w:szCs w:val="16"/>
        </w:rPr>
        <w:t>Grafica 35</w:t>
      </w:r>
      <w:r w:rsidRPr="00FF2D35">
        <w:rPr>
          <w:rFonts w:ascii="Century Gothic" w:hAnsi="Century Gothic"/>
          <w:b/>
          <w:sz w:val="16"/>
          <w:szCs w:val="16"/>
        </w:rPr>
        <w:t>. Delitos contra la libertad y la integridad sexual</w:t>
      </w:r>
      <w:r>
        <w:rPr>
          <w:rFonts w:ascii="Century Gothic" w:hAnsi="Century Gothic"/>
          <w:b/>
          <w:sz w:val="16"/>
          <w:szCs w:val="16"/>
        </w:rPr>
        <w:t xml:space="preserve"> - </w:t>
      </w:r>
      <w:r w:rsidRPr="00FF2D35">
        <w:rPr>
          <w:rFonts w:ascii="Century Gothic" w:hAnsi="Century Gothic"/>
          <w:b/>
          <w:sz w:val="16"/>
          <w:szCs w:val="16"/>
        </w:rPr>
        <w:t xml:space="preserve">conflicto armado </w:t>
      </w:r>
      <w:r>
        <w:rPr>
          <w:rFonts w:ascii="Century Gothic" w:hAnsi="Century Gothic"/>
          <w:b/>
          <w:sz w:val="16"/>
          <w:szCs w:val="16"/>
        </w:rPr>
        <w:t>indígenas</w:t>
      </w:r>
      <w:r w:rsidRPr="00FF2D35">
        <w:rPr>
          <w:rFonts w:ascii="Century Gothic" w:hAnsi="Century Gothic"/>
          <w:b/>
          <w:sz w:val="16"/>
          <w:szCs w:val="16"/>
        </w:rPr>
        <w:t xml:space="preserve"> (2017-2019)</w:t>
      </w:r>
    </w:p>
    <w:p w14:paraId="776F027E" w14:textId="2006B48E" w:rsidR="00FF2D35" w:rsidRPr="00FF2D35" w:rsidRDefault="00FF2D35" w:rsidP="00FF2D35">
      <w:pPr>
        <w:spacing w:after="0"/>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700224" behindDoc="0" locked="0" layoutInCell="1" allowOverlap="1" wp14:anchorId="692F1A5C" wp14:editId="3C496D73">
            <wp:simplePos x="0" y="0"/>
            <wp:positionH relativeFrom="column">
              <wp:posOffset>1600200</wp:posOffset>
            </wp:positionH>
            <wp:positionV relativeFrom="paragraph">
              <wp:posOffset>93980</wp:posOffset>
            </wp:positionV>
            <wp:extent cx="2244725" cy="1332230"/>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44725" cy="1332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0A1AC" w14:textId="0933B72B" w:rsidR="00FF2D35" w:rsidRDefault="00830DBC" w:rsidP="000E5AC0">
      <w:pPr>
        <w:spacing w:after="0"/>
        <w:jc w:val="both"/>
        <w:rPr>
          <w:rFonts w:ascii="Century Gothic" w:hAnsi="Century Gothic"/>
        </w:rPr>
      </w:pPr>
      <w:sdt>
        <w:sdtPr>
          <w:rPr>
            <w:rFonts w:ascii="Century Gothic" w:hAnsi="Century Gothic"/>
          </w:rPr>
          <w:tag w:val="goog_rdk_47"/>
          <w:id w:val="-1614898952"/>
          <w:showingPlcHdr/>
        </w:sdtPr>
        <w:sdtContent>
          <w:r w:rsidR="00FF2D35">
            <w:rPr>
              <w:rFonts w:ascii="Century Gothic" w:hAnsi="Century Gothic"/>
            </w:rPr>
            <w:t xml:space="preserve">     </w:t>
          </w:r>
        </w:sdtContent>
      </w:sdt>
    </w:p>
    <w:p w14:paraId="1ED88AA0" w14:textId="77777777" w:rsidR="00FF2D35" w:rsidRDefault="00FF2D35" w:rsidP="000E5AC0">
      <w:pPr>
        <w:spacing w:after="0"/>
        <w:jc w:val="both"/>
        <w:rPr>
          <w:rFonts w:ascii="Century Gothic" w:hAnsi="Century Gothic"/>
        </w:rPr>
      </w:pPr>
    </w:p>
    <w:p w14:paraId="485E6B72" w14:textId="77777777" w:rsidR="00FF2D35" w:rsidRDefault="00FF2D35" w:rsidP="000E5AC0">
      <w:pPr>
        <w:spacing w:after="0"/>
        <w:jc w:val="both"/>
        <w:rPr>
          <w:rFonts w:ascii="Century Gothic" w:hAnsi="Century Gothic"/>
        </w:rPr>
      </w:pPr>
    </w:p>
    <w:p w14:paraId="694CBDD7" w14:textId="77777777" w:rsidR="00FF2D35" w:rsidRDefault="00FF2D35" w:rsidP="000E5AC0">
      <w:pPr>
        <w:spacing w:after="0"/>
        <w:jc w:val="both"/>
        <w:rPr>
          <w:rFonts w:ascii="Century Gothic" w:hAnsi="Century Gothic"/>
        </w:rPr>
      </w:pPr>
    </w:p>
    <w:p w14:paraId="401BE19C" w14:textId="77777777" w:rsidR="00FF2D35" w:rsidRDefault="00FF2D35" w:rsidP="000E5AC0">
      <w:pPr>
        <w:spacing w:after="0"/>
        <w:jc w:val="both"/>
        <w:rPr>
          <w:rFonts w:ascii="Century Gothic" w:hAnsi="Century Gothic"/>
        </w:rPr>
      </w:pPr>
    </w:p>
    <w:p w14:paraId="540C9AF4" w14:textId="77777777" w:rsidR="00FF2D35" w:rsidRDefault="00FF2D35" w:rsidP="000E5AC0">
      <w:pPr>
        <w:spacing w:after="0"/>
        <w:jc w:val="both"/>
        <w:rPr>
          <w:rFonts w:ascii="Century Gothic" w:hAnsi="Century Gothic"/>
          <w:sz w:val="16"/>
          <w:szCs w:val="16"/>
        </w:rPr>
      </w:pPr>
    </w:p>
    <w:p w14:paraId="02A166AD" w14:textId="77777777" w:rsidR="00FF2D35" w:rsidRDefault="00FF2D35" w:rsidP="000E5AC0">
      <w:pPr>
        <w:spacing w:after="0"/>
        <w:jc w:val="both"/>
        <w:rPr>
          <w:rFonts w:ascii="Century Gothic" w:hAnsi="Century Gothic"/>
          <w:sz w:val="16"/>
          <w:szCs w:val="16"/>
        </w:rPr>
      </w:pPr>
    </w:p>
    <w:p w14:paraId="04EC9AC5" w14:textId="77777777" w:rsidR="00FF2D35" w:rsidRDefault="00FF2D35" w:rsidP="000E5AC0">
      <w:pPr>
        <w:spacing w:after="0"/>
        <w:jc w:val="both"/>
        <w:rPr>
          <w:rFonts w:ascii="Century Gothic" w:hAnsi="Century Gothic"/>
          <w:sz w:val="16"/>
          <w:szCs w:val="16"/>
        </w:rPr>
      </w:pPr>
    </w:p>
    <w:p w14:paraId="08AAE4DC" w14:textId="1F1A6E77" w:rsidR="00FF2D35" w:rsidRDefault="00FF2D35" w:rsidP="00FF2D35">
      <w:pPr>
        <w:spacing w:after="0"/>
        <w:jc w:val="center"/>
        <w:rPr>
          <w:rFonts w:ascii="Century Gothic" w:hAnsi="Century Gothic"/>
          <w:sz w:val="16"/>
          <w:szCs w:val="16"/>
        </w:rPr>
      </w:pPr>
      <w:r w:rsidRPr="00E94619">
        <w:rPr>
          <w:rFonts w:ascii="Century Gothic" w:hAnsi="Century Gothic"/>
          <w:sz w:val="16"/>
          <w:szCs w:val="16"/>
        </w:rPr>
        <w:t>Fuente: Red Nacional de Información. Unidad para la Atención y Reparación Integral a las Víctimas. 2019.</w:t>
      </w:r>
    </w:p>
    <w:p w14:paraId="03FA3996" w14:textId="7D684F1E" w:rsidR="00FF2D35" w:rsidRDefault="00FF2D35" w:rsidP="00FF2D35">
      <w:pPr>
        <w:spacing w:after="0"/>
        <w:jc w:val="center"/>
        <w:rPr>
          <w:rFonts w:ascii="Century Gothic" w:hAnsi="Century Gothic"/>
          <w:sz w:val="16"/>
          <w:szCs w:val="16"/>
        </w:rPr>
      </w:pPr>
    </w:p>
    <w:p w14:paraId="1FC11579" w14:textId="4EF17905" w:rsidR="00FF2D35" w:rsidRDefault="00D2173C" w:rsidP="00FF2D35">
      <w:pPr>
        <w:spacing w:after="0"/>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43584" behindDoc="0" locked="0" layoutInCell="1" allowOverlap="1" wp14:anchorId="77EC8BDE" wp14:editId="7CEA7280">
            <wp:simplePos x="0" y="0"/>
            <wp:positionH relativeFrom="column">
              <wp:posOffset>-1080135</wp:posOffset>
            </wp:positionH>
            <wp:positionV relativeFrom="paragraph">
              <wp:posOffset>-822960</wp:posOffset>
            </wp:positionV>
            <wp:extent cx="965835" cy="708660"/>
            <wp:effectExtent l="0" t="0" r="0" b="0"/>
            <wp:wrapNone/>
            <wp:docPr id="392" name="Imagen 39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F2D35">
        <w:rPr>
          <w:rFonts w:ascii="Century Gothic" w:hAnsi="Century Gothic"/>
          <w:b/>
          <w:sz w:val="16"/>
          <w:szCs w:val="16"/>
        </w:rPr>
        <w:t>Grafica 36</w:t>
      </w:r>
      <w:r w:rsidR="00FF2D35" w:rsidRPr="00FF2D35">
        <w:rPr>
          <w:rFonts w:ascii="Century Gothic" w:hAnsi="Century Gothic"/>
          <w:b/>
          <w:sz w:val="16"/>
          <w:szCs w:val="16"/>
        </w:rPr>
        <w:t xml:space="preserve">. Delitos contra la </w:t>
      </w:r>
      <w:r w:rsidR="00FF2D35">
        <w:rPr>
          <w:rFonts w:ascii="Century Gothic" w:hAnsi="Century Gothic"/>
          <w:b/>
          <w:sz w:val="16"/>
          <w:szCs w:val="16"/>
        </w:rPr>
        <w:t xml:space="preserve">integridad sexual </w:t>
      </w:r>
      <w:r w:rsidR="00FF2D35" w:rsidRPr="00FF2D35">
        <w:rPr>
          <w:rFonts w:ascii="Century Gothic" w:hAnsi="Century Gothic"/>
          <w:b/>
          <w:sz w:val="16"/>
          <w:szCs w:val="16"/>
        </w:rPr>
        <w:t xml:space="preserve">– conflicto armado </w:t>
      </w:r>
      <w:r w:rsidR="00FF2D35">
        <w:rPr>
          <w:rFonts w:ascii="Century Gothic" w:hAnsi="Century Gothic"/>
          <w:b/>
          <w:sz w:val="16"/>
          <w:szCs w:val="16"/>
        </w:rPr>
        <w:t>negro(a) afrocolombiano(a)</w:t>
      </w:r>
      <w:r w:rsidR="00FF2D35" w:rsidRPr="00FF2D35">
        <w:rPr>
          <w:rFonts w:ascii="Century Gothic" w:hAnsi="Century Gothic"/>
          <w:b/>
          <w:sz w:val="16"/>
          <w:szCs w:val="16"/>
        </w:rPr>
        <w:t xml:space="preserve"> (2017-2019)</w:t>
      </w:r>
    </w:p>
    <w:p w14:paraId="317FD493" w14:textId="720D5234" w:rsidR="00FF2D35" w:rsidRDefault="00FF2D35" w:rsidP="00FF2D35">
      <w:pPr>
        <w:spacing w:after="0"/>
        <w:jc w:val="center"/>
        <w:rPr>
          <w:rFonts w:ascii="Century Gothic" w:hAnsi="Century Gothic"/>
        </w:rPr>
      </w:pPr>
      <w:r w:rsidRPr="00E94619">
        <w:rPr>
          <w:rFonts w:ascii="Century Gothic" w:hAnsi="Century Gothic"/>
          <w:noProof/>
          <w:lang w:val="es-ES" w:eastAsia="es-ES"/>
        </w:rPr>
        <w:drawing>
          <wp:anchor distT="0" distB="0" distL="114300" distR="114300" simplePos="0" relativeHeight="251701248" behindDoc="0" locked="0" layoutInCell="1" allowOverlap="1" wp14:anchorId="4BC7BE89" wp14:editId="04177D7F">
            <wp:simplePos x="0" y="0"/>
            <wp:positionH relativeFrom="column">
              <wp:posOffset>1600200</wp:posOffset>
            </wp:positionH>
            <wp:positionV relativeFrom="paragraph">
              <wp:posOffset>172085</wp:posOffset>
            </wp:positionV>
            <wp:extent cx="2352675" cy="1396365"/>
            <wp:effectExtent l="0" t="0" r="9525" b="63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52675" cy="1396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6FF7A" w14:textId="243A77A9" w:rsidR="001238D7" w:rsidRPr="00E94619" w:rsidRDefault="00830DBC" w:rsidP="000E5AC0">
      <w:pPr>
        <w:spacing w:after="0"/>
        <w:jc w:val="both"/>
        <w:rPr>
          <w:rFonts w:ascii="Century Gothic" w:hAnsi="Century Gothic"/>
        </w:rPr>
      </w:pPr>
      <w:sdt>
        <w:sdtPr>
          <w:rPr>
            <w:rFonts w:ascii="Century Gothic" w:hAnsi="Century Gothic"/>
          </w:rPr>
          <w:tag w:val="goog_rdk_48"/>
          <w:id w:val="-1705242648"/>
        </w:sdtPr>
        <w:sdtContent/>
      </w:sdt>
    </w:p>
    <w:p w14:paraId="14361422" w14:textId="77777777" w:rsidR="00FF2D35" w:rsidRDefault="00FF2D35" w:rsidP="000E5AC0">
      <w:pPr>
        <w:jc w:val="both"/>
        <w:rPr>
          <w:rFonts w:ascii="Century Gothic" w:hAnsi="Century Gothic"/>
          <w:sz w:val="16"/>
          <w:szCs w:val="16"/>
        </w:rPr>
      </w:pPr>
    </w:p>
    <w:p w14:paraId="79AF0928" w14:textId="77777777" w:rsidR="00FF2D35" w:rsidRDefault="00FF2D35" w:rsidP="000E5AC0">
      <w:pPr>
        <w:jc w:val="both"/>
        <w:rPr>
          <w:rFonts w:ascii="Century Gothic" w:hAnsi="Century Gothic"/>
          <w:sz w:val="16"/>
          <w:szCs w:val="16"/>
        </w:rPr>
      </w:pPr>
    </w:p>
    <w:p w14:paraId="4AFF3532" w14:textId="77777777" w:rsidR="00FF2D35" w:rsidRDefault="00FF2D35" w:rsidP="000E5AC0">
      <w:pPr>
        <w:jc w:val="both"/>
        <w:rPr>
          <w:rFonts w:ascii="Century Gothic" w:hAnsi="Century Gothic"/>
          <w:sz w:val="16"/>
          <w:szCs w:val="16"/>
        </w:rPr>
      </w:pPr>
    </w:p>
    <w:p w14:paraId="3BA8AE22" w14:textId="77777777" w:rsidR="00FF2D35" w:rsidRDefault="00FF2D35" w:rsidP="000E5AC0">
      <w:pPr>
        <w:jc w:val="both"/>
        <w:rPr>
          <w:rFonts w:ascii="Century Gothic" w:hAnsi="Century Gothic"/>
          <w:sz w:val="16"/>
          <w:szCs w:val="16"/>
        </w:rPr>
      </w:pPr>
    </w:p>
    <w:p w14:paraId="512D2891" w14:textId="77777777" w:rsidR="00FF2D35" w:rsidRDefault="00FF2D35" w:rsidP="000E5AC0">
      <w:pPr>
        <w:jc w:val="both"/>
        <w:rPr>
          <w:rFonts w:ascii="Century Gothic" w:hAnsi="Century Gothic"/>
          <w:sz w:val="16"/>
          <w:szCs w:val="16"/>
        </w:rPr>
      </w:pPr>
    </w:p>
    <w:p w14:paraId="4C7A10D3" w14:textId="77777777" w:rsidR="00FF2D35" w:rsidRDefault="00FF2D35" w:rsidP="000E5AC0">
      <w:pPr>
        <w:jc w:val="both"/>
        <w:rPr>
          <w:rFonts w:ascii="Century Gothic" w:hAnsi="Century Gothic"/>
          <w:sz w:val="16"/>
          <w:szCs w:val="16"/>
        </w:rPr>
      </w:pPr>
    </w:p>
    <w:p w14:paraId="0663BF78" w14:textId="01E459CE" w:rsidR="001238D7" w:rsidRPr="00E94619" w:rsidRDefault="002C6BFD" w:rsidP="00FF2D35">
      <w:pPr>
        <w:jc w:val="center"/>
        <w:rPr>
          <w:rFonts w:ascii="Century Gothic" w:hAnsi="Century Gothic"/>
          <w:sz w:val="16"/>
          <w:szCs w:val="16"/>
        </w:rPr>
      </w:pPr>
      <w:r w:rsidRPr="00E94619">
        <w:rPr>
          <w:rFonts w:ascii="Century Gothic" w:hAnsi="Century Gothic"/>
          <w:sz w:val="16"/>
          <w:szCs w:val="16"/>
        </w:rPr>
        <w:t xml:space="preserve">Fuente: </w:t>
      </w:r>
      <w:r w:rsidR="0036411F" w:rsidRPr="00E94619">
        <w:rPr>
          <w:rFonts w:ascii="Century Gothic" w:hAnsi="Century Gothic"/>
          <w:sz w:val="16"/>
          <w:szCs w:val="16"/>
        </w:rPr>
        <w:t>Red Nacional de Información. Unidad para la Atención y Reparación Integral a las Víctimas. 201</w:t>
      </w:r>
      <w:r w:rsidR="00E966BF" w:rsidRPr="00E94619">
        <w:rPr>
          <w:rFonts w:ascii="Century Gothic" w:hAnsi="Century Gothic"/>
          <w:sz w:val="16"/>
          <w:szCs w:val="16"/>
        </w:rPr>
        <w:t>9</w:t>
      </w:r>
      <w:r w:rsidR="0036411F" w:rsidRPr="00E94619">
        <w:rPr>
          <w:rFonts w:ascii="Century Gothic" w:hAnsi="Century Gothic"/>
          <w:sz w:val="16"/>
          <w:szCs w:val="16"/>
        </w:rPr>
        <w:t>.</w:t>
      </w:r>
    </w:p>
    <w:p w14:paraId="3BB51165" w14:textId="77777777" w:rsidR="001238D7" w:rsidRPr="00E94619" w:rsidRDefault="0036411F" w:rsidP="000E5AC0">
      <w:pPr>
        <w:jc w:val="both"/>
        <w:rPr>
          <w:rFonts w:ascii="Century Gothic" w:hAnsi="Century Gothic"/>
          <w:b/>
        </w:rPr>
      </w:pPr>
      <w:r w:rsidRPr="00E94619">
        <w:rPr>
          <w:rFonts w:ascii="Century Gothic" w:hAnsi="Century Gothic"/>
          <w:b/>
        </w:rPr>
        <w:t>Respuesta del Estado frente a la violencia sexual en el marco del conflicto armado</w:t>
      </w:r>
    </w:p>
    <w:tbl>
      <w:tblPr>
        <w:tblStyle w:val="affff5"/>
        <w:tblW w:w="9215"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5"/>
      </w:tblGrid>
      <w:tr w:rsidR="001238D7" w:rsidRPr="00E94619" w14:paraId="5A4B4DFD" w14:textId="77777777" w:rsidTr="0089786B">
        <w:tc>
          <w:tcPr>
            <w:tcW w:w="9215" w:type="dxa"/>
            <w:tcBorders>
              <w:top w:val="single" w:sz="4" w:space="0" w:color="CC0066"/>
              <w:left w:val="single" w:sz="4" w:space="0" w:color="CC0066"/>
              <w:bottom w:val="single" w:sz="4" w:space="0" w:color="CC0066"/>
              <w:right w:val="single" w:sz="4" w:space="0" w:color="CC0066"/>
            </w:tcBorders>
            <w:shd w:val="clear" w:color="auto" w:fill="FF99CC"/>
          </w:tcPr>
          <w:p w14:paraId="2C692F60"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MARCO NORMATIVO</w:t>
            </w:r>
          </w:p>
        </w:tc>
      </w:tr>
      <w:tr w:rsidR="001238D7" w:rsidRPr="00E94619" w14:paraId="7BDDD0BC" w14:textId="77777777" w:rsidTr="0089786B">
        <w:tc>
          <w:tcPr>
            <w:tcW w:w="9215" w:type="dxa"/>
            <w:tcBorders>
              <w:top w:val="single" w:sz="4" w:space="0" w:color="CC0066"/>
              <w:left w:val="single" w:sz="4" w:space="0" w:color="CC0066"/>
              <w:bottom w:val="single" w:sz="4" w:space="0" w:color="CC0066"/>
              <w:right w:val="single" w:sz="4" w:space="0" w:color="CC0066"/>
            </w:tcBorders>
          </w:tcPr>
          <w:p w14:paraId="15FBD421"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-Auto 009 de 2015: </w:t>
            </w:r>
            <w:r w:rsidRPr="00E94619">
              <w:rPr>
                <w:rFonts w:ascii="Century Gothic" w:hAnsi="Century Gothic"/>
                <w:sz w:val="16"/>
                <w:szCs w:val="16"/>
              </w:rPr>
              <w:t>por medio del cual se hace seguimiento a la orden segunda y tercera del auto 092 de 2008, en lo concerniente al traslado de casos de violencia sexual a la Fiscalía General de la Nación, y a la creación e implementación de un programa de prevención del impacto de género mediante la Prevención de los Riesgos Extraordinarios de Género en el marco del Conflicto Armado, y El Programa de Prevención de la Violencia Sexual contra la Mujer Desplazada y de Atención Integral a sus Víctimas, en el marco del seguimiento a la Sentencia T-025 de 2004.</w:t>
            </w:r>
          </w:p>
          <w:p w14:paraId="7905BB1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-Sentencia T-418 de15: </w:t>
            </w:r>
            <w:r w:rsidRPr="00E94619">
              <w:rPr>
                <w:rFonts w:ascii="Century Gothic" w:hAnsi="Century Gothic"/>
                <w:sz w:val="16"/>
                <w:szCs w:val="16"/>
              </w:rPr>
              <w:t>se determinó</w:t>
            </w:r>
            <w:r w:rsidRPr="00E94619">
              <w:rPr>
                <w:rFonts w:ascii="Century Gothic" w:hAnsi="Century Gothic"/>
                <w:b/>
                <w:sz w:val="16"/>
                <w:szCs w:val="16"/>
              </w:rPr>
              <w:t xml:space="preserve"> </w:t>
            </w:r>
            <w:r w:rsidRPr="00E94619">
              <w:rPr>
                <w:rFonts w:ascii="Century Gothic" w:hAnsi="Century Gothic"/>
                <w:sz w:val="16"/>
                <w:szCs w:val="16"/>
              </w:rPr>
              <w:t>que la atención en salud para las víctimas de violencia sexual en hechos asociados al conflicto armado no puede limitarse a los planes básicos</w:t>
            </w:r>
            <w:r w:rsidRPr="00E94619">
              <w:rPr>
                <w:rFonts w:ascii="Century Gothic" w:hAnsi="Century Gothic"/>
                <w:b/>
                <w:sz w:val="16"/>
                <w:szCs w:val="16"/>
              </w:rPr>
              <w:t>.</w:t>
            </w:r>
          </w:p>
          <w:p w14:paraId="6BE68D8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-Sentencia C-754 de 2015: </w:t>
            </w:r>
            <w:r w:rsidRPr="00E94619">
              <w:rPr>
                <w:rFonts w:ascii="Century Gothic" w:hAnsi="Century Gothic"/>
                <w:sz w:val="16"/>
                <w:szCs w:val="16"/>
              </w:rPr>
              <w:t>obligación de entidades de salud en implementación de protocolo y modelo de atención integral, que contenga procedimientos de interrupción voluntaria del embarazo a víctimas de violencia sexual y objeción de médicos.</w:t>
            </w:r>
          </w:p>
          <w:p w14:paraId="06CFAAB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1719 de 2014: </w:t>
            </w:r>
            <w:r w:rsidRPr="00E94619">
              <w:rPr>
                <w:rFonts w:ascii="Century Gothic" w:hAnsi="Century Gothic"/>
                <w:sz w:val="16"/>
                <w:szCs w:val="16"/>
              </w:rPr>
              <w:t xml:space="preserve">se adoptan medidas para garantizar el acceso a la justicia de las víctimas de violencia sexual, en especial la violencia sexual con ocasiona del conflicto armado. </w:t>
            </w:r>
          </w:p>
          <w:p w14:paraId="67D4028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-Decreto1480 de 5 de agosto de 2014: </w:t>
            </w:r>
            <w:r w:rsidRPr="00E94619">
              <w:rPr>
                <w:rFonts w:ascii="Century Gothic" w:hAnsi="Century Gothic"/>
                <w:sz w:val="16"/>
                <w:szCs w:val="16"/>
              </w:rPr>
              <w:t>se declara el 25 de mayo como el Día Nacional por la Dignidad de las Mujeres víctimas de violencia sexual en el marco del conflicto armado interno.</w:t>
            </w:r>
          </w:p>
          <w:p w14:paraId="4B71875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-Sentencia T-595 de13: </w:t>
            </w:r>
            <w:r w:rsidRPr="00E94619">
              <w:rPr>
                <w:rFonts w:ascii="Century Gothic" w:hAnsi="Century Gothic"/>
                <w:sz w:val="16"/>
                <w:szCs w:val="16"/>
              </w:rPr>
              <w:t>Derechos de las Victimas a la Verdad, a la Justicia y a la Reparación Integral en el Marco del Derecho Internacional de Derechos Humanos. Derechos de las Mujeres Víctimas de Delitos Sexuales</w:t>
            </w:r>
            <w:r w:rsidRPr="00E94619">
              <w:rPr>
                <w:rFonts w:ascii="Century Gothic" w:hAnsi="Century Gothic"/>
                <w:b/>
                <w:sz w:val="16"/>
                <w:szCs w:val="16"/>
              </w:rPr>
              <w:t>-</w:t>
            </w:r>
            <w:r w:rsidRPr="00E94619">
              <w:rPr>
                <w:rFonts w:ascii="Century Gothic" w:hAnsi="Century Gothic"/>
                <w:sz w:val="16"/>
                <w:szCs w:val="16"/>
              </w:rPr>
              <w:t xml:space="preserve">Prohibición de revictimizarlas. </w:t>
            </w:r>
          </w:p>
          <w:p w14:paraId="3055DD93" w14:textId="77777777" w:rsidR="001238D7" w:rsidRDefault="0036411F" w:rsidP="000E5AC0">
            <w:pPr>
              <w:spacing w:after="0" w:line="240" w:lineRule="auto"/>
              <w:jc w:val="both"/>
              <w:rPr>
                <w:rFonts w:ascii="Century Gothic" w:hAnsi="Century Gothic"/>
                <w:i/>
                <w:sz w:val="16"/>
                <w:szCs w:val="16"/>
              </w:rPr>
            </w:pPr>
            <w:r w:rsidRPr="00E94619">
              <w:rPr>
                <w:rFonts w:ascii="Century Gothic" w:hAnsi="Century Gothic"/>
                <w:b/>
                <w:sz w:val="16"/>
                <w:szCs w:val="16"/>
              </w:rPr>
              <w:t xml:space="preserve">-Sentencia C-355 de 2006: </w:t>
            </w:r>
            <w:r w:rsidRPr="00E94619">
              <w:rPr>
                <w:rFonts w:ascii="Century Gothic" w:hAnsi="Century Gothic"/>
                <w:sz w:val="16"/>
                <w:szCs w:val="16"/>
              </w:rPr>
              <w:t>no se incurre en delito de aborto, cuando con la voluntad de la mujer, la interrupción del embarazo se produzca…c) cuando el embarazo sea resultado de una conducta, debidamente denunciada, constitutiva de acceso carnal o acto sexual sin consentimiento, abusivo, o de inseminación artificial o de transferencia de óvulo fecundado no consentidas, o de incesto</w:t>
            </w:r>
            <w:r w:rsidRPr="00E94619">
              <w:rPr>
                <w:rFonts w:ascii="Century Gothic" w:hAnsi="Century Gothic"/>
                <w:i/>
                <w:sz w:val="16"/>
                <w:szCs w:val="16"/>
              </w:rPr>
              <w:t>.</w:t>
            </w:r>
          </w:p>
          <w:p w14:paraId="5D616147" w14:textId="77777777" w:rsidR="00FF2D35" w:rsidRPr="00E94619" w:rsidRDefault="00FF2D35" w:rsidP="000E5AC0">
            <w:pPr>
              <w:spacing w:after="0" w:line="240" w:lineRule="auto"/>
              <w:jc w:val="both"/>
              <w:rPr>
                <w:rFonts w:ascii="Century Gothic" w:hAnsi="Century Gothic"/>
                <w:sz w:val="16"/>
                <w:szCs w:val="16"/>
              </w:rPr>
            </w:pPr>
          </w:p>
        </w:tc>
      </w:tr>
    </w:tbl>
    <w:p w14:paraId="079DA460" w14:textId="77777777" w:rsidR="001238D7" w:rsidRPr="00E94619" w:rsidRDefault="001238D7" w:rsidP="000E5AC0">
      <w:pPr>
        <w:spacing w:after="0" w:line="240" w:lineRule="auto"/>
        <w:rPr>
          <w:rFonts w:ascii="Century Gothic" w:hAnsi="Century Gothic"/>
          <w:b/>
        </w:rPr>
      </w:pPr>
    </w:p>
    <w:p w14:paraId="45B7B5E4" w14:textId="77777777" w:rsidR="001238D7" w:rsidRDefault="0036411F" w:rsidP="000E5AC0">
      <w:pPr>
        <w:spacing w:after="0" w:line="240" w:lineRule="auto"/>
        <w:rPr>
          <w:rFonts w:ascii="Century Gothic" w:hAnsi="Century Gothic"/>
          <w:b/>
        </w:rPr>
      </w:pPr>
      <w:r w:rsidRPr="00E94619">
        <w:rPr>
          <w:rFonts w:ascii="Century Gothic" w:hAnsi="Century Gothic"/>
          <w:b/>
        </w:rPr>
        <w:t>Respuesta de la sociedad civil</w:t>
      </w:r>
    </w:p>
    <w:p w14:paraId="69220A8C" w14:textId="77777777" w:rsidR="00FF2D35" w:rsidRPr="00E94619" w:rsidRDefault="00FF2D35" w:rsidP="000E5AC0">
      <w:pPr>
        <w:spacing w:after="0" w:line="240" w:lineRule="auto"/>
        <w:rPr>
          <w:rFonts w:ascii="Century Gothic" w:hAnsi="Century Gothic"/>
          <w:b/>
        </w:rPr>
      </w:pPr>
    </w:p>
    <w:tbl>
      <w:tblPr>
        <w:tblStyle w:val="affff6"/>
        <w:tblW w:w="9356"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7836"/>
      </w:tblGrid>
      <w:tr w:rsidR="001238D7" w:rsidRPr="00E94619" w14:paraId="0577F3D7" w14:textId="77777777" w:rsidTr="00FF2D35">
        <w:tc>
          <w:tcPr>
            <w:tcW w:w="1520" w:type="dxa"/>
            <w:tcBorders>
              <w:top w:val="single" w:sz="4" w:space="0" w:color="CC0066"/>
              <w:left w:val="single" w:sz="4" w:space="0" w:color="CC0066"/>
              <w:right w:val="single" w:sz="4" w:space="0" w:color="CC0066"/>
            </w:tcBorders>
            <w:shd w:val="clear" w:color="auto" w:fill="FF99CC"/>
          </w:tcPr>
          <w:p w14:paraId="33C9BC74" w14:textId="28726EB2"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Organizaciones de la sociedad civil</w:t>
            </w:r>
          </w:p>
        </w:tc>
        <w:tc>
          <w:tcPr>
            <w:tcW w:w="7836" w:type="dxa"/>
            <w:tcBorders>
              <w:top w:val="single" w:sz="4" w:space="0" w:color="CC0066"/>
              <w:left w:val="single" w:sz="4" w:space="0" w:color="CC0066"/>
              <w:bottom w:val="single" w:sz="4" w:space="0" w:color="CC0066"/>
              <w:right w:val="single" w:sz="4" w:space="0" w:color="CC0066"/>
            </w:tcBorders>
          </w:tcPr>
          <w:p w14:paraId="5D4F72B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Mesa de Seguimiento a los autos 092 de 2008 y 009 de 2015 de la Corte Constitucional</w:t>
            </w:r>
            <w:r w:rsidRPr="00E94619">
              <w:rPr>
                <w:rFonts w:ascii="Century Gothic" w:hAnsi="Century Gothic"/>
                <w:sz w:val="16"/>
                <w:szCs w:val="16"/>
              </w:rPr>
              <w:t xml:space="preserve"> </w:t>
            </w:r>
          </w:p>
          <w:p w14:paraId="4BF01E9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-Ha elaborado seis informes de seguimiento al Auto 092 y un informe sobre el auto 009 de 2015. Esta Mesa está constituida por: la Alianza Iniciativa de Mujeres Colombianas por la Paz, el Centro de Estudios de Derecho, Justicia y Sociedad, el Colectivo de Abogados José Alvear Restrepo, la Comisión Colombiana de Juristas, la Consultoría para los Derechos Humanos y el Desplazamiento, la Corporación Casa de la Mujer, la Corporación Sisma Mujer, la Liga de Mujeres Desplazadas, la Mesa de Trabajo Mujer y Conflicto Armado, el Observatorio Género, Democracia y Derechos Humanos, la Organización Nacional Indígena de Colombia y la Ruta Pacífica de las Mujeres. La Mesa cuenta con el acompañamiento de ONU Mujeres en calidad de observadora.</w:t>
            </w:r>
          </w:p>
          <w:p w14:paraId="55D2270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Campaña Saquen Mi Cuerpo de la Guerra</w:t>
            </w:r>
            <w:r w:rsidRPr="00E94619">
              <w:rPr>
                <w:rFonts w:ascii="Century Gothic" w:hAnsi="Century Gothic"/>
                <w:sz w:val="16"/>
                <w:szCs w:val="16"/>
              </w:rPr>
              <w:t>: que tiene el propósito de visibilizar la afectación particular de las niñas, niños y adolescentes víctimas de violencias sexual en el marco del conflicto armado en el país. De esta campaña hacen parte las siguientes organizaciones: Corporación Vamos Mujer, Asociación Santa Rita para la Educación y Promoción – FUNSAREP, Ruta Pacifica de las Mujeres, Asociación de Mujeres y Madres Abriendo Caminos, Centro de Promoción y Cultura CPC – FASOL, Corporación Casa de la Mujer, Humanidad Vigente Corporación Jurídica, Comisión Colombiana de Juristas, Colectivo de Abogados José Alvear Restrepo, Coalición contra la vinculación de niños, niñas y adolescentes al conflicto armado en Colombia - COALICO).</w:t>
            </w:r>
          </w:p>
          <w:p w14:paraId="7A2F01E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Sisma Mujer</w:t>
            </w:r>
            <w:r w:rsidRPr="00E94619">
              <w:rPr>
                <w:rFonts w:ascii="Century Gothic" w:hAnsi="Century Gothic"/>
                <w:sz w:val="16"/>
                <w:szCs w:val="16"/>
              </w:rPr>
              <w:t>:  desarrolla acciones jurídicas y de incidencia política con enfoque feminista y psicosocial para apoyar a mujeres víctimas de violencias, entre ellas la sexual dentro y fuera del conflicto armado.</w:t>
            </w:r>
          </w:p>
          <w:p w14:paraId="786962D1" w14:textId="42B02F9A" w:rsidR="001238D7" w:rsidRPr="00E94619" w:rsidRDefault="00D2173C" w:rsidP="000E5AC0">
            <w:pPr>
              <w:spacing w:after="0" w:line="240" w:lineRule="auto"/>
              <w:jc w:val="both"/>
              <w:rPr>
                <w:rFonts w:ascii="Century Gothic" w:hAnsi="Century Gothic"/>
                <w:sz w:val="16"/>
                <w:szCs w:val="16"/>
              </w:rPr>
            </w:pPr>
            <w:r>
              <w:rPr>
                <w:rFonts w:ascii="Century Gothic" w:hAnsi="Century Gothic"/>
                <w:b/>
                <w:noProof/>
                <w:szCs w:val="24"/>
                <w:lang w:val="es-ES"/>
              </w:rPr>
              <w:lastRenderedPageBreak/>
              <w:drawing>
                <wp:anchor distT="0" distB="0" distL="114300" distR="114300" simplePos="0" relativeHeight="251845632" behindDoc="0" locked="0" layoutInCell="1" allowOverlap="1" wp14:anchorId="1ABA07C8" wp14:editId="4A460986">
                  <wp:simplePos x="0" y="0"/>
                  <wp:positionH relativeFrom="column">
                    <wp:posOffset>-1938020</wp:posOffset>
                  </wp:positionH>
                  <wp:positionV relativeFrom="paragraph">
                    <wp:posOffset>-829310</wp:posOffset>
                  </wp:positionV>
                  <wp:extent cx="965835" cy="708660"/>
                  <wp:effectExtent l="0" t="0" r="0" b="0"/>
                  <wp:wrapNone/>
                  <wp:docPr id="393" name="Imagen 39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sz w:val="16"/>
                <w:szCs w:val="16"/>
              </w:rPr>
              <w:t>Corporación Humanas</w:t>
            </w:r>
            <w:r w:rsidR="0036411F" w:rsidRPr="00E94619">
              <w:rPr>
                <w:rFonts w:ascii="Century Gothic" w:hAnsi="Century Gothic"/>
                <w:sz w:val="16"/>
                <w:szCs w:val="16"/>
              </w:rPr>
              <w:t xml:space="preserve">: ha trabajado en el acompañamiento de casos específicos de violencia sexual, para apoyar el acceso a la justicia de las mujeres víctimas de violencia sexual en el contexto del conflicto armado. </w:t>
            </w:r>
          </w:p>
          <w:p w14:paraId="2260A1DB" w14:textId="77777777" w:rsidR="001238D7"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-Las 5 Claves: </w:t>
            </w:r>
            <w:r w:rsidRPr="00E94619">
              <w:rPr>
                <w:rFonts w:ascii="Century Gothic" w:hAnsi="Century Gothic"/>
                <w:sz w:val="16"/>
                <w:szCs w:val="16"/>
              </w:rPr>
              <w:t>plataforma conformada actualmente por la Red Nacional de Mujeres, la Corporación Sisma Mujer y la Corporación Humanas. Trabajan por la incorporación de un tratamiento diferenciado de la violencia sexual contra las mujeres en los acuerdos de paz.</w:t>
            </w:r>
          </w:p>
          <w:p w14:paraId="7E00F305" w14:textId="77777777" w:rsidR="007D4FA1" w:rsidRPr="00E94619" w:rsidRDefault="007D4FA1" w:rsidP="000E5AC0">
            <w:pPr>
              <w:spacing w:after="0" w:line="240" w:lineRule="auto"/>
              <w:jc w:val="both"/>
              <w:rPr>
                <w:rFonts w:ascii="Century Gothic" w:hAnsi="Century Gothic"/>
                <w:sz w:val="16"/>
                <w:szCs w:val="16"/>
              </w:rPr>
            </w:pPr>
          </w:p>
        </w:tc>
      </w:tr>
      <w:tr w:rsidR="001238D7" w:rsidRPr="00E94619" w14:paraId="11DB1FA9" w14:textId="77777777" w:rsidTr="00FF2D35">
        <w:tc>
          <w:tcPr>
            <w:tcW w:w="1520" w:type="dxa"/>
            <w:tcBorders>
              <w:top w:val="single" w:sz="4" w:space="0" w:color="CC0066"/>
              <w:left w:val="single" w:sz="4" w:space="0" w:color="CC0066"/>
              <w:bottom w:val="single" w:sz="4" w:space="0" w:color="CC0066"/>
              <w:right w:val="single" w:sz="4" w:space="0" w:color="CC0066"/>
            </w:tcBorders>
            <w:shd w:val="clear" w:color="auto" w:fill="FF99CC"/>
          </w:tcPr>
          <w:p w14:paraId="65D23DAB"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lastRenderedPageBreak/>
              <w:t>Cooperación Internacional</w:t>
            </w:r>
          </w:p>
        </w:tc>
        <w:tc>
          <w:tcPr>
            <w:tcW w:w="7836" w:type="dxa"/>
            <w:tcBorders>
              <w:top w:val="single" w:sz="4" w:space="0" w:color="CC0066"/>
              <w:left w:val="single" w:sz="4" w:space="0" w:color="CC0066"/>
              <w:bottom w:val="single" w:sz="4" w:space="0" w:color="CC0066"/>
              <w:right w:val="single" w:sz="4" w:space="0" w:color="CC0066"/>
            </w:tcBorders>
          </w:tcPr>
          <w:p w14:paraId="4D94BCA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Oficina del Alto Comisionado para los Derechos Humanos</w:t>
            </w:r>
            <w:r w:rsidRPr="00E94619">
              <w:rPr>
                <w:rFonts w:ascii="Century Gothic" w:hAnsi="Century Gothic"/>
                <w:sz w:val="16"/>
                <w:szCs w:val="16"/>
              </w:rPr>
              <w:t>: acompaña diferentes procesos relacionados con la violencia sexual.</w:t>
            </w:r>
          </w:p>
          <w:p w14:paraId="5E167CA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Agencia Española de Cooperación</w:t>
            </w:r>
            <w:r w:rsidRPr="00E94619">
              <w:rPr>
                <w:rFonts w:ascii="Century Gothic" w:hAnsi="Century Gothic"/>
                <w:sz w:val="16"/>
                <w:szCs w:val="16"/>
              </w:rPr>
              <w:t>: a través del apoyo a la Corporación Humanas ha apoyado diversas actividades relacionadas con la violencia sexual.</w:t>
            </w:r>
          </w:p>
          <w:p w14:paraId="1FB9FE8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PC-Consejería en Proyectos</w:t>
            </w:r>
            <w:r w:rsidRPr="00E94619">
              <w:rPr>
                <w:rFonts w:ascii="Century Gothic" w:hAnsi="Century Gothic"/>
                <w:sz w:val="16"/>
                <w:szCs w:val="16"/>
              </w:rPr>
              <w:t>: adelantaron su labor a partir de la denuncia y visibilidad de la violencia sexual contra mujeres y el continuum de violencias que se agravan en el conflicto armado.</w:t>
            </w:r>
          </w:p>
          <w:p w14:paraId="3D660FF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Comité Internacional de la Cruz Roja</w:t>
            </w:r>
            <w:r w:rsidRPr="00E94619">
              <w:rPr>
                <w:rFonts w:ascii="Century Gothic" w:hAnsi="Century Gothic"/>
                <w:sz w:val="16"/>
                <w:szCs w:val="16"/>
              </w:rPr>
              <w:t>: en el marco del Derecho Internacional Humanitario, aporta en los temas relacionados con la violencia sexual.</w:t>
            </w:r>
          </w:p>
          <w:p w14:paraId="702E1058" w14:textId="77777777" w:rsidR="001238D7"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Oxfam Intermon</w:t>
            </w:r>
            <w:r w:rsidRPr="00E94619">
              <w:rPr>
                <w:rFonts w:ascii="Century Gothic" w:hAnsi="Century Gothic"/>
                <w:sz w:val="16"/>
                <w:szCs w:val="16"/>
              </w:rPr>
              <w:t>: apoyo a la investigación “Violaciones y otras violencias, saquen mi cuerpo de la guerra”, la cual le ha permitido al país tener mayor acercamiento a la violencia sexual en el marco del conflicto contra niños, niñas y adolescentes.</w:t>
            </w:r>
          </w:p>
          <w:p w14:paraId="0F7EE31A" w14:textId="77777777" w:rsidR="007D4FA1" w:rsidRPr="00E94619" w:rsidRDefault="007D4FA1" w:rsidP="000E5AC0">
            <w:pPr>
              <w:spacing w:after="0" w:line="240" w:lineRule="auto"/>
              <w:jc w:val="both"/>
              <w:rPr>
                <w:rFonts w:ascii="Century Gothic" w:hAnsi="Century Gothic"/>
                <w:b/>
                <w:sz w:val="16"/>
                <w:szCs w:val="16"/>
              </w:rPr>
            </w:pPr>
          </w:p>
        </w:tc>
      </w:tr>
    </w:tbl>
    <w:p w14:paraId="1E5A4740" w14:textId="77777777" w:rsidR="001238D7" w:rsidRPr="00E94619" w:rsidRDefault="001238D7" w:rsidP="000E5AC0">
      <w:pPr>
        <w:spacing w:after="0" w:line="240" w:lineRule="auto"/>
        <w:rPr>
          <w:rFonts w:ascii="Century Gothic" w:hAnsi="Century Gothic"/>
          <w:b/>
        </w:rPr>
      </w:pPr>
    </w:p>
    <w:p w14:paraId="086C2637" w14:textId="77777777" w:rsidR="001238D7" w:rsidRDefault="0036411F" w:rsidP="000E5AC0">
      <w:pPr>
        <w:spacing w:after="0" w:line="240" w:lineRule="auto"/>
        <w:rPr>
          <w:rFonts w:ascii="Century Gothic" w:hAnsi="Century Gothic"/>
          <w:b/>
        </w:rPr>
      </w:pPr>
      <w:r w:rsidRPr="00E94619">
        <w:rPr>
          <w:rFonts w:ascii="Century Gothic" w:hAnsi="Century Gothic"/>
          <w:b/>
        </w:rPr>
        <w:t>Avances y retos para erradicar la violencia sexual contra las mujeres en el marco del conflicto armado</w:t>
      </w:r>
    </w:p>
    <w:p w14:paraId="013E36EB" w14:textId="77777777" w:rsidR="00FF2D35" w:rsidRPr="00E94619" w:rsidRDefault="00FF2D35" w:rsidP="000E5AC0">
      <w:pPr>
        <w:spacing w:after="0" w:line="240" w:lineRule="auto"/>
        <w:rPr>
          <w:rFonts w:ascii="Century Gothic" w:hAnsi="Century Gothic"/>
          <w:b/>
        </w:rPr>
      </w:pPr>
    </w:p>
    <w:tbl>
      <w:tblPr>
        <w:tblStyle w:val="affff7"/>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26"/>
        <w:gridCol w:w="4812"/>
      </w:tblGrid>
      <w:tr w:rsidR="007D4FA1" w:rsidRPr="00E94619" w14:paraId="3FAE299E" w14:textId="77777777" w:rsidTr="007D4FA1">
        <w:tc>
          <w:tcPr>
            <w:tcW w:w="1418" w:type="dxa"/>
            <w:tcBorders>
              <w:top w:val="single" w:sz="4" w:space="0" w:color="CC0066"/>
              <w:left w:val="single" w:sz="4" w:space="0" w:color="CC0066"/>
              <w:bottom w:val="single" w:sz="4" w:space="0" w:color="CC0066"/>
              <w:right w:val="single" w:sz="4" w:space="0" w:color="CC0066"/>
            </w:tcBorders>
            <w:shd w:val="clear" w:color="auto" w:fill="FF99CC"/>
          </w:tcPr>
          <w:p w14:paraId="5B04EDDC" w14:textId="77777777" w:rsidR="001238D7" w:rsidRPr="00E94619" w:rsidRDefault="001238D7" w:rsidP="000E5AC0">
            <w:pPr>
              <w:spacing w:after="0" w:line="240" w:lineRule="auto"/>
              <w:rPr>
                <w:rFonts w:ascii="Century Gothic" w:hAnsi="Century Gothic"/>
                <w:b/>
              </w:rPr>
            </w:pPr>
          </w:p>
        </w:tc>
        <w:tc>
          <w:tcPr>
            <w:tcW w:w="3126" w:type="dxa"/>
            <w:tcBorders>
              <w:top w:val="single" w:sz="4" w:space="0" w:color="CC0066"/>
              <w:left w:val="single" w:sz="4" w:space="0" w:color="CC0066"/>
              <w:bottom w:val="single" w:sz="4" w:space="0" w:color="CC0066"/>
              <w:right w:val="single" w:sz="4" w:space="0" w:color="CC0066"/>
            </w:tcBorders>
            <w:shd w:val="clear" w:color="auto" w:fill="FF99CC"/>
          </w:tcPr>
          <w:p w14:paraId="6725E4D7" w14:textId="77777777" w:rsidR="001238D7" w:rsidRPr="00E94619" w:rsidRDefault="0036411F" w:rsidP="000E5AC0">
            <w:pPr>
              <w:spacing w:after="0" w:line="240" w:lineRule="auto"/>
              <w:rPr>
                <w:rFonts w:ascii="Century Gothic" w:hAnsi="Century Gothic"/>
                <w:b/>
              </w:rPr>
            </w:pPr>
            <w:r w:rsidRPr="00E94619">
              <w:rPr>
                <w:rFonts w:ascii="Century Gothic" w:hAnsi="Century Gothic"/>
                <w:b/>
              </w:rPr>
              <w:t>Avances</w:t>
            </w:r>
          </w:p>
        </w:tc>
        <w:tc>
          <w:tcPr>
            <w:tcW w:w="4812" w:type="dxa"/>
            <w:tcBorders>
              <w:top w:val="single" w:sz="4" w:space="0" w:color="CC0066"/>
              <w:left w:val="single" w:sz="4" w:space="0" w:color="CC0066"/>
              <w:bottom w:val="single" w:sz="4" w:space="0" w:color="CC0066"/>
              <w:right w:val="single" w:sz="4" w:space="0" w:color="CC0066"/>
            </w:tcBorders>
            <w:shd w:val="clear" w:color="auto" w:fill="FF99CC"/>
          </w:tcPr>
          <w:p w14:paraId="33C8F6BB" w14:textId="77777777" w:rsidR="001238D7" w:rsidRPr="00E94619" w:rsidRDefault="0036411F" w:rsidP="000E5AC0">
            <w:pPr>
              <w:spacing w:after="0" w:line="240" w:lineRule="auto"/>
              <w:rPr>
                <w:rFonts w:ascii="Century Gothic" w:hAnsi="Century Gothic"/>
                <w:b/>
              </w:rPr>
            </w:pPr>
            <w:r w:rsidRPr="00E94619">
              <w:rPr>
                <w:rFonts w:ascii="Century Gothic" w:hAnsi="Century Gothic"/>
                <w:b/>
              </w:rPr>
              <w:t>Retos</w:t>
            </w:r>
          </w:p>
        </w:tc>
      </w:tr>
      <w:tr w:rsidR="007D4FA1" w:rsidRPr="00E94619" w14:paraId="17A1AD69" w14:textId="77777777" w:rsidTr="007D4FA1">
        <w:trPr>
          <w:trHeight w:val="6064"/>
        </w:trPr>
        <w:tc>
          <w:tcPr>
            <w:tcW w:w="1418" w:type="dxa"/>
            <w:tcBorders>
              <w:top w:val="single" w:sz="4" w:space="0" w:color="CC0066"/>
              <w:left w:val="single" w:sz="4" w:space="0" w:color="CC0066"/>
              <w:bottom w:val="single" w:sz="4" w:space="0" w:color="CC0066"/>
              <w:right w:val="single" w:sz="4" w:space="0" w:color="CC0066"/>
            </w:tcBorders>
          </w:tcPr>
          <w:p w14:paraId="177F6965"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 xml:space="preserve">Transversales </w:t>
            </w:r>
          </w:p>
        </w:tc>
        <w:tc>
          <w:tcPr>
            <w:tcW w:w="3126" w:type="dxa"/>
            <w:tcBorders>
              <w:top w:val="single" w:sz="4" w:space="0" w:color="CC0066"/>
              <w:left w:val="single" w:sz="4" w:space="0" w:color="CC0066"/>
              <w:bottom w:val="single" w:sz="4" w:space="0" w:color="CC0066"/>
              <w:right w:val="single" w:sz="4" w:space="0" w:color="CC0066"/>
            </w:tcBorders>
          </w:tcPr>
          <w:p w14:paraId="0DFAF6C0" w14:textId="77777777"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sz w:val="16"/>
                <w:szCs w:val="16"/>
              </w:rPr>
              <w:t xml:space="preserve"> -Se cuenta con leyes y políticas para prevenir, atender y sancionar este delito.</w:t>
            </w:r>
          </w:p>
          <w:p w14:paraId="6FD8D9E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sz w:val="16"/>
                <w:szCs w:val="16"/>
              </w:rPr>
              <w:t>-En el acuerdo de paz quedó estipulado que la violencia sexual en el marco del conflicto armado no es parte de la amnistía.</w:t>
            </w:r>
          </w:p>
        </w:tc>
        <w:tc>
          <w:tcPr>
            <w:tcW w:w="4812" w:type="dxa"/>
            <w:tcBorders>
              <w:top w:val="single" w:sz="4" w:space="0" w:color="CC0066"/>
              <w:left w:val="single" w:sz="4" w:space="0" w:color="CC0066"/>
              <w:bottom w:val="single" w:sz="4" w:space="0" w:color="CC0066"/>
              <w:right w:val="single" w:sz="4" w:space="0" w:color="CC0066"/>
            </w:tcBorders>
          </w:tcPr>
          <w:p w14:paraId="3FCE4FE6" w14:textId="77777777" w:rsidR="009A173E" w:rsidRPr="00E94619" w:rsidRDefault="009A173E" w:rsidP="000E5AC0">
            <w:pPr>
              <w:spacing w:after="0" w:line="240" w:lineRule="auto"/>
              <w:jc w:val="both"/>
              <w:rPr>
                <w:rFonts w:ascii="Century Gothic" w:hAnsi="Century Gothic"/>
                <w:b/>
                <w:sz w:val="16"/>
                <w:szCs w:val="16"/>
              </w:rPr>
            </w:pPr>
            <w:r w:rsidRPr="00E94619">
              <w:rPr>
                <w:rFonts w:ascii="Century Gothic" w:hAnsi="Century Gothic"/>
                <w:b/>
                <w:sz w:val="16"/>
                <w:szCs w:val="16"/>
              </w:rPr>
              <w:t>De acuerdo con el sexto informe de la Coalición 1325 de 2015 (Octubre de 2017)</w:t>
            </w:r>
          </w:p>
          <w:p w14:paraId="6F86AF42" w14:textId="65327F4B" w:rsidR="00E94619" w:rsidRPr="00E94619" w:rsidRDefault="0036411F" w:rsidP="000E5AC0">
            <w:pPr>
              <w:spacing w:after="0" w:line="240" w:lineRule="auto"/>
              <w:jc w:val="both"/>
              <w:rPr>
                <w:rFonts w:ascii="Century Gothic" w:hAnsi="Century Gothic" w:cs="Calibri"/>
                <w:sz w:val="16"/>
                <w:szCs w:val="16"/>
              </w:rPr>
            </w:pPr>
            <w:r w:rsidRPr="00E94619">
              <w:rPr>
                <w:rFonts w:ascii="Century Gothic" w:hAnsi="Century Gothic"/>
                <w:sz w:val="16"/>
                <w:szCs w:val="16"/>
              </w:rPr>
              <w:t>-</w:t>
            </w:r>
            <w:r w:rsidR="00D42447" w:rsidRPr="00E94619">
              <w:rPr>
                <w:rFonts w:ascii="Century Gothic" w:hAnsi="Century Gothic"/>
                <w:sz w:val="16"/>
                <w:szCs w:val="16"/>
              </w:rPr>
              <w:t xml:space="preserve"> Es importante destacar que los Acuerdos no establecen ningún mecanismo específico que permita garantizar la participación de las mujeres en el acceso a estos recursos y en solo 14 de ellos (equivalentes al 41 %) se aclara que se tendrán en cuenta los casos en los existan madres cabeza de familia para efectos de la entrega de los dineros. Además solo uno de los 34 Acuerdos, el último suscrito y analizado, correspondiente al de la zona Andinoamazónica, (equivalente al 2.9 %) se incluye, expresamente, a las familias unipersonales, reconstruidas y aquellas conformadas por parejas del mismo sexo como beneficiarias del programa. Cambiando así el enfoque tradicional de lo que se entiende por familia, es decir, conformada por parejas heterosexuales, enfoque que no permite que se incluyan individuos. Este Acuerdo de la región Andinoamazónica también vincula a las mujeres como posibles titulares para el cobro del dinero del PAI a nombre de las familias beneficiarias. Esto representa un logro en materia de equidad económica entre mujeres y hombres al interior de los núcleos familiares.</w:t>
            </w:r>
          </w:p>
          <w:p w14:paraId="011DC6DA" w14:textId="26A194E8"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 </w:t>
            </w:r>
          </w:p>
          <w:p w14:paraId="6E62580F"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Según informe de la UARIV del año 2015</w:t>
            </w:r>
          </w:p>
          <w:p w14:paraId="4DD92080" w14:textId="77777777"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i/>
                <w:sz w:val="16"/>
                <w:szCs w:val="16"/>
              </w:rPr>
              <w:t>-</w:t>
            </w:r>
            <w:r w:rsidRPr="00E94619">
              <w:rPr>
                <w:rFonts w:ascii="Century Gothic" w:hAnsi="Century Gothic"/>
                <w:sz w:val="16"/>
                <w:szCs w:val="16"/>
              </w:rPr>
              <w:t>Es necesario garantizar la participación efectiva de las mujeres víctimas de violencia sexual, especialmente en los espacios de la Ley 1719.</w:t>
            </w:r>
          </w:p>
          <w:p w14:paraId="1DC0A6D8" w14:textId="77777777" w:rsidR="001238D7" w:rsidRPr="00E94619" w:rsidRDefault="001238D7" w:rsidP="000E5AC0">
            <w:pPr>
              <w:spacing w:after="0" w:line="240" w:lineRule="auto"/>
              <w:rPr>
                <w:rFonts w:ascii="Century Gothic" w:hAnsi="Century Gothic"/>
                <w:sz w:val="16"/>
                <w:szCs w:val="16"/>
              </w:rPr>
            </w:pPr>
          </w:p>
          <w:p w14:paraId="02CD65DE" w14:textId="77777777" w:rsidR="001238D7" w:rsidRPr="00E94619" w:rsidRDefault="0036411F" w:rsidP="000E5AC0">
            <w:pPr>
              <w:spacing w:after="0" w:line="240" w:lineRule="auto"/>
              <w:rPr>
                <w:rFonts w:ascii="Century Gothic" w:hAnsi="Century Gothic"/>
                <w:i/>
                <w:sz w:val="16"/>
                <w:szCs w:val="16"/>
              </w:rPr>
            </w:pPr>
            <w:r w:rsidRPr="00E94619">
              <w:rPr>
                <w:rFonts w:ascii="Century Gothic" w:hAnsi="Century Gothic"/>
                <w:b/>
                <w:sz w:val="16"/>
                <w:szCs w:val="16"/>
              </w:rPr>
              <w:t>Según el informe</w:t>
            </w:r>
            <w:r w:rsidRPr="00E94619">
              <w:rPr>
                <w:rFonts w:ascii="Century Gothic" w:hAnsi="Century Gothic"/>
                <w:b/>
                <w:i/>
                <w:sz w:val="16"/>
                <w:szCs w:val="16"/>
              </w:rPr>
              <w:t xml:space="preserve"> “</w:t>
            </w:r>
            <w:r w:rsidRPr="00E94619">
              <w:rPr>
                <w:rFonts w:ascii="Century Gothic" w:hAnsi="Century Gothic"/>
                <w:b/>
                <w:sz w:val="16"/>
                <w:szCs w:val="16"/>
              </w:rPr>
              <w:t>Que dejen de cazar a las niñas y los niños: Informe sobre violencia sexual contra niñas, niños y adolescentes en el conflicto armado en Colombia</w:t>
            </w:r>
            <w:r w:rsidRPr="00E94619">
              <w:rPr>
                <w:rFonts w:ascii="Century Gothic" w:hAnsi="Century Gothic"/>
                <w:sz w:val="16"/>
                <w:szCs w:val="16"/>
              </w:rPr>
              <w:t>”</w:t>
            </w:r>
            <w:r w:rsidRPr="00E94619">
              <w:rPr>
                <w:rFonts w:ascii="Century Gothic" w:hAnsi="Century Gothic"/>
                <w:i/>
                <w:sz w:val="16"/>
                <w:szCs w:val="16"/>
              </w:rPr>
              <w:t xml:space="preserve">. </w:t>
            </w:r>
          </w:p>
          <w:p w14:paraId="73D39901" w14:textId="405BD24C"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En las violencias sexuales contra niños, niñas y adolescentes se presentan muchas dificultades para abordar el tema de manera</w:t>
            </w:r>
          </w:p>
        </w:tc>
      </w:tr>
      <w:tr w:rsidR="007D4FA1" w:rsidRPr="00E94619" w14:paraId="41CB4A4C" w14:textId="77777777" w:rsidTr="007D4FA1">
        <w:tc>
          <w:tcPr>
            <w:tcW w:w="1418" w:type="dxa"/>
            <w:tcBorders>
              <w:top w:val="single" w:sz="4" w:space="0" w:color="CC0066"/>
              <w:left w:val="single" w:sz="4" w:space="0" w:color="CC0066"/>
              <w:bottom w:val="single" w:sz="4" w:space="0" w:color="CC0066"/>
              <w:right w:val="single" w:sz="4" w:space="0" w:color="CC0066"/>
            </w:tcBorders>
          </w:tcPr>
          <w:p w14:paraId="74E70EA1" w14:textId="67AC539D" w:rsidR="00FF2D35" w:rsidRPr="00E94619" w:rsidRDefault="00FF2D35" w:rsidP="000E5AC0">
            <w:pPr>
              <w:spacing w:after="0" w:line="240" w:lineRule="auto"/>
              <w:rPr>
                <w:rFonts w:ascii="Century Gothic" w:hAnsi="Century Gothic"/>
                <w:b/>
                <w:sz w:val="16"/>
                <w:szCs w:val="16"/>
              </w:rPr>
            </w:pPr>
          </w:p>
        </w:tc>
        <w:tc>
          <w:tcPr>
            <w:tcW w:w="3126" w:type="dxa"/>
            <w:tcBorders>
              <w:top w:val="single" w:sz="4" w:space="0" w:color="CC0066"/>
              <w:left w:val="single" w:sz="4" w:space="0" w:color="CC0066"/>
              <w:bottom w:val="single" w:sz="4" w:space="0" w:color="CC0066"/>
              <w:right w:val="single" w:sz="4" w:space="0" w:color="CC0066"/>
            </w:tcBorders>
          </w:tcPr>
          <w:p w14:paraId="5F292D79" w14:textId="77777777" w:rsidR="00FF2D35" w:rsidRPr="00E94619" w:rsidRDefault="00FF2D35" w:rsidP="000E5AC0">
            <w:pPr>
              <w:spacing w:after="0" w:line="240" w:lineRule="auto"/>
              <w:jc w:val="both"/>
              <w:rPr>
                <w:rFonts w:ascii="Century Gothic" w:hAnsi="Century Gothic"/>
                <w:sz w:val="16"/>
                <w:szCs w:val="16"/>
              </w:rPr>
            </w:pPr>
          </w:p>
        </w:tc>
        <w:tc>
          <w:tcPr>
            <w:tcW w:w="4812" w:type="dxa"/>
            <w:tcBorders>
              <w:top w:val="single" w:sz="4" w:space="0" w:color="CC0066"/>
              <w:left w:val="single" w:sz="4" w:space="0" w:color="CC0066"/>
              <w:bottom w:val="single" w:sz="4" w:space="0" w:color="CC0066"/>
              <w:right w:val="single" w:sz="4" w:space="0" w:color="CC0066"/>
            </w:tcBorders>
          </w:tcPr>
          <w:p w14:paraId="74CF0B07"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 adecuada, entre ellas: </w:t>
            </w:r>
          </w:p>
          <w:p w14:paraId="45E6EE99"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-El subregistro</w:t>
            </w:r>
          </w:p>
          <w:p w14:paraId="475C4284"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-El aislamiento de algunas comunidades rurales por razones geográficas. </w:t>
            </w:r>
          </w:p>
          <w:p w14:paraId="3970A11D"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-No existe una única violencia sexual y por tanto estos hechos son difíciles de catalogar y de prevenir.</w:t>
            </w:r>
          </w:p>
          <w:p w14:paraId="30E1A33D"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-Mayor dificultad para registrar y atender la violencia contra los niños varones por razones culturales.</w:t>
            </w:r>
          </w:p>
          <w:p w14:paraId="5B401C7F" w14:textId="77777777" w:rsidR="00FF2D35" w:rsidRPr="00E94619" w:rsidRDefault="00FF2D35" w:rsidP="000E5AC0">
            <w:pPr>
              <w:spacing w:after="0" w:line="240" w:lineRule="auto"/>
              <w:jc w:val="both"/>
              <w:rPr>
                <w:rFonts w:ascii="Century Gothic" w:hAnsi="Century Gothic"/>
                <w:sz w:val="16"/>
                <w:szCs w:val="16"/>
              </w:rPr>
            </w:pPr>
            <w:r w:rsidRPr="00E94619">
              <w:rPr>
                <w:rFonts w:ascii="Century Gothic" w:hAnsi="Century Gothic"/>
                <w:sz w:val="16"/>
                <w:szCs w:val="16"/>
              </w:rPr>
              <w:t>-Por lo antiguo del conflicto, se dan naturalizaciones de violencias sexuales.</w:t>
            </w:r>
          </w:p>
          <w:p w14:paraId="45921CF6" w14:textId="174A1BB1" w:rsidR="00FF2D35" w:rsidRPr="00E94619" w:rsidRDefault="00D2173C" w:rsidP="000E5AC0">
            <w:pPr>
              <w:spacing w:after="0" w:line="240" w:lineRule="auto"/>
              <w:jc w:val="both"/>
              <w:rPr>
                <w:rFonts w:ascii="Century Gothic" w:hAnsi="Century Gothic"/>
                <w:sz w:val="16"/>
                <w:szCs w:val="16"/>
              </w:rPr>
            </w:pPr>
            <w:r>
              <w:rPr>
                <w:rFonts w:ascii="Century Gothic" w:hAnsi="Century Gothic"/>
                <w:b/>
                <w:noProof/>
                <w:szCs w:val="24"/>
                <w:lang w:val="es-ES"/>
              </w:rPr>
              <w:lastRenderedPageBreak/>
              <w:drawing>
                <wp:anchor distT="0" distB="0" distL="114300" distR="114300" simplePos="0" relativeHeight="251847680" behindDoc="0" locked="0" layoutInCell="1" allowOverlap="1" wp14:anchorId="62620E74" wp14:editId="70E1763C">
                  <wp:simplePos x="0" y="0"/>
                  <wp:positionH relativeFrom="column">
                    <wp:posOffset>-3853815</wp:posOffset>
                  </wp:positionH>
                  <wp:positionV relativeFrom="paragraph">
                    <wp:posOffset>-829310</wp:posOffset>
                  </wp:positionV>
                  <wp:extent cx="965835" cy="708660"/>
                  <wp:effectExtent l="0" t="0" r="0" b="0"/>
                  <wp:wrapNone/>
                  <wp:docPr id="394" name="Imagen 39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F2D35" w:rsidRPr="00E94619">
              <w:rPr>
                <w:rFonts w:ascii="Century Gothic" w:hAnsi="Century Gothic"/>
                <w:sz w:val="16"/>
                <w:szCs w:val="16"/>
              </w:rPr>
              <w:t>-Ausencia de información cuantitativa completa y pública de orden nacional.</w:t>
            </w:r>
          </w:p>
          <w:p w14:paraId="49C265E1" w14:textId="116DE7A1" w:rsidR="00FF2D35" w:rsidRPr="00E94619" w:rsidRDefault="00FF2D35" w:rsidP="000E5AC0">
            <w:pPr>
              <w:spacing w:after="0" w:line="240" w:lineRule="auto"/>
              <w:jc w:val="both"/>
              <w:rPr>
                <w:rFonts w:ascii="Century Gothic" w:hAnsi="Century Gothic"/>
                <w:b/>
                <w:sz w:val="16"/>
                <w:szCs w:val="16"/>
              </w:rPr>
            </w:pPr>
            <w:r w:rsidRPr="00E94619">
              <w:rPr>
                <w:rFonts w:ascii="Century Gothic" w:hAnsi="Century Gothic"/>
                <w:sz w:val="16"/>
                <w:szCs w:val="16"/>
              </w:rPr>
              <w:t>-Falta de un sistema de información que permita tener mayor precisión frente a las violencias sexuales contra niños, niñas y adolescentes.</w:t>
            </w:r>
          </w:p>
        </w:tc>
      </w:tr>
      <w:tr w:rsidR="007D4FA1" w:rsidRPr="00E94619" w14:paraId="5766CE93" w14:textId="77777777" w:rsidTr="007D4FA1">
        <w:tc>
          <w:tcPr>
            <w:tcW w:w="1418" w:type="dxa"/>
            <w:tcBorders>
              <w:top w:val="single" w:sz="4" w:space="0" w:color="CC0066"/>
              <w:left w:val="single" w:sz="4" w:space="0" w:color="CC0066"/>
              <w:bottom w:val="single" w:sz="4" w:space="0" w:color="CC0066"/>
              <w:right w:val="single" w:sz="4" w:space="0" w:color="CC0066"/>
            </w:tcBorders>
          </w:tcPr>
          <w:p w14:paraId="30864ADF"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lastRenderedPageBreak/>
              <w:t>Prevención</w:t>
            </w:r>
          </w:p>
        </w:tc>
        <w:tc>
          <w:tcPr>
            <w:tcW w:w="3126" w:type="dxa"/>
            <w:tcBorders>
              <w:top w:val="single" w:sz="4" w:space="0" w:color="CC0066"/>
              <w:left w:val="single" w:sz="4" w:space="0" w:color="CC0066"/>
              <w:bottom w:val="single" w:sz="4" w:space="0" w:color="CC0066"/>
              <w:right w:val="single" w:sz="4" w:space="0" w:color="CC0066"/>
            </w:tcBorders>
          </w:tcPr>
          <w:p w14:paraId="2AF3098E" w14:textId="77777777" w:rsidR="001238D7" w:rsidRPr="00E94619" w:rsidRDefault="001238D7" w:rsidP="000E5AC0">
            <w:pPr>
              <w:spacing w:after="0" w:line="240" w:lineRule="auto"/>
              <w:rPr>
                <w:rFonts w:ascii="Century Gothic" w:hAnsi="Century Gothic"/>
                <w:b/>
                <w:sz w:val="16"/>
                <w:szCs w:val="16"/>
              </w:rPr>
            </w:pPr>
          </w:p>
        </w:tc>
        <w:tc>
          <w:tcPr>
            <w:tcW w:w="4812" w:type="dxa"/>
            <w:tcBorders>
              <w:top w:val="single" w:sz="4" w:space="0" w:color="CC0066"/>
              <w:left w:val="single" w:sz="4" w:space="0" w:color="CC0066"/>
              <w:bottom w:val="single" w:sz="4" w:space="0" w:color="CC0066"/>
              <w:right w:val="single" w:sz="4" w:space="0" w:color="CC0066"/>
            </w:tcBorders>
          </w:tcPr>
          <w:p w14:paraId="48C25D6F"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De acuerdo con la Mesa de seguimiento al Auto 092 y 009 de 2015 (marzo de 2016):</w:t>
            </w:r>
          </w:p>
          <w:p w14:paraId="638744C9"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b/>
                <w:sz w:val="16"/>
                <w:szCs w:val="16"/>
              </w:rPr>
              <w:t>-</w:t>
            </w:r>
            <w:r w:rsidRPr="00E94619">
              <w:rPr>
                <w:rFonts w:ascii="Century Gothic" w:hAnsi="Century Gothic"/>
                <w:sz w:val="16"/>
                <w:szCs w:val="16"/>
              </w:rPr>
              <w:t>Ausencia de interseccionalidad en la prevención y atención de la violencia sexual. La Corte Constitucional en el Auto 009 señaló que cuando confluyen diversas vulnerabilidades derivadas de la pertenencia étnica, la edad, la discapacidad, la orientación sexual o la identidad de género, el Estado debe redoblar sus esfuerzos porque estas condiciones profundizan el riesgo de sufrir violencia sexual.</w:t>
            </w:r>
            <w:r w:rsidRPr="00E94619">
              <w:rPr>
                <w:rFonts w:ascii="Century Gothic" w:hAnsi="Century Gothic"/>
                <w:i/>
                <w:sz w:val="16"/>
                <w:szCs w:val="16"/>
              </w:rPr>
              <w:t xml:space="preserve"> </w:t>
            </w:r>
          </w:p>
        </w:tc>
      </w:tr>
      <w:tr w:rsidR="007D4FA1" w:rsidRPr="00E94619" w14:paraId="173F0BCF" w14:textId="77777777" w:rsidTr="007D4FA1">
        <w:tc>
          <w:tcPr>
            <w:tcW w:w="1418" w:type="dxa"/>
            <w:tcBorders>
              <w:top w:val="single" w:sz="4" w:space="0" w:color="CC0066"/>
              <w:left w:val="single" w:sz="4" w:space="0" w:color="CC0066"/>
              <w:bottom w:val="single" w:sz="4" w:space="0" w:color="CC0066"/>
              <w:right w:val="single" w:sz="4" w:space="0" w:color="CC0066"/>
            </w:tcBorders>
          </w:tcPr>
          <w:p w14:paraId="1E0FCB66"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Atención</w:t>
            </w:r>
          </w:p>
        </w:tc>
        <w:tc>
          <w:tcPr>
            <w:tcW w:w="3126" w:type="dxa"/>
            <w:tcBorders>
              <w:top w:val="single" w:sz="4" w:space="0" w:color="CC0066"/>
              <w:left w:val="single" w:sz="4" w:space="0" w:color="CC0066"/>
              <w:bottom w:val="single" w:sz="4" w:space="0" w:color="CC0066"/>
              <w:right w:val="single" w:sz="4" w:space="0" w:color="CC0066"/>
            </w:tcBorders>
          </w:tcPr>
          <w:p w14:paraId="5EFAD46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El Programa Presidencial para los Derechos Humanos lideró una estrategia interinstitucional de lucha contra la impunidad y atención integral a las víctimas de violencia basada en género en el marco del conflicto armado, en particular, a víctimas de violencia sexual. </w:t>
            </w:r>
          </w:p>
        </w:tc>
        <w:tc>
          <w:tcPr>
            <w:tcW w:w="4812" w:type="dxa"/>
            <w:tcBorders>
              <w:top w:val="single" w:sz="4" w:space="0" w:color="CC0066"/>
              <w:left w:val="single" w:sz="4" w:space="0" w:color="CC0066"/>
              <w:bottom w:val="single" w:sz="4" w:space="0" w:color="CC0066"/>
              <w:right w:val="single" w:sz="4" w:space="0" w:color="CC0066"/>
            </w:tcBorders>
          </w:tcPr>
          <w:p w14:paraId="57B3772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De acuerdo con la Mesa de seguimiento al Auto 092 y 009 de 2015 (marzo de 2016): </w:t>
            </w:r>
          </w:p>
          <w:p w14:paraId="1AEE865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-Frente a la violencia sexual contra las mujeres en el contexto del conflicto armado, ha faltado efectividad en garantizar que las víctimas puedan tener conocimiento de la verdad, así como justicia y reparación.</w:t>
            </w:r>
          </w:p>
          <w:p w14:paraId="4BA5289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-Falta una estrategia articulada intra e interinstitucionalmente que aborde de manera coordinada e integral las barreras que tienen las víctimas para la atención.</w:t>
            </w:r>
          </w:p>
          <w:p w14:paraId="1A126F3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-Persistencia de obstáculos para la denuncia asociados a la desconfianza de las mujeres en el Estado, la vergüenza, el desconocimiento de procedimientos, la debilidad o ausencia de instituciones, la influencia de estereotipos de género, la presencia de actores armados, la dificultad de las mujeres para el ejercicio de sus derechos, entre otros.</w:t>
            </w:r>
          </w:p>
          <w:p w14:paraId="504236D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-En el Auto 009, la Corte Constitucional encontró que: (i) se mantiene la desinformación de las víctimas sobre sus derechos y procedimientos, esto implica una revictimización, (ii) el sistema de justicia aún resulta confuso, diverso en sus respuestas y complejo para las víctimas y (iii) persistencia de la desconfianza de las mujeres en el sistema de justicia.</w:t>
            </w:r>
          </w:p>
        </w:tc>
      </w:tr>
      <w:tr w:rsidR="007D4FA1" w:rsidRPr="00E94619" w14:paraId="44CA99BB" w14:textId="77777777" w:rsidTr="007D4FA1">
        <w:tc>
          <w:tcPr>
            <w:tcW w:w="1418" w:type="dxa"/>
            <w:tcBorders>
              <w:top w:val="single" w:sz="4" w:space="0" w:color="CC0066"/>
              <w:left w:val="single" w:sz="4" w:space="0" w:color="CC0066"/>
              <w:right w:val="single" w:sz="4" w:space="0" w:color="CC0066"/>
            </w:tcBorders>
          </w:tcPr>
          <w:p w14:paraId="68B4CA08"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Protección</w:t>
            </w:r>
          </w:p>
        </w:tc>
        <w:tc>
          <w:tcPr>
            <w:tcW w:w="3126" w:type="dxa"/>
            <w:tcBorders>
              <w:top w:val="single" w:sz="4" w:space="0" w:color="CC0066"/>
              <w:left w:val="single" w:sz="4" w:space="0" w:color="CC0066"/>
              <w:right w:val="single" w:sz="4" w:space="0" w:color="CC0066"/>
            </w:tcBorders>
          </w:tcPr>
          <w:p w14:paraId="7AB779D5"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Informe de la Ley 1257 al Congreso en el año 2015</w:t>
            </w:r>
          </w:p>
          <w:p w14:paraId="6BC9D3E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-Consolidación de la versión final del Protocolo de Investigación de Violencia Sexual de la Fiscal General de la Nación.</w:t>
            </w:r>
          </w:p>
          <w:p w14:paraId="4589A48D" w14:textId="77777777" w:rsidR="001238D7"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-El Fiscal General de la Nación determinó la organización de la Dirección de Fiscalía Nacional Especializada de Justicia Transicional y a su vez creó entre otros grupos, el de Orientación, Registro y Asignación de Casos de Víctimas en el marco de la Justicia Transicional y el Grupo de Apoyo Legal que cuenta con el Subgrupo de Enfoque Diferencial, el cual da respuesta y apoyo al tema de violencia basada en género.</w:t>
            </w:r>
          </w:p>
          <w:p w14:paraId="38D3BBCF" w14:textId="77777777" w:rsidR="001911A6" w:rsidRPr="00E94619" w:rsidRDefault="001911A6" w:rsidP="000E5AC0">
            <w:pPr>
              <w:spacing w:after="0" w:line="240" w:lineRule="auto"/>
              <w:jc w:val="both"/>
              <w:rPr>
                <w:rFonts w:ascii="Century Gothic" w:hAnsi="Century Gothic"/>
                <w:b/>
                <w:sz w:val="16"/>
                <w:szCs w:val="16"/>
              </w:rPr>
            </w:pPr>
          </w:p>
        </w:tc>
        <w:tc>
          <w:tcPr>
            <w:tcW w:w="4812" w:type="dxa"/>
            <w:tcBorders>
              <w:top w:val="single" w:sz="4" w:space="0" w:color="CC0066"/>
              <w:left w:val="single" w:sz="4" w:space="0" w:color="CC0066"/>
              <w:right w:val="single" w:sz="4" w:space="0" w:color="CC0066"/>
            </w:tcBorders>
          </w:tcPr>
          <w:p w14:paraId="2DD8BB28"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De acuerdo con la Mesa de seguimiento al Auto 092 y 009 de 2015 (marzo de 2016):</w:t>
            </w:r>
          </w:p>
          <w:p w14:paraId="6E90C7E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-Aunque las labores de acompañamiento y asesoría son muy importantes, se requieren mayores esfuerzos por parte de la Defensoría para que todos los casos incluidos en los Anexos cuenten con representación judicial, puesto que este mecanismo no solo tiende a apoyar a la víctima sino a defender sus derechos dentro del proceso penal.</w:t>
            </w:r>
          </w:p>
          <w:p w14:paraId="4351784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-Hay un incumplimiento total de la solicitud de priorización de los casos de los Anexos reservados para evaluar el nivel de riesgo.</w:t>
            </w:r>
          </w:p>
          <w:p w14:paraId="27801EC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-Carencia del enfoque psicojurídico en el trámite de los procesos penales y la insuficiente atención a la salud sexual y reproductiva de las víctimas.</w:t>
            </w:r>
          </w:p>
          <w:p w14:paraId="792969BE"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-Garantizar el acceso y cumplimiento de las medidas de protección para las víctimas de violencia sexual en el conflicto armado.</w:t>
            </w:r>
          </w:p>
        </w:tc>
      </w:tr>
      <w:tr w:rsidR="007D4FA1" w:rsidRPr="00E94619" w14:paraId="25D70045" w14:textId="77777777" w:rsidTr="007D4FA1">
        <w:tc>
          <w:tcPr>
            <w:tcW w:w="1418" w:type="dxa"/>
            <w:tcBorders>
              <w:top w:val="single" w:sz="4" w:space="0" w:color="CC0066"/>
              <w:left w:val="single" w:sz="4" w:space="0" w:color="CC0066"/>
              <w:bottom w:val="single" w:sz="4" w:space="0" w:color="CC0066"/>
              <w:right w:val="single" w:sz="4" w:space="0" w:color="CC0066"/>
            </w:tcBorders>
          </w:tcPr>
          <w:p w14:paraId="2B787094" w14:textId="542E9346"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Judicialización</w:t>
            </w:r>
          </w:p>
        </w:tc>
        <w:tc>
          <w:tcPr>
            <w:tcW w:w="3126" w:type="dxa"/>
            <w:tcBorders>
              <w:top w:val="single" w:sz="4" w:space="0" w:color="CC0066"/>
              <w:left w:val="single" w:sz="4" w:space="0" w:color="CC0066"/>
              <w:bottom w:val="single" w:sz="4" w:space="0" w:color="CC0066"/>
              <w:right w:val="single" w:sz="4" w:space="0" w:color="CC0066"/>
            </w:tcBorders>
          </w:tcPr>
          <w:p w14:paraId="4683A8D8"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Según la Mesa de seguimiento al Auto 092 y 009 de 2015</w:t>
            </w:r>
          </w:p>
          <w:p w14:paraId="43F1407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-En relación con el procedimiento de la Ley 975/05, la Mesa reconoce que ha habido un importante avance en la incorporación del fenómeno de la violencia sexual como parte de los repertorios de violencia que son estudiados en este escenario</w:t>
            </w:r>
          </w:p>
        </w:tc>
        <w:tc>
          <w:tcPr>
            <w:tcW w:w="4812" w:type="dxa"/>
            <w:tcBorders>
              <w:top w:val="single" w:sz="4" w:space="0" w:color="CC0066"/>
              <w:left w:val="single" w:sz="4" w:space="0" w:color="CC0066"/>
              <w:bottom w:val="single" w:sz="4" w:space="0" w:color="CC0066"/>
              <w:right w:val="single" w:sz="4" w:space="0" w:color="CC0066"/>
            </w:tcBorders>
          </w:tcPr>
          <w:p w14:paraId="1942A81D" w14:textId="77777777" w:rsidR="001238D7" w:rsidRPr="00E94619" w:rsidRDefault="0036411F" w:rsidP="000E5AC0">
            <w:pPr>
              <w:spacing w:after="0" w:line="240" w:lineRule="auto"/>
              <w:rPr>
                <w:rFonts w:ascii="Century Gothic" w:hAnsi="Century Gothic"/>
                <w:sz w:val="16"/>
                <w:szCs w:val="16"/>
              </w:rPr>
            </w:pPr>
            <w:r w:rsidRPr="00E94619">
              <w:rPr>
                <w:rFonts w:ascii="Century Gothic" w:hAnsi="Century Gothic"/>
                <w:sz w:val="16"/>
                <w:szCs w:val="16"/>
              </w:rPr>
              <w:t>-La Fiscalía aún no cuenta “con un sistema de información unificado, con datos veraces y actualizados de las investigaciones</w:t>
            </w:r>
            <w:r w:rsidRPr="00E94619">
              <w:rPr>
                <w:rFonts w:ascii="Century Gothic" w:hAnsi="Century Gothic"/>
                <w:i/>
                <w:sz w:val="16"/>
                <w:szCs w:val="16"/>
              </w:rPr>
              <w:t xml:space="preserve">”. </w:t>
            </w:r>
          </w:p>
          <w:p w14:paraId="2D3831AF" w14:textId="77777777" w:rsidR="001238D7" w:rsidRPr="00E94619" w:rsidRDefault="001238D7" w:rsidP="000E5AC0">
            <w:pPr>
              <w:spacing w:after="0" w:line="240" w:lineRule="auto"/>
              <w:rPr>
                <w:rFonts w:ascii="Century Gothic" w:hAnsi="Century Gothic"/>
                <w:sz w:val="16"/>
                <w:szCs w:val="16"/>
              </w:rPr>
            </w:pPr>
          </w:p>
          <w:p w14:paraId="5FD6D58C"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Según la Mesa de seguimiento al Auto 092 y 009 de 2015:</w:t>
            </w:r>
          </w:p>
          <w:p w14:paraId="4FCB46E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-Transcurridos más de siete años desde la expedición del Auto 092, los casos de violencia sexual asociada al conflicto armado incluidos por la Corte Constitucional en los Anexos reservados siguen en la casi total impunidad, sin que las estrategias impulsadas por la Fiscalía hayan variado esta situación.</w:t>
            </w:r>
          </w:p>
          <w:p w14:paraId="446D07F4" w14:textId="77777777" w:rsidR="001238D7" w:rsidRPr="00E94619" w:rsidRDefault="001238D7" w:rsidP="000E5AC0">
            <w:pPr>
              <w:spacing w:after="0" w:line="240" w:lineRule="auto"/>
              <w:rPr>
                <w:rFonts w:ascii="Century Gothic" w:hAnsi="Century Gothic"/>
                <w:sz w:val="16"/>
                <w:szCs w:val="16"/>
              </w:rPr>
            </w:pPr>
          </w:p>
        </w:tc>
      </w:tr>
    </w:tbl>
    <w:p w14:paraId="44322EBC" w14:textId="7DB73EAB" w:rsidR="001238D7" w:rsidRPr="00E94619" w:rsidRDefault="00D2173C" w:rsidP="000E5AC0">
      <w:pPr>
        <w:rPr>
          <w:rFonts w:ascii="Century Gothic" w:hAnsi="Century Gothic"/>
        </w:rPr>
      </w:pPr>
      <w:r>
        <w:rPr>
          <w:rFonts w:ascii="Century Gothic" w:hAnsi="Century Gothic"/>
          <w:b/>
          <w:noProof/>
          <w:szCs w:val="24"/>
          <w:lang w:val="es-ES"/>
        </w:rPr>
        <w:lastRenderedPageBreak/>
        <w:drawing>
          <wp:anchor distT="0" distB="0" distL="114300" distR="114300" simplePos="0" relativeHeight="251849728" behindDoc="0" locked="0" layoutInCell="1" allowOverlap="1" wp14:anchorId="0DE94BFC" wp14:editId="74058A35">
            <wp:simplePos x="0" y="0"/>
            <wp:positionH relativeFrom="column">
              <wp:posOffset>-1080135</wp:posOffset>
            </wp:positionH>
            <wp:positionV relativeFrom="paragraph">
              <wp:posOffset>-822960</wp:posOffset>
            </wp:positionV>
            <wp:extent cx="965835" cy="708660"/>
            <wp:effectExtent l="0" t="0" r="0" b="0"/>
            <wp:wrapNone/>
            <wp:docPr id="395" name="Imagen 39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1B2F7C">
        <w:rPr>
          <w:rFonts w:ascii="Century Gothic" w:eastAsia="Cambria" w:hAnsi="Century Gothic"/>
          <w:b/>
          <w:noProof/>
          <w:color w:val="CC3366"/>
          <w:lang w:val="es-ES" w:eastAsia="es-ES"/>
        </w:rPr>
        <w:drawing>
          <wp:anchor distT="0" distB="0" distL="114300" distR="114300" simplePos="0" relativeHeight="251703296" behindDoc="1" locked="0" layoutInCell="1" allowOverlap="1" wp14:anchorId="447E600A" wp14:editId="3A86B042">
            <wp:simplePos x="0" y="0"/>
            <wp:positionH relativeFrom="column">
              <wp:posOffset>-114300</wp:posOffset>
            </wp:positionH>
            <wp:positionV relativeFrom="paragraph">
              <wp:posOffset>191135</wp:posOffset>
            </wp:positionV>
            <wp:extent cx="5396230" cy="567055"/>
            <wp:effectExtent l="0" t="0" r="0" b="0"/>
            <wp:wrapNone/>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p>
    <w:p w14:paraId="5437A9B4" w14:textId="1681D471" w:rsidR="001238D7" w:rsidRPr="001B2F7C" w:rsidRDefault="00374CD3" w:rsidP="001B2F7C">
      <w:pPr>
        <w:pStyle w:val="Ttulo1"/>
        <w:rPr>
          <w:rFonts w:ascii="Century Gothic" w:hAnsi="Century Gothic"/>
          <w:b/>
          <w:bCs/>
          <w:color w:val="C73465"/>
          <w:sz w:val="22"/>
          <w:szCs w:val="22"/>
        </w:rPr>
      </w:pPr>
      <w:bookmarkStart w:id="52" w:name="_Toc488624269"/>
      <w:r w:rsidRPr="001B2F7C">
        <w:rPr>
          <w:rFonts w:ascii="Century Gothic" w:hAnsi="Century Gothic"/>
          <w:b/>
          <w:bCs/>
          <w:color w:val="C73465"/>
          <w:sz w:val="22"/>
          <w:szCs w:val="22"/>
        </w:rPr>
        <w:t>V</w:t>
      </w:r>
      <w:r w:rsidR="0036411F" w:rsidRPr="001B2F7C">
        <w:rPr>
          <w:rFonts w:ascii="Century Gothic" w:hAnsi="Century Gothic"/>
          <w:b/>
          <w:bCs/>
          <w:color w:val="C73465"/>
          <w:sz w:val="22"/>
          <w:szCs w:val="22"/>
        </w:rPr>
        <w:t xml:space="preserve">. </w:t>
      </w:r>
      <w:r w:rsidR="001F5B10" w:rsidRPr="001B2F7C">
        <w:rPr>
          <w:rFonts w:ascii="Century Gothic" w:hAnsi="Century Gothic"/>
          <w:b/>
          <w:bCs/>
          <w:color w:val="C73465"/>
          <w:sz w:val="22"/>
          <w:szCs w:val="22"/>
        </w:rPr>
        <w:t>P</w:t>
      </w:r>
      <w:r w:rsidR="001B2F7C" w:rsidRPr="001B2F7C">
        <w:rPr>
          <w:rFonts w:ascii="Century Gothic" w:hAnsi="Century Gothic"/>
          <w:b/>
          <w:bCs/>
          <w:color w:val="C73465"/>
          <w:sz w:val="22"/>
          <w:szCs w:val="22"/>
        </w:rPr>
        <w:t>romover la salud y los derechos sexuales y reproductivos</w:t>
      </w:r>
      <w:bookmarkEnd w:id="52"/>
    </w:p>
    <w:p w14:paraId="76763C33" w14:textId="77777777" w:rsidR="001238D7" w:rsidRPr="00E94619" w:rsidRDefault="001238D7" w:rsidP="000E5AC0">
      <w:pPr>
        <w:spacing w:after="0" w:line="240" w:lineRule="auto"/>
        <w:rPr>
          <w:rFonts w:ascii="Century Gothic" w:hAnsi="Century Gothic"/>
          <w:b/>
        </w:rPr>
      </w:pPr>
    </w:p>
    <w:p w14:paraId="5C249923" w14:textId="77777777" w:rsidR="001B2F7C" w:rsidRDefault="001B2F7C" w:rsidP="000E5AC0">
      <w:pPr>
        <w:pStyle w:val="Ttulo2"/>
        <w:rPr>
          <w:rFonts w:ascii="Century Gothic" w:hAnsi="Century Gothic"/>
        </w:rPr>
      </w:pPr>
    </w:p>
    <w:p w14:paraId="30F05A41" w14:textId="2168D88E" w:rsidR="001238D7" w:rsidRPr="001B2F7C" w:rsidRDefault="004B548E" w:rsidP="000E5AC0">
      <w:pPr>
        <w:pStyle w:val="Ttulo2"/>
        <w:rPr>
          <w:rFonts w:ascii="Century Gothic" w:hAnsi="Century Gothic"/>
          <w:color w:val="C73465"/>
        </w:rPr>
      </w:pPr>
      <w:bookmarkStart w:id="53" w:name="_Toc488624270"/>
      <w:r w:rsidRPr="001B2F7C">
        <w:rPr>
          <w:rFonts w:ascii="Century Gothic" w:hAnsi="Century Gothic"/>
          <w:color w:val="C73465"/>
        </w:rPr>
        <w:t xml:space="preserve">1. </w:t>
      </w:r>
      <w:r w:rsidR="0036411F" w:rsidRPr="001B2F7C">
        <w:rPr>
          <w:rFonts w:ascii="Century Gothic" w:hAnsi="Century Gothic"/>
          <w:color w:val="C73465"/>
        </w:rPr>
        <w:t>Cobertura en seguridad social</w:t>
      </w:r>
      <w:bookmarkEnd w:id="53"/>
    </w:p>
    <w:p w14:paraId="0FC32E7B" w14:textId="77777777" w:rsidR="001238D7" w:rsidRPr="00E94619" w:rsidRDefault="001238D7" w:rsidP="000E5AC0">
      <w:pPr>
        <w:spacing w:after="0" w:line="240" w:lineRule="auto"/>
        <w:ind w:left="720"/>
        <w:rPr>
          <w:rFonts w:ascii="Century Gothic" w:hAnsi="Century Gothic"/>
          <w:b/>
        </w:rPr>
      </w:pPr>
    </w:p>
    <w:p w14:paraId="4DDAE75F" w14:textId="77777777" w:rsidR="00D7769E" w:rsidRPr="00E94619" w:rsidRDefault="00D7769E" w:rsidP="000E5AC0">
      <w:pPr>
        <w:spacing w:after="0" w:line="240" w:lineRule="auto"/>
        <w:jc w:val="both"/>
        <w:rPr>
          <w:rFonts w:ascii="Century Gothic" w:hAnsi="Century Gothic"/>
        </w:rPr>
      </w:pPr>
      <w:r w:rsidRPr="00E94619">
        <w:rPr>
          <w:rFonts w:ascii="Century Gothic" w:hAnsi="Century Gothic"/>
        </w:rPr>
        <w:t>Según datos Ministerio de Salud</w:t>
      </w:r>
      <w:r w:rsidRPr="00E94619">
        <w:rPr>
          <w:rStyle w:val="Refdenotaalpie"/>
          <w:rFonts w:ascii="Century Gothic" w:hAnsi="Century Gothic"/>
        </w:rPr>
        <w:footnoteReference w:id="35"/>
      </w:r>
      <w:r w:rsidRPr="00E94619">
        <w:rPr>
          <w:rFonts w:ascii="Century Gothic" w:hAnsi="Century Gothic"/>
        </w:rPr>
        <w:t xml:space="preserve">, el 98.46% de los colombianos-as están afiliados al Sistema General de Seguridad Social. De estos 23.891.147 hacen parte del régimen subsidiado, 24.069.280 al contributivo y 2.247.476 al régimen de excepción (las fuerzas militares, policía, magisterio y otros servidores públicos). </w:t>
      </w:r>
    </w:p>
    <w:p w14:paraId="0DAB81E0" w14:textId="77777777" w:rsidR="00D7769E" w:rsidRPr="00E94619" w:rsidRDefault="00D7769E" w:rsidP="000E5AC0">
      <w:pPr>
        <w:spacing w:after="0" w:line="240" w:lineRule="auto"/>
        <w:jc w:val="both"/>
        <w:rPr>
          <w:rFonts w:ascii="Century Gothic" w:hAnsi="Century Gothic"/>
        </w:rPr>
      </w:pPr>
    </w:p>
    <w:p w14:paraId="07A21591" w14:textId="77777777" w:rsidR="00D7769E" w:rsidRDefault="00D7769E" w:rsidP="000E5AC0">
      <w:pPr>
        <w:spacing w:after="0" w:line="240" w:lineRule="auto"/>
        <w:jc w:val="both"/>
        <w:rPr>
          <w:rFonts w:ascii="Century Gothic" w:hAnsi="Century Gothic"/>
        </w:rPr>
      </w:pPr>
      <w:r w:rsidRPr="00E94619">
        <w:rPr>
          <w:rFonts w:ascii="Century Gothic" w:hAnsi="Century Gothic"/>
        </w:rPr>
        <w:t>El Ministerio de Salud muestra datos desagregados por sexo</w:t>
      </w:r>
      <w:r w:rsidRPr="00E94619">
        <w:rPr>
          <w:rStyle w:val="Refdenotaalpie"/>
          <w:rFonts w:ascii="Century Gothic" w:hAnsi="Century Gothic"/>
        </w:rPr>
        <w:footnoteReference w:id="36"/>
      </w:r>
      <w:r w:rsidRPr="00E94619">
        <w:rPr>
          <w:rFonts w:ascii="Century Gothic" w:hAnsi="Century Gothic"/>
        </w:rPr>
        <w:t>, para el 2019 señalaban que del total de afiliados el 50,6% correspondía a mujeres y 49.4% a hombres</w:t>
      </w:r>
      <w:sdt>
        <w:sdtPr>
          <w:rPr>
            <w:rFonts w:ascii="Century Gothic" w:hAnsi="Century Gothic"/>
          </w:rPr>
          <w:id w:val="1185563103"/>
          <w:citation/>
        </w:sdtPr>
        <w:sdtContent>
          <w:r w:rsidRPr="00E94619">
            <w:rPr>
              <w:rFonts w:ascii="Century Gothic" w:hAnsi="Century Gothic"/>
            </w:rPr>
            <w:fldChar w:fldCharType="begin"/>
          </w:r>
          <w:r w:rsidRPr="00E94619">
            <w:rPr>
              <w:rFonts w:ascii="Century Gothic" w:hAnsi="Century Gothic"/>
              <w:lang w:val="es-MX"/>
            </w:rPr>
            <w:instrText xml:space="preserve"> CITATION Min21 \l 2058 </w:instrText>
          </w:r>
          <w:r w:rsidRPr="00E94619">
            <w:rPr>
              <w:rFonts w:ascii="Century Gothic" w:hAnsi="Century Gothic"/>
            </w:rPr>
            <w:fldChar w:fldCharType="separate"/>
          </w:r>
          <w:r w:rsidRPr="00E94619">
            <w:rPr>
              <w:rFonts w:ascii="Century Gothic" w:hAnsi="Century Gothic"/>
              <w:noProof/>
              <w:lang w:val="es-MX"/>
            </w:rPr>
            <w:t xml:space="preserve"> (Ministerio de Salud y Protección Social, 2021)</w:t>
          </w:r>
          <w:r w:rsidRPr="00E94619">
            <w:rPr>
              <w:rFonts w:ascii="Century Gothic" w:hAnsi="Century Gothic"/>
            </w:rPr>
            <w:fldChar w:fldCharType="end"/>
          </w:r>
        </w:sdtContent>
      </w:sdt>
      <w:r w:rsidRPr="00E94619">
        <w:rPr>
          <w:rFonts w:ascii="Century Gothic" w:hAnsi="Century Gothic"/>
        </w:rPr>
        <w:t xml:space="preserve">. </w:t>
      </w:r>
    </w:p>
    <w:p w14:paraId="08080461" w14:textId="77777777" w:rsidR="007D4FA1" w:rsidRDefault="007D4FA1" w:rsidP="000E5AC0">
      <w:pPr>
        <w:spacing w:after="0" w:line="240" w:lineRule="auto"/>
        <w:jc w:val="both"/>
        <w:rPr>
          <w:rFonts w:ascii="Century Gothic" w:hAnsi="Century Gothic"/>
        </w:rPr>
      </w:pPr>
    </w:p>
    <w:p w14:paraId="3818F7E5" w14:textId="77777777" w:rsidR="001D25F1" w:rsidRDefault="001D25F1" w:rsidP="000E5AC0">
      <w:pPr>
        <w:spacing w:after="0" w:line="240" w:lineRule="auto"/>
        <w:jc w:val="both"/>
        <w:rPr>
          <w:rFonts w:ascii="Century Gothic" w:hAnsi="Century Gothic"/>
        </w:rPr>
      </w:pPr>
    </w:p>
    <w:p w14:paraId="42F45257" w14:textId="3207A8BA" w:rsidR="001D25F1" w:rsidRDefault="001D25F1" w:rsidP="001D25F1">
      <w:pPr>
        <w:spacing w:after="0" w:line="240" w:lineRule="auto"/>
        <w:jc w:val="center"/>
        <w:rPr>
          <w:rFonts w:ascii="Century Gothic" w:hAnsi="Century Gothic"/>
          <w:b/>
          <w:sz w:val="16"/>
          <w:szCs w:val="16"/>
        </w:rPr>
      </w:pPr>
      <w:r w:rsidRPr="001D25F1">
        <w:rPr>
          <w:rFonts w:ascii="Century Gothic" w:hAnsi="Century Gothic"/>
          <w:b/>
          <w:sz w:val="16"/>
          <w:szCs w:val="16"/>
        </w:rPr>
        <w:t>Grafica 37. Afiliaciones al SGSS por sexo</w:t>
      </w:r>
    </w:p>
    <w:p w14:paraId="6AE0A83B" w14:textId="783DDB34" w:rsidR="001D25F1" w:rsidRPr="001D25F1" w:rsidRDefault="001D25F1" w:rsidP="001D25F1">
      <w:pPr>
        <w:spacing w:after="0"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704320" behindDoc="0" locked="0" layoutInCell="1" allowOverlap="1" wp14:anchorId="47A2D645" wp14:editId="780F62A2">
            <wp:simplePos x="0" y="0"/>
            <wp:positionH relativeFrom="column">
              <wp:posOffset>1371600</wp:posOffset>
            </wp:positionH>
            <wp:positionV relativeFrom="paragraph">
              <wp:posOffset>76200</wp:posOffset>
            </wp:positionV>
            <wp:extent cx="2670175" cy="1365885"/>
            <wp:effectExtent l="0" t="0" r="0" b="5715"/>
            <wp:wrapSquare wrapText="bothSides"/>
            <wp:docPr id="14" name="Picture 7"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Gráfico, Gráfico en cascada&#10;&#10;Descripción generada automáticament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70175" cy="1365885"/>
                    </a:xfrm>
                    <a:prstGeom prst="rect">
                      <a:avLst/>
                    </a:prstGeom>
                    <a:noFill/>
                  </pic:spPr>
                </pic:pic>
              </a:graphicData>
            </a:graphic>
            <wp14:sizeRelH relativeFrom="page">
              <wp14:pctWidth>0</wp14:pctWidth>
            </wp14:sizeRelH>
            <wp14:sizeRelV relativeFrom="page">
              <wp14:pctHeight>0</wp14:pctHeight>
            </wp14:sizeRelV>
          </wp:anchor>
        </w:drawing>
      </w:r>
    </w:p>
    <w:p w14:paraId="65A93CF8" w14:textId="4D3B5522" w:rsidR="00D7769E" w:rsidRPr="00E94619" w:rsidRDefault="00D7769E" w:rsidP="000E5AC0">
      <w:pPr>
        <w:spacing w:after="0" w:line="240" w:lineRule="auto"/>
        <w:jc w:val="both"/>
        <w:rPr>
          <w:rFonts w:ascii="Century Gothic" w:hAnsi="Century Gothic"/>
        </w:rPr>
      </w:pPr>
    </w:p>
    <w:p w14:paraId="0147CDBA" w14:textId="548F2FFF" w:rsidR="001D25F1" w:rsidRDefault="00830DBC" w:rsidP="000E5AC0">
      <w:pPr>
        <w:spacing w:after="0" w:line="240" w:lineRule="auto"/>
        <w:jc w:val="both"/>
        <w:rPr>
          <w:rFonts w:ascii="Century Gothic" w:hAnsi="Century Gothic"/>
        </w:rPr>
      </w:pPr>
      <w:sdt>
        <w:sdtPr>
          <w:rPr>
            <w:rFonts w:ascii="Century Gothic" w:hAnsi="Century Gothic"/>
          </w:rPr>
          <w:tag w:val="goog_rdk_50"/>
          <w:id w:val="-1279025571"/>
        </w:sdtPr>
        <w:sdtContent/>
      </w:sdt>
    </w:p>
    <w:p w14:paraId="3E8955B4" w14:textId="77777777" w:rsidR="001D25F1" w:rsidRDefault="001D25F1" w:rsidP="000E5AC0">
      <w:pPr>
        <w:spacing w:after="0" w:line="240" w:lineRule="auto"/>
        <w:jc w:val="both"/>
        <w:rPr>
          <w:rFonts w:ascii="Century Gothic" w:hAnsi="Century Gothic"/>
        </w:rPr>
      </w:pPr>
    </w:p>
    <w:p w14:paraId="35A9C098" w14:textId="77777777" w:rsidR="001D25F1" w:rsidRDefault="001D25F1" w:rsidP="000E5AC0">
      <w:pPr>
        <w:spacing w:after="0" w:line="240" w:lineRule="auto"/>
        <w:jc w:val="both"/>
        <w:rPr>
          <w:rFonts w:ascii="Century Gothic" w:hAnsi="Century Gothic"/>
        </w:rPr>
      </w:pPr>
    </w:p>
    <w:p w14:paraId="4C4E57C4" w14:textId="77777777" w:rsidR="001D25F1" w:rsidRDefault="001D25F1" w:rsidP="000E5AC0">
      <w:pPr>
        <w:spacing w:after="0" w:line="240" w:lineRule="auto"/>
        <w:jc w:val="both"/>
        <w:rPr>
          <w:rFonts w:ascii="Century Gothic" w:hAnsi="Century Gothic"/>
        </w:rPr>
      </w:pPr>
    </w:p>
    <w:p w14:paraId="7489DE28" w14:textId="77777777" w:rsidR="001D25F1" w:rsidRDefault="001D25F1" w:rsidP="000E5AC0">
      <w:pPr>
        <w:spacing w:after="0" w:line="240" w:lineRule="auto"/>
        <w:jc w:val="both"/>
        <w:rPr>
          <w:rFonts w:ascii="Century Gothic" w:hAnsi="Century Gothic"/>
        </w:rPr>
      </w:pPr>
    </w:p>
    <w:p w14:paraId="681C8A35" w14:textId="77777777" w:rsidR="001D25F1" w:rsidRDefault="001D25F1" w:rsidP="000E5AC0">
      <w:pPr>
        <w:spacing w:after="0" w:line="240" w:lineRule="auto"/>
        <w:jc w:val="both"/>
        <w:rPr>
          <w:rFonts w:ascii="Century Gothic" w:hAnsi="Century Gothic"/>
        </w:rPr>
      </w:pPr>
    </w:p>
    <w:p w14:paraId="29EEFFD4" w14:textId="77777777" w:rsidR="001D25F1" w:rsidRDefault="001D25F1" w:rsidP="000E5AC0">
      <w:pPr>
        <w:spacing w:after="0" w:line="240" w:lineRule="auto"/>
        <w:jc w:val="both"/>
        <w:rPr>
          <w:rFonts w:ascii="Century Gothic" w:hAnsi="Century Gothic"/>
        </w:rPr>
      </w:pPr>
    </w:p>
    <w:p w14:paraId="50D9230F" w14:textId="77777777" w:rsidR="001D25F1" w:rsidRDefault="001D25F1" w:rsidP="001D25F1">
      <w:pPr>
        <w:spacing w:after="0" w:line="240" w:lineRule="auto"/>
        <w:jc w:val="center"/>
        <w:rPr>
          <w:rFonts w:ascii="Century Gothic" w:hAnsi="Century Gothic"/>
          <w:sz w:val="16"/>
          <w:szCs w:val="16"/>
        </w:rPr>
      </w:pPr>
    </w:p>
    <w:p w14:paraId="2894D3AE" w14:textId="1431334A" w:rsidR="00D7769E" w:rsidRPr="001D25F1" w:rsidRDefault="002C6BFD" w:rsidP="001D25F1">
      <w:pPr>
        <w:spacing w:after="0" w:line="240" w:lineRule="auto"/>
        <w:jc w:val="center"/>
        <w:rPr>
          <w:rFonts w:ascii="Century Gothic" w:hAnsi="Century Gothic"/>
          <w:sz w:val="16"/>
          <w:szCs w:val="16"/>
        </w:rPr>
      </w:pPr>
      <w:r w:rsidRPr="001D25F1">
        <w:rPr>
          <w:rFonts w:ascii="Century Gothic" w:hAnsi="Century Gothic"/>
          <w:sz w:val="16"/>
          <w:szCs w:val="16"/>
        </w:rPr>
        <w:t xml:space="preserve">Fuente: </w:t>
      </w:r>
      <w:r w:rsidR="00D7769E" w:rsidRPr="001D25F1">
        <w:rPr>
          <w:rFonts w:ascii="Century Gothic" w:hAnsi="Century Gothic"/>
          <w:sz w:val="16"/>
          <w:szCs w:val="16"/>
        </w:rPr>
        <w:t>Boletines Poblacionales Género. 2019. Ministerio de Salud</w:t>
      </w:r>
    </w:p>
    <w:p w14:paraId="70898F07" w14:textId="77777777" w:rsidR="00D7769E" w:rsidRPr="00E94619" w:rsidRDefault="00D7769E" w:rsidP="000E5AC0">
      <w:pPr>
        <w:spacing w:after="0" w:line="240" w:lineRule="auto"/>
        <w:jc w:val="both"/>
        <w:rPr>
          <w:rFonts w:ascii="Century Gothic" w:hAnsi="Century Gothic"/>
        </w:rPr>
      </w:pPr>
    </w:p>
    <w:p w14:paraId="3522D562" w14:textId="59B4CC21" w:rsidR="001D25F1" w:rsidRPr="007D4FA1" w:rsidRDefault="00D7769E" w:rsidP="007D4FA1">
      <w:pPr>
        <w:spacing w:after="0" w:line="240" w:lineRule="auto"/>
        <w:jc w:val="both"/>
        <w:rPr>
          <w:rFonts w:ascii="Century Gothic" w:hAnsi="Century Gothic"/>
        </w:rPr>
      </w:pPr>
      <w:r w:rsidRPr="00E94619">
        <w:rPr>
          <w:rFonts w:ascii="Century Gothic" w:hAnsi="Century Gothic"/>
        </w:rPr>
        <w:t>Aunque el país ha logrado una cobertura en salud mayor al 98%, según un informe de la Organización Panamericana de la Salud</w:t>
      </w:r>
      <w:r w:rsidRPr="00E94619">
        <w:rPr>
          <w:rFonts w:ascii="Century Gothic" w:hAnsi="Century Gothic"/>
          <w:vertAlign w:val="superscript"/>
        </w:rPr>
        <w:footnoteReference w:id="37"/>
      </w:r>
      <w:r w:rsidRPr="00E94619">
        <w:rPr>
          <w:rFonts w:ascii="Century Gothic" w:hAnsi="Century Gothic"/>
        </w:rPr>
        <w:t xml:space="preserve">, la calidad y eficiencia de los servicios y la brecha entre ricos y pobres siguen siendo un reto para Colombia. </w:t>
      </w:r>
    </w:p>
    <w:p w14:paraId="1460EFC3" w14:textId="77777777" w:rsidR="001D25F1" w:rsidRPr="00E94619" w:rsidRDefault="001D25F1" w:rsidP="000E5AC0">
      <w:pPr>
        <w:spacing w:after="0" w:line="240" w:lineRule="auto"/>
        <w:rPr>
          <w:rFonts w:ascii="Century Gothic" w:hAnsi="Century Gothic"/>
          <w:b/>
        </w:rPr>
      </w:pPr>
    </w:p>
    <w:bookmarkStart w:id="54" w:name="_Toc488624271"/>
    <w:p w14:paraId="4D85747B" w14:textId="77777777" w:rsidR="00D7769E" w:rsidRPr="001D25F1" w:rsidRDefault="00830DBC" w:rsidP="00DD058B">
      <w:pPr>
        <w:pStyle w:val="Ttulo2"/>
        <w:rPr>
          <w:rStyle w:val="Ttulo2Car"/>
          <w:rFonts w:ascii="Century Gothic" w:hAnsi="Century Gothic"/>
          <w:b/>
          <w:bCs/>
          <w:color w:val="C73465"/>
        </w:rPr>
      </w:pPr>
      <w:sdt>
        <w:sdtPr>
          <w:rPr>
            <w:rFonts w:ascii="Century Gothic" w:hAnsi="Century Gothic"/>
            <w:b w:val="0"/>
            <w:color w:val="C73465"/>
          </w:rPr>
          <w:tag w:val="goog_rdk_51"/>
          <w:id w:val="-202484509"/>
          <w:showingPlcHdr/>
        </w:sdtPr>
        <w:sdtContent>
          <w:r w:rsidR="002C6BFD" w:rsidRPr="00DD058B">
            <w:rPr>
              <w:rFonts w:ascii="Century Gothic" w:hAnsi="Century Gothic"/>
              <w:color w:val="C73465"/>
            </w:rPr>
            <w:t xml:space="preserve">     </w:t>
          </w:r>
        </w:sdtContent>
      </w:sdt>
      <w:r w:rsidR="00D7769E" w:rsidRPr="00DD058B">
        <w:rPr>
          <w:rFonts w:ascii="Century Gothic" w:hAnsi="Century Gothic"/>
          <w:color w:val="C73465"/>
        </w:rPr>
        <w:t>2</w:t>
      </w:r>
      <w:r w:rsidR="00DC5687" w:rsidRPr="00DD058B">
        <w:rPr>
          <w:rFonts w:ascii="Century Gothic" w:hAnsi="Century Gothic"/>
          <w:color w:val="C73465"/>
        </w:rPr>
        <w:t>.</w:t>
      </w:r>
      <w:r w:rsidR="00D7769E" w:rsidRPr="00DD058B">
        <w:rPr>
          <w:rFonts w:ascii="Century Gothic" w:hAnsi="Century Gothic"/>
          <w:color w:val="C73465"/>
        </w:rPr>
        <w:t xml:space="preserve"> Inmunizaciones desagregadas por sexo</w:t>
      </w:r>
      <w:bookmarkEnd w:id="54"/>
    </w:p>
    <w:p w14:paraId="13D25E84" w14:textId="77777777" w:rsidR="00D7769E" w:rsidRPr="00E94619" w:rsidRDefault="00D7769E" w:rsidP="000E5AC0">
      <w:pPr>
        <w:spacing w:after="0" w:line="240" w:lineRule="auto"/>
        <w:rPr>
          <w:rFonts w:ascii="Century Gothic" w:hAnsi="Century Gothic"/>
        </w:rPr>
      </w:pPr>
    </w:p>
    <w:p w14:paraId="08809A8A" w14:textId="77777777" w:rsidR="00D7769E" w:rsidRDefault="00D7769E" w:rsidP="000E5AC0">
      <w:pPr>
        <w:spacing w:after="0" w:line="240" w:lineRule="auto"/>
        <w:jc w:val="both"/>
        <w:rPr>
          <w:rFonts w:ascii="Century Gothic" w:hAnsi="Century Gothic"/>
        </w:rPr>
      </w:pPr>
      <w:r w:rsidRPr="00E94619">
        <w:rPr>
          <w:rFonts w:ascii="Century Gothic" w:hAnsi="Century Gothic"/>
        </w:rPr>
        <w:t>Dado el sistema de reporte para este indicador no se encontraron datos desagregados por sexo. Sin embargo, se sabe que, en el año 2018, al 92.46% de la población infantil (menores de un año) se les aplicaron las dosis completas para Pentavalente (vacuna combinada que protege contra 5 enfermedades: difteria, tos convulsa, tétanos, influenza tipo b y hepatitis B)</w:t>
      </w:r>
      <w:sdt>
        <w:sdtPr>
          <w:rPr>
            <w:rFonts w:ascii="Century Gothic" w:hAnsi="Century Gothic"/>
          </w:rPr>
          <w:id w:val="-1990852577"/>
          <w:citation/>
        </w:sdtPr>
        <w:sdtContent>
          <w:r w:rsidRPr="00E94619">
            <w:rPr>
              <w:rFonts w:ascii="Century Gothic" w:hAnsi="Century Gothic"/>
            </w:rPr>
            <w:fldChar w:fldCharType="begin"/>
          </w:r>
          <w:r w:rsidRPr="00E94619">
            <w:rPr>
              <w:rFonts w:ascii="Century Gothic" w:hAnsi="Century Gothic"/>
              <w:lang w:val="es-MX"/>
            </w:rPr>
            <w:instrText xml:space="preserve"> CITATION Min181 \l 2058 </w:instrText>
          </w:r>
          <w:r w:rsidRPr="00E94619">
            <w:rPr>
              <w:rFonts w:ascii="Century Gothic" w:hAnsi="Century Gothic"/>
            </w:rPr>
            <w:fldChar w:fldCharType="separate"/>
          </w:r>
          <w:r w:rsidRPr="00E94619">
            <w:rPr>
              <w:rFonts w:ascii="Century Gothic" w:hAnsi="Century Gothic"/>
              <w:noProof/>
              <w:lang w:val="es-MX"/>
            </w:rPr>
            <w:t xml:space="preserve"> (Ministerio de Salud y Protección Social, 2018)</w:t>
          </w:r>
          <w:r w:rsidRPr="00E94619">
            <w:rPr>
              <w:rFonts w:ascii="Century Gothic" w:hAnsi="Century Gothic"/>
            </w:rPr>
            <w:fldChar w:fldCharType="end"/>
          </w:r>
        </w:sdtContent>
      </w:sdt>
      <w:r w:rsidRPr="00E94619">
        <w:rPr>
          <w:rFonts w:ascii="Century Gothic" w:hAnsi="Century Gothic"/>
        </w:rPr>
        <w:t>. Con respecto a las vacunas contra la hepatitis A, neumococo, polio, rotavirus, sarampión, rubéola, paperas hubo una cobertura mayor al 95%</w:t>
      </w:r>
      <w:r w:rsidRPr="00E94619">
        <w:rPr>
          <w:rStyle w:val="Refdenotaalpie"/>
          <w:rFonts w:ascii="Century Gothic" w:hAnsi="Century Gothic"/>
        </w:rPr>
        <w:footnoteReference w:id="38"/>
      </w:r>
      <w:r w:rsidRPr="00E94619">
        <w:rPr>
          <w:rFonts w:ascii="Century Gothic" w:hAnsi="Century Gothic"/>
        </w:rPr>
        <w:t xml:space="preserve">. </w:t>
      </w:r>
    </w:p>
    <w:p w14:paraId="64875634" w14:textId="4502A667" w:rsidR="001D25F1" w:rsidRDefault="001D25F1" w:rsidP="000E5AC0">
      <w:pPr>
        <w:spacing w:after="0" w:line="240" w:lineRule="auto"/>
        <w:jc w:val="both"/>
        <w:rPr>
          <w:rFonts w:ascii="Century Gothic" w:hAnsi="Century Gothic"/>
        </w:rPr>
      </w:pPr>
    </w:p>
    <w:p w14:paraId="66D5A207" w14:textId="27CFC86A" w:rsidR="00646447" w:rsidRDefault="00D2173C" w:rsidP="000E5AC0">
      <w:pPr>
        <w:spacing w:after="0" w:line="240" w:lineRule="auto"/>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51776" behindDoc="0" locked="0" layoutInCell="1" allowOverlap="1" wp14:anchorId="4F95A2C4" wp14:editId="176CD0F5">
            <wp:simplePos x="0" y="0"/>
            <wp:positionH relativeFrom="column">
              <wp:posOffset>-1080135</wp:posOffset>
            </wp:positionH>
            <wp:positionV relativeFrom="paragraph">
              <wp:posOffset>-822960</wp:posOffset>
            </wp:positionV>
            <wp:extent cx="965835" cy="708660"/>
            <wp:effectExtent l="0" t="0" r="0" b="0"/>
            <wp:wrapNone/>
            <wp:docPr id="396" name="Imagen 39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633C083F" w14:textId="0F66188A" w:rsidR="001D25F1" w:rsidRDefault="001D25F1" w:rsidP="001D25F1">
      <w:pPr>
        <w:spacing w:after="0" w:line="240" w:lineRule="auto"/>
        <w:jc w:val="center"/>
        <w:rPr>
          <w:rFonts w:ascii="Century Gothic" w:hAnsi="Century Gothic"/>
          <w:b/>
          <w:sz w:val="16"/>
          <w:szCs w:val="16"/>
        </w:rPr>
      </w:pPr>
      <w:r w:rsidRPr="001D25F1">
        <w:rPr>
          <w:rFonts w:ascii="Century Gothic" w:hAnsi="Century Gothic"/>
          <w:b/>
          <w:sz w:val="16"/>
          <w:szCs w:val="16"/>
        </w:rPr>
        <w:t>Grafica 38. Vacunación</w:t>
      </w:r>
    </w:p>
    <w:p w14:paraId="104265B3" w14:textId="77777777" w:rsidR="001D25F1" w:rsidRPr="001D25F1" w:rsidRDefault="001D25F1" w:rsidP="001D25F1">
      <w:pPr>
        <w:spacing w:after="0" w:line="240" w:lineRule="auto"/>
        <w:jc w:val="center"/>
        <w:rPr>
          <w:rFonts w:ascii="Century Gothic" w:hAnsi="Century Gothic"/>
          <w:b/>
          <w:sz w:val="16"/>
          <w:szCs w:val="16"/>
        </w:rPr>
      </w:pPr>
    </w:p>
    <w:p w14:paraId="6FC5744C" w14:textId="0588256C" w:rsidR="00D7769E" w:rsidRPr="00E94619" w:rsidRDefault="00830DBC" w:rsidP="000E5AC0">
      <w:pPr>
        <w:spacing w:after="0" w:line="240" w:lineRule="auto"/>
        <w:rPr>
          <w:rFonts w:ascii="Century Gothic" w:hAnsi="Century Gothic"/>
          <w:sz w:val="16"/>
          <w:szCs w:val="16"/>
        </w:rPr>
      </w:pPr>
      <w:sdt>
        <w:sdtPr>
          <w:rPr>
            <w:rFonts w:ascii="Century Gothic" w:hAnsi="Century Gothic"/>
          </w:rPr>
          <w:tag w:val="goog_rdk_52"/>
          <w:id w:val="-460811368"/>
        </w:sdtPr>
        <w:sdtContent>
          <w:r w:rsidR="001D25F1">
            <w:rPr>
              <w:rFonts w:ascii="Century Gothic" w:hAnsi="Century Gothic"/>
            </w:rPr>
            <w:t xml:space="preserve">                    </w:t>
          </w:r>
        </w:sdtContent>
      </w:sdt>
      <w:r w:rsidR="00D7769E" w:rsidRPr="00E94619">
        <w:rPr>
          <w:rFonts w:ascii="Century Gothic" w:hAnsi="Century Gothic"/>
          <w:noProof/>
          <w:lang w:val="es-ES" w:eastAsia="es-ES"/>
        </w:rPr>
        <w:drawing>
          <wp:inline distT="0" distB="0" distL="0" distR="0" wp14:anchorId="03B1F959" wp14:editId="6FEBBB2F">
            <wp:extent cx="4231005" cy="1774190"/>
            <wp:effectExtent l="0" t="0" r="0" b="0"/>
            <wp:docPr id="15" name="Picture 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Interfaz de usuario gráfica, Aplicación&#10;&#10;Descripción generada automáticament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31005" cy="1774190"/>
                    </a:xfrm>
                    <a:prstGeom prst="rect">
                      <a:avLst/>
                    </a:prstGeom>
                    <a:noFill/>
                  </pic:spPr>
                </pic:pic>
              </a:graphicData>
            </a:graphic>
          </wp:inline>
        </w:drawing>
      </w:r>
    </w:p>
    <w:p w14:paraId="050B8019" w14:textId="77777777" w:rsidR="00D7769E" w:rsidRDefault="00D7769E" w:rsidP="001D25F1">
      <w:pPr>
        <w:spacing w:after="0" w:line="240" w:lineRule="auto"/>
        <w:jc w:val="center"/>
        <w:rPr>
          <w:rFonts w:ascii="Century Gothic" w:hAnsi="Century Gothic"/>
          <w:sz w:val="16"/>
          <w:szCs w:val="16"/>
        </w:rPr>
      </w:pPr>
      <w:r w:rsidRPr="00E94619">
        <w:rPr>
          <w:rFonts w:ascii="Century Gothic" w:hAnsi="Century Gothic"/>
          <w:sz w:val="16"/>
          <w:szCs w:val="16"/>
        </w:rPr>
        <w:t>Elaboración propia con base en datos del Ministerio de Salud, 2018</w:t>
      </w:r>
    </w:p>
    <w:p w14:paraId="531049D2" w14:textId="77777777" w:rsidR="001D25F1" w:rsidRPr="00E94619" w:rsidRDefault="001D25F1" w:rsidP="001D25F1">
      <w:pPr>
        <w:spacing w:after="0" w:line="240" w:lineRule="auto"/>
        <w:jc w:val="center"/>
        <w:rPr>
          <w:rFonts w:ascii="Century Gothic" w:hAnsi="Century Gothic"/>
          <w:sz w:val="16"/>
          <w:szCs w:val="16"/>
        </w:rPr>
      </w:pPr>
    </w:p>
    <w:p w14:paraId="253DF58F" w14:textId="77777777" w:rsidR="00D7769E" w:rsidRPr="00E94619" w:rsidRDefault="00D7769E" w:rsidP="000E5AC0">
      <w:pPr>
        <w:spacing w:after="0" w:line="240" w:lineRule="auto"/>
        <w:jc w:val="both"/>
        <w:rPr>
          <w:rFonts w:ascii="Century Gothic" w:hAnsi="Century Gothic"/>
        </w:rPr>
      </w:pPr>
      <w:r w:rsidRPr="00E94619">
        <w:rPr>
          <w:rFonts w:ascii="Century Gothic" w:hAnsi="Century Gothic"/>
        </w:rPr>
        <w:t>Los departamentos con menos cobertura de vacunación fueron</w:t>
      </w:r>
      <w:r w:rsidR="002C6BFD" w:rsidRPr="00E94619">
        <w:rPr>
          <w:rFonts w:ascii="Century Gothic" w:hAnsi="Century Gothic"/>
        </w:rPr>
        <w:t>:</w:t>
      </w:r>
      <w:r w:rsidRPr="00E94619">
        <w:rPr>
          <w:rFonts w:ascii="Century Gothic" w:hAnsi="Century Gothic"/>
        </w:rPr>
        <w:t xml:space="preserve"> Archipiélago de San Andrés, Providencia y Santa Catalina (87%), Amazonas (86,8%.), Vaupés y Vichada (84%)</w:t>
      </w:r>
      <w:r w:rsidRPr="00E94619">
        <w:rPr>
          <w:rStyle w:val="Refdenotaalpie"/>
          <w:rFonts w:ascii="Century Gothic" w:hAnsi="Century Gothic"/>
        </w:rPr>
        <w:footnoteReference w:id="39"/>
      </w:r>
      <w:r w:rsidRPr="00E94619">
        <w:rPr>
          <w:rFonts w:ascii="Century Gothic" w:hAnsi="Century Gothic"/>
        </w:rPr>
        <w:t xml:space="preserve">. Con respecto a la vacuna contra el cáncer de cuello uterino (virus del papiloma humano VPH) el gobierno colombiano inició un programa para su aplicación gratuita a mujeres entre los 9 y 17 años en agosto del año 2012. </w:t>
      </w:r>
    </w:p>
    <w:p w14:paraId="4E3D1DC7" w14:textId="77777777" w:rsidR="00D7769E" w:rsidRPr="00E94619" w:rsidRDefault="00D7769E" w:rsidP="000E5AC0">
      <w:pPr>
        <w:spacing w:after="0" w:line="240" w:lineRule="auto"/>
        <w:jc w:val="both"/>
        <w:rPr>
          <w:rFonts w:ascii="Century Gothic" w:hAnsi="Century Gothic"/>
        </w:rPr>
      </w:pPr>
    </w:p>
    <w:p w14:paraId="19AC3882" w14:textId="77777777" w:rsidR="00D7769E" w:rsidRDefault="00D7769E" w:rsidP="000E5AC0">
      <w:pPr>
        <w:spacing w:after="0" w:line="240" w:lineRule="auto"/>
        <w:rPr>
          <w:rFonts w:ascii="Century Gothic" w:hAnsi="Century Gothic"/>
          <w:b/>
        </w:rPr>
      </w:pPr>
      <w:r w:rsidRPr="00E94619">
        <w:rPr>
          <w:rFonts w:ascii="Century Gothic" w:hAnsi="Century Gothic"/>
          <w:b/>
        </w:rPr>
        <w:t>Avances y retos en el acceso a la seguridad social y acceso a inmunización</w:t>
      </w:r>
    </w:p>
    <w:p w14:paraId="32ECCFDC" w14:textId="77777777" w:rsidR="001D25F1" w:rsidRPr="00E94619" w:rsidRDefault="001D25F1" w:rsidP="000E5AC0">
      <w:pPr>
        <w:spacing w:after="0" w:line="240" w:lineRule="auto"/>
        <w:rPr>
          <w:rFonts w:ascii="Century Gothic" w:hAnsi="Century Gothic"/>
          <w:b/>
        </w:rPr>
      </w:pPr>
    </w:p>
    <w:tbl>
      <w:tblPr>
        <w:tblStyle w:val="affff8"/>
        <w:tblW w:w="936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700"/>
        <w:gridCol w:w="4536"/>
      </w:tblGrid>
      <w:tr w:rsidR="00D7769E" w:rsidRPr="00E94619" w14:paraId="6ED7F8CD" w14:textId="77777777" w:rsidTr="007D4FA1">
        <w:tc>
          <w:tcPr>
            <w:tcW w:w="2127" w:type="dxa"/>
            <w:tcBorders>
              <w:top w:val="single" w:sz="4" w:space="0" w:color="CC0066"/>
              <w:left w:val="single" w:sz="4" w:space="0" w:color="CC0066"/>
              <w:bottom w:val="single" w:sz="4" w:space="0" w:color="CC0066"/>
              <w:right w:val="single" w:sz="4" w:space="0" w:color="CC0066"/>
            </w:tcBorders>
            <w:shd w:val="clear" w:color="auto" w:fill="FF99CC"/>
          </w:tcPr>
          <w:p w14:paraId="7F008533" w14:textId="77777777" w:rsidR="00D7769E" w:rsidRPr="00E94619" w:rsidRDefault="00D7769E" w:rsidP="000E5AC0">
            <w:pPr>
              <w:spacing w:after="0" w:line="240" w:lineRule="auto"/>
              <w:rPr>
                <w:rFonts w:ascii="Century Gothic" w:hAnsi="Century Gothic"/>
                <w:b/>
                <w:sz w:val="16"/>
                <w:szCs w:val="16"/>
              </w:rPr>
            </w:pPr>
            <w:r w:rsidRPr="00E94619">
              <w:rPr>
                <w:rFonts w:ascii="Century Gothic" w:hAnsi="Century Gothic"/>
                <w:b/>
                <w:sz w:val="16"/>
                <w:szCs w:val="16"/>
              </w:rPr>
              <w:t>Avances del Estado</w:t>
            </w:r>
          </w:p>
        </w:tc>
        <w:tc>
          <w:tcPr>
            <w:tcW w:w="2700" w:type="dxa"/>
            <w:tcBorders>
              <w:top w:val="single" w:sz="4" w:space="0" w:color="CC0066"/>
              <w:left w:val="single" w:sz="4" w:space="0" w:color="CC0066"/>
              <w:bottom w:val="single" w:sz="4" w:space="0" w:color="CC0066"/>
              <w:right w:val="single" w:sz="4" w:space="0" w:color="CC0066"/>
            </w:tcBorders>
            <w:shd w:val="clear" w:color="auto" w:fill="FF99CC"/>
          </w:tcPr>
          <w:p w14:paraId="5202FBA6" w14:textId="77777777" w:rsidR="00D7769E" w:rsidRPr="00E94619" w:rsidRDefault="00D7769E" w:rsidP="000E5AC0">
            <w:pPr>
              <w:spacing w:after="0" w:line="240" w:lineRule="auto"/>
              <w:rPr>
                <w:rFonts w:ascii="Century Gothic" w:hAnsi="Century Gothic"/>
                <w:b/>
                <w:sz w:val="16"/>
                <w:szCs w:val="16"/>
              </w:rPr>
            </w:pPr>
            <w:r w:rsidRPr="00E94619">
              <w:rPr>
                <w:rFonts w:ascii="Century Gothic" w:hAnsi="Century Gothic"/>
                <w:b/>
                <w:sz w:val="16"/>
                <w:szCs w:val="16"/>
              </w:rPr>
              <w:t>Respuesta de la sociedad civil</w:t>
            </w:r>
          </w:p>
        </w:tc>
        <w:tc>
          <w:tcPr>
            <w:tcW w:w="4536" w:type="dxa"/>
            <w:tcBorders>
              <w:top w:val="single" w:sz="4" w:space="0" w:color="CC0066"/>
              <w:left w:val="single" w:sz="4" w:space="0" w:color="CC0066"/>
              <w:bottom w:val="single" w:sz="4" w:space="0" w:color="CC0066"/>
              <w:right w:val="single" w:sz="4" w:space="0" w:color="CC0066"/>
            </w:tcBorders>
            <w:shd w:val="clear" w:color="auto" w:fill="FF99CC"/>
          </w:tcPr>
          <w:p w14:paraId="577CEE8A" w14:textId="77777777" w:rsidR="00D7769E" w:rsidRPr="00E94619" w:rsidRDefault="00D7769E"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7D4FA1" w:rsidRPr="00E94619" w14:paraId="2A4C4212" w14:textId="77777777" w:rsidTr="007D4FA1">
        <w:trPr>
          <w:trHeight w:val="5297"/>
        </w:trPr>
        <w:tc>
          <w:tcPr>
            <w:tcW w:w="2127" w:type="dxa"/>
            <w:tcBorders>
              <w:top w:val="single" w:sz="4" w:space="0" w:color="CC0066"/>
              <w:left w:val="single" w:sz="4" w:space="0" w:color="CC0066"/>
              <w:right w:val="single" w:sz="4" w:space="0" w:color="CC0066"/>
            </w:tcBorders>
          </w:tcPr>
          <w:p w14:paraId="6E70B40D"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Acceso a la seguridad social</w:t>
            </w:r>
          </w:p>
          <w:p w14:paraId="74B83FFE"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-Se ha logrado una cobertura mayor al 95%, la cual ha llegado a comunidades vulnerables y de bajos recursos económicos. </w:t>
            </w:r>
          </w:p>
          <w:p w14:paraId="5B7BFB6B"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Acceso a inmunización:</w:t>
            </w:r>
          </w:p>
          <w:p w14:paraId="3E69135C"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-Colombia es uno de los países de América Latina que cuenta con uno de los planes de inmunización más completo. </w:t>
            </w:r>
          </w:p>
          <w:p w14:paraId="601881F1"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-Se cuenta con el Programa Ampliado de Inmunización PAI, el cual ofrece gratuidad en el servicio. Éste incluye dese el 2012 la vacuna contra el VPH.</w:t>
            </w:r>
          </w:p>
        </w:tc>
        <w:tc>
          <w:tcPr>
            <w:tcW w:w="2700" w:type="dxa"/>
            <w:tcBorders>
              <w:top w:val="single" w:sz="4" w:space="0" w:color="CC0066"/>
              <w:left w:val="single" w:sz="4" w:space="0" w:color="CC0066"/>
              <w:right w:val="single" w:sz="4" w:space="0" w:color="CC0066"/>
            </w:tcBorders>
          </w:tcPr>
          <w:p w14:paraId="273DEC5E"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Acceso a la seguridad social</w:t>
            </w:r>
          </w:p>
          <w:p w14:paraId="0DA1A89E"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Cooperación internacional:</w:t>
            </w:r>
          </w:p>
          <w:p w14:paraId="0DCE8068"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-Organización Panamericana de la Salud y Organización Mundial de la Salud: seguimiento a las políticas públicas. </w:t>
            </w:r>
          </w:p>
          <w:p w14:paraId="4620C270" w14:textId="77777777" w:rsidR="007D4FA1" w:rsidRPr="00E94619" w:rsidRDefault="007D4FA1" w:rsidP="000E5AC0">
            <w:pPr>
              <w:spacing w:after="0" w:line="240" w:lineRule="auto"/>
              <w:jc w:val="both"/>
              <w:rPr>
                <w:rFonts w:ascii="Century Gothic" w:hAnsi="Century Gothic"/>
                <w:b/>
                <w:sz w:val="16"/>
                <w:szCs w:val="16"/>
              </w:rPr>
            </w:pPr>
          </w:p>
          <w:p w14:paraId="71D0266A"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Sociedad civil: </w:t>
            </w:r>
          </w:p>
          <w:p w14:paraId="595EA7A5"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-Alianza Nacional por un Nuevo Modelo de Salud y Seguridad Social, ANSA: incidencia política para mejorar el sistema de salud. </w:t>
            </w:r>
          </w:p>
          <w:p w14:paraId="1F523797" w14:textId="77777777" w:rsidR="007D4FA1" w:rsidRPr="00E94619" w:rsidRDefault="007D4FA1" w:rsidP="000E5AC0">
            <w:pPr>
              <w:spacing w:after="0" w:line="240" w:lineRule="auto"/>
              <w:jc w:val="both"/>
              <w:rPr>
                <w:rFonts w:ascii="Century Gothic" w:hAnsi="Century Gothic"/>
                <w:b/>
                <w:sz w:val="16"/>
                <w:szCs w:val="16"/>
              </w:rPr>
            </w:pPr>
          </w:p>
          <w:p w14:paraId="302B5CBF"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Acceso a inmunización:</w:t>
            </w:r>
          </w:p>
          <w:p w14:paraId="0A91CA68"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Cooperación internacional:</w:t>
            </w:r>
          </w:p>
          <w:p w14:paraId="160EA20B"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-Organización Panamericana de la Salud y Organización Mundial de la Salud: suministro de vacunas y seguimiento. </w:t>
            </w:r>
          </w:p>
        </w:tc>
        <w:tc>
          <w:tcPr>
            <w:tcW w:w="4536" w:type="dxa"/>
            <w:tcBorders>
              <w:top w:val="single" w:sz="4" w:space="0" w:color="CC0066"/>
              <w:left w:val="single" w:sz="4" w:space="0" w:color="CC0066"/>
              <w:right w:val="single" w:sz="4" w:space="0" w:color="CC0066"/>
            </w:tcBorders>
          </w:tcPr>
          <w:p w14:paraId="4A6B448E"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b/>
                <w:sz w:val="16"/>
                <w:szCs w:val="16"/>
              </w:rPr>
              <w:t>Acceso a la seguridad social</w:t>
            </w:r>
          </w:p>
          <w:p w14:paraId="1031DD25"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-Mejorar la calidad y eficiencia de la atención en salud.</w:t>
            </w:r>
          </w:p>
          <w:p w14:paraId="63FD9AF2"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-Garantizar el acceso y calidad en la atención a las personas con menos recursos económicos, ya que el buen servicio sólo se hace efectivo para las personas que pueden pagar medicina prepagada. </w:t>
            </w:r>
          </w:p>
          <w:p w14:paraId="132E3332"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-Mejorar el desempeño de los organismos de control frente a la corrupción de las Entidades Promotoras de Salud EPS.</w:t>
            </w:r>
          </w:p>
          <w:p w14:paraId="6E6ED39D"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-Incrementar el número de profesionales en las EPS y garantizar la calidad de su formación, ya que este es insuficiente para atender la demanda de atención en salud.</w:t>
            </w:r>
          </w:p>
          <w:p w14:paraId="2CB90EB2"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-Establecer un sistema de información nacional que permita identificar las características y necesidades en salud de los ciudadanos.</w:t>
            </w:r>
          </w:p>
          <w:p w14:paraId="5275826D"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 </w:t>
            </w:r>
          </w:p>
          <w:p w14:paraId="01197F8B" w14:textId="77777777" w:rsidR="007D4FA1" w:rsidRPr="00E94619" w:rsidRDefault="007D4FA1"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Acceso a inmunización: </w:t>
            </w:r>
          </w:p>
          <w:p w14:paraId="4A3EB935"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-Alcanzar el 100% de cobertura. Sobre todo en los municipios en los que todavía no se alcanza ni el 90%. Expertos afirman que una cobertura útil debe estar por encima del 95%. </w:t>
            </w:r>
          </w:p>
          <w:p w14:paraId="63540B8E" w14:textId="77777777" w:rsidR="007D4FA1" w:rsidRPr="00E94619" w:rsidRDefault="007D4FA1"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-Se presentaron más de 800 casos de niñas con efectos adversos a la vacuna contra el papiloma. Esto creó desconfianza hacia ésta y acciones contra el Estado por su aplicación. </w:t>
            </w:r>
          </w:p>
        </w:tc>
      </w:tr>
    </w:tbl>
    <w:p w14:paraId="4A8F6D34" w14:textId="77777777" w:rsidR="00FF7D51" w:rsidRPr="00E94619" w:rsidRDefault="00FF7D51" w:rsidP="000E5AC0">
      <w:pPr>
        <w:pStyle w:val="Ttulo2"/>
        <w:rPr>
          <w:rFonts w:ascii="Century Gothic" w:hAnsi="Century Gothic"/>
        </w:rPr>
      </w:pPr>
    </w:p>
    <w:p w14:paraId="7B5D345C" w14:textId="77777777" w:rsidR="00D7769E" w:rsidRPr="001D25F1" w:rsidRDefault="00D7769E" w:rsidP="000E5AC0">
      <w:pPr>
        <w:pStyle w:val="Ttulo2"/>
        <w:rPr>
          <w:rFonts w:ascii="Century Gothic" w:hAnsi="Century Gothic"/>
          <w:color w:val="C73465"/>
        </w:rPr>
      </w:pPr>
      <w:bookmarkStart w:id="55" w:name="_Toc488624272"/>
      <w:r w:rsidRPr="001D25F1">
        <w:rPr>
          <w:rFonts w:ascii="Century Gothic" w:hAnsi="Century Gothic"/>
          <w:color w:val="C73465"/>
        </w:rPr>
        <w:t>3</w:t>
      </w:r>
      <w:r w:rsidR="00671178" w:rsidRPr="001D25F1">
        <w:rPr>
          <w:rFonts w:ascii="Century Gothic" w:hAnsi="Century Gothic"/>
          <w:color w:val="C73465"/>
        </w:rPr>
        <w:t>.</w:t>
      </w:r>
      <w:r w:rsidRPr="001D25F1">
        <w:rPr>
          <w:rFonts w:ascii="Century Gothic" w:hAnsi="Century Gothic"/>
          <w:color w:val="C73465"/>
        </w:rPr>
        <w:t xml:space="preserve"> Enfermedades transmitidas por vectores</w:t>
      </w:r>
      <w:bookmarkEnd w:id="55"/>
    </w:p>
    <w:bookmarkStart w:id="56" w:name="_Toc488624273"/>
    <w:p w14:paraId="41AEB0C5" w14:textId="77777777" w:rsidR="00D7769E" w:rsidRPr="001D25F1" w:rsidRDefault="00830DBC" w:rsidP="000E5AC0">
      <w:pPr>
        <w:pStyle w:val="Ttulo4"/>
        <w:rPr>
          <w:rStyle w:val="Ttulo3Car"/>
          <w:rFonts w:ascii="Century Gothic" w:hAnsi="Century Gothic"/>
          <w:bCs w:val="0"/>
          <w:i w:val="0"/>
          <w:iCs w:val="0"/>
          <w:color w:val="C73465"/>
        </w:rPr>
      </w:pPr>
      <w:sdt>
        <w:sdtPr>
          <w:rPr>
            <w:rFonts w:ascii="Century Gothic" w:hAnsi="Century Gothic"/>
            <w:b w:val="0"/>
            <w:lang w:val="es-ES_tradnl" w:eastAsia="es-ES"/>
          </w:rPr>
          <w:tag w:val="goog_rdk_53"/>
          <w:id w:val="-320189858"/>
        </w:sdtPr>
        <w:sdtEndPr>
          <w:rPr>
            <w:b/>
            <w:lang w:val="es-CO" w:eastAsia="en-US"/>
          </w:rPr>
        </w:sdtEndPr>
        <w:sdtContent/>
      </w:sdt>
      <w:r w:rsidR="00D7769E" w:rsidRPr="001D25F1">
        <w:rPr>
          <w:rStyle w:val="Ttulo3Car"/>
          <w:rFonts w:ascii="Century Gothic" w:hAnsi="Century Gothic"/>
          <w:bCs w:val="0"/>
          <w:i w:val="0"/>
          <w:iCs w:val="0"/>
          <w:color w:val="C73465"/>
        </w:rPr>
        <w:t>3.1 Personas de zonas endémicas de malaria desagregada por sexo que duermen bajo mosquiteras tratadas con insecticidas (ODS 3.11).</w:t>
      </w:r>
      <w:bookmarkEnd w:id="56"/>
    </w:p>
    <w:p w14:paraId="65C05F70" w14:textId="2DF02E64" w:rsidR="00D7769E" w:rsidRPr="00E94619" w:rsidRDefault="00D7769E" w:rsidP="000E5AC0">
      <w:pPr>
        <w:spacing w:after="0" w:line="240" w:lineRule="auto"/>
        <w:ind w:left="720"/>
        <w:rPr>
          <w:rFonts w:ascii="Century Gothic" w:hAnsi="Century Gothic"/>
          <w:b/>
        </w:rPr>
      </w:pPr>
    </w:p>
    <w:p w14:paraId="6FFAE6DF" w14:textId="73438656" w:rsidR="007D4FA1" w:rsidRDefault="00D2173C" w:rsidP="000E5AC0">
      <w:pPr>
        <w:spacing w:after="0" w:line="240" w:lineRule="auto"/>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53824" behindDoc="0" locked="0" layoutInCell="1" allowOverlap="1" wp14:anchorId="19B2FA36" wp14:editId="1E633D29">
            <wp:simplePos x="0" y="0"/>
            <wp:positionH relativeFrom="column">
              <wp:posOffset>-1080135</wp:posOffset>
            </wp:positionH>
            <wp:positionV relativeFrom="paragraph">
              <wp:posOffset>-822960</wp:posOffset>
            </wp:positionV>
            <wp:extent cx="965835" cy="708660"/>
            <wp:effectExtent l="0" t="0" r="0" b="0"/>
            <wp:wrapNone/>
            <wp:docPr id="397" name="Imagen 39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D7769E" w:rsidRPr="00E94619">
        <w:rPr>
          <w:rFonts w:ascii="Century Gothic" w:hAnsi="Century Gothic"/>
        </w:rPr>
        <w:t>Con respecto al número de personas de zonas endémicas de malaria que duermen bajo mosquiteras tratadas con insecticidas no se tienen datos precisos, si bien se conoce que el Ministerio de Salud ha adelantado un proyecto de prevención de la malaria que incluye la implementación de estos protectores. El comportamiento de la morbilidad por malaria ​en Colombia en los últimos diecisiete años ha mantenido una tendencia descendente y registrado un comportamiento con promedios anuales de 50.000 a 100.000 casos. En los últimos años el evento malario ha mantenido una tendencia al descenso, pasando de 171.960 casos en el 2000 a 50.301 casos en el 2017 y en las primeras 48 semanas de 2018 se han notificado 54.545 casos, lo que demuestra una reducción cercana al 70% en el número de casos</w:t>
      </w:r>
      <w:r w:rsidR="00D7769E" w:rsidRPr="00E94619">
        <w:rPr>
          <w:rStyle w:val="Refdenotaalpie"/>
          <w:rFonts w:ascii="Century Gothic" w:hAnsi="Century Gothic"/>
        </w:rPr>
        <w:footnoteReference w:id="40"/>
      </w:r>
      <w:r w:rsidR="00D7769E" w:rsidRPr="00E94619">
        <w:rPr>
          <w:rFonts w:ascii="Century Gothic" w:hAnsi="Century Gothic"/>
        </w:rPr>
        <w:t>. Sin embargo, los datos desagregados por sexo se encuentran actualizados hasta el año 2017, en ese periodo los casos de malaria no complicada se concentraron en pacientes del sexo masculino con 31.381 casos (58,4 %)</w:t>
      </w:r>
      <w:r w:rsidR="007D4FA1">
        <w:rPr>
          <w:rFonts w:ascii="Century Gothic" w:hAnsi="Century Gothic"/>
        </w:rPr>
        <w:t>.</w:t>
      </w:r>
    </w:p>
    <w:p w14:paraId="5D1FF8A4" w14:textId="77777777" w:rsidR="001D25F1" w:rsidRPr="00E94619" w:rsidRDefault="001D25F1" w:rsidP="000E5AC0">
      <w:pPr>
        <w:spacing w:after="0" w:line="240" w:lineRule="auto"/>
        <w:jc w:val="both"/>
        <w:rPr>
          <w:rFonts w:ascii="Century Gothic" w:hAnsi="Century Gothic"/>
        </w:rPr>
      </w:pPr>
    </w:p>
    <w:p w14:paraId="257B1406" w14:textId="2E929AC6" w:rsidR="00D7769E" w:rsidRDefault="00D7769E" w:rsidP="001D25F1">
      <w:pPr>
        <w:spacing w:after="0" w:line="240" w:lineRule="auto"/>
        <w:jc w:val="center"/>
        <w:rPr>
          <w:rFonts w:ascii="Century Gothic" w:hAnsi="Century Gothic"/>
          <w:b/>
          <w:bCs/>
          <w:sz w:val="16"/>
          <w:szCs w:val="16"/>
        </w:rPr>
      </w:pPr>
      <w:r w:rsidRPr="00E94619">
        <w:rPr>
          <w:rFonts w:ascii="Century Gothic" w:hAnsi="Century Gothic"/>
          <w:b/>
          <w:bCs/>
          <w:sz w:val="16"/>
          <w:szCs w:val="16"/>
        </w:rPr>
        <w:t>Gráfica 39.</w:t>
      </w:r>
      <w:r w:rsidR="001D25F1">
        <w:rPr>
          <w:rFonts w:ascii="Century Gothic" w:hAnsi="Century Gothic"/>
          <w:b/>
          <w:bCs/>
          <w:sz w:val="16"/>
          <w:szCs w:val="16"/>
        </w:rPr>
        <w:t xml:space="preserve"> Casos de malaria complicada por grupos de edad y sexo, Colombia 2017</w:t>
      </w:r>
    </w:p>
    <w:p w14:paraId="494866AF" w14:textId="72A12C8C" w:rsidR="001D25F1" w:rsidRPr="00E94619" w:rsidRDefault="001D25F1" w:rsidP="001D25F1">
      <w:pPr>
        <w:spacing w:after="0" w:line="240" w:lineRule="auto"/>
        <w:jc w:val="center"/>
        <w:rPr>
          <w:rFonts w:ascii="Century Gothic" w:hAnsi="Century Gothic"/>
          <w:b/>
          <w:bCs/>
          <w:sz w:val="16"/>
          <w:szCs w:val="16"/>
        </w:rPr>
      </w:pPr>
      <w:r w:rsidRPr="00E94619">
        <w:rPr>
          <w:rFonts w:ascii="Century Gothic" w:hAnsi="Century Gothic"/>
          <w:noProof/>
          <w:lang w:val="es-ES" w:eastAsia="es-ES"/>
        </w:rPr>
        <w:drawing>
          <wp:anchor distT="0" distB="0" distL="114300" distR="114300" simplePos="0" relativeHeight="251705344" behindDoc="0" locked="0" layoutInCell="1" allowOverlap="1" wp14:anchorId="79982FB9" wp14:editId="2C36E42E">
            <wp:simplePos x="0" y="0"/>
            <wp:positionH relativeFrom="column">
              <wp:posOffset>914400</wp:posOffset>
            </wp:positionH>
            <wp:positionV relativeFrom="paragraph">
              <wp:posOffset>100330</wp:posOffset>
            </wp:positionV>
            <wp:extent cx="3716020" cy="1569085"/>
            <wp:effectExtent l="0" t="0" r="0" b="5715"/>
            <wp:wrapSquare wrapText="bothSides"/>
            <wp:docPr id="16"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pic:nvPicPr>
                  <pic:blipFill rotWithShape="1">
                    <a:blip r:embed="rId68" cstate="print">
                      <a:extLst>
                        <a:ext uri="{BEBA8EAE-BF5A-486C-A8C5-ECC9F3942E4B}">
                          <a14:imgProps xmlns:a14="http://schemas.microsoft.com/office/drawing/2010/main">
                            <a14:imgLayer r:embed="rId69">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6556" t="15637" r="6401" b="18955"/>
                    <a:stretch/>
                  </pic:blipFill>
                  <pic:spPr bwMode="auto">
                    <a:xfrm>
                      <a:off x="0" y="0"/>
                      <a:ext cx="3716020" cy="1569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BC0391" w14:textId="6BE2B0AF" w:rsidR="00D7769E" w:rsidRPr="00E94619" w:rsidRDefault="00D7769E" w:rsidP="000E5AC0">
      <w:pPr>
        <w:spacing w:after="0" w:line="240" w:lineRule="auto"/>
        <w:jc w:val="both"/>
        <w:rPr>
          <w:rFonts w:ascii="Century Gothic" w:hAnsi="Century Gothic"/>
          <w:sz w:val="16"/>
          <w:szCs w:val="16"/>
        </w:rPr>
      </w:pPr>
    </w:p>
    <w:p w14:paraId="50DC9326" w14:textId="77777777" w:rsidR="001D25F1" w:rsidRDefault="001D25F1" w:rsidP="000E5AC0">
      <w:pPr>
        <w:spacing w:after="0"/>
        <w:jc w:val="both"/>
        <w:rPr>
          <w:rFonts w:ascii="Century Gothic" w:hAnsi="Century Gothic"/>
          <w:bCs/>
          <w:sz w:val="14"/>
          <w:szCs w:val="14"/>
        </w:rPr>
      </w:pPr>
    </w:p>
    <w:p w14:paraId="3905FBDC" w14:textId="77777777" w:rsidR="001D25F1" w:rsidRDefault="001D25F1" w:rsidP="000E5AC0">
      <w:pPr>
        <w:spacing w:after="0"/>
        <w:jc w:val="both"/>
        <w:rPr>
          <w:rFonts w:ascii="Century Gothic" w:hAnsi="Century Gothic"/>
          <w:bCs/>
          <w:sz w:val="14"/>
          <w:szCs w:val="14"/>
        </w:rPr>
      </w:pPr>
    </w:p>
    <w:p w14:paraId="359C05B5" w14:textId="77777777" w:rsidR="001D25F1" w:rsidRDefault="001D25F1" w:rsidP="000E5AC0">
      <w:pPr>
        <w:spacing w:after="0"/>
        <w:jc w:val="both"/>
        <w:rPr>
          <w:rFonts w:ascii="Century Gothic" w:hAnsi="Century Gothic"/>
          <w:bCs/>
          <w:sz w:val="14"/>
          <w:szCs w:val="14"/>
        </w:rPr>
      </w:pPr>
    </w:p>
    <w:p w14:paraId="3D93C1FA" w14:textId="77777777" w:rsidR="001D25F1" w:rsidRDefault="001D25F1" w:rsidP="000E5AC0">
      <w:pPr>
        <w:spacing w:after="0"/>
        <w:jc w:val="both"/>
        <w:rPr>
          <w:rFonts w:ascii="Century Gothic" w:hAnsi="Century Gothic"/>
          <w:bCs/>
          <w:sz w:val="14"/>
          <w:szCs w:val="14"/>
        </w:rPr>
      </w:pPr>
    </w:p>
    <w:p w14:paraId="688569C3" w14:textId="77777777" w:rsidR="001D25F1" w:rsidRDefault="001D25F1" w:rsidP="000E5AC0">
      <w:pPr>
        <w:spacing w:after="0"/>
        <w:jc w:val="both"/>
        <w:rPr>
          <w:rFonts w:ascii="Century Gothic" w:hAnsi="Century Gothic"/>
          <w:bCs/>
          <w:sz w:val="14"/>
          <w:szCs w:val="14"/>
        </w:rPr>
      </w:pPr>
    </w:p>
    <w:p w14:paraId="613744CA" w14:textId="77777777" w:rsidR="001D25F1" w:rsidRDefault="001D25F1" w:rsidP="000E5AC0">
      <w:pPr>
        <w:spacing w:after="0"/>
        <w:jc w:val="both"/>
        <w:rPr>
          <w:rFonts w:ascii="Century Gothic" w:hAnsi="Century Gothic"/>
          <w:bCs/>
          <w:sz w:val="14"/>
          <w:szCs w:val="14"/>
        </w:rPr>
      </w:pPr>
    </w:p>
    <w:p w14:paraId="2056E941" w14:textId="77777777" w:rsidR="001D25F1" w:rsidRDefault="001D25F1" w:rsidP="000E5AC0">
      <w:pPr>
        <w:spacing w:after="0"/>
        <w:jc w:val="both"/>
        <w:rPr>
          <w:rFonts w:ascii="Century Gothic" w:hAnsi="Century Gothic"/>
          <w:bCs/>
          <w:sz w:val="14"/>
          <w:szCs w:val="14"/>
        </w:rPr>
      </w:pPr>
    </w:p>
    <w:p w14:paraId="413F1D5B" w14:textId="77777777" w:rsidR="001D25F1" w:rsidRDefault="001D25F1" w:rsidP="000E5AC0">
      <w:pPr>
        <w:spacing w:after="0"/>
        <w:jc w:val="both"/>
        <w:rPr>
          <w:rFonts w:ascii="Century Gothic" w:hAnsi="Century Gothic"/>
          <w:bCs/>
          <w:sz w:val="14"/>
          <w:szCs w:val="14"/>
        </w:rPr>
      </w:pPr>
    </w:p>
    <w:p w14:paraId="2D56157C" w14:textId="77777777" w:rsidR="001D25F1" w:rsidRDefault="001D25F1" w:rsidP="000E5AC0">
      <w:pPr>
        <w:spacing w:after="0"/>
        <w:jc w:val="both"/>
        <w:rPr>
          <w:rFonts w:ascii="Century Gothic" w:hAnsi="Century Gothic"/>
          <w:bCs/>
          <w:sz w:val="14"/>
          <w:szCs w:val="14"/>
        </w:rPr>
      </w:pPr>
    </w:p>
    <w:p w14:paraId="5A82FF53" w14:textId="77777777" w:rsidR="001D25F1" w:rsidRDefault="001D25F1" w:rsidP="000E5AC0">
      <w:pPr>
        <w:spacing w:after="0"/>
        <w:jc w:val="both"/>
        <w:rPr>
          <w:rFonts w:ascii="Century Gothic" w:hAnsi="Century Gothic"/>
          <w:bCs/>
          <w:sz w:val="14"/>
          <w:szCs w:val="14"/>
        </w:rPr>
      </w:pPr>
    </w:p>
    <w:p w14:paraId="6E8A05B7" w14:textId="77777777" w:rsidR="001D25F1" w:rsidRDefault="001D25F1" w:rsidP="000E5AC0">
      <w:pPr>
        <w:spacing w:after="0"/>
        <w:jc w:val="both"/>
        <w:rPr>
          <w:rFonts w:ascii="Century Gothic" w:hAnsi="Century Gothic"/>
          <w:bCs/>
          <w:sz w:val="14"/>
          <w:szCs w:val="14"/>
        </w:rPr>
      </w:pPr>
    </w:p>
    <w:p w14:paraId="400A3345" w14:textId="77777777" w:rsidR="001D25F1" w:rsidRDefault="001D25F1" w:rsidP="000E5AC0">
      <w:pPr>
        <w:spacing w:after="0"/>
        <w:jc w:val="both"/>
        <w:rPr>
          <w:rFonts w:ascii="Century Gothic" w:hAnsi="Century Gothic"/>
          <w:bCs/>
          <w:sz w:val="14"/>
          <w:szCs w:val="14"/>
        </w:rPr>
      </w:pPr>
    </w:p>
    <w:p w14:paraId="625DA638" w14:textId="77777777" w:rsidR="001D25F1" w:rsidRDefault="001D25F1" w:rsidP="000E5AC0">
      <w:pPr>
        <w:spacing w:after="0"/>
        <w:jc w:val="both"/>
        <w:rPr>
          <w:rFonts w:ascii="Century Gothic" w:hAnsi="Century Gothic"/>
          <w:bCs/>
          <w:sz w:val="14"/>
          <w:szCs w:val="14"/>
        </w:rPr>
      </w:pPr>
    </w:p>
    <w:p w14:paraId="30E1C644" w14:textId="77777777" w:rsidR="00D7769E" w:rsidRPr="00E94619" w:rsidRDefault="00D7769E" w:rsidP="001D25F1">
      <w:pPr>
        <w:spacing w:after="0"/>
        <w:jc w:val="center"/>
        <w:rPr>
          <w:rFonts w:ascii="Century Gothic" w:hAnsi="Century Gothic"/>
          <w:bCs/>
          <w:sz w:val="14"/>
          <w:szCs w:val="14"/>
        </w:rPr>
      </w:pPr>
      <w:r w:rsidRPr="00E94619">
        <w:rPr>
          <w:rFonts w:ascii="Century Gothic" w:hAnsi="Century Gothic"/>
          <w:bCs/>
          <w:sz w:val="14"/>
          <w:szCs w:val="14"/>
        </w:rPr>
        <w:t>Fuente: Sivigila, Instituto Nacional de Salud, Colombia, 2017</w:t>
      </w:r>
    </w:p>
    <w:bookmarkStart w:id="57" w:name="_Toc488624274"/>
    <w:p w14:paraId="702B550A" w14:textId="54AD953F" w:rsidR="001D25F1" w:rsidRPr="00646447" w:rsidRDefault="00830DBC" w:rsidP="00646447">
      <w:pPr>
        <w:pStyle w:val="Ttulo4"/>
        <w:rPr>
          <w:rFonts w:ascii="Century Gothic" w:hAnsi="Century Gothic"/>
          <w:b w:val="0"/>
          <w:bCs w:val="0"/>
          <w:i w:val="0"/>
          <w:iCs w:val="0"/>
          <w:color w:val="C73465"/>
          <w:lang w:val="es-ES_tradnl" w:eastAsia="es-ES"/>
        </w:rPr>
      </w:pPr>
      <w:sdt>
        <w:sdtPr>
          <w:rPr>
            <w:rFonts w:ascii="Century Gothic" w:hAnsi="Century Gothic"/>
            <w:b w:val="0"/>
            <w:lang w:val="es-ES_tradnl" w:eastAsia="es-ES"/>
          </w:rPr>
          <w:tag w:val="goog_rdk_55"/>
          <w:id w:val="-840621929"/>
        </w:sdtPr>
        <w:sdtEndPr>
          <w:rPr>
            <w:b/>
            <w:lang w:val="es-CO" w:eastAsia="en-US"/>
          </w:rPr>
        </w:sdtEndPr>
        <w:sdtContent/>
      </w:sdt>
      <w:r w:rsidR="00D7769E" w:rsidRPr="001D25F1">
        <w:rPr>
          <w:rStyle w:val="Ttulo3Car"/>
          <w:rFonts w:ascii="Century Gothic" w:hAnsi="Century Gothic"/>
          <w:bCs w:val="0"/>
          <w:i w:val="0"/>
          <w:iCs w:val="0"/>
          <w:color w:val="C73465"/>
        </w:rPr>
        <w:t>3.2 Zika</w:t>
      </w:r>
      <w:bookmarkEnd w:id="57"/>
      <w:r w:rsidR="00D7769E" w:rsidRPr="001D25F1">
        <w:rPr>
          <w:rStyle w:val="Ttulo3Car"/>
          <w:rFonts w:ascii="Century Gothic" w:hAnsi="Century Gothic"/>
          <w:bCs w:val="0"/>
          <w:i w:val="0"/>
          <w:iCs w:val="0"/>
          <w:color w:val="C73465"/>
        </w:rPr>
        <w:t xml:space="preserve"> </w:t>
      </w:r>
    </w:p>
    <w:p w14:paraId="604445F4" w14:textId="0777D960" w:rsidR="001D25F1" w:rsidRDefault="00D7769E" w:rsidP="000E5AC0">
      <w:pPr>
        <w:spacing w:after="0" w:line="240" w:lineRule="auto"/>
        <w:jc w:val="both"/>
        <w:rPr>
          <w:rFonts w:ascii="Century Gothic" w:hAnsi="Century Gothic"/>
        </w:rPr>
      </w:pPr>
      <w:r w:rsidRPr="00E94619">
        <w:rPr>
          <w:rFonts w:ascii="Century Gothic" w:hAnsi="Century Gothic"/>
        </w:rPr>
        <w:t>Según el Informe de Evento Enfermedad por Virus Zika</w:t>
      </w:r>
      <w:r w:rsidRPr="00E94619">
        <w:rPr>
          <w:rStyle w:val="Refdenotaalpie"/>
          <w:rFonts w:ascii="Century Gothic" w:hAnsi="Century Gothic"/>
        </w:rPr>
        <w:footnoteReference w:id="41"/>
      </w:r>
      <w:r w:rsidRPr="00E94619">
        <w:rPr>
          <w:rFonts w:ascii="Century Gothic" w:hAnsi="Century Gothic"/>
        </w:rPr>
        <w:t>, en el 2017</w:t>
      </w:r>
      <w:r w:rsidRPr="00E94619">
        <w:rPr>
          <w:rFonts w:ascii="Century Gothic" w:hAnsi="Century Gothic"/>
          <w:b/>
          <w:bCs/>
        </w:rPr>
        <w:t xml:space="preserve"> </w:t>
      </w:r>
      <w:r w:rsidRPr="00E94619">
        <w:rPr>
          <w:rFonts w:ascii="Century Gothic" w:hAnsi="Century Gothic"/>
        </w:rPr>
        <w:t>de acuerdo con las características sociales y demográficas de la población afectada, 1</w:t>
      </w:r>
      <w:r w:rsidR="002C6BFD" w:rsidRPr="00E94619">
        <w:rPr>
          <w:rFonts w:ascii="Century Gothic" w:hAnsi="Century Gothic"/>
        </w:rPr>
        <w:t>.</w:t>
      </w:r>
      <w:r w:rsidRPr="00E94619">
        <w:rPr>
          <w:rFonts w:ascii="Century Gothic" w:hAnsi="Century Gothic"/>
        </w:rPr>
        <w:t>243 casos de enfermedad por virus Zika se presentaron en sexo femenino (58,4%) y 887 casos en sexo masculino (41,6%); por grupos de edad, se observa que el 58,9% de los casos se concentraron en la población de 15 a 39 años</w:t>
      </w:r>
      <w:sdt>
        <w:sdtPr>
          <w:rPr>
            <w:rFonts w:ascii="Century Gothic" w:hAnsi="Century Gothic"/>
          </w:rPr>
          <w:id w:val="1530833418"/>
          <w:citation/>
        </w:sdtPr>
        <w:sdtContent>
          <w:r w:rsidRPr="00E94619">
            <w:rPr>
              <w:rFonts w:ascii="Century Gothic" w:hAnsi="Century Gothic"/>
            </w:rPr>
            <w:fldChar w:fldCharType="begin"/>
          </w:r>
          <w:r w:rsidRPr="00E94619">
            <w:rPr>
              <w:rFonts w:ascii="Century Gothic" w:hAnsi="Century Gothic"/>
              <w:lang w:val="es-MX"/>
            </w:rPr>
            <w:instrText xml:space="preserve"> CITATION Ins17 \l 2058 </w:instrText>
          </w:r>
          <w:r w:rsidRPr="00E94619">
            <w:rPr>
              <w:rFonts w:ascii="Century Gothic" w:hAnsi="Century Gothic"/>
            </w:rPr>
            <w:fldChar w:fldCharType="separate"/>
          </w:r>
          <w:r w:rsidRPr="00E94619">
            <w:rPr>
              <w:rFonts w:ascii="Century Gothic" w:hAnsi="Century Gothic"/>
              <w:noProof/>
              <w:lang w:val="es-MX"/>
            </w:rPr>
            <w:t xml:space="preserve"> (Instituto Nacional de Salud, 2017)</w:t>
          </w:r>
          <w:r w:rsidRPr="00E94619">
            <w:rPr>
              <w:rFonts w:ascii="Century Gothic" w:hAnsi="Century Gothic"/>
            </w:rPr>
            <w:fldChar w:fldCharType="end"/>
          </w:r>
        </w:sdtContent>
      </w:sdt>
      <w:r w:rsidRPr="00E94619">
        <w:rPr>
          <w:rFonts w:ascii="Century Gothic" w:hAnsi="Century Gothic"/>
        </w:rPr>
        <w:t>.</w:t>
      </w:r>
    </w:p>
    <w:p w14:paraId="363C9B40" w14:textId="77777777" w:rsidR="001D25F1" w:rsidRPr="00E94619" w:rsidRDefault="001D25F1" w:rsidP="000E5AC0">
      <w:pPr>
        <w:spacing w:after="0" w:line="240" w:lineRule="auto"/>
        <w:jc w:val="both"/>
        <w:rPr>
          <w:rFonts w:ascii="Century Gothic" w:hAnsi="Century Gothic"/>
        </w:rPr>
      </w:pPr>
    </w:p>
    <w:p w14:paraId="668FFBCE" w14:textId="6CA84F91" w:rsidR="00D7769E" w:rsidRDefault="00D7769E" w:rsidP="001D25F1">
      <w:pPr>
        <w:spacing w:after="0" w:line="240" w:lineRule="auto"/>
        <w:jc w:val="center"/>
        <w:rPr>
          <w:rFonts w:ascii="Century Gothic" w:hAnsi="Century Gothic"/>
          <w:b/>
          <w:bCs/>
          <w:sz w:val="16"/>
          <w:szCs w:val="16"/>
        </w:rPr>
      </w:pPr>
      <w:r w:rsidRPr="00E94619">
        <w:rPr>
          <w:rFonts w:ascii="Century Gothic" w:hAnsi="Century Gothic"/>
          <w:b/>
          <w:bCs/>
          <w:sz w:val="16"/>
          <w:szCs w:val="16"/>
        </w:rPr>
        <w:t>Gráfica 40</w:t>
      </w:r>
      <w:r w:rsidR="001D25F1">
        <w:rPr>
          <w:rFonts w:ascii="Century Gothic" w:hAnsi="Century Gothic"/>
          <w:b/>
          <w:bCs/>
          <w:sz w:val="16"/>
          <w:szCs w:val="16"/>
        </w:rPr>
        <w:t>. Casos de zika por género y edad</w:t>
      </w:r>
    </w:p>
    <w:p w14:paraId="10016A36" w14:textId="77777777" w:rsidR="001D25F1" w:rsidRPr="00E94619" w:rsidRDefault="001D25F1" w:rsidP="001D25F1">
      <w:pPr>
        <w:spacing w:after="0" w:line="240" w:lineRule="auto"/>
        <w:jc w:val="center"/>
        <w:rPr>
          <w:rFonts w:ascii="Century Gothic" w:hAnsi="Century Gothic"/>
          <w:b/>
          <w:bCs/>
          <w:sz w:val="16"/>
          <w:szCs w:val="16"/>
        </w:rPr>
      </w:pPr>
    </w:p>
    <w:p w14:paraId="3CBBFF47" w14:textId="29ED574A" w:rsidR="00D7769E" w:rsidRPr="00E94619" w:rsidRDefault="00830DBC" w:rsidP="000E5AC0">
      <w:pPr>
        <w:spacing w:after="0" w:line="240" w:lineRule="auto"/>
        <w:jc w:val="both"/>
        <w:rPr>
          <w:rFonts w:ascii="Century Gothic" w:hAnsi="Century Gothic"/>
          <w:sz w:val="16"/>
          <w:szCs w:val="16"/>
        </w:rPr>
      </w:pPr>
      <w:sdt>
        <w:sdtPr>
          <w:rPr>
            <w:rFonts w:ascii="Century Gothic" w:hAnsi="Century Gothic"/>
          </w:rPr>
          <w:tag w:val="goog_rdk_56"/>
          <w:id w:val="-1931576423"/>
        </w:sdtPr>
        <w:sdtContent>
          <w:r w:rsidR="001D25F1">
            <w:rPr>
              <w:rFonts w:ascii="Century Gothic" w:hAnsi="Century Gothic"/>
            </w:rPr>
            <w:t xml:space="preserve">             </w:t>
          </w:r>
          <w:r w:rsidR="00646447" w:rsidRPr="00E94619">
            <w:rPr>
              <w:rFonts w:ascii="Century Gothic" w:hAnsi="Century Gothic"/>
              <w:noProof/>
              <w:lang w:val="es-ES" w:eastAsia="es-ES"/>
            </w:rPr>
            <w:drawing>
              <wp:inline distT="0" distB="0" distL="0" distR="0" wp14:anchorId="113A6DE7" wp14:editId="0996FD5B">
                <wp:extent cx="3838575" cy="1932663"/>
                <wp:effectExtent l="0" t="0" r="0" b="0"/>
                <wp:docPr id="17" name="Picture 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pic:nvPicPr>
                      <pic:blipFill rotWithShape="1">
                        <a:blip r:embed="rId70"/>
                        <a:srcRect l="12142" t="22070" r="11261" b="9339"/>
                        <a:stretch/>
                      </pic:blipFill>
                      <pic:spPr bwMode="auto">
                        <a:xfrm>
                          <a:off x="0" y="0"/>
                          <a:ext cx="3842023" cy="1934399"/>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133D20C9" w14:textId="0108D90D" w:rsidR="00D7769E" w:rsidRPr="00E94619" w:rsidRDefault="00D7769E" w:rsidP="001D25F1">
      <w:pPr>
        <w:spacing w:after="0" w:line="240" w:lineRule="auto"/>
        <w:jc w:val="center"/>
        <w:rPr>
          <w:rFonts w:ascii="Century Gothic" w:hAnsi="Century Gothic"/>
          <w:color w:val="000000"/>
          <w:sz w:val="16"/>
          <w:szCs w:val="16"/>
        </w:rPr>
      </w:pPr>
      <w:r w:rsidRPr="00E94619">
        <w:rPr>
          <w:rFonts w:ascii="Century Gothic" w:hAnsi="Century Gothic"/>
          <w:color w:val="000000"/>
          <w:sz w:val="16"/>
          <w:szCs w:val="16"/>
        </w:rPr>
        <w:t>Fuente: Sivigila. Instituto Nacional de Salud, Colombia, 2017</w:t>
      </w:r>
    </w:p>
    <w:p w14:paraId="2B1F7844" w14:textId="0A6C99EB" w:rsidR="00D7769E" w:rsidRPr="00E94619" w:rsidRDefault="00D2173C" w:rsidP="000E5AC0">
      <w:pPr>
        <w:spacing w:after="0" w:line="240" w:lineRule="auto"/>
        <w:rPr>
          <w:rFonts w:ascii="Century Gothic" w:hAnsi="Century Gothic"/>
          <w:color w:val="000000"/>
          <w:sz w:val="16"/>
          <w:szCs w:val="16"/>
        </w:rPr>
      </w:pPr>
      <w:r>
        <w:rPr>
          <w:rFonts w:ascii="Century Gothic" w:hAnsi="Century Gothic"/>
          <w:b/>
          <w:noProof/>
          <w:szCs w:val="24"/>
          <w:lang w:val="es-ES"/>
        </w:rPr>
        <w:lastRenderedPageBreak/>
        <w:drawing>
          <wp:anchor distT="0" distB="0" distL="114300" distR="114300" simplePos="0" relativeHeight="251855872" behindDoc="0" locked="0" layoutInCell="1" allowOverlap="1" wp14:anchorId="5BF2B5F7" wp14:editId="1E6498A8">
            <wp:simplePos x="0" y="0"/>
            <wp:positionH relativeFrom="column">
              <wp:posOffset>-1080135</wp:posOffset>
            </wp:positionH>
            <wp:positionV relativeFrom="paragraph">
              <wp:posOffset>-822960</wp:posOffset>
            </wp:positionV>
            <wp:extent cx="965835" cy="708660"/>
            <wp:effectExtent l="0" t="0" r="0" b="0"/>
            <wp:wrapNone/>
            <wp:docPr id="398" name="Imagen 39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715599D9" w14:textId="1F2C5E02" w:rsidR="00D7769E" w:rsidRPr="00E94619" w:rsidRDefault="00D7769E" w:rsidP="000E5AC0">
      <w:pPr>
        <w:spacing w:after="0" w:line="240" w:lineRule="auto"/>
        <w:jc w:val="both"/>
        <w:rPr>
          <w:rFonts w:ascii="Century Gothic" w:hAnsi="Century Gothic"/>
          <w:color w:val="000000"/>
        </w:rPr>
      </w:pPr>
      <w:r w:rsidRPr="00E94619">
        <w:rPr>
          <w:rFonts w:ascii="Century Gothic" w:hAnsi="Century Gothic"/>
          <w:color w:val="000000"/>
        </w:rPr>
        <w:t>Para el 2019, según el Boletín Epidemiológico Semana 30</w:t>
      </w:r>
      <w:r w:rsidRPr="00E94619">
        <w:rPr>
          <w:rStyle w:val="Refdenotaalpie"/>
          <w:rFonts w:ascii="Century Gothic" w:hAnsi="Century Gothic"/>
          <w:color w:val="000000"/>
        </w:rPr>
        <w:footnoteReference w:id="42"/>
      </w:r>
      <w:r w:rsidRPr="00E94619">
        <w:rPr>
          <w:rFonts w:ascii="Century Gothic" w:hAnsi="Century Gothic"/>
          <w:color w:val="000000"/>
        </w:rPr>
        <w:t>, se han notificado 300 casos de enfermedad por virus Zika, 226 (75,3%) confirmados por clínica, 7 (2,3 %) confirmados por laboratorio y 67 (22,3%) sospechosos. Existe un descenso en la notificación del evento del 54,1%, 264 casos menos, comparado con el mismo periodo de 2018. A semana epidemiológica 30 se han notificado 83 (27,7 %) casos que pertenecen a los grupos de riesgo, 14,0 % (42) gestantes, 13 % (39) menores de un año y 0,7 % (2) mayores de 65 años</w:t>
      </w:r>
      <w:sdt>
        <w:sdtPr>
          <w:rPr>
            <w:rFonts w:ascii="Century Gothic" w:hAnsi="Century Gothic"/>
            <w:color w:val="000000"/>
          </w:rPr>
          <w:id w:val="270829935"/>
          <w:citation/>
        </w:sdtPr>
        <w:sdtContent>
          <w:r w:rsidRPr="00E94619">
            <w:rPr>
              <w:rFonts w:ascii="Century Gothic" w:hAnsi="Century Gothic"/>
              <w:color w:val="000000"/>
            </w:rPr>
            <w:fldChar w:fldCharType="begin"/>
          </w:r>
          <w:r w:rsidRPr="00E94619">
            <w:rPr>
              <w:rFonts w:ascii="Century Gothic" w:hAnsi="Century Gothic"/>
              <w:color w:val="000000"/>
              <w:lang w:val="es-MX"/>
            </w:rPr>
            <w:instrText xml:space="preserve"> CITATION Ins191 \l 2058 </w:instrText>
          </w:r>
          <w:r w:rsidRPr="00E94619">
            <w:rPr>
              <w:rFonts w:ascii="Century Gothic" w:hAnsi="Century Gothic"/>
              <w:color w:val="000000"/>
            </w:rPr>
            <w:fldChar w:fldCharType="separate"/>
          </w:r>
          <w:r w:rsidRPr="00E94619">
            <w:rPr>
              <w:rFonts w:ascii="Century Gothic" w:hAnsi="Century Gothic"/>
              <w:noProof/>
              <w:color w:val="000000"/>
              <w:lang w:val="es-MX"/>
            </w:rPr>
            <w:t xml:space="preserve"> (Instituto Nacional de Salud, 2019)</w:t>
          </w:r>
          <w:r w:rsidRPr="00E94619">
            <w:rPr>
              <w:rFonts w:ascii="Century Gothic" w:hAnsi="Century Gothic"/>
              <w:color w:val="000000"/>
            </w:rPr>
            <w:fldChar w:fldCharType="end"/>
          </w:r>
        </w:sdtContent>
      </w:sdt>
      <w:r w:rsidRPr="00E94619">
        <w:rPr>
          <w:rFonts w:ascii="Century Gothic" w:hAnsi="Century Gothic"/>
          <w:color w:val="000000"/>
        </w:rPr>
        <w:t>.</w:t>
      </w:r>
    </w:p>
    <w:p w14:paraId="0FDECFD9" w14:textId="77777777" w:rsidR="001238D7" w:rsidRPr="00E94619" w:rsidRDefault="001238D7" w:rsidP="000E5AC0">
      <w:pPr>
        <w:spacing w:after="0" w:line="240" w:lineRule="auto"/>
        <w:rPr>
          <w:rFonts w:ascii="Century Gothic" w:hAnsi="Century Gothic"/>
          <w:color w:val="000000"/>
          <w:sz w:val="16"/>
          <w:szCs w:val="16"/>
        </w:rPr>
      </w:pPr>
    </w:p>
    <w:bookmarkStart w:id="58" w:name="_Toc488624275"/>
    <w:bookmarkStart w:id="59" w:name="_GoBack"/>
    <w:bookmarkEnd w:id="59"/>
    <w:p w14:paraId="66213BD6" w14:textId="5BA0AC44" w:rsidR="001D25F1" w:rsidRDefault="00830DBC" w:rsidP="001D25F1">
      <w:pPr>
        <w:pStyle w:val="Ttulo4"/>
        <w:rPr>
          <w:rStyle w:val="Ttulo3Car"/>
          <w:rFonts w:ascii="Century Gothic" w:hAnsi="Century Gothic"/>
          <w:bCs w:val="0"/>
          <w:i w:val="0"/>
          <w:iCs w:val="0"/>
          <w:color w:val="C73465"/>
        </w:rPr>
      </w:pPr>
      <w:sdt>
        <w:sdtPr>
          <w:rPr>
            <w:rFonts w:ascii="Century Gothic" w:hAnsi="Century Gothic"/>
            <w:b w:val="0"/>
            <w:lang w:val="es-ES_tradnl" w:eastAsia="es-ES"/>
          </w:rPr>
          <w:tag w:val="goog_rdk_57"/>
          <w:id w:val="-1371687645"/>
        </w:sdtPr>
        <w:sdtEndPr>
          <w:rPr>
            <w:b/>
            <w:lang w:val="es-CO" w:eastAsia="en-US"/>
          </w:rPr>
        </w:sdtEndPr>
        <w:sdtContent/>
      </w:sdt>
      <w:r w:rsidR="00F75F90" w:rsidRPr="001D25F1">
        <w:rPr>
          <w:rStyle w:val="Ttulo3Car"/>
          <w:rFonts w:ascii="Century Gothic" w:hAnsi="Century Gothic"/>
          <w:bCs w:val="0"/>
          <w:i w:val="0"/>
          <w:iCs w:val="0"/>
          <w:color w:val="C73465"/>
        </w:rPr>
        <w:t>3.3. COVID-19</w:t>
      </w:r>
      <w:bookmarkEnd w:id="58"/>
    </w:p>
    <w:p w14:paraId="3DFDA4E3" w14:textId="77777777" w:rsidR="001D25F1" w:rsidRPr="001D25F1" w:rsidRDefault="001D25F1" w:rsidP="001D25F1">
      <w:pPr>
        <w:rPr>
          <w:lang w:val="es-ES_tradnl" w:eastAsia="es-ES"/>
        </w:rPr>
      </w:pPr>
    </w:p>
    <w:p w14:paraId="16320C08" w14:textId="77777777" w:rsidR="00F75F90" w:rsidRPr="00E94619" w:rsidRDefault="00F75F90" w:rsidP="000E5AC0">
      <w:pPr>
        <w:jc w:val="both"/>
        <w:rPr>
          <w:rFonts w:ascii="Century Gothic" w:hAnsi="Century Gothic"/>
        </w:rPr>
      </w:pPr>
      <w:r w:rsidRPr="00E94619">
        <w:rPr>
          <w:rFonts w:ascii="Century Gothic" w:hAnsi="Century Gothic"/>
        </w:rPr>
        <w:t>El mayor número de personas contagiadas con el coronavirus en Colombia son mujeres, mientras que la cifra más alta de fallecidos corresponde a hombres.</w:t>
      </w:r>
    </w:p>
    <w:p w14:paraId="7AB78603" w14:textId="1BDADBC5" w:rsidR="001D25F1" w:rsidRPr="00E94619" w:rsidRDefault="00DC2350" w:rsidP="000E5AC0">
      <w:pPr>
        <w:jc w:val="both"/>
        <w:rPr>
          <w:rFonts w:ascii="Century Gothic" w:hAnsi="Century Gothic"/>
        </w:rPr>
      </w:pPr>
      <w:r w:rsidRPr="00E94619">
        <w:rPr>
          <w:rFonts w:ascii="Century Gothic" w:hAnsi="Century Gothic"/>
        </w:rPr>
        <w:t>Información del</w:t>
      </w:r>
      <w:r w:rsidR="00F75F90" w:rsidRPr="00E94619">
        <w:rPr>
          <w:rFonts w:ascii="Century Gothic" w:hAnsi="Century Gothic"/>
        </w:rPr>
        <w:t xml:space="preserve"> DANE</w:t>
      </w:r>
      <w:r w:rsidR="00F75F90" w:rsidRPr="00E94619">
        <w:rPr>
          <w:rStyle w:val="Refdenotaalpie"/>
          <w:rFonts w:ascii="Century Gothic" w:hAnsi="Century Gothic"/>
        </w:rPr>
        <w:footnoteReference w:id="43"/>
      </w:r>
      <w:r w:rsidRPr="00E94619">
        <w:rPr>
          <w:rFonts w:ascii="Century Gothic" w:hAnsi="Century Gothic"/>
        </w:rPr>
        <w:t xml:space="preserve"> de mayo de 2021</w:t>
      </w:r>
      <w:r w:rsidR="00F75F90" w:rsidRPr="00E94619">
        <w:rPr>
          <w:rFonts w:ascii="Century Gothic" w:hAnsi="Century Gothic"/>
        </w:rPr>
        <w:t xml:space="preserve"> sobre la incidencia por covid-19, revela que en Colombia mientras que un 64% de defunciones corresponde a hombres, en el caso de las mujeres la cifra alcanza el 35%. Según las cifras del Ministerio de Salud y Protección</w:t>
      </w:r>
      <w:r w:rsidR="00F75F90" w:rsidRPr="00E94619">
        <w:rPr>
          <w:rStyle w:val="Refdenotaalpie"/>
          <w:rFonts w:ascii="Century Gothic" w:hAnsi="Century Gothic"/>
        </w:rPr>
        <w:footnoteReference w:id="44"/>
      </w:r>
      <w:r w:rsidR="00F75F90" w:rsidRPr="00E94619">
        <w:rPr>
          <w:rFonts w:ascii="Century Gothic" w:hAnsi="Century Gothic"/>
        </w:rPr>
        <w:t xml:space="preserve">, se han presentado en el 2021 4.033 defunciones correspondiente a mujeres y 5.218 correspondientes a hombres para un total de 9.241 muertes a causa del COVID-19. </w:t>
      </w:r>
    </w:p>
    <w:p w14:paraId="13875C24" w14:textId="77777777" w:rsidR="00F75F90" w:rsidRPr="001D25F1" w:rsidRDefault="00F75F90" w:rsidP="001D25F1">
      <w:pPr>
        <w:jc w:val="center"/>
        <w:rPr>
          <w:rFonts w:ascii="Century Gothic" w:hAnsi="Century Gothic"/>
          <w:sz w:val="16"/>
          <w:szCs w:val="16"/>
        </w:rPr>
      </w:pPr>
      <w:r w:rsidRPr="001D25F1">
        <w:rPr>
          <w:rFonts w:ascii="Century Gothic" w:hAnsi="Century Gothic"/>
          <w:b/>
          <w:bCs/>
          <w:sz w:val="16"/>
          <w:szCs w:val="16"/>
        </w:rPr>
        <w:t xml:space="preserve">Gráfica 41. Defunciones </w:t>
      </w:r>
      <w:r w:rsidR="00D620F9" w:rsidRPr="001D25F1">
        <w:rPr>
          <w:rFonts w:ascii="Century Gothic" w:hAnsi="Century Gothic"/>
          <w:b/>
          <w:bCs/>
          <w:sz w:val="16"/>
          <w:szCs w:val="16"/>
        </w:rPr>
        <w:t>s</w:t>
      </w:r>
      <w:r w:rsidRPr="001D25F1">
        <w:rPr>
          <w:rFonts w:ascii="Century Gothic" w:hAnsi="Century Gothic"/>
          <w:b/>
          <w:bCs/>
          <w:sz w:val="16"/>
          <w:szCs w:val="16"/>
        </w:rPr>
        <w:t>egún sexo del fallecido(a). Total Nacional (2020-2021)</w:t>
      </w:r>
    </w:p>
    <w:p w14:paraId="4AE69078" w14:textId="77777777" w:rsidR="00F75F90" w:rsidRPr="00E94619" w:rsidRDefault="00F75F90" w:rsidP="000E5AC0">
      <w:pPr>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706368" behindDoc="0" locked="0" layoutInCell="1" allowOverlap="1" wp14:anchorId="6D9D0E55" wp14:editId="23387CF3">
            <wp:simplePos x="0" y="0"/>
            <wp:positionH relativeFrom="column">
              <wp:posOffset>342900</wp:posOffset>
            </wp:positionH>
            <wp:positionV relativeFrom="paragraph">
              <wp:posOffset>106680</wp:posOffset>
            </wp:positionV>
            <wp:extent cx="4699000" cy="1439545"/>
            <wp:effectExtent l="0" t="0" r="0" b="8255"/>
            <wp:wrapSquare wrapText="bothSides"/>
            <wp:docPr id="49"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rotWithShape="1">
                    <a:blip r:embed="rId71">
                      <a:extLst>
                        <a:ext uri="{BEBA8EAE-BF5A-486C-A8C5-ECC9F3942E4B}">
                          <a14:imgProps xmlns:a14="http://schemas.microsoft.com/office/drawing/2010/main">
                            <a14:imgLayer r:embed="rId72">
                              <a14:imgEffect>
                                <a14:sharpenSoften amount="25000"/>
                              </a14:imgEffect>
                              <a14:imgEffect>
                                <a14:saturation sat="200000"/>
                              </a14:imgEffect>
                            </a14:imgLayer>
                          </a14:imgProps>
                        </a:ext>
                        <a:ext uri="{28A0092B-C50C-407E-A947-70E740481C1C}">
                          <a14:useLocalDpi xmlns:a14="http://schemas.microsoft.com/office/drawing/2010/main" val="0"/>
                        </a:ext>
                      </a:extLst>
                    </a:blip>
                    <a:srcRect t="33464" r="2466" b="13378"/>
                    <a:stretch/>
                  </pic:blipFill>
                  <pic:spPr bwMode="auto">
                    <a:xfrm>
                      <a:off x="0" y="0"/>
                      <a:ext cx="4699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4118B3" w14:textId="77777777" w:rsidR="00F75F90" w:rsidRPr="00E94619" w:rsidRDefault="00F75F90" w:rsidP="000E5AC0">
      <w:pPr>
        <w:spacing w:after="0" w:line="240" w:lineRule="auto"/>
        <w:jc w:val="both"/>
        <w:rPr>
          <w:rFonts w:ascii="Century Gothic" w:hAnsi="Century Gothic"/>
          <w:color w:val="000000"/>
          <w:sz w:val="16"/>
          <w:szCs w:val="16"/>
        </w:rPr>
      </w:pPr>
    </w:p>
    <w:p w14:paraId="7FD9FBFE" w14:textId="77777777" w:rsidR="001D25F1" w:rsidRDefault="001D25F1" w:rsidP="000E5AC0">
      <w:pPr>
        <w:spacing w:after="0"/>
        <w:rPr>
          <w:rFonts w:ascii="Century Gothic" w:hAnsi="Century Gothic"/>
          <w:b/>
        </w:rPr>
      </w:pPr>
    </w:p>
    <w:p w14:paraId="68A53CC7" w14:textId="77777777" w:rsidR="001D25F1" w:rsidRDefault="001D25F1" w:rsidP="000E5AC0">
      <w:pPr>
        <w:spacing w:after="0"/>
        <w:rPr>
          <w:rFonts w:ascii="Century Gothic" w:hAnsi="Century Gothic"/>
          <w:b/>
        </w:rPr>
      </w:pPr>
    </w:p>
    <w:p w14:paraId="261981BA" w14:textId="77777777" w:rsidR="001D25F1" w:rsidRDefault="001D25F1" w:rsidP="000E5AC0">
      <w:pPr>
        <w:spacing w:after="0"/>
        <w:rPr>
          <w:rFonts w:ascii="Century Gothic" w:hAnsi="Century Gothic"/>
          <w:b/>
        </w:rPr>
      </w:pPr>
    </w:p>
    <w:p w14:paraId="3B927178" w14:textId="77777777" w:rsidR="001D25F1" w:rsidRDefault="001D25F1" w:rsidP="000E5AC0">
      <w:pPr>
        <w:spacing w:after="0"/>
        <w:rPr>
          <w:rFonts w:ascii="Century Gothic" w:hAnsi="Century Gothic"/>
          <w:b/>
        </w:rPr>
      </w:pPr>
    </w:p>
    <w:p w14:paraId="7C17EB92" w14:textId="77777777" w:rsidR="001D25F1" w:rsidRDefault="001D25F1" w:rsidP="000E5AC0">
      <w:pPr>
        <w:spacing w:after="0"/>
        <w:rPr>
          <w:rFonts w:ascii="Century Gothic" w:hAnsi="Century Gothic"/>
          <w:b/>
        </w:rPr>
      </w:pPr>
    </w:p>
    <w:p w14:paraId="3CB53E38" w14:textId="77777777" w:rsidR="001D25F1" w:rsidRDefault="001D25F1" w:rsidP="000E5AC0">
      <w:pPr>
        <w:spacing w:after="0"/>
        <w:rPr>
          <w:rFonts w:ascii="Century Gothic" w:hAnsi="Century Gothic"/>
          <w:b/>
        </w:rPr>
      </w:pPr>
    </w:p>
    <w:p w14:paraId="1020BFB1" w14:textId="77777777" w:rsidR="001D25F1" w:rsidRDefault="001D25F1" w:rsidP="000E5AC0">
      <w:pPr>
        <w:spacing w:after="0"/>
        <w:rPr>
          <w:rFonts w:ascii="Century Gothic" w:hAnsi="Century Gothic"/>
          <w:b/>
        </w:rPr>
      </w:pPr>
    </w:p>
    <w:p w14:paraId="7E5D3AFA" w14:textId="77777777" w:rsidR="00F75F90" w:rsidRDefault="00F75F90" w:rsidP="000E5AC0">
      <w:pPr>
        <w:spacing w:after="0"/>
        <w:rPr>
          <w:rFonts w:ascii="Century Gothic" w:hAnsi="Century Gothic"/>
          <w:b/>
        </w:rPr>
      </w:pPr>
      <w:r w:rsidRPr="00E94619">
        <w:rPr>
          <w:rFonts w:ascii="Century Gothic" w:hAnsi="Century Gothic"/>
          <w:b/>
        </w:rPr>
        <w:t>Avances y retos para abordar enfermedades transmitidas por vectores</w:t>
      </w:r>
    </w:p>
    <w:p w14:paraId="491E2D20" w14:textId="77777777" w:rsidR="001D25F1" w:rsidRPr="00E94619" w:rsidRDefault="001D25F1" w:rsidP="000E5AC0">
      <w:pPr>
        <w:spacing w:after="0"/>
        <w:rPr>
          <w:rFonts w:ascii="Century Gothic" w:hAnsi="Century Gothic"/>
          <w:b/>
        </w:rPr>
      </w:pPr>
    </w:p>
    <w:tbl>
      <w:tblPr>
        <w:tblStyle w:val="affff9"/>
        <w:tblW w:w="90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7"/>
        <w:gridCol w:w="2835"/>
        <w:gridCol w:w="2268"/>
      </w:tblGrid>
      <w:tr w:rsidR="007D4FA1" w:rsidRPr="00E94619" w14:paraId="2DF91C90" w14:textId="77777777" w:rsidTr="007D4FA1">
        <w:tc>
          <w:tcPr>
            <w:tcW w:w="3977" w:type="dxa"/>
            <w:tcBorders>
              <w:top w:val="single" w:sz="4" w:space="0" w:color="CC0066"/>
              <w:left w:val="single" w:sz="4" w:space="0" w:color="CC0066"/>
              <w:bottom w:val="single" w:sz="4" w:space="0" w:color="CC0066"/>
              <w:right w:val="single" w:sz="4" w:space="0" w:color="CC0066"/>
            </w:tcBorders>
            <w:shd w:val="clear" w:color="auto" w:fill="FF99CC"/>
          </w:tcPr>
          <w:p w14:paraId="59AC929D"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Avances del Estado</w:t>
            </w:r>
          </w:p>
        </w:tc>
        <w:tc>
          <w:tcPr>
            <w:tcW w:w="2835" w:type="dxa"/>
            <w:tcBorders>
              <w:top w:val="single" w:sz="4" w:space="0" w:color="CC0066"/>
              <w:left w:val="single" w:sz="4" w:space="0" w:color="CC0066"/>
              <w:bottom w:val="single" w:sz="4" w:space="0" w:color="CC0066"/>
              <w:right w:val="single" w:sz="4" w:space="0" w:color="CC0066"/>
            </w:tcBorders>
            <w:shd w:val="clear" w:color="auto" w:fill="FF99CC"/>
          </w:tcPr>
          <w:p w14:paraId="4C816C5F"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Respuesta de la sociedad civil</w:t>
            </w:r>
          </w:p>
        </w:tc>
        <w:tc>
          <w:tcPr>
            <w:tcW w:w="2268" w:type="dxa"/>
            <w:tcBorders>
              <w:top w:val="single" w:sz="4" w:space="0" w:color="CC0066"/>
              <w:left w:val="single" w:sz="4" w:space="0" w:color="CC0066"/>
              <w:bottom w:val="single" w:sz="4" w:space="0" w:color="CC0066"/>
              <w:right w:val="single" w:sz="4" w:space="0" w:color="CC0066"/>
            </w:tcBorders>
            <w:shd w:val="clear" w:color="auto" w:fill="FF99CC"/>
          </w:tcPr>
          <w:p w14:paraId="1C276276"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Retos</w:t>
            </w:r>
          </w:p>
        </w:tc>
      </w:tr>
      <w:tr w:rsidR="007D4FA1" w:rsidRPr="00E94619" w14:paraId="397871A6" w14:textId="77777777" w:rsidTr="007D4FA1">
        <w:tc>
          <w:tcPr>
            <w:tcW w:w="3977" w:type="dxa"/>
            <w:tcBorders>
              <w:top w:val="single" w:sz="4" w:space="0" w:color="CC0066"/>
              <w:left w:val="single" w:sz="4" w:space="0" w:color="CC0066"/>
              <w:bottom w:val="single" w:sz="4" w:space="0" w:color="CC0066"/>
              <w:right w:val="single" w:sz="4" w:space="0" w:color="CC0066"/>
            </w:tcBorders>
          </w:tcPr>
          <w:p w14:paraId="48C99608"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 xml:space="preserve">Malaria: </w:t>
            </w:r>
          </w:p>
          <w:p w14:paraId="788D82F3"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w:t>
            </w:r>
            <w:r w:rsidRPr="00E94619">
              <w:rPr>
                <w:rFonts w:ascii="Century Gothic" w:hAnsi="Century Gothic"/>
                <w:sz w:val="16"/>
                <w:szCs w:val="16"/>
              </w:rPr>
              <w:t>Implementación de la Guía nacional de Intervención Integral con Toldillo Insecticida de Larga Duración (TILD).</w:t>
            </w:r>
          </w:p>
          <w:p w14:paraId="67E5A08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b/>
                <w:sz w:val="16"/>
                <w:szCs w:val="16"/>
              </w:rPr>
              <w:t>-</w:t>
            </w:r>
            <w:r w:rsidRPr="00E94619">
              <w:rPr>
                <w:rFonts w:ascii="Century Gothic" w:hAnsi="Century Gothic"/>
                <w:sz w:val="16"/>
                <w:szCs w:val="16"/>
              </w:rPr>
              <w:t>Implementación del Proyecto Malaria Colombia (2010-2015):</w:t>
            </w:r>
            <w:r w:rsidRPr="00E94619">
              <w:rPr>
                <w:rFonts w:ascii="Century Gothic" w:hAnsi="Century Gothic"/>
                <w:b/>
                <w:sz w:val="16"/>
                <w:szCs w:val="16"/>
              </w:rPr>
              <w:t xml:space="preserve"> </w:t>
            </w:r>
            <w:r w:rsidRPr="00E94619">
              <w:rPr>
                <w:rFonts w:ascii="Century Gothic" w:hAnsi="Century Gothic"/>
                <w:sz w:val="16"/>
                <w:szCs w:val="16"/>
              </w:rPr>
              <w:t xml:space="preserve">entre sus objetivos contempló implementar la protección con mosquiteros tratados de larga duración en la población vulnerable objeto de la intervención. </w:t>
            </w:r>
          </w:p>
          <w:p w14:paraId="6F4B7B5B" w14:textId="4D996E53"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-En el 2013 la Organización Mundial de la </w:t>
            </w:r>
            <w:r w:rsidRPr="00E94619">
              <w:rPr>
                <w:rFonts w:ascii="Century Gothic" w:hAnsi="Century Gothic"/>
                <w:sz w:val="16"/>
                <w:szCs w:val="16"/>
              </w:rPr>
              <w:lastRenderedPageBreak/>
              <w:t>Salud/Organización Panamericana de la Salud declaró a Colombia campeona en la región por sus logros en los programas orientados a la reducción de la enfermedad en el país.</w:t>
            </w:r>
          </w:p>
          <w:p w14:paraId="3DC853FC" w14:textId="121B3744" w:rsidR="00F75F90" w:rsidRPr="00E94619" w:rsidRDefault="00D2173C" w:rsidP="000E5AC0">
            <w:pPr>
              <w:spacing w:after="0"/>
              <w:jc w:val="both"/>
              <w:rPr>
                <w:rFonts w:ascii="Century Gothic" w:hAnsi="Century Gothic"/>
                <w:b/>
                <w:sz w:val="16"/>
                <w:szCs w:val="16"/>
              </w:rPr>
            </w:pPr>
            <w:r>
              <w:rPr>
                <w:rFonts w:ascii="Century Gothic" w:hAnsi="Century Gothic"/>
                <w:b/>
                <w:noProof/>
                <w:szCs w:val="24"/>
                <w:lang w:val="es-ES"/>
              </w:rPr>
              <w:drawing>
                <wp:anchor distT="0" distB="0" distL="114300" distR="114300" simplePos="0" relativeHeight="251857920" behindDoc="0" locked="0" layoutInCell="1" allowOverlap="1" wp14:anchorId="48869DED" wp14:editId="31E2061D">
                  <wp:simplePos x="0" y="0"/>
                  <wp:positionH relativeFrom="column">
                    <wp:posOffset>-968375</wp:posOffset>
                  </wp:positionH>
                  <wp:positionV relativeFrom="paragraph">
                    <wp:posOffset>-1367155</wp:posOffset>
                  </wp:positionV>
                  <wp:extent cx="965835" cy="708660"/>
                  <wp:effectExtent l="0" t="0" r="0" b="0"/>
                  <wp:wrapNone/>
                  <wp:docPr id="399" name="Imagen 39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b/>
                <w:sz w:val="16"/>
                <w:szCs w:val="16"/>
              </w:rPr>
              <w:t xml:space="preserve">Virus del Zika: </w:t>
            </w:r>
          </w:p>
          <w:p w14:paraId="494AC330"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-El Ministerio de Salud y Protección Social elaboró un plan de respuesta nacional frente a la introducción del Virus del Zika 2015. </w:t>
            </w:r>
          </w:p>
          <w:p w14:paraId="542EDDB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b/>
                <w:sz w:val="16"/>
                <w:szCs w:val="16"/>
              </w:rPr>
              <w:t>Chikunguña:</w:t>
            </w:r>
            <w:r w:rsidRPr="00E94619">
              <w:rPr>
                <w:rFonts w:ascii="Century Gothic" w:hAnsi="Century Gothic"/>
                <w:sz w:val="16"/>
                <w:szCs w:val="16"/>
              </w:rPr>
              <w:t xml:space="preserve"> </w:t>
            </w:r>
          </w:p>
          <w:p w14:paraId="24FC375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-Se cuenta con Plan de respuesta frente a la introducción del chikunguña.</w:t>
            </w:r>
          </w:p>
        </w:tc>
        <w:tc>
          <w:tcPr>
            <w:tcW w:w="2835" w:type="dxa"/>
            <w:tcBorders>
              <w:top w:val="single" w:sz="4" w:space="0" w:color="CC0066"/>
              <w:left w:val="single" w:sz="4" w:space="0" w:color="CC0066"/>
              <w:bottom w:val="single" w:sz="4" w:space="0" w:color="CC0066"/>
              <w:right w:val="single" w:sz="4" w:space="0" w:color="CC0066"/>
            </w:tcBorders>
          </w:tcPr>
          <w:p w14:paraId="7AE46649"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lastRenderedPageBreak/>
              <w:t>Cooperación internacional:</w:t>
            </w:r>
          </w:p>
          <w:p w14:paraId="2735029F"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w:t>
            </w:r>
            <w:r w:rsidRPr="00E94619">
              <w:rPr>
                <w:rFonts w:ascii="Century Gothic" w:hAnsi="Century Gothic"/>
                <w:sz w:val="16"/>
                <w:szCs w:val="16"/>
              </w:rPr>
              <w:t>Organización Panamericana de la Salud y Organización Mundial de la Salud: apoyo al Proyecto Malaria Colombia (2010-2015)</w:t>
            </w:r>
          </w:p>
        </w:tc>
        <w:tc>
          <w:tcPr>
            <w:tcW w:w="2268" w:type="dxa"/>
            <w:tcBorders>
              <w:top w:val="single" w:sz="4" w:space="0" w:color="CC0066"/>
              <w:left w:val="single" w:sz="4" w:space="0" w:color="CC0066"/>
              <w:bottom w:val="single" w:sz="4" w:space="0" w:color="CC0066"/>
              <w:right w:val="single" w:sz="4" w:space="0" w:color="CC0066"/>
            </w:tcBorders>
          </w:tcPr>
          <w:p w14:paraId="37B24A3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-Avanzar en la implementación de medidas de prevención y atención a las enfermedades transmitidas por vectores, ya que en el caso de la malaria esta continúa siendo un problema de salud pública.</w:t>
            </w:r>
          </w:p>
          <w:p w14:paraId="4DD68350"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lastRenderedPageBreak/>
              <w:t xml:space="preserve">-Crear programas de prevención y atención enfocados a atender a mujeres con Zika y Chikunguña, ya que son las más afectadas. </w:t>
            </w:r>
          </w:p>
        </w:tc>
      </w:tr>
    </w:tbl>
    <w:p w14:paraId="5CACC21F" w14:textId="77777777" w:rsidR="00671178" w:rsidRPr="00E94619" w:rsidRDefault="00671178" w:rsidP="000E5AC0">
      <w:pPr>
        <w:pStyle w:val="Ttulo3"/>
        <w:rPr>
          <w:rFonts w:ascii="Century Gothic" w:hAnsi="Century Gothic"/>
        </w:rPr>
      </w:pPr>
    </w:p>
    <w:p w14:paraId="6AA010C7" w14:textId="77777777" w:rsidR="00F75F90" w:rsidRPr="001D25F1" w:rsidRDefault="00F75F90" w:rsidP="000E5AC0">
      <w:pPr>
        <w:pStyle w:val="Ttulo2"/>
        <w:rPr>
          <w:rFonts w:ascii="Century Gothic" w:hAnsi="Century Gothic"/>
          <w:color w:val="C73465"/>
        </w:rPr>
      </w:pPr>
      <w:bookmarkStart w:id="60" w:name="_Toc488624276"/>
      <w:r w:rsidRPr="001D25F1">
        <w:rPr>
          <w:rFonts w:ascii="Century Gothic" w:hAnsi="Century Gothic"/>
          <w:color w:val="C73465"/>
        </w:rPr>
        <w:t>4</w:t>
      </w:r>
      <w:r w:rsidR="00671178" w:rsidRPr="001D25F1">
        <w:rPr>
          <w:rFonts w:ascii="Century Gothic" w:hAnsi="Century Gothic"/>
          <w:color w:val="C73465"/>
        </w:rPr>
        <w:t>.</w:t>
      </w:r>
      <w:r w:rsidRPr="001D25F1">
        <w:rPr>
          <w:rFonts w:ascii="Century Gothic" w:hAnsi="Century Gothic"/>
          <w:color w:val="C73465"/>
        </w:rPr>
        <w:t xml:space="preserve"> Salud mental de niñas y mujeres</w:t>
      </w:r>
      <w:bookmarkEnd w:id="60"/>
    </w:p>
    <w:p w14:paraId="19B08341" w14:textId="77777777" w:rsidR="00F75F90" w:rsidRDefault="00F75F90" w:rsidP="001D25F1">
      <w:pPr>
        <w:pStyle w:val="Ttulo3"/>
        <w:jc w:val="both"/>
        <w:rPr>
          <w:rFonts w:ascii="Century Gothic" w:hAnsi="Century Gothic"/>
          <w:b w:val="0"/>
          <w:color w:val="C73465"/>
        </w:rPr>
      </w:pPr>
      <w:r w:rsidRPr="00E94619">
        <w:rPr>
          <w:rFonts w:ascii="Century Gothic" w:hAnsi="Century Gothic"/>
        </w:rPr>
        <w:br/>
      </w:r>
      <w:bookmarkStart w:id="61" w:name="_Toc488624277"/>
      <w:r w:rsidR="00671178" w:rsidRPr="001D25F1">
        <w:rPr>
          <w:rFonts w:ascii="Century Gothic" w:hAnsi="Century Gothic"/>
          <w:b w:val="0"/>
          <w:color w:val="C73465"/>
        </w:rPr>
        <w:t xml:space="preserve">4.1. </w:t>
      </w:r>
      <w:r w:rsidRPr="001D25F1">
        <w:rPr>
          <w:rFonts w:ascii="Century Gothic" w:hAnsi="Century Gothic"/>
          <w:b w:val="0"/>
          <w:color w:val="C73465"/>
        </w:rPr>
        <w:t>Personas con un trastorno mental grave (psicosis, trastorno bipolar o depresión moderada-grave) desagregadas por sexo acceden a servicios (ODS 3.28)</w:t>
      </w:r>
      <w:bookmarkEnd w:id="61"/>
    </w:p>
    <w:p w14:paraId="25B5FCF8" w14:textId="77777777" w:rsidR="001D25F1" w:rsidRPr="001D25F1" w:rsidRDefault="001D25F1" w:rsidP="001D25F1"/>
    <w:p w14:paraId="23A809BD" w14:textId="77777777" w:rsidR="00F75F90" w:rsidRPr="00E94619" w:rsidRDefault="00F75F90" w:rsidP="000E5AC0">
      <w:pPr>
        <w:spacing w:after="0"/>
        <w:jc w:val="both"/>
        <w:rPr>
          <w:rFonts w:ascii="Century Gothic" w:hAnsi="Century Gothic"/>
        </w:rPr>
      </w:pPr>
      <w:r w:rsidRPr="00E94619">
        <w:rPr>
          <w:rFonts w:ascii="Century Gothic" w:hAnsi="Century Gothic"/>
        </w:rPr>
        <w:t>Según la Encuesta Nacional de Salud Mental (2015), a partir de una muestra de tipo probabilístico que incluyó a 15.351 personas en Colombia, las mujeres de todas las edades son las más vulnerables a sufrir trastornos mentales, siendo las adolescentes en las que se presenta una mayor prevalencia. Según la Organización Mundial de la Salud (OMS), la mayor frecuencia de trastornos mentales en niñas, mujeres adolescentes y adultas puede ser debida a las presiones sociales que sufren para que cumplan diversos roles y estereotipos, así como a la pobreza, discriminación y violencia de género a las que son sometidas.</w:t>
      </w:r>
    </w:p>
    <w:p w14:paraId="008A6930" w14:textId="77777777" w:rsidR="00F75F90" w:rsidRPr="00E94619" w:rsidRDefault="00F75F90" w:rsidP="000E5AC0">
      <w:pPr>
        <w:spacing w:after="0"/>
        <w:rPr>
          <w:rFonts w:ascii="Century Gothic" w:hAnsi="Century Gothic"/>
          <w:sz w:val="16"/>
          <w:szCs w:val="16"/>
        </w:rPr>
      </w:pPr>
    </w:p>
    <w:p w14:paraId="58F1FB87"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Con respecto a las personas que realizaron intentos de suicidio</w:t>
      </w:r>
      <w:r w:rsidRPr="00E94619">
        <w:rPr>
          <w:rFonts w:ascii="Century Gothic" w:hAnsi="Century Gothic"/>
          <w:color w:val="000000"/>
          <w:sz w:val="16"/>
          <w:szCs w:val="16"/>
        </w:rPr>
        <w:t xml:space="preserve">, </w:t>
      </w:r>
      <w:r w:rsidRPr="00E94619">
        <w:rPr>
          <w:rFonts w:ascii="Century Gothic" w:hAnsi="Century Gothic"/>
        </w:rPr>
        <w:t>el</w:t>
      </w:r>
      <w:r w:rsidRPr="00E94619">
        <w:rPr>
          <w:rFonts w:ascii="Century Gothic" w:hAnsi="Century Gothic"/>
          <w:color w:val="000000"/>
          <w:sz w:val="16"/>
          <w:szCs w:val="16"/>
        </w:rPr>
        <w:t xml:space="preserve"> </w:t>
      </w:r>
      <w:r w:rsidRPr="00E94619">
        <w:rPr>
          <w:rFonts w:ascii="Century Gothic" w:hAnsi="Century Gothic"/>
        </w:rPr>
        <w:t>Instituto Nacional de Salud muestra que al 5 de noviembre de 2016 las mujeres representaron el 62.9%, casi el doble del porcentaje de hombres (37.1%). El 29,8 % se registraron en el grupo de 15 a 19 años, seguido del de 20 a 24 años y de 10 a 14 años. 416 casos (el 2,7 %) se notificaron en indígenas, 458 casos (el 3,0 %) en afrocolombianos. En el 40,1% de los casos de intento de suicidio notificados a Sivigila, se reportaron conflictos recientes con la pareja. Otros factores comúnmente identificados fueron los síntomas depresivos, problemas económicos, pérdida de lazos afectivos y consumo de SPA. Antioquia, Bogotá́, Valle del Cauca, Huila y Nariño son las entidades que reportaron el mayor número de casos.</w:t>
      </w:r>
    </w:p>
    <w:p w14:paraId="564B4083" w14:textId="77777777" w:rsidR="00F75F90" w:rsidRDefault="00F75F90" w:rsidP="000E5AC0">
      <w:pPr>
        <w:spacing w:after="0" w:line="240" w:lineRule="auto"/>
        <w:jc w:val="both"/>
        <w:rPr>
          <w:rFonts w:ascii="Century Gothic" w:hAnsi="Century Gothic"/>
        </w:rPr>
      </w:pPr>
    </w:p>
    <w:p w14:paraId="51B66F7D" w14:textId="5EDFED7E" w:rsidR="001D25F1" w:rsidRDefault="001D25F1" w:rsidP="001D25F1">
      <w:pPr>
        <w:spacing w:after="0" w:line="240" w:lineRule="auto"/>
        <w:jc w:val="center"/>
        <w:rPr>
          <w:rFonts w:ascii="Century Gothic" w:hAnsi="Century Gothic"/>
          <w:b/>
          <w:sz w:val="16"/>
          <w:szCs w:val="16"/>
        </w:rPr>
      </w:pPr>
      <w:r w:rsidRPr="001D25F1">
        <w:rPr>
          <w:rFonts w:ascii="Century Gothic" w:hAnsi="Century Gothic"/>
          <w:b/>
          <w:sz w:val="16"/>
          <w:szCs w:val="16"/>
        </w:rPr>
        <w:t>Grafica 42. Casos de intento de suicidio a la semana 44 (2016)</w:t>
      </w:r>
    </w:p>
    <w:p w14:paraId="4FA6E7DE" w14:textId="5FFD1CB6" w:rsidR="001D25F1" w:rsidRPr="001D25F1" w:rsidRDefault="001D25F1" w:rsidP="001D25F1">
      <w:pPr>
        <w:spacing w:after="0"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707392" behindDoc="0" locked="0" layoutInCell="1" allowOverlap="1" wp14:anchorId="511A1B78" wp14:editId="0C434B96">
            <wp:simplePos x="0" y="0"/>
            <wp:positionH relativeFrom="column">
              <wp:posOffset>1371600</wp:posOffset>
            </wp:positionH>
            <wp:positionV relativeFrom="paragraph">
              <wp:posOffset>105410</wp:posOffset>
            </wp:positionV>
            <wp:extent cx="2713990" cy="1189355"/>
            <wp:effectExtent l="0" t="0" r="3810" b="4445"/>
            <wp:wrapSquare wrapText="bothSides"/>
            <wp:docPr id="50" name="Picture 8"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8" descr="Gráfico&#10;&#10;Descripción generada automáticamente con confianza medi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13990" cy="1189355"/>
                    </a:xfrm>
                    <a:prstGeom prst="rect">
                      <a:avLst/>
                    </a:prstGeom>
                    <a:noFill/>
                  </pic:spPr>
                </pic:pic>
              </a:graphicData>
            </a:graphic>
            <wp14:sizeRelH relativeFrom="page">
              <wp14:pctWidth>0</wp14:pctWidth>
            </wp14:sizeRelH>
            <wp14:sizeRelV relativeFrom="page">
              <wp14:pctHeight>0</wp14:pctHeight>
            </wp14:sizeRelV>
          </wp:anchor>
        </w:drawing>
      </w:r>
    </w:p>
    <w:p w14:paraId="1FF6B80F" w14:textId="3FB36381" w:rsidR="00F75F90" w:rsidRPr="00E94619" w:rsidRDefault="00830DBC" w:rsidP="000E5AC0">
      <w:pPr>
        <w:spacing w:after="0" w:line="240" w:lineRule="auto"/>
        <w:jc w:val="both"/>
        <w:rPr>
          <w:rFonts w:ascii="Century Gothic" w:hAnsi="Century Gothic"/>
          <w:sz w:val="16"/>
          <w:szCs w:val="16"/>
        </w:rPr>
      </w:pPr>
      <w:sdt>
        <w:sdtPr>
          <w:rPr>
            <w:rFonts w:ascii="Century Gothic" w:hAnsi="Century Gothic"/>
          </w:rPr>
          <w:tag w:val="goog_rdk_59"/>
          <w:id w:val="-2368604"/>
        </w:sdtPr>
        <w:sdtContent/>
      </w:sdt>
    </w:p>
    <w:p w14:paraId="06D0AFF3" w14:textId="77777777" w:rsidR="00292D46" w:rsidRDefault="00292D46" w:rsidP="000E5AC0">
      <w:pPr>
        <w:spacing w:after="0" w:line="240" w:lineRule="auto"/>
        <w:jc w:val="both"/>
        <w:rPr>
          <w:rFonts w:ascii="Century Gothic" w:hAnsi="Century Gothic"/>
          <w:sz w:val="16"/>
          <w:szCs w:val="16"/>
        </w:rPr>
      </w:pPr>
    </w:p>
    <w:p w14:paraId="0EFAC42A" w14:textId="77777777" w:rsidR="00292D46" w:rsidRDefault="00292D46" w:rsidP="000E5AC0">
      <w:pPr>
        <w:spacing w:after="0" w:line="240" w:lineRule="auto"/>
        <w:jc w:val="both"/>
        <w:rPr>
          <w:rFonts w:ascii="Century Gothic" w:hAnsi="Century Gothic"/>
          <w:sz w:val="16"/>
          <w:szCs w:val="16"/>
        </w:rPr>
      </w:pPr>
    </w:p>
    <w:p w14:paraId="45442C4A" w14:textId="77777777" w:rsidR="00292D46" w:rsidRDefault="00292D46" w:rsidP="000E5AC0">
      <w:pPr>
        <w:spacing w:after="0" w:line="240" w:lineRule="auto"/>
        <w:jc w:val="both"/>
        <w:rPr>
          <w:rFonts w:ascii="Century Gothic" w:hAnsi="Century Gothic"/>
          <w:sz w:val="16"/>
          <w:szCs w:val="16"/>
        </w:rPr>
      </w:pPr>
    </w:p>
    <w:p w14:paraId="6363F317" w14:textId="77777777" w:rsidR="00292D46" w:rsidRDefault="00292D46" w:rsidP="000E5AC0">
      <w:pPr>
        <w:spacing w:after="0" w:line="240" w:lineRule="auto"/>
        <w:jc w:val="both"/>
        <w:rPr>
          <w:rFonts w:ascii="Century Gothic" w:hAnsi="Century Gothic"/>
          <w:sz w:val="16"/>
          <w:szCs w:val="16"/>
        </w:rPr>
      </w:pPr>
    </w:p>
    <w:p w14:paraId="0C719BE4" w14:textId="77777777" w:rsidR="00292D46" w:rsidRDefault="00292D46" w:rsidP="000E5AC0">
      <w:pPr>
        <w:spacing w:after="0" w:line="240" w:lineRule="auto"/>
        <w:jc w:val="both"/>
        <w:rPr>
          <w:rFonts w:ascii="Century Gothic" w:hAnsi="Century Gothic"/>
          <w:sz w:val="16"/>
          <w:szCs w:val="16"/>
        </w:rPr>
      </w:pPr>
    </w:p>
    <w:p w14:paraId="7D7627D5" w14:textId="77777777" w:rsidR="00292D46" w:rsidRDefault="00292D46" w:rsidP="000E5AC0">
      <w:pPr>
        <w:spacing w:after="0" w:line="240" w:lineRule="auto"/>
        <w:jc w:val="both"/>
        <w:rPr>
          <w:rFonts w:ascii="Century Gothic" w:hAnsi="Century Gothic"/>
          <w:sz w:val="16"/>
          <w:szCs w:val="16"/>
        </w:rPr>
      </w:pPr>
    </w:p>
    <w:p w14:paraId="38E30473" w14:textId="77777777" w:rsidR="00292D46" w:rsidRDefault="00292D46" w:rsidP="000E5AC0">
      <w:pPr>
        <w:spacing w:after="0" w:line="240" w:lineRule="auto"/>
        <w:jc w:val="both"/>
        <w:rPr>
          <w:rFonts w:ascii="Century Gothic" w:hAnsi="Century Gothic"/>
          <w:sz w:val="16"/>
          <w:szCs w:val="16"/>
        </w:rPr>
      </w:pPr>
    </w:p>
    <w:p w14:paraId="782E832B" w14:textId="77777777" w:rsidR="00292D46" w:rsidRDefault="00292D46" w:rsidP="000E5AC0">
      <w:pPr>
        <w:spacing w:after="0" w:line="240" w:lineRule="auto"/>
        <w:jc w:val="both"/>
        <w:rPr>
          <w:rFonts w:ascii="Century Gothic" w:hAnsi="Century Gothic"/>
          <w:sz w:val="16"/>
          <w:szCs w:val="16"/>
        </w:rPr>
      </w:pPr>
    </w:p>
    <w:p w14:paraId="2B6B0F32" w14:textId="77777777" w:rsidR="00292D46" w:rsidRDefault="00292D46" w:rsidP="000E5AC0">
      <w:pPr>
        <w:spacing w:after="0" w:line="240" w:lineRule="auto"/>
        <w:jc w:val="both"/>
        <w:rPr>
          <w:rFonts w:ascii="Century Gothic" w:hAnsi="Century Gothic"/>
          <w:sz w:val="16"/>
          <w:szCs w:val="16"/>
        </w:rPr>
      </w:pPr>
    </w:p>
    <w:p w14:paraId="4532AD55" w14:textId="77777777" w:rsidR="00292D46" w:rsidRDefault="00292D46" w:rsidP="000E5AC0">
      <w:pPr>
        <w:spacing w:after="0" w:line="240" w:lineRule="auto"/>
        <w:jc w:val="both"/>
        <w:rPr>
          <w:rFonts w:ascii="Century Gothic" w:hAnsi="Century Gothic"/>
          <w:sz w:val="16"/>
          <w:szCs w:val="16"/>
        </w:rPr>
      </w:pPr>
    </w:p>
    <w:p w14:paraId="56FFE274" w14:textId="44306A40" w:rsidR="00F75F90" w:rsidRPr="00E94619" w:rsidRDefault="00D620F9" w:rsidP="00292D46">
      <w:pPr>
        <w:spacing w:after="0" w:line="240" w:lineRule="auto"/>
        <w:jc w:val="center"/>
        <w:rPr>
          <w:rFonts w:ascii="Century Gothic" w:hAnsi="Century Gothic"/>
          <w:color w:val="000000"/>
          <w:sz w:val="16"/>
          <w:szCs w:val="16"/>
        </w:rPr>
      </w:pPr>
      <w:r w:rsidRPr="00E94619">
        <w:rPr>
          <w:rFonts w:ascii="Century Gothic" w:hAnsi="Century Gothic"/>
          <w:sz w:val="16"/>
          <w:szCs w:val="16"/>
        </w:rPr>
        <w:t xml:space="preserve">Fuente: </w:t>
      </w:r>
      <w:r w:rsidR="00F75F90" w:rsidRPr="00E94619">
        <w:rPr>
          <w:rFonts w:ascii="Century Gothic" w:hAnsi="Century Gothic"/>
          <w:color w:val="000000"/>
          <w:sz w:val="16"/>
          <w:szCs w:val="16"/>
        </w:rPr>
        <w:t>Instituto Nacional de Salud. Boletín Epidemiológico Semanal. No 44 de 2016.</w:t>
      </w:r>
    </w:p>
    <w:p w14:paraId="319F4F2A" w14:textId="77777777" w:rsidR="00F75F90" w:rsidRPr="00E94619" w:rsidRDefault="00F75F90" w:rsidP="000E5AC0">
      <w:pPr>
        <w:spacing w:after="0" w:line="240" w:lineRule="auto"/>
        <w:jc w:val="both"/>
        <w:rPr>
          <w:rFonts w:ascii="Century Gothic" w:hAnsi="Century Gothic"/>
          <w:color w:val="000000"/>
          <w:sz w:val="16"/>
          <w:szCs w:val="16"/>
        </w:rPr>
      </w:pPr>
    </w:p>
    <w:p w14:paraId="47ACBBA0" w14:textId="06A2074E" w:rsidR="00F75F90" w:rsidRDefault="00F75F90" w:rsidP="000E5AC0">
      <w:pPr>
        <w:spacing w:after="0" w:line="240" w:lineRule="auto"/>
        <w:rPr>
          <w:rFonts w:ascii="Century Gothic" w:hAnsi="Century Gothic"/>
          <w:b/>
        </w:rPr>
      </w:pPr>
      <w:r w:rsidRPr="00E94619">
        <w:rPr>
          <w:rFonts w:ascii="Century Gothic" w:hAnsi="Century Gothic"/>
          <w:b/>
        </w:rPr>
        <w:t>Avances y retos para abordar los trastornos mentales</w:t>
      </w:r>
    </w:p>
    <w:p w14:paraId="1068E0F6" w14:textId="516463E6" w:rsidR="00292D46" w:rsidRPr="00E94619" w:rsidRDefault="00D2173C" w:rsidP="000E5AC0">
      <w:pPr>
        <w:spacing w:after="0" w:line="240" w:lineRule="auto"/>
        <w:rPr>
          <w:rFonts w:ascii="Century Gothic" w:hAnsi="Century Gothic"/>
          <w:b/>
        </w:rPr>
      </w:pPr>
      <w:r>
        <w:rPr>
          <w:rFonts w:ascii="Century Gothic" w:hAnsi="Century Gothic"/>
          <w:b/>
          <w:noProof/>
          <w:szCs w:val="24"/>
          <w:lang w:val="es-ES"/>
        </w:rPr>
        <w:lastRenderedPageBreak/>
        <w:drawing>
          <wp:anchor distT="0" distB="0" distL="114300" distR="114300" simplePos="0" relativeHeight="251859968" behindDoc="0" locked="0" layoutInCell="1" allowOverlap="1" wp14:anchorId="6B47DD14" wp14:editId="63A57794">
            <wp:simplePos x="0" y="0"/>
            <wp:positionH relativeFrom="column">
              <wp:posOffset>-1080135</wp:posOffset>
            </wp:positionH>
            <wp:positionV relativeFrom="paragraph">
              <wp:posOffset>-822960</wp:posOffset>
            </wp:positionV>
            <wp:extent cx="965835" cy="708660"/>
            <wp:effectExtent l="0" t="0" r="0" b="0"/>
            <wp:wrapNone/>
            <wp:docPr id="400" name="Imagen 40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tbl>
      <w:tblPr>
        <w:tblStyle w:val="affffa"/>
        <w:tblW w:w="893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5535"/>
      </w:tblGrid>
      <w:tr w:rsidR="00F75F90" w:rsidRPr="00E94619" w14:paraId="28B4EF0A" w14:textId="77777777" w:rsidTr="007D4FA1">
        <w:tc>
          <w:tcPr>
            <w:tcW w:w="3403" w:type="dxa"/>
            <w:tcBorders>
              <w:top w:val="single" w:sz="4" w:space="0" w:color="CC0066"/>
              <w:left w:val="single" w:sz="4" w:space="0" w:color="CC0066"/>
              <w:bottom w:val="single" w:sz="4" w:space="0" w:color="CC0066"/>
              <w:right w:val="single" w:sz="4" w:space="0" w:color="CC0066"/>
            </w:tcBorders>
            <w:shd w:val="clear" w:color="auto" w:fill="FF99CC"/>
          </w:tcPr>
          <w:p w14:paraId="48A6B9E6" w14:textId="77777777" w:rsidR="00F75F90" w:rsidRPr="00E94619" w:rsidRDefault="00F75F90" w:rsidP="000E5AC0">
            <w:pPr>
              <w:spacing w:after="0" w:line="240" w:lineRule="auto"/>
              <w:rPr>
                <w:rFonts w:ascii="Century Gothic" w:hAnsi="Century Gothic"/>
                <w:b/>
                <w:sz w:val="16"/>
                <w:szCs w:val="16"/>
              </w:rPr>
            </w:pPr>
            <w:r w:rsidRPr="00E94619">
              <w:rPr>
                <w:rFonts w:ascii="Century Gothic" w:hAnsi="Century Gothic"/>
                <w:b/>
                <w:sz w:val="16"/>
                <w:szCs w:val="16"/>
              </w:rPr>
              <w:t>Avances del Estado</w:t>
            </w:r>
          </w:p>
        </w:tc>
        <w:tc>
          <w:tcPr>
            <w:tcW w:w="5535" w:type="dxa"/>
            <w:tcBorders>
              <w:top w:val="single" w:sz="4" w:space="0" w:color="CC0066"/>
              <w:left w:val="single" w:sz="4" w:space="0" w:color="CC0066"/>
              <w:bottom w:val="single" w:sz="4" w:space="0" w:color="CC0066"/>
              <w:right w:val="single" w:sz="4" w:space="0" w:color="CC0066"/>
            </w:tcBorders>
            <w:shd w:val="clear" w:color="auto" w:fill="FF99CC"/>
          </w:tcPr>
          <w:p w14:paraId="3F367F0D" w14:textId="77777777" w:rsidR="00F75F90" w:rsidRPr="00E94619" w:rsidRDefault="00F75F90"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F75F90" w:rsidRPr="00E94619" w14:paraId="3C3C6886" w14:textId="77777777" w:rsidTr="007D4FA1">
        <w:tc>
          <w:tcPr>
            <w:tcW w:w="3403" w:type="dxa"/>
            <w:tcBorders>
              <w:top w:val="single" w:sz="4" w:space="0" w:color="CC0066"/>
              <w:left w:val="single" w:sz="4" w:space="0" w:color="CC0066"/>
              <w:bottom w:val="single" w:sz="4" w:space="0" w:color="CC0066"/>
              <w:right w:val="single" w:sz="4" w:space="0" w:color="CC0066"/>
            </w:tcBorders>
          </w:tcPr>
          <w:p w14:paraId="404319E4" w14:textId="28C14FEF"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1616 de 2013: </w:t>
            </w:r>
            <w:r w:rsidRPr="00E94619">
              <w:rPr>
                <w:rFonts w:ascii="Century Gothic" w:hAnsi="Century Gothic"/>
                <w:sz w:val="16"/>
                <w:szCs w:val="16"/>
              </w:rPr>
              <w:t xml:space="preserve">el objeto de esta ley es garantizar el ejercicio pleno del derecho a la salud mental a la población colombiana, priorizando a los niños, las niñas y los adolescentes, en el ámbito del Sistema General de Seguridad Social en Salud. </w:t>
            </w:r>
          </w:p>
          <w:p w14:paraId="69450FB3"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Plan Decenal de Salud Pública (PDSP) 2012-2021: </w:t>
            </w:r>
            <w:r w:rsidRPr="00E94619">
              <w:rPr>
                <w:rFonts w:ascii="Century Gothic" w:hAnsi="Century Gothic"/>
                <w:sz w:val="16"/>
                <w:szCs w:val="16"/>
              </w:rPr>
              <w:t>cuenta con componentes para la prevención y atención integral a trastornos mentales.</w:t>
            </w:r>
          </w:p>
          <w:p w14:paraId="197837FF"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-Realización de la Encuesta Nacional de Salud Mental (ENSM): </w:t>
            </w:r>
            <w:r w:rsidRPr="00E94619">
              <w:rPr>
                <w:rFonts w:ascii="Century Gothic" w:hAnsi="Century Gothic"/>
                <w:sz w:val="16"/>
                <w:szCs w:val="16"/>
              </w:rPr>
              <w:t>es la cuarta encuesta realizada al respecto y hace parte de Sistema Nacional de Estudios y Encuestas Poblacionales para Salud de Colombia.</w:t>
            </w:r>
          </w:p>
        </w:tc>
        <w:tc>
          <w:tcPr>
            <w:tcW w:w="5535" w:type="dxa"/>
            <w:tcBorders>
              <w:top w:val="single" w:sz="4" w:space="0" w:color="CC0066"/>
              <w:left w:val="single" w:sz="4" w:space="0" w:color="CC0066"/>
              <w:bottom w:val="single" w:sz="4" w:space="0" w:color="CC0066"/>
              <w:right w:val="single" w:sz="4" w:space="0" w:color="CC0066"/>
            </w:tcBorders>
          </w:tcPr>
          <w:p w14:paraId="3408EFAE"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Encuesta Nacional de Salud Mental 2015</w:t>
            </w:r>
          </w:p>
          <w:p w14:paraId="55DFA8F9"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-Diseñar políticas de intervención temprana que involucren tanto al sector salud como al educativo. </w:t>
            </w:r>
          </w:p>
          <w:p w14:paraId="00622C3B"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-Diseñar e implementar guías y protocolos para su detección y manejo integral. </w:t>
            </w:r>
          </w:p>
          <w:p w14:paraId="514789C2"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-Incluir el enfoque de género en el diseño e implementación de estrategias para abordar los trastornos mentales, considerando que son las niñas y mujeres las que con más frecuencia los presentan.</w:t>
            </w:r>
          </w:p>
          <w:p w14:paraId="407CA567"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-Es necesario realizar investigaciones sobre la salud mental en grupos étnicos indígenas y crear respuestas específicas a sus necesidades. </w:t>
            </w:r>
          </w:p>
          <w:p w14:paraId="08E2450D"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-Establecer estrategias protectoras en contra de la discriminación, la exclusión, el maltrato o la negligencia hacia personas que padecen estos trastornos.</w:t>
            </w:r>
          </w:p>
          <w:p w14:paraId="6B7FB506"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-Asegurar un adecuado entrenamiento de los profesionales en el reconocimiento y en el tratamiento oportuno de los trastornos mentales.</w:t>
            </w:r>
          </w:p>
          <w:p w14:paraId="1D5094F4"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-Realizar abordajes comunitarios con fines de promoción y prevención. </w:t>
            </w:r>
          </w:p>
          <w:p w14:paraId="376F0C2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-Reducir los tiempos para acceder a los servicios de salud mental.</w:t>
            </w:r>
          </w:p>
          <w:p w14:paraId="3A327196"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-Mejorar la cobertura a nivel nacional.</w:t>
            </w:r>
          </w:p>
        </w:tc>
      </w:tr>
    </w:tbl>
    <w:p w14:paraId="7482BF22" w14:textId="77777777" w:rsidR="00F75F90" w:rsidRPr="00E94619" w:rsidRDefault="00F75F90" w:rsidP="000E5AC0">
      <w:pPr>
        <w:pStyle w:val="Ttulo3"/>
        <w:rPr>
          <w:rFonts w:ascii="Century Gothic" w:hAnsi="Century Gothic"/>
        </w:rPr>
      </w:pPr>
    </w:p>
    <w:bookmarkStart w:id="62" w:name="_Toc488624278"/>
    <w:p w14:paraId="56EB6F1D" w14:textId="77777777" w:rsidR="00F75F90" w:rsidRPr="00490F50" w:rsidRDefault="00830DBC" w:rsidP="000E5AC0">
      <w:pPr>
        <w:pStyle w:val="Ttulo3"/>
        <w:rPr>
          <w:rStyle w:val="Ttulo2Car"/>
          <w:rFonts w:ascii="Century Gothic" w:hAnsi="Century Gothic"/>
          <w:b/>
          <w:color w:val="CC0066"/>
        </w:rPr>
      </w:pPr>
      <w:sdt>
        <w:sdtPr>
          <w:rPr>
            <w:rFonts w:ascii="Century Gothic" w:hAnsi="Century Gothic"/>
            <w:b w:val="0"/>
          </w:rPr>
          <w:tag w:val="goog_rdk_60"/>
          <w:id w:val="1095139133"/>
        </w:sdtPr>
        <w:sdtEndPr>
          <w:rPr>
            <w:b/>
          </w:rPr>
        </w:sdtEndPr>
        <w:sdtContent/>
      </w:sdt>
      <w:r w:rsidR="00F75F90" w:rsidRPr="00490F50">
        <w:rPr>
          <w:rStyle w:val="Ttulo2Car"/>
          <w:rFonts w:ascii="Century Gothic" w:hAnsi="Century Gothic"/>
          <w:b/>
          <w:color w:val="CC0066"/>
        </w:rPr>
        <w:t>5</w:t>
      </w:r>
      <w:r w:rsidR="00D82B9E" w:rsidRPr="00490F50">
        <w:rPr>
          <w:rStyle w:val="Ttulo2Car"/>
          <w:rFonts w:ascii="Century Gothic" w:hAnsi="Century Gothic"/>
          <w:b/>
          <w:color w:val="CC0066"/>
        </w:rPr>
        <w:t>.</w:t>
      </w:r>
      <w:r w:rsidR="00F75F90" w:rsidRPr="00490F50">
        <w:rPr>
          <w:rStyle w:val="Ttulo2Car"/>
          <w:rFonts w:ascii="Century Gothic" w:hAnsi="Century Gothic"/>
          <w:b/>
          <w:color w:val="CC0066"/>
        </w:rPr>
        <w:t xml:space="preserve"> Adicciones a sustancias psicoactivas desagregadas por sexo y edad</w:t>
      </w:r>
      <w:bookmarkEnd w:id="62"/>
    </w:p>
    <w:p w14:paraId="21129DCE" w14:textId="77777777" w:rsidR="00F75F90" w:rsidRPr="00E94619" w:rsidRDefault="00F75F90" w:rsidP="000E5AC0">
      <w:pPr>
        <w:spacing w:after="0" w:line="240" w:lineRule="auto"/>
        <w:rPr>
          <w:rFonts w:ascii="Century Gothic" w:hAnsi="Century Gothic"/>
          <w:sz w:val="16"/>
          <w:szCs w:val="16"/>
        </w:rPr>
      </w:pPr>
    </w:p>
    <w:p w14:paraId="623C9B63" w14:textId="77777777" w:rsidR="00F75F90" w:rsidRDefault="00F75F90" w:rsidP="000E5AC0">
      <w:pPr>
        <w:spacing w:after="0" w:line="240" w:lineRule="auto"/>
        <w:jc w:val="both"/>
        <w:rPr>
          <w:rFonts w:ascii="Century Gothic" w:hAnsi="Century Gothic"/>
        </w:rPr>
      </w:pPr>
      <w:r w:rsidRPr="00E94619">
        <w:rPr>
          <w:rFonts w:ascii="Century Gothic" w:hAnsi="Century Gothic"/>
        </w:rPr>
        <w:t xml:space="preserve">La mayor vulnerabilidad de los hombres al consumo de sustancias psicoactivas puede ser debida a razones de género, pues histórica y socialmente para que un hombre sea considerado como tal, debe ser, entre otras características, fuerte y arriesgado. En este sentido, prácticas riesgosas para la salud física y emocional como el consumo de alcohol, cigarrillo, marihuana y cocaína son asociadas a la masculinidad. </w:t>
      </w:r>
    </w:p>
    <w:p w14:paraId="4A21FD9B" w14:textId="77777777" w:rsidR="00F75F90" w:rsidRPr="00E94619" w:rsidRDefault="00F75F90" w:rsidP="000E5AC0">
      <w:pPr>
        <w:spacing w:after="0" w:line="240" w:lineRule="auto"/>
        <w:rPr>
          <w:rFonts w:ascii="Century Gothic" w:hAnsi="Century Gothic"/>
        </w:rPr>
      </w:pPr>
    </w:p>
    <w:p w14:paraId="150AF894" w14:textId="77777777" w:rsidR="00F75F90" w:rsidRPr="00292D46" w:rsidRDefault="00D82B9E" w:rsidP="000E5AC0">
      <w:pPr>
        <w:pStyle w:val="Ttulo3"/>
        <w:rPr>
          <w:rFonts w:ascii="Century Gothic" w:hAnsi="Century Gothic"/>
          <w:b w:val="0"/>
          <w:color w:val="C73465"/>
        </w:rPr>
      </w:pPr>
      <w:bookmarkStart w:id="63" w:name="_Toc488624279"/>
      <w:r w:rsidRPr="00292D46">
        <w:rPr>
          <w:rFonts w:ascii="Century Gothic" w:hAnsi="Century Gothic"/>
          <w:b w:val="0"/>
          <w:color w:val="C73465"/>
        </w:rPr>
        <w:t xml:space="preserve">5.1. </w:t>
      </w:r>
      <w:r w:rsidR="00F75F90" w:rsidRPr="00292D46">
        <w:rPr>
          <w:rFonts w:ascii="Century Gothic" w:hAnsi="Century Gothic"/>
          <w:b w:val="0"/>
          <w:color w:val="C73465"/>
        </w:rPr>
        <w:t>Consumo de sustancias legales</w:t>
      </w:r>
      <w:bookmarkEnd w:id="63"/>
    </w:p>
    <w:p w14:paraId="60EF145D" w14:textId="77777777" w:rsidR="00D82B9E" w:rsidRPr="00E94619" w:rsidRDefault="00D82B9E" w:rsidP="000E5AC0">
      <w:pPr>
        <w:spacing w:after="0" w:line="240" w:lineRule="auto"/>
        <w:rPr>
          <w:rFonts w:ascii="Century Gothic" w:hAnsi="Century Gothic"/>
          <w:b/>
        </w:rPr>
      </w:pPr>
    </w:p>
    <w:p w14:paraId="4EED2261" w14:textId="77777777" w:rsidR="00F75F90" w:rsidRPr="00E94619" w:rsidRDefault="00F75F90" w:rsidP="000E5AC0">
      <w:pPr>
        <w:spacing w:after="0" w:line="240" w:lineRule="auto"/>
        <w:jc w:val="both"/>
        <w:rPr>
          <w:rFonts w:ascii="Century Gothic" w:hAnsi="Century Gothic"/>
          <w:b/>
        </w:rPr>
      </w:pPr>
      <w:r w:rsidRPr="00E94619">
        <w:rPr>
          <w:rFonts w:ascii="Century Gothic" w:hAnsi="Century Gothic"/>
        </w:rPr>
        <w:t xml:space="preserve">Con respecto al </w:t>
      </w:r>
      <w:r w:rsidRPr="00E94619">
        <w:rPr>
          <w:rFonts w:ascii="Century Gothic" w:hAnsi="Century Gothic"/>
          <w:i/>
        </w:rPr>
        <w:t>tabaco-cigarrillo</w:t>
      </w:r>
      <w:r w:rsidRPr="00E94619">
        <w:rPr>
          <w:rFonts w:ascii="Century Gothic" w:hAnsi="Century Gothic"/>
        </w:rPr>
        <w:t>,</w:t>
      </w:r>
      <w:r w:rsidRPr="00E94619">
        <w:rPr>
          <w:rFonts w:ascii="Century Gothic" w:hAnsi="Century Gothic"/>
          <w:b/>
        </w:rPr>
        <w:t xml:space="preserve"> </w:t>
      </w:r>
      <w:r w:rsidRPr="00E94619">
        <w:rPr>
          <w:rFonts w:ascii="Century Gothic" w:hAnsi="Century Gothic"/>
        </w:rPr>
        <w:t>según la Encuesta Nacional de Consumo de Sustancias Psicoactivas (ENCSPA)</w:t>
      </w:r>
      <w:r w:rsidRPr="00E94619">
        <w:rPr>
          <w:rStyle w:val="Refdenotaalpie"/>
          <w:rFonts w:ascii="Century Gothic" w:hAnsi="Century Gothic"/>
        </w:rPr>
        <w:footnoteReference w:id="45"/>
      </w:r>
      <w:r w:rsidRPr="00E94619">
        <w:rPr>
          <w:rFonts w:ascii="Century Gothic" w:hAnsi="Century Gothic"/>
        </w:rPr>
        <w:t xml:space="preserve"> el 43% de los hombres y un 24,30% de mujeres declararon haber consumido esta sustancia en el 2019, representando los hombres un porcentaje mayor que el de las mujeres. </w:t>
      </w:r>
    </w:p>
    <w:p w14:paraId="6D93F336" w14:textId="77777777" w:rsidR="00F75F90" w:rsidRPr="00E94619" w:rsidRDefault="00F75F90" w:rsidP="000E5AC0">
      <w:pPr>
        <w:spacing w:after="0" w:line="240" w:lineRule="auto"/>
        <w:jc w:val="both"/>
        <w:rPr>
          <w:rFonts w:ascii="Century Gothic" w:hAnsi="Century Gothic"/>
        </w:rPr>
      </w:pPr>
    </w:p>
    <w:p w14:paraId="5FE6480A" w14:textId="77777777" w:rsidR="00F75F90" w:rsidRDefault="00F75F90" w:rsidP="000E5AC0">
      <w:pPr>
        <w:spacing w:after="0" w:line="240" w:lineRule="auto"/>
        <w:jc w:val="both"/>
        <w:rPr>
          <w:rFonts w:ascii="Century Gothic" w:hAnsi="Century Gothic"/>
        </w:rPr>
      </w:pPr>
      <w:r w:rsidRPr="00E94619">
        <w:rPr>
          <w:rFonts w:ascii="Century Gothic" w:hAnsi="Century Gothic"/>
        </w:rPr>
        <w:t xml:space="preserve">Frente al consumo de </w:t>
      </w:r>
      <w:r w:rsidRPr="00E94619">
        <w:rPr>
          <w:rFonts w:ascii="Century Gothic" w:hAnsi="Century Gothic"/>
          <w:i/>
        </w:rPr>
        <w:t>alcohol</w:t>
      </w:r>
      <w:r w:rsidRPr="00E94619">
        <w:rPr>
          <w:rFonts w:ascii="Century Gothic" w:hAnsi="Century Gothic"/>
        </w:rPr>
        <w:t xml:space="preserve">, el 84% de las personas señaló haberlo consumido alguna vez en su vida. Para esta sustancia, el consumo durante el 2019 a la encuesta fue mayor en los hombres (87%) que en las mujeres (81.20%). Los rangos de edad de 18 a 24 años y 25 a 34 años concentran el consumo reciente para mes con 38,3% y 39,7% respectivamente. </w:t>
      </w:r>
    </w:p>
    <w:p w14:paraId="50EDAFFC" w14:textId="77777777" w:rsidR="00292D46" w:rsidRDefault="00292D46" w:rsidP="000E5AC0">
      <w:pPr>
        <w:spacing w:after="0" w:line="240" w:lineRule="auto"/>
        <w:jc w:val="both"/>
        <w:rPr>
          <w:rFonts w:ascii="Century Gothic" w:hAnsi="Century Gothic"/>
        </w:rPr>
      </w:pPr>
    </w:p>
    <w:p w14:paraId="498529CB" w14:textId="14A12305" w:rsidR="00292D46" w:rsidRDefault="00292D46" w:rsidP="00292D46">
      <w:pPr>
        <w:spacing w:after="0" w:line="240" w:lineRule="auto"/>
        <w:jc w:val="center"/>
        <w:rPr>
          <w:rFonts w:ascii="Century Gothic" w:hAnsi="Century Gothic"/>
          <w:b/>
          <w:sz w:val="16"/>
          <w:szCs w:val="16"/>
        </w:rPr>
      </w:pPr>
      <w:r w:rsidRPr="00292D46">
        <w:rPr>
          <w:rFonts w:ascii="Century Gothic" w:hAnsi="Century Gothic"/>
          <w:b/>
          <w:sz w:val="16"/>
          <w:szCs w:val="16"/>
        </w:rPr>
        <w:t>Grafica 43. Prevalencia vida de consumo de sustancias psicoactivas en Colombia (2019)</w:t>
      </w:r>
    </w:p>
    <w:p w14:paraId="04C93B3B" w14:textId="545771FC" w:rsidR="00292D46" w:rsidRPr="00292D46" w:rsidRDefault="00646447" w:rsidP="00292D46">
      <w:pPr>
        <w:spacing w:after="0"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708416" behindDoc="0" locked="0" layoutInCell="1" allowOverlap="1" wp14:anchorId="36F1F3B1" wp14:editId="61C38527">
            <wp:simplePos x="0" y="0"/>
            <wp:positionH relativeFrom="column">
              <wp:posOffset>1600200</wp:posOffset>
            </wp:positionH>
            <wp:positionV relativeFrom="paragraph">
              <wp:posOffset>62230</wp:posOffset>
            </wp:positionV>
            <wp:extent cx="1943100" cy="1151255"/>
            <wp:effectExtent l="0" t="0" r="12700" b="0"/>
            <wp:wrapSquare wrapText="bothSides"/>
            <wp:docPr id="51" name="Picture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descr="Gráfico, Gráfico de barras&#10;&#10;Descripción generada automáticamente"/>
                    <pic:cNvPicPr>
                      <a:picLocks noChangeAspect="1" noChangeArrowheads="1"/>
                    </pic:cNvPicPr>
                  </pic:nvPicPr>
                  <pic:blipFill>
                    <a:blip r:embed="rId74" cstate="print">
                      <a:extLst>
                        <a:ext uri="{BEBA8EAE-BF5A-486C-A8C5-ECC9F3942E4B}">
                          <a14:imgProps xmlns:a14="http://schemas.microsoft.com/office/drawing/2010/main">
                            <a14:imgLayer r:embed="rId7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43100" cy="1151255"/>
                    </a:xfrm>
                    <a:prstGeom prst="rect">
                      <a:avLst/>
                    </a:prstGeom>
                    <a:noFill/>
                  </pic:spPr>
                </pic:pic>
              </a:graphicData>
            </a:graphic>
            <wp14:sizeRelH relativeFrom="page">
              <wp14:pctWidth>0</wp14:pctWidth>
            </wp14:sizeRelH>
            <wp14:sizeRelV relativeFrom="page">
              <wp14:pctHeight>0</wp14:pctHeight>
            </wp14:sizeRelV>
          </wp:anchor>
        </w:drawing>
      </w:r>
    </w:p>
    <w:p w14:paraId="2066975A" w14:textId="16DA6B6A" w:rsidR="00F75F90" w:rsidRPr="00E94619" w:rsidRDefault="00F75F90" w:rsidP="000E5AC0">
      <w:pPr>
        <w:spacing w:after="0" w:line="240" w:lineRule="auto"/>
        <w:jc w:val="both"/>
        <w:rPr>
          <w:rFonts w:ascii="Century Gothic" w:hAnsi="Century Gothic"/>
        </w:rPr>
      </w:pPr>
    </w:p>
    <w:p w14:paraId="3BCC6771" w14:textId="77777777" w:rsidR="00292D46" w:rsidRDefault="00292D46" w:rsidP="000E5AC0">
      <w:pPr>
        <w:spacing w:after="0" w:line="240" w:lineRule="auto"/>
        <w:rPr>
          <w:rFonts w:ascii="Century Gothic" w:hAnsi="Century Gothic"/>
          <w:sz w:val="16"/>
          <w:szCs w:val="16"/>
        </w:rPr>
      </w:pPr>
    </w:p>
    <w:p w14:paraId="2BA921E9" w14:textId="77777777" w:rsidR="00292D46" w:rsidRDefault="00292D46" w:rsidP="000E5AC0">
      <w:pPr>
        <w:spacing w:after="0" w:line="240" w:lineRule="auto"/>
        <w:rPr>
          <w:rFonts w:ascii="Century Gothic" w:hAnsi="Century Gothic"/>
          <w:sz w:val="16"/>
          <w:szCs w:val="16"/>
        </w:rPr>
      </w:pPr>
    </w:p>
    <w:p w14:paraId="1286A28B" w14:textId="77777777" w:rsidR="00292D46" w:rsidRDefault="00292D46" w:rsidP="000E5AC0">
      <w:pPr>
        <w:spacing w:after="0" w:line="240" w:lineRule="auto"/>
        <w:rPr>
          <w:rFonts w:ascii="Century Gothic" w:hAnsi="Century Gothic"/>
          <w:sz w:val="16"/>
          <w:szCs w:val="16"/>
        </w:rPr>
      </w:pPr>
    </w:p>
    <w:p w14:paraId="52165921" w14:textId="77777777" w:rsidR="00292D46" w:rsidRDefault="00292D46" w:rsidP="000E5AC0">
      <w:pPr>
        <w:spacing w:after="0" w:line="240" w:lineRule="auto"/>
        <w:rPr>
          <w:rFonts w:ascii="Century Gothic" w:hAnsi="Century Gothic"/>
          <w:sz w:val="16"/>
          <w:szCs w:val="16"/>
        </w:rPr>
      </w:pPr>
    </w:p>
    <w:p w14:paraId="18E0E71C" w14:textId="77777777" w:rsidR="00646447" w:rsidRDefault="00646447" w:rsidP="000E5AC0">
      <w:pPr>
        <w:spacing w:after="0" w:line="240" w:lineRule="auto"/>
        <w:rPr>
          <w:rFonts w:ascii="Century Gothic" w:hAnsi="Century Gothic"/>
          <w:sz w:val="16"/>
          <w:szCs w:val="16"/>
        </w:rPr>
      </w:pPr>
    </w:p>
    <w:p w14:paraId="52F62B1E" w14:textId="77777777" w:rsidR="00292D46" w:rsidRDefault="00292D46" w:rsidP="000E5AC0">
      <w:pPr>
        <w:spacing w:after="0" w:line="240" w:lineRule="auto"/>
        <w:rPr>
          <w:rFonts w:ascii="Century Gothic" w:hAnsi="Century Gothic"/>
          <w:sz w:val="16"/>
          <w:szCs w:val="16"/>
        </w:rPr>
      </w:pPr>
    </w:p>
    <w:p w14:paraId="48E0F950" w14:textId="77777777" w:rsidR="00292D46" w:rsidRDefault="00292D46" w:rsidP="000E5AC0">
      <w:pPr>
        <w:spacing w:after="0" w:line="240" w:lineRule="auto"/>
        <w:rPr>
          <w:rFonts w:ascii="Century Gothic" w:hAnsi="Century Gothic"/>
          <w:sz w:val="16"/>
          <w:szCs w:val="16"/>
        </w:rPr>
      </w:pPr>
    </w:p>
    <w:p w14:paraId="79C93C9D" w14:textId="77777777" w:rsidR="00292D46" w:rsidRDefault="00292D46" w:rsidP="000E5AC0">
      <w:pPr>
        <w:spacing w:after="0" w:line="240" w:lineRule="auto"/>
        <w:rPr>
          <w:rFonts w:ascii="Century Gothic" w:hAnsi="Century Gothic"/>
          <w:sz w:val="16"/>
          <w:szCs w:val="16"/>
        </w:rPr>
      </w:pPr>
    </w:p>
    <w:p w14:paraId="6E7EFA2E" w14:textId="2FBC937A" w:rsidR="007D4FA1" w:rsidRPr="00646447" w:rsidRDefault="00F75F90" w:rsidP="00646447">
      <w:pPr>
        <w:spacing w:after="0" w:line="240" w:lineRule="auto"/>
        <w:jc w:val="center"/>
        <w:rPr>
          <w:rFonts w:ascii="Century Gothic" w:hAnsi="Century Gothic"/>
          <w:sz w:val="16"/>
          <w:szCs w:val="16"/>
        </w:rPr>
      </w:pPr>
      <w:r w:rsidRPr="00E94619">
        <w:rPr>
          <w:rFonts w:ascii="Century Gothic" w:hAnsi="Century Gothic"/>
          <w:sz w:val="16"/>
          <w:szCs w:val="16"/>
        </w:rPr>
        <w:t>Elaboración propia con base en datos de DANE (2019). Encuesta Nacional de Consumo de Sustancias Psicoactivas 2019.</w:t>
      </w:r>
    </w:p>
    <w:p w14:paraId="331AC62C" w14:textId="417D0635" w:rsidR="00FF7D51" w:rsidRPr="00292D46" w:rsidRDefault="00D2173C" w:rsidP="000E5AC0">
      <w:pPr>
        <w:pStyle w:val="Ttulo3"/>
        <w:rPr>
          <w:rFonts w:ascii="Century Gothic" w:hAnsi="Century Gothic"/>
          <w:b w:val="0"/>
          <w:color w:val="C73465"/>
        </w:rPr>
      </w:pPr>
      <w:bookmarkStart w:id="64" w:name="_Toc488624280"/>
      <w:r>
        <w:rPr>
          <w:rFonts w:ascii="Century Gothic" w:hAnsi="Century Gothic"/>
          <w:b w:val="0"/>
          <w:noProof/>
          <w:szCs w:val="24"/>
          <w:lang w:val="es-ES"/>
        </w:rPr>
        <w:lastRenderedPageBreak/>
        <w:drawing>
          <wp:anchor distT="0" distB="0" distL="114300" distR="114300" simplePos="0" relativeHeight="251862016" behindDoc="0" locked="0" layoutInCell="1" allowOverlap="1" wp14:anchorId="3B47E252" wp14:editId="374722B3">
            <wp:simplePos x="0" y="0"/>
            <wp:positionH relativeFrom="column">
              <wp:posOffset>-1080135</wp:posOffset>
            </wp:positionH>
            <wp:positionV relativeFrom="paragraph">
              <wp:posOffset>-822960</wp:posOffset>
            </wp:positionV>
            <wp:extent cx="965835" cy="708660"/>
            <wp:effectExtent l="0" t="0" r="0" b="0"/>
            <wp:wrapNone/>
            <wp:docPr id="401" name="Imagen 40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D82B9E" w:rsidRPr="00292D46">
        <w:rPr>
          <w:rFonts w:ascii="Century Gothic" w:hAnsi="Century Gothic"/>
          <w:b w:val="0"/>
          <w:color w:val="C73465"/>
        </w:rPr>
        <w:t xml:space="preserve">5.2. </w:t>
      </w:r>
      <w:r w:rsidR="00F75F90" w:rsidRPr="00292D46">
        <w:rPr>
          <w:rFonts w:ascii="Century Gothic" w:hAnsi="Century Gothic"/>
          <w:b w:val="0"/>
          <w:color w:val="C73465"/>
        </w:rPr>
        <w:t>Consumo de sustancias psicoactivas ilegales</w:t>
      </w:r>
      <w:bookmarkEnd w:id="64"/>
    </w:p>
    <w:p w14:paraId="2531593B" w14:textId="77777777" w:rsidR="00FF7D51" w:rsidRPr="00E94619" w:rsidRDefault="00FF7D51" w:rsidP="000E5AC0">
      <w:pPr>
        <w:rPr>
          <w:rFonts w:ascii="Century Gothic" w:hAnsi="Century Gothic"/>
        </w:rPr>
      </w:pPr>
    </w:p>
    <w:p w14:paraId="7138FEB4" w14:textId="2E5145BC" w:rsidR="00F75F90" w:rsidRDefault="00F75F90" w:rsidP="000E5AC0">
      <w:pPr>
        <w:spacing w:after="0"/>
        <w:jc w:val="both"/>
        <w:rPr>
          <w:rFonts w:ascii="Century Gothic" w:hAnsi="Century Gothic"/>
        </w:rPr>
      </w:pPr>
      <w:r w:rsidRPr="00E94619">
        <w:rPr>
          <w:rFonts w:ascii="Century Gothic" w:hAnsi="Century Gothic"/>
        </w:rPr>
        <w:t xml:space="preserve">La Encuesta Nacional de Consumo de Sustancias Psicoactivas </w:t>
      </w:r>
      <w:sdt>
        <w:sdtPr>
          <w:rPr>
            <w:rFonts w:ascii="Century Gothic" w:hAnsi="Century Gothic"/>
          </w:rPr>
          <w:id w:val="-2146189260"/>
          <w:citation/>
        </w:sdtPr>
        <w:sdtContent>
          <w:r w:rsidRPr="00E94619">
            <w:rPr>
              <w:rFonts w:ascii="Century Gothic" w:hAnsi="Century Gothic"/>
            </w:rPr>
            <w:fldChar w:fldCharType="begin"/>
          </w:r>
          <w:r w:rsidRPr="00E94619">
            <w:rPr>
              <w:rFonts w:ascii="Century Gothic" w:hAnsi="Century Gothic"/>
              <w:lang w:val="es-MX"/>
            </w:rPr>
            <w:instrText xml:space="preserve"> CITATION DAN19 \l 2058 </w:instrText>
          </w:r>
          <w:r w:rsidRPr="00E94619">
            <w:rPr>
              <w:rFonts w:ascii="Century Gothic" w:hAnsi="Century Gothic"/>
            </w:rPr>
            <w:fldChar w:fldCharType="separate"/>
          </w:r>
          <w:r w:rsidRPr="00E94619">
            <w:rPr>
              <w:rFonts w:ascii="Century Gothic" w:hAnsi="Century Gothic"/>
              <w:noProof/>
              <w:lang w:val="es-MX"/>
            </w:rPr>
            <w:t xml:space="preserve"> (DANE, 2019)</w:t>
          </w:r>
          <w:r w:rsidRPr="00E94619">
            <w:rPr>
              <w:rFonts w:ascii="Century Gothic" w:hAnsi="Century Gothic"/>
            </w:rPr>
            <w:fldChar w:fldCharType="end"/>
          </w:r>
        </w:sdtContent>
      </w:sdt>
      <w:r w:rsidRPr="00E94619">
        <w:rPr>
          <w:rFonts w:ascii="Century Gothic" w:hAnsi="Century Gothic"/>
        </w:rPr>
        <w:t xml:space="preserve"> muestra que las diferencias por sexo son considerables, ya que el 14% de hombres afirmó haber consumido alguna sustancia psicoactiva ilegal, un porcentaje que casi triplica el de las mujeres (5,6%). La edad promedio de inicio de consumo de sustancias psicoactivas ilegales fue 18,8 años. Un 50% de las personas de 12 a 65 años que las consumió alguna vez lo hizo a los 18 años, el 25% a los 15 años y el 75% a los 20 años</w:t>
      </w:r>
      <w:r w:rsidR="00D620F9" w:rsidRPr="00E94619">
        <w:rPr>
          <w:rFonts w:ascii="Century Gothic" w:hAnsi="Century Gothic"/>
        </w:rPr>
        <w:t>.</w:t>
      </w:r>
    </w:p>
    <w:p w14:paraId="0D3C4CF8" w14:textId="77777777" w:rsidR="00292D46" w:rsidRDefault="00292D46" w:rsidP="000E5AC0">
      <w:pPr>
        <w:spacing w:after="0"/>
        <w:jc w:val="both"/>
        <w:rPr>
          <w:rFonts w:ascii="Century Gothic" w:hAnsi="Century Gothic"/>
        </w:rPr>
      </w:pPr>
    </w:p>
    <w:p w14:paraId="461FCA41" w14:textId="69D65C14" w:rsidR="00292D46" w:rsidRDefault="00292D46" w:rsidP="00292D46">
      <w:pPr>
        <w:spacing w:after="0" w:line="240" w:lineRule="auto"/>
        <w:jc w:val="center"/>
        <w:rPr>
          <w:rFonts w:ascii="Century Gothic" w:hAnsi="Century Gothic"/>
          <w:b/>
          <w:sz w:val="16"/>
          <w:szCs w:val="16"/>
        </w:rPr>
      </w:pPr>
      <w:r>
        <w:rPr>
          <w:rFonts w:ascii="Century Gothic" w:hAnsi="Century Gothic"/>
          <w:b/>
          <w:sz w:val="16"/>
          <w:szCs w:val="16"/>
        </w:rPr>
        <w:t>Grafica 44</w:t>
      </w:r>
      <w:r w:rsidRPr="00292D46">
        <w:rPr>
          <w:rFonts w:ascii="Century Gothic" w:hAnsi="Century Gothic"/>
          <w:b/>
          <w:sz w:val="16"/>
          <w:szCs w:val="16"/>
        </w:rPr>
        <w:t xml:space="preserve">. Prevalencia vida de consumo de sustancias psicoactivas </w:t>
      </w:r>
      <w:r>
        <w:rPr>
          <w:rFonts w:ascii="Century Gothic" w:hAnsi="Century Gothic"/>
          <w:b/>
          <w:sz w:val="16"/>
          <w:szCs w:val="16"/>
        </w:rPr>
        <w:t>ilegales</w:t>
      </w:r>
      <w:r w:rsidRPr="00292D46">
        <w:rPr>
          <w:rFonts w:ascii="Century Gothic" w:hAnsi="Century Gothic"/>
          <w:b/>
          <w:sz w:val="16"/>
          <w:szCs w:val="16"/>
        </w:rPr>
        <w:t xml:space="preserve"> (2019)</w:t>
      </w:r>
    </w:p>
    <w:p w14:paraId="3D03057D" w14:textId="77777777" w:rsidR="00292D46" w:rsidRPr="00E94619" w:rsidRDefault="00292D46" w:rsidP="000E5AC0">
      <w:pPr>
        <w:spacing w:after="0"/>
        <w:jc w:val="both"/>
        <w:rPr>
          <w:rFonts w:ascii="Century Gothic" w:hAnsi="Century Gothic"/>
          <w:b/>
        </w:rPr>
      </w:pPr>
    </w:p>
    <w:p w14:paraId="32902A2A" w14:textId="77777777" w:rsidR="00F75F90" w:rsidRPr="00E94619" w:rsidRDefault="00F75F90" w:rsidP="000E5AC0">
      <w:pPr>
        <w:spacing w:after="0"/>
        <w:jc w:val="both"/>
        <w:rPr>
          <w:rFonts w:ascii="Century Gothic" w:hAnsi="Century Gothic"/>
          <w:b/>
        </w:rPr>
      </w:pPr>
      <w:r w:rsidRPr="00E94619">
        <w:rPr>
          <w:rFonts w:ascii="Century Gothic" w:hAnsi="Century Gothic"/>
          <w:b/>
          <w:noProof/>
          <w:lang w:val="es-ES" w:eastAsia="es-ES"/>
        </w:rPr>
        <w:drawing>
          <wp:anchor distT="0" distB="0" distL="114300" distR="114300" simplePos="0" relativeHeight="251709440" behindDoc="0" locked="0" layoutInCell="1" allowOverlap="1" wp14:anchorId="5F9754B0" wp14:editId="57079530">
            <wp:simplePos x="0" y="0"/>
            <wp:positionH relativeFrom="column">
              <wp:posOffset>1257300</wp:posOffset>
            </wp:positionH>
            <wp:positionV relativeFrom="paragraph">
              <wp:posOffset>10795</wp:posOffset>
            </wp:positionV>
            <wp:extent cx="2573020" cy="1525905"/>
            <wp:effectExtent l="0" t="0" r="0" b="0"/>
            <wp:wrapSquare wrapText="bothSides"/>
            <wp:docPr id="52" name="Picture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 descr="Gráfico, Gráfico de barras&#10;&#10;Descripción generada automáticamente"/>
                    <pic:cNvPicPr>
                      <a:picLocks noChangeAspect="1" noChangeArrowheads="1"/>
                    </pic:cNvPicPr>
                  </pic:nvPicPr>
                  <pic:blipFill>
                    <a:blip r:embed="rId76" cstate="print">
                      <a:extLst>
                        <a:ext uri="{BEBA8EAE-BF5A-486C-A8C5-ECC9F3942E4B}">
                          <a14:imgProps xmlns:a14="http://schemas.microsoft.com/office/drawing/2010/main">
                            <a14:imgLayer r:embed="rId7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73020" cy="152590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Century Gothic" w:hAnsi="Century Gothic"/>
        </w:rPr>
        <w:tag w:val="goog_rdk_62"/>
        <w:id w:val="1201273204"/>
      </w:sdtPr>
      <w:sdtContent>
        <w:p w14:paraId="58F3333E" w14:textId="77777777" w:rsidR="00292D46" w:rsidRDefault="00292D46" w:rsidP="000E5AC0">
          <w:pPr>
            <w:spacing w:after="0" w:line="240" w:lineRule="auto"/>
            <w:rPr>
              <w:rFonts w:ascii="Century Gothic" w:hAnsi="Century Gothic"/>
            </w:rPr>
          </w:pPr>
        </w:p>
        <w:p w14:paraId="77BE8A13" w14:textId="77777777" w:rsidR="00292D46" w:rsidRDefault="00292D46" w:rsidP="000E5AC0">
          <w:pPr>
            <w:spacing w:after="0" w:line="240" w:lineRule="auto"/>
            <w:rPr>
              <w:rFonts w:ascii="Century Gothic" w:hAnsi="Century Gothic"/>
            </w:rPr>
          </w:pPr>
        </w:p>
        <w:p w14:paraId="63C40046" w14:textId="77777777" w:rsidR="00292D46" w:rsidRDefault="00292D46" w:rsidP="000E5AC0">
          <w:pPr>
            <w:spacing w:after="0" w:line="240" w:lineRule="auto"/>
            <w:rPr>
              <w:rFonts w:ascii="Century Gothic" w:hAnsi="Century Gothic"/>
            </w:rPr>
          </w:pPr>
        </w:p>
        <w:p w14:paraId="714B638E" w14:textId="77777777" w:rsidR="00292D46" w:rsidRDefault="00292D46" w:rsidP="000E5AC0">
          <w:pPr>
            <w:spacing w:after="0" w:line="240" w:lineRule="auto"/>
            <w:rPr>
              <w:rFonts w:ascii="Century Gothic" w:hAnsi="Century Gothic"/>
            </w:rPr>
          </w:pPr>
        </w:p>
        <w:p w14:paraId="74372E87" w14:textId="77777777" w:rsidR="00292D46" w:rsidRDefault="00292D46" w:rsidP="000E5AC0">
          <w:pPr>
            <w:spacing w:after="0" w:line="240" w:lineRule="auto"/>
            <w:rPr>
              <w:rFonts w:ascii="Century Gothic" w:hAnsi="Century Gothic"/>
            </w:rPr>
          </w:pPr>
        </w:p>
        <w:p w14:paraId="0400D946" w14:textId="77777777" w:rsidR="00292D46" w:rsidRDefault="00292D46" w:rsidP="000E5AC0">
          <w:pPr>
            <w:spacing w:after="0" w:line="240" w:lineRule="auto"/>
            <w:rPr>
              <w:rFonts w:ascii="Century Gothic" w:hAnsi="Century Gothic"/>
            </w:rPr>
          </w:pPr>
        </w:p>
        <w:p w14:paraId="3FFFB8A6" w14:textId="77777777" w:rsidR="00490F50" w:rsidRDefault="00490F50" w:rsidP="000E5AC0">
          <w:pPr>
            <w:spacing w:after="0" w:line="240" w:lineRule="auto"/>
            <w:rPr>
              <w:rFonts w:ascii="Century Gothic" w:hAnsi="Century Gothic"/>
            </w:rPr>
          </w:pPr>
        </w:p>
        <w:p w14:paraId="2F9BF905" w14:textId="77777777" w:rsidR="00292D46" w:rsidRDefault="00292D46" w:rsidP="000E5AC0">
          <w:pPr>
            <w:spacing w:after="0" w:line="240" w:lineRule="auto"/>
            <w:rPr>
              <w:rFonts w:ascii="Century Gothic" w:hAnsi="Century Gothic"/>
            </w:rPr>
          </w:pPr>
        </w:p>
        <w:p w14:paraId="0DACFD33" w14:textId="77777777" w:rsidR="00292D46" w:rsidRDefault="00292D46" w:rsidP="000E5AC0">
          <w:pPr>
            <w:spacing w:after="0" w:line="240" w:lineRule="auto"/>
            <w:rPr>
              <w:rFonts w:ascii="Century Gothic" w:hAnsi="Century Gothic"/>
            </w:rPr>
          </w:pPr>
        </w:p>
        <w:p w14:paraId="5FAE60F3" w14:textId="0501C571" w:rsidR="00F75F90" w:rsidRPr="00E94619" w:rsidRDefault="00D620F9" w:rsidP="00490F50">
          <w:pPr>
            <w:spacing w:after="0" w:line="240" w:lineRule="auto"/>
            <w:jc w:val="center"/>
            <w:rPr>
              <w:rFonts w:ascii="Century Gothic" w:hAnsi="Century Gothic"/>
              <w:sz w:val="16"/>
              <w:szCs w:val="16"/>
            </w:rPr>
          </w:pPr>
          <w:r w:rsidRPr="00490F50">
            <w:rPr>
              <w:rFonts w:ascii="Century Gothic" w:hAnsi="Century Gothic"/>
              <w:sz w:val="16"/>
              <w:szCs w:val="16"/>
            </w:rPr>
            <w:t xml:space="preserve">Fuente: </w:t>
          </w:r>
          <w:r w:rsidR="00F75F90" w:rsidRPr="00490F50">
            <w:rPr>
              <w:rFonts w:ascii="Century Gothic" w:hAnsi="Century Gothic"/>
              <w:sz w:val="16"/>
              <w:szCs w:val="16"/>
            </w:rPr>
            <w:t>ANE (2019). Encuesta Nacional de Consumo de Sustancias Psicoactivas 2019</w:t>
          </w:r>
          <w:r w:rsidR="00F75F90" w:rsidRPr="00E94619">
            <w:rPr>
              <w:rFonts w:ascii="Century Gothic" w:hAnsi="Century Gothic"/>
              <w:sz w:val="16"/>
              <w:szCs w:val="16"/>
            </w:rPr>
            <w:t>.</w:t>
          </w:r>
        </w:p>
      </w:sdtContent>
    </w:sdt>
    <w:p w14:paraId="3FCA465C" w14:textId="77777777" w:rsidR="00F75F90" w:rsidRPr="00E94619" w:rsidRDefault="00F75F90" w:rsidP="000E5AC0">
      <w:pPr>
        <w:spacing w:after="0"/>
        <w:rPr>
          <w:rFonts w:ascii="Century Gothic" w:hAnsi="Century Gothic"/>
          <w:sz w:val="16"/>
          <w:szCs w:val="16"/>
        </w:rPr>
      </w:pPr>
    </w:p>
    <w:p w14:paraId="4DFA0978" w14:textId="77777777" w:rsidR="00F75F90" w:rsidRDefault="00F75F90" w:rsidP="000E5AC0">
      <w:pPr>
        <w:spacing w:after="0" w:line="240" w:lineRule="auto"/>
        <w:rPr>
          <w:rFonts w:ascii="Century Gothic" w:hAnsi="Century Gothic"/>
          <w:b/>
        </w:rPr>
      </w:pPr>
      <w:r w:rsidRPr="00E94619">
        <w:rPr>
          <w:rFonts w:ascii="Century Gothic" w:hAnsi="Century Gothic"/>
          <w:b/>
        </w:rPr>
        <w:t>Avances y retos para abordar las adicciones a sustancias psicoactivas</w:t>
      </w:r>
    </w:p>
    <w:p w14:paraId="407A52D6" w14:textId="77777777" w:rsidR="00292D46" w:rsidRPr="00E94619" w:rsidRDefault="00292D46" w:rsidP="000E5AC0">
      <w:pPr>
        <w:spacing w:after="0" w:line="240" w:lineRule="auto"/>
        <w:rPr>
          <w:rFonts w:ascii="Century Gothic" w:hAnsi="Century Gothic"/>
          <w:b/>
        </w:rPr>
      </w:pPr>
    </w:p>
    <w:tbl>
      <w:tblPr>
        <w:tblStyle w:val="affffb"/>
        <w:tblW w:w="936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5"/>
        <w:gridCol w:w="2835"/>
        <w:gridCol w:w="2693"/>
      </w:tblGrid>
      <w:tr w:rsidR="00F75F90" w:rsidRPr="00E94619" w14:paraId="46F6DD05" w14:textId="77777777" w:rsidTr="00490F50">
        <w:tc>
          <w:tcPr>
            <w:tcW w:w="3835" w:type="dxa"/>
            <w:tcBorders>
              <w:top w:val="single" w:sz="4" w:space="0" w:color="CC0066"/>
              <w:left w:val="single" w:sz="4" w:space="0" w:color="CC0066"/>
              <w:bottom w:val="single" w:sz="4" w:space="0" w:color="CC0066"/>
              <w:right w:val="single" w:sz="4" w:space="0" w:color="CC0066"/>
            </w:tcBorders>
            <w:shd w:val="clear" w:color="auto" w:fill="FF99CC"/>
          </w:tcPr>
          <w:p w14:paraId="0C4A1677" w14:textId="77777777" w:rsidR="00F75F90" w:rsidRPr="00E94619" w:rsidRDefault="00F75F90" w:rsidP="000E5AC0">
            <w:pPr>
              <w:spacing w:after="0" w:line="240" w:lineRule="auto"/>
              <w:rPr>
                <w:rFonts w:ascii="Century Gothic" w:hAnsi="Century Gothic"/>
                <w:b/>
                <w:sz w:val="16"/>
                <w:szCs w:val="16"/>
              </w:rPr>
            </w:pPr>
            <w:r w:rsidRPr="00E94619">
              <w:rPr>
                <w:rFonts w:ascii="Century Gothic" w:hAnsi="Century Gothic"/>
                <w:b/>
                <w:sz w:val="16"/>
                <w:szCs w:val="16"/>
              </w:rPr>
              <w:t>Avances del Estado</w:t>
            </w:r>
          </w:p>
        </w:tc>
        <w:tc>
          <w:tcPr>
            <w:tcW w:w="2835" w:type="dxa"/>
            <w:tcBorders>
              <w:top w:val="single" w:sz="4" w:space="0" w:color="CC0066"/>
              <w:left w:val="single" w:sz="4" w:space="0" w:color="CC0066"/>
              <w:bottom w:val="single" w:sz="4" w:space="0" w:color="CC0066"/>
              <w:right w:val="single" w:sz="4" w:space="0" w:color="CC0066"/>
            </w:tcBorders>
            <w:shd w:val="clear" w:color="auto" w:fill="FF99CC"/>
          </w:tcPr>
          <w:p w14:paraId="114C8CDA" w14:textId="77777777" w:rsidR="00F75F90" w:rsidRPr="00E94619" w:rsidRDefault="00F75F90" w:rsidP="000E5AC0">
            <w:pPr>
              <w:spacing w:after="0" w:line="240" w:lineRule="auto"/>
              <w:rPr>
                <w:rFonts w:ascii="Century Gothic" w:hAnsi="Century Gothic"/>
                <w:b/>
                <w:sz w:val="16"/>
                <w:szCs w:val="16"/>
              </w:rPr>
            </w:pPr>
            <w:r w:rsidRPr="00E94619">
              <w:rPr>
                <w:rFonts w:ascii="Century Gothic" w:hAnsi="Century Gothic"/>
                <w:b/>
                <w:sz w:val="16"/>
                <w:szCs w:val="16"/>
              </w:rPr>
              <w:t>Respuesta de la sociedad civil</w:t>
            </w:r>
          </w:p>
        </w:tc>
        <w:tc>
          <w:tcPr>
            <w:tcW w:w="2693" w:type="dxa"/>
            <w:tcBorders>
              <w:top w:val="single" w:sz="4" w:space="0" w:color="CC0066"/>
              <w:left w:val="single" w:sz="4" w:space="0" w:color="CC0066"/>
              <w:bottom w:val="single" w:sz="4" w:space="0" w:color="CC0066"/>
              <w:right w:val="single" w:sz="4" w:space="0" w:color="CC0066"/>
            </w:tcBorders>
            <w:shd w:val="clear" w:color="auto" w:fill="FF99CC"/>
          </w:tcPr>
          <w:p w14:paraId="40C454D2" w14:textId="77777777" w:rsidR="00F75F90" w:rsidRPr="00E94619" w:rsidRDefault="00F75F90"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F75F90" w:rsidRPr="00E94619" w14:paraId="7221F79A" w14:textId="77777777" w:rsidTr="00490F50">
        <w:tc>
          <w:tcPr>
            <w:tcW w:w="3835" w:type="dxa"/>
            <w:tcBorders>
              <w:top w:val="single" w:sz="4" w:space="0" w:color="CC0066"/>
              <w:left w:val="single" w:sz="4" w:space="0" w:color="CC0066"/>
              <w:bottom w:val="single" w:sz="4" w:space="0" w:color="CC0066"/>
              <w:right w:val="single" w:sz="4" w:space="0" w:color="CC0066"/>
            </w:tcBorders>
          </w:tcPr>
          <w:p w14:paraId="0789F5C4"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-Reconocimiento del consumo y abuso de sustancias psicoactivas lícitas e ilícitas como un problema de salud pública y una enfermedad</w:t>
            </w:r>
          </w:p>
          <w:p w14:paraId="52A617B9"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-Ley 566 de 2012: </w:t>
            </w:r>
            <w:r w:rsidRPr="00E94619">
              <w:rPr>
                <w:rFonts w:ascii="Century Gothic" w:hAnsi="Century Gothic"/>
                <w:sz w:val="16"/>
                <w:szCs w:val="16"/>
              </w:rPr>
              <w:t xml:space="preserve">“por medio de la cual se dictan normas para garantizar la atención integral a personas que consumen sustancias psicoactivas y se crea el premio nacional “Entidad comprometida con la prevención del consumo, abuso y adicción a sustancias psicoactivas”. </w:t>
            </w:r>
          </w:p>
          <w:p w14:paraId="48E904E6"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Ley 124 de 1994:</w:t>
            </w:r>
            <w:r w:rsidRPr="00E94619">
              <w:rPr>
                <w:rFonts w:ascii="Century Gothic" w:hAnsi="Century Gothic"/>
                <w:sz w:val="16"/>
                <w:szCs w:val="16"/>
              </w:rPr>
              <w:t xml:space="preserve"> prohíbe el expendio de bebidas embriagantes a menores de edad. </w:t>
            </w:r>
          </w:p>
          <w:p w14:paraId="2E6DCC97"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-Plan Nacional para la Promoción de la Salud, la Prevención, y la Atención del Consumo de Sustancias Psicoactivas 2014-2021.</w:t>
            </w:r>
          </w:p>
          <w:p w14:paraId="454E78F3"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-Realización del estudio Nacional de Consumo 2013.</w:t>
            </w:r>
          </w:p>
          <w:p w14:paraId="6E82CFAD"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-Elaboración de la Guía Práctica Clínica de abuso y dependencia de Alcohol.</w:t>
            </w:r>
          </w:p>
          <w:p w14:paraId="2B66120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-Se cuenta con el Sistema Único de Indicadores de Centros de Atención a la Drogadicción SUICAD, del que son responsables el Ministerio de Salud, el de Justicia, la Dirección Nacional de Estupefacientes y UNODC</w:t>
            </w:r>
          </w:p>
          <w:p w14:paraId="05CEDC95"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-Resolución Número 00000089 DE 2019 </w:t>
            </w:r>
          </w:p>
          <w:p w14:paraId="6BF0F686" w14:textId="77777777" w:rsidR="00F75F90" w:rsidRPr="00E94619" w:rsidRDefault="00F75F90" w:rsidP="000E5AC0">
            <w:pPr>
              <w:spacing w:after="0" w:line="240" w:lineRule="auto"/>
              <w:jc w:val="both"/>
              <w:rPr>
                <w:rFonts w:ascii="Century Gothic" w:hAnsi="Century Gothic"/>
                <w:bCs/>
                <w:sz w:val="16"/>
                <w:szCs w:val="16"/>
              </w:rPr>
            </w:pPr>
            <w:r w:rsidRPr="00E94619">
              <w:rPr>
                <w:rFonts w:ascii="Century Gothic" w:hAnsi="Century Gothic"/>
                <w:b/>
                <w:sz w:val="16"/>
                <w:szCs w:val="16"/>
              </w:rPr>
              <w:t xml:space="preserve">(16 ENE 2019)- </w:t>
            </w:r>
            <w:r w:rsidRPr="00E94619">
              <w:rPr>
                <w:rFonts w:ascii="Century Gothic" w:hAnsi="Century Gothic"/>
                <w:bCs/>
                <w:sz w:val="16"/>
                <w:szCs w:val="16"/>
              </w:rPr>
              <w:t xml:space="preserve">Por la cual se adopta la Política Integral para la Prevención y Atención del Consumo </w:t>
            </w:r>
          </w:p>
          <w:p w14:paraId="162E6DF1"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Cs/>
                <w:sz w:val="16"/>
                <w:szCs w:val="16"/>
              </w:rPr>
              <w:t>de Sustancias Psicoactivas</w:t>
            </w:r>
            <w:r w:rsidRPr="00E94619">
              <w:rPr>
                <w:rFonts w:ascii="Century Gothic" w:hAnsi="Century Gothic"/>
                <w:b/>
                <w:sz w:val="16"/>
                <w:szCs w:val="16"/>
              </w:rPr>
              <w:t xml:space="preserve"> </w:t>
            </w:r>
          </w:p>
          <w:p w14:paraId="0E3C6263" w14:textId="65F411AB"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-Política Integral para la Prevención y Atención del Consumo de Sustancias </w:t>
            </w:r>
            <w:r w:rsidR="00D2173C">
              <w:rPr>
                <w:rFonts w:ascii="Century Gothic" w:hAnsi="Century Gothic"/>
                <w:b/>
                <w:noProof/>
                <w:szCs w:val="24"/>
                <w:lang w:val="es-ES"/>
              </w:rPr>
              <w:lastRenderedPageBreak/>
              <w:drawing>
                <wp:anchor distT="0" distB="0" distL="114300" distR="114300" simplePos="0" relativeHeight="251864064" behindDoc="0" locked="0" layoutInCell="1" allowOverlap="1" wp14:anchorId="7036482A" wp14:editId="1F4F237E">
                  <wp:simplePos x="0" y="0"/>
                  <wp:positionH relativeFrom="column">
                    <wp:posOffset>-968375</wp:posOffset>
                  </wp:positionH>
                  <wp:positionV relativeFrom="paragraph">
                    <wp:posOffset>-829310</wp:posOffset>
                  </wp:positionV>
                  <wp:extent cx="965835" cy="708660"/>
                  <wp:effectExtent l="0" t="0" r="0" b="0"/>
                  <wp:wrapNone/>
                  <wp:docPr id="402" name="Imagen 40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Pr="00E94619">
              <w:rPr>
                <w:rFonts w:ascii="Century Gothic" w:hAnsi="Century Gothic"/>
                <w:b/>
                <w:sz w:val="16"/>
                <w:szCs w:val="16"/>
              </w:rPr>
              <w:t xml:space="preserve">Psicoactivas: </w:t>
            </w:r>
            <w:r w:rsidRPr="00E94619">
              <w:rPr>
                <w:rFonts w:ascii="Century Gothic" w:hAnsi="Century Gothic"/>
                <w:bCs/>
                <w:sz w:val="16"/>
                <w:szCs w:val="16"/>
              </w:rPr>
              <w:t>garantizar la atención integral de las personas familias y comunidades con riesgos o consumo problemático de sustancias psicoactivas, mediante respuestas programáticas, continuas y efectivas, en su reconocimiento como sujetos de derechos.</w:t>
            </w:r>
          </w:p>
        </w:tc>
        <w:tc>
          <w:tcPr>
            <w:tcW w:w="2835" w:type="dxa"/>
            <w:tcBorders>
              <w:top w:val="single" w:sz="4" w:space="0" w:color="CC0066"/>
              <w:left w:val="single" w:sz="4" w:space="0" w:color="CC0066"/>
              <w:bottom w:val="single" w:sz="4" w:space="0" w:color="CC0066"/>
              <w:right w:val="single" w:sz="4" w:space="0" w:color="CC0066"/>
            </w:tcBorders>
          </w:tcPr>
          <w:p w14:paraId="3D972D68"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lastRenderedPageBreak/>
              <w:t>Sociedad civil:</w:t>
            </w:r>
            <w:r w:rsidRPr="00E94619">
              <w:rPr>
                <w:rFonts w:ascii="Century Gothic" w:hAnsi="Century Gothic"/>
                <w:color w:val="535353"/>
                <w:sz w:val="28"/>
                <w:szCs w:val="28"/>
              </w:rPr>
              <w:t xml:space="preserve"> </w:t>
            </w:r>
            <w:r w:rsidRPr="00E94619">
              <w:rPr>
                <w:rFonts w:ascii="Century Gothic" w:hAnsi="Century Gothic"/>
                <w:sz w:val="16"/>
                <w:szCs w:val="16"/>
              </w:rPr>
              <w:t>algunas organizaciones que realizan acciones de prevención del consumo de sustancias psicoactivas en diversos territorios de Colombia: Si a mis Derechos, RAISSS, Presencia, Surgir, Mentor Colombia, FUNOF, Fundación Libérate, Corporación viviendo, Fundar Colombia.</w:t>
            </w:r>
          </w:p>
          <w:p w14:paraId="6BB5C685" w14:textId="77777777" w:rsidR="00F75F90" w:rsidRPr="00E94619" w:rsidRDefault="00F75F90" w:rsidP="000E5AC0">
            <w:pPr>
              <w:spacing w:after="0" w:line="240" w:lineRule="auto"/>
              <w:jc w:val="both"/>
              <w:rPr>
                <w:rFonts w:ascii="Century Gothic" w:hAnsi="Century Gothic"/>
                <w:sz w:val="16"/>
                <w:szCs w:val="16"/>
              </w:rPr>
            </w:pPr>
          </w:p>
          <w:p w14:paraId="378DD10E"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Cooperación internacional:</w:t>
            </w:r>
          </w:p>
          <w:p w14:paraId="5699DFED"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UNODC: </w:t>
            </w:r>
            <w:r w:rsidRPr="00E94619">
              <w:rPr>
                <w:rFonts w:ascii="Century Gothic" w:hAnsi="Century Gothic"/>
                <w:sz w:val="16"/>
                <w:szCs w:val="16"/>
              </w:rPr>
              <w:t xml:space="preserve">Programa de reducción del Consumo de Drogas en Colombia. </w:t>
            </w:r>
          </w:p>
          <w:p w14:paraId="683058C4"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Embajada de los Estados Unidos en Colombia:  </w:t>
            </w:r>
          </w:p>
          <w:p w14:paraId="21CA56F5"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-Apoyo a la mitigación del impacto de drogas en los jóvenes.</w:t>
            </w:r>
          </w:p>
          <w:p w14:paraId="6A76C33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-Plan Colombia: Programa que incluye erradicación de droga.</w:t>
            </w:r>
          </w:p>
          <w:p w14:paraId="692C7A2F" w14:textId="77777777" w:rsidR="00F75F90" w:rsidRPr="00E94619" w:rsidRDefault="00F75F90" w:rsidP="000E5AC0">
            <w:pPr>
              <w:spacing w:after="0" w:line="240" w:lineRule="auto"/>
              <w:jc w:val="both"/>
              <w:rPr>
                <w:rFonts w:ascii="Century Gothic" w:hAnsi="Century Gothic"/>
                <w:b/>
                <w:sz w:val="16"/>
                <w:szCs w:val="16"/>
              </w:rPr>
            </w:pPr>
          </w:p>
        </w:tc>
        <w:tc>
          <w:tcPr>
            <w:tcW w:w="2693" w:type="dxa"/>
            <w:tcBorders>
              <w:top w:val="single" w:sz="4" w:space="0" w:color="CC0066"/>
              <w:left w:val="single" w:sz="4" w:space="0" w:color="CC0066"/>
              <w:bottom w:val="single" w:sz="4" w:space="0" w:color="CC0066"/>
              <w:right w:val="single" w:sz="4" w:space="0" w:color="CC0066"/>
            </w:tcBorders>
          </w:tcPr>
          <w:p w14:paraId="6A584F6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la atención a familiares de consumidores, ya que también se ven afectados por esta práctica.</w:t>
            </w:r>
          </w:p>
          <w:p w14:paraId="58EB7664"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-El Estado, a través de las empresas promotoras de salud o entidades privadas, debe garantizar la atención y protección de personas que padecen drogadicción crónica.</w:t>
            </w:r>
          </w:p>
          <w:p w14:paraId="5C29AED9"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-Implementar programas de prevención de consumo de sustancias psicoactivas que vinculen el sector salud, educación y trabajo.</w:t>
            </w:r>
          </w:p>
          <w:p w14:paraId="4625907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-Desarrollar estrategias comunitarias para la ocupación adecuada de tiempo libre que aporten a la prevención del consumo. </w:t>
            </w:r>
          </w:p>
          <w:p w14:paraId="2A246366" w14:textId="77777777" w:rsidR="00F75F90" w:rsidRPr="00E94619" w:rsidRDefault="00F75F90" w:rsidP="000E5AC0">
            <w:pPr>
              <w:spacing w:after="0" w:line="240" w:lineRule="auto"/>
              <w:rPr>
                <w:rFonts w:ascii="Century Gothic" w:hAnsi="Century Gothic"/>
                <w:sz w:val="16"/>
                <w:szCs w:val="16"/>
              </w:rPr>
            </w:pPr>
            <w:r w:rsidRPr="00E94619">
              <w:rPr>
                <w:rFonts w:ascii="Century Gothic" w:hAnsi="Century Gothic"/>
                <w:sz w:val="16"/>
                <w:szCs w:val="16"/>
              </w:rPr>
              <w:t>-Implementar estrategias para prevenir el consumo en niños, niñas y adolescentes.</w:t>
            </w:r>
          </w:p>
          <w:p w14:paraId="51061A0B" w14:textId="77777777" w:rsidR="00F75F90" w:rsidRPr="00E94619" w:rsidRDefault="00F75F90" w:rsidP="000E5AC0">
            <w:pPr>
              <w:spacing w:after="0" w:line="240" w:lineRule="auto"/>
              <w:rPr>
                <w:rFonts w:ascii="Century Gothic" w:hAnsi="Century Gothic"/>
                <w:sz w:val="16"/>
                <w:szCs w:val="16"/>
              </w:rPr>
            </w:pPr>
          </w:p>
        </w:tc>
      </w:tr>
    </w:tbl>
    <w:p w14:paraId="1C24C675" w14:textId="77777777" w:rsidR="00F75F90" w:rsidRPr="00E94619" w:rsidRDefault="00F75F90" w:rsidP="000E5AC0">
      <w:pPr>
        <w:pStyle w:val="Ttulo3"/>
        <w:rPr>
          <w:rFonts w:ascii="Century Gothic" w:hAnsi="Century Gothic"/>
        </w:rPr>
      </w:pPr>
    </w:p>
    <w:p w14:paraId="49DE458E" w14:textId="77777777" w:rsidR="00F75F90" w:rsidRPr="00292D46" w:rsidRDefault="00F75F90" w:rsidP="000E5AC0">
      <w:pPr>
        <w:pStyle w:val="Ttulo2"/>
        <w:rPr>
          <w:rFonts w:ascii="Century Gothic" w:hAnsi="Century Gothic"/>
          <w:color w:val="C73465"/>
        </w:rPr>
      </w:pPr>
      <w:bookmarkStart w:id="65" w:name="_Toc488624281"/>
      <w:r w:rsidRPr="00292D46">
        <w:rPr>
          <w:rFonts w:ascii="Century Gothic" w:hAnsi="Century Gothic"/>
          <w:color w:val="C73465"/>
        </w:rPr>
        <w:t>6</w:t>
      </w:r>
      <w:r w:rsidR="00D82B9E" w:rsidRPr="00292D46">
        <w:rPr>
          <w:rFonts w:ascii="Century Gothic" w:hAnsi="Century Gothic"/>
          <w:color w:val="C73465"/>
        </w:rPr>
        <w:t>.</w:t>
      </w:r>
      <w:r w:rsidRPr="00292D46">
        <w:rPr>
          <w:rFonts w:ascii="Century Gothic" w:hAnsi="Century Gothic"/>
          <w:color w:val="C73465"/>
        </w:rPr>
        <w:t xml:space="preserve"> Salud sexual y salud reproductiva</w:t>
      </w:r>
      <w:bookmarkEnd w:id="65"/>
    </w:p>
    <w:p w14:paraId="6F1F2443" w14:textId="77777777" w:rsidR="00F75F90" w:rsidRPr="00E94619" w:rsidRDefault="00F75F90" w:rsidP="000E5AC0">
      <w:pPr>
        <w:spacing w:after="0" w:line="240" w:lineRule="auto"/>
        <w:jc w:val="both"/>
        <w:rPr>
          <w:rFonts w:ascii="Century Gothic" w:hAnsi="Century Gothic"/>
          <w:b/>
        </w:rPr>
      </w:pPr>
    </w:p>
    <w:p w14:paraId="18BF09B7"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Colombia cuenta con una “Política Nacional de Sexualidad, Derechos Sexuales y Derechos Reproductivos (2014-2021)”, la cual es una actualización de la formulada para el periodo 2003-2007 y parte del reconocimiento de la sexualidad como un Derecho y una prioridad de la salud pública. En este documento se definen los </w:t>
      </w:r>
      <w:r w:rsidRPr="00E94619">
        <w:rPr>
          <w:rFonts w:ascii="Century Gothic" w:hAnsi="Century Gothic"/>
          <w:i/>
          <w:color w:val="000000"/>
        </w:rPr>
        <w:t>derechos reproductivos</w:t>
      </w:r>
      <w:r w:rsidRPr="00E94619">
        <w:rPr>
          <w:rFonts w:ascii="Century Gothic" w:hAnsi="Century Gothic"/>
          <w:color w:val="000000"/>
        </w:rPr>
        <w:t xml:space="preserve"> como </w:t>
      </w:r>
      <w:r w:rsidRPr="00E94619">
        <w:rPr>
          <w:rFonts w:ascii="Century Gothic" w:hAnsi="Century Gothic"/>
          <w:i/>
          <w:color w:val="000000"/>
        </w:rPr>
        <w:t>“el derecho básico de todas las parejas e individuos a decidir libre y responsablemente el número y espaciamiento de hijos y a disponer de la información, la educación y los medios para ello; el derecho a alcanzar el nivel más elevado de salud sexual y reproductiva y el derecho a adoptar decisiones sobre la reproducción sin sufrir discriminación, coerción y violencia”</w:t>
      </w:r>
      <w:r w:rsidRPr="00E94619">
        <w:rPr>
          <w:rFonts w:ascii="Century Gothic" w:hAnsi="Century Gothic"/>
          <w:color w:val="000000"/>
        </w:rPr>
        <w:t xml:space="preserve"> (PNSDSDR 2014). Los derechos sexuales hacen referencia a “</w:t>
      </w:r>
      <w:r w:rsidRPr="00E94619">
        <w:rPr>
          <w:rFonts w:ascii="Century Gothic" w:hAnsi="Century Gothic"/>
          <w:i/>
          <w:color w:val="000000"/>
        </w:rPr>
        <w:t>tener control respecto de la sexualidad, incluida la salud sexual y reproductiva, y a decidir libre y responsablemente sin verse sometido a coerción, discriminación, o violencia</w:t>
      </w:r>
      <w:r w:rsidRPr="00E94619">
        <w:rPr>
          <w:rFonts w:ascii="Century Gothic" w:hAnsi="Century Gothic"/>
          <w:color w:val="000000"/>
        </w:rPr>
        <w:t>” (PNSDSDR 2014).</w:t>
      </w:r>
    </w:p>
    <w:p w14:paraId="73E47031"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p>
    <w:p w14:paraId="1DB10947"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La visión de esta política es que “</w:t>
      </w:r>
      <w:r w:rsidRPr="00E94619">
        <w:rPr>
          <w:rFonts w:ascii="Century Gothic" w:hAnsi="Century Gothic"/>
          <w:i/>
          <w:color w:val="000000"/>
        </w:rPr>
        <w:t>en el año 2021, la población colombiana habrá avanzado en el reconocimiento y efectiva realización de los derechos sexuales y los derechos reproductivos como derechos humanos.”</w:t>
      </w:r>
      <w:r w:rsidRPr="00E94619">
        <w:rPr>
          <w:rFonts w:ascii="Century Gothic" w:hAnsi="Century Gothic"/>
          <w:color w:val="000000"/>
        </w:rPr>
        <w:t xml:space="preserve">. Para lo anterior establece como indispensable la promoción de relaciones de respeto mutuo e igualdad entre hombres y mujeres de todas las edades, ya que se reconoce que existen inequidades de género en el campo de la salud. Por ejemplo, </w:t>
      </w:r>
      <w:r w:rsidRPr="00E94619">
        <w:rPr>
          <w:rFonts w:ascii="Century Gothic" w:hAnsi="Century Gothic"/>
          <w:color w:val="191919"/>
        </w:rPr>
        <w:t xml:space="preserve">responsabilizando a las mujeres de los procesos de prevención y recuperación en el ámbito de la salud sexual y reproductiva. También, porque estas últimas corren riesgo </w:t>
      </w:r>
      <w:r w:rsidRPr="00E94619">
        <w:rPr>
          <w:rFonts w:ascii="Century Gothic" w:hAnsi="Century Gothic"/>
          <w:color w:val="000000"/>
        </w:rPr>
        <w:t>“de enfermar o morir, en cuanto están sujetas a procesos biológicos particulares como: el embarazo, el parto, el aborto; a procesos sociales relacionados con la planificación familiar vista como un asunto femenino, o a la violencia, discriminación y abuso sexual que se ejerce en su contra por el simple hecho de ser mujeres” (PNSDSDR 2014).</w:t>
      </w:r>
    </w:p>
    <w:p w14:paraId="2BBDBDD7"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p>
    <w:p w14:paraId="29289ACD" w14:textId="77777777" w:rsidR="00D82B9E" w:rsidRPr="00E94619" w:rsidRDefault="00F75F90" w:rsidP="000E5AC0">
      <w:pPr>
        <w:spacing w:after="0" w:line="240" w:lineRule="auto"/>
        <w:jc w:val="both"/>
        <w:rPr>
          <w:rFonts w:ascii="Century Gothic" w:eastAsia="Cambria" w:hAnsi="Century Gothic"/>
          <w:color w:val="000000"/>
        </w:rPr>
      </w:pPr>
      <w:r w:rsidRPr="00E94619">
        <w:rPr>
          <w:rFonts w:ascii="Century Gothic" w:hAnsi="Century Gothic"/>
        </w:rPr>
        <w:t xml:space="preserve">A continuación, se muestran algunas cifras que dan cuenta de la situación actual de la salud sexual y reproductiva en el país para las mujeres y hombres. </w:t>
      </w:r>
    </w:p>
    <w:p w14:paraId="15C77F12" w14:textId="77777777" w:rsidR="00D82B9E" w:rsidRPr="00E94619" w:rsidRDefault="00D82B9E" w:rsidP="000E5AC0">
      <w:pPr>
        <w:spacing w:after="0" w:line="240" w:lineRule="auto"/>
        <w:jc w:val="both"/>
        <w:rPr>
          <w:rFonts w:ascii="Century Gothic" w:eastAsia="Cambria" w:hAnsi="Century Gothic"/>
          <w:color w:val="000000"/>
        </w:rPr>
      </w:pPr>
    </w:p>
    <w:p w14:paraId="21628BCA" w14:textId="77777777" w:rsidR="00F75F90" w:rsidRPr="00292D46" w:rsidRDefault="00F75F90" w:rsidP="000E5AC0">
      <w:pPr>
        <w:pStyle w:val="Ttulo3"/>
        <w:rPr>
          <w:rFonts w:ascii="Century Gothic" w:eastAsiaTheme="minorHAnsi" w:hAnsi="Century Gothic"/>
          <w:b w:val="0"/>
          <w:color w:val="C73465"/>
        </w:rPr>
      </w:pPr>
      <w:bookmarkStart w:id="66" w:name="_Toc488624282"/>
      <w:r w:rsidRPr="00292D46">
        <w:rPr>
          <w:rFonts w:ascii="Century Gothic" w:eastAsia="Cambria" w:hAnsi="Century Gothic"/>
          <w:b w:val="0"/>
          <w:color w:val="C73465"/>
        </w:rPr>
        <w:t>6.1 Tasa de mortalidad materna</w:t>
      </w:r>
      <w:bookmarkEnd w:id="66"/>
    </w:p>
    <w:p w14:paraId="5C998B57" w14:textId="77777777" w:rsidR="00F75F90" w:rsidRDefault="00830DBC" w:rsidP="000E5AC0">
      <w:pPr>
        <w:spacing w:before="280" w:after="280" w:line="240" w:lineRule="auto"/>
        <w:jc w:val="both"/>
        <w:rPr>
          <w:rFonts w:ascii="Century Gothic" w:hAnsi="Century Gothic"/>
        </w:rPr>
      </w:pPr>
      <w:sdt>
        <w:sdtPr>
          <w:rPr>
            <w:rFonts w:ascii="Century Gothic" w:hAnsi="Century Gothic"/>
          </w:rPr>
          <w:tag w:val="goog_rdk_64"/>
          <w:id w:val="-1780176910"/>
        </w:sdtPr>
        <w:sdtContent/>
      </w:sdt>
      <w:r w:rsidR="00F75F90" w:rsidRPr="00E94619">
        <w:rPr>
          <w:rFonts w:ascii="Century Gothic" w:hAnsi="Century Gothic"/>
        </w:rPr>
        <w:t xml:space="preserve">Se entiende por mortalidad materna el deceso de una mujer durante el embarazo, el parto o las 6 semanas después del parto. Según la OMS, Colombia ha avanzado en este tema; sin embargo, no se ha llegado a eliminar totalmente este problema. Es así como, entre el 2017, 2018 y 2019 se encuentra una media del 48% de </w:t>
      </w:r>
      <w:r w:rsidR="00D620F9" w:rsidRPr="00E94619">
        <w:rPr>
          <w:rFonts w:ascii="Century Gothic" w:hAnsi="Century Gothic"/>
        </w:rPr>
        <w:t>m</w:t>
      </w:r>
      <w:r w:rsidR="00F75F90" w:rsidRPr="00E94619">
        <w:rPr>
          <w:rFonts w:ascii="Century Gothic" w:hAnsi="Century Gothic"/>
        </w:rPr>
        <w:t xml:space="preserve">ortalidad </w:t>
      </w:r>
      <w:r w:rsidR="00D620F9" w:rsidRPr="00E94619">
        <w:rPr>
          <w:rFonts w:ascii="Century Gothic" w:hAnsi="Century Gothic"/>
        </w:rPr>
        <w:t>m</w:t>
      </w:r>
      <w:r w:rsidR="00F75F90" w:rsidRPr="00E94619">
        <w:rPr>
          <w:rFonts w:ascii="Century Gothic" w:hAnsi="Century Gothic"/>
        </w:rPr>
        <w:t xml:space="preserve">aterna. Hasta octubre de 2016 los departamentos que más reportaron casos fueron Antioquia, La Guajira, Nariño, Bogotá, Valle del Cauca, Córdoba y Choco. </w:t>
      </w:r>
    </w:p>
    <w:p w14:paraId="5229641B" w14:textId="5C22B06C" w:rsidR="007D4FA1" w:rsidRDefault="007D4FA1" w:rsidP="000E5AC0">
      <w:pPr>
        <w:spacing w:before="280" w:after="280" w:line="240" w:lineRule="auto"/>
        <w:jc w:val="both"/>
        <w:rPr>
          <w:rFonts w:ascii="Century Gothic" w:hAnsi="Century Gothic"/>
        </w:rPr>
      </w:pPr>
    </w:p>
    <w:p w14:paraId="4B63D61B" w14:textId="607B387E" w:rsidR="00292D46" w:rsidRPr="00292D46" w:rsidRDefault="00D2173C" w:rsidP="00292D46">
      <w:pPr>
        <w:spacing w:before="280" w:after="280" w:line="240" w:lineRule="auto"/>
        <w:jc w:val="center"/>
        <w:rPr>
          <w:rFonts w:ascii="Century Gothic" w:hAnsi="Century Gothic"/>
          <w:b/>
          <w:sz w:val="16"/>
          <w:szCs w:val="16"/>
        </w:rPr>
      </w:pPr>
      <w:r>
        <w:rPr>
          <w:rFonts w:ascii="Century Gothic" w:hAnsi="Century Gothic"/>
          <w:b/>
          <w:noProof/>
          <w:szCs w:val="24"/>
          <w:lang w:val="es-ES"/>
        </w:rPr>
        <w:lastRenderedPageBreak/>
        <w:drawing>
          <wp:anchor distT="0" distB="0" distL="114300" distR="114300" simplePos="0" relativeHeight="251866112" behindDoc="0" locked="0" layoutInCell="1" allowOverlap="1" wp14:anchorId="2C69D230" wp14:editId="2F94FC67">
            <wp:simplePos x="0" y="0"/>
            <wp:positionH relativeFrom="column">
              <wp:posOffset>-1080135</wp:posOffset>
            </wp:positionH>
            <wp:positionV relativeFrom="paragraph">
              <wp:posOffset>-822960</wp:posOffset>
            </wp:positionV>
            <wp:extent cx="965835" cy="708660"/>
            <wp:effectExtent l="0" t="0" r="0" b="0"/>
            <wp:wrapNone/>
            <wp:docPr id="403" name="Imagen 4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292D46" w:rsidRPr="00E94619">
        <w:rPr>
          <w:rFonts w:ascii="Century Gothic" w:hAnsi="Century Gothic"/>
          <w:noProof/>
          <w:lang w:val="es-ES" w:eastAsia="es-ES"/>
        </w:rPr>
        <w:drawing>
          <wp:anchor distT="0" distB="0" distL="114300" distR="114300" simplePos="0" relativeHeight="251710464" behindDoc="0" locked="0" layoutInCell="1" allowOverlap="1" wp14:anchorId="205564E4" wp14:editId="03F700AE">
            <wp:simplePos x="0" y="0"/>
            <wp:positionH relativeFrom="column">
              <wp:posOffset>1485900</wp:posOffset>
            </wp:positionH>
            <wp:positionV relativeFrom="paragraph">
              <wp:posOffset>324485</wp:posOffset>
            </wp:positionV>
            <wp:extent cx="2541270" cy="1527175"/>
            <wp:effectExtent l="0" t="0" r="0" b="0"/>
            <wp:wrapSquare wrapText="bothSides"/>
            <wp:docPr id="53"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78" cstate="print">
                      <a:extLst>
                        <a:ext uri="{BEBA8EAE-BF5A-486C-A8C5-ECC9F3942E4B}">
                          <a14:imgProps xmlns:a14="http://schemas.microsoft.com/office/drawing/2010/main">
                            <a14:imgLayer r:embed="rId7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1527175"/>
                    </a:xfrm>
                    <a:prstGeom prst="rect">
                      <a:avLst/>
                    </a:prstGeom>
                    <a:noFill/>
                  </pic:spPr>
                </pic:pic>
              </a:graphicData>
            </a:graphic>
            <wp14:sizeRelH relativeFrom="page">
              <wp14:pctWidth>0</wp14:pctWidth>
            </wp14:sizeRelH>
            <wp14:sizeRelV relativeFrom="page">
              <wp14:pctHeight>0</wp14:pctHeight>
            </wp14:sizeRelV>
          </wp:anchor>
        </w:drawing>
      </w:r>
      <w:r w:rsidR="0049584C">
        <w:rPr>
          <w:rFonts w:ascii="Century Gothic" w:hAnsi="Century Gothic"/>
          <w:b/>
          <w:sz w:val="16"/>
          <w:szCs w:val="16"/>
        </w:rPr>
        <w:t>Grá</w:t>
      </w:r>
      <w:r w:rsidR="00292D46" w:rsidRPr="00292D46">
        <w:rPr>
          <w:rFonts w:ascii="Century Gothic" w:hAnsi="Century Gothic"/>
          <w:b/>
          <w:sz w:val="16"/>
          <w:szCs w:val="16"/>
        </w:rPr>
        <w:t>fica 45. Razón de mortalidad materna a 42 días (2017-2019), SISPRO.</w:t>
      </w:r>
    </w:p>
    <w:p w14:paraId="098362F9" w14:textId="2E90B16E" w:rsidR="00F75F90" w:rsidRPr="00E94619" w:rsidRDefault="00830DBC" w:rsidP="000E5AC0">
      <w:pPr>
        <w:spacing w:line="240" w:lineRule="auto"/>
        <w:jc w:val="both"/>
        <w:rPr>
          <w:rFonts w:ascii="Century Gothic" w:hAnsi="Century Gothic"/>
        </w:rPr>
      </w:pPr>
      <w:sdt>
        <w:sdtPr>
          <w:rPr>
            <w:rFonts w:ascii="Century Gothic" w:hAnsi="Century Gothic"/>
          </w:rPr>
          <w:tag w:val="goog_rdk_65"/>
          <w:id w:val="1596975479"/>
        </w:sdtPr>
        <w:sdtContent/>
      </w:sdt>
    </w:p>
    <w:p w14:paraId="2A1F7E5F" w14:textId="77777777" w:rsidR="00292D46" w:rsidRDefault="00292D46" w:rsidP="000E5AC0">
      <w:pPr>
        <w:spacing w:line="240" w:lineRule="auto"/>
        <w:jc w:val="both"/>
        <w:rPr>
          <w:rFonts w:ascii="Century Gothic" w:hAnsi="Century Gothic"/>
          <w:sz w:val="16"/>
          <w:szCs w:val="16"/>
        </w:rPr>
      </w:pPr>
    </w:p>
    <w:p w14:paraId="153FD96E" w14:textId="77777777" w:rsidR="00292D46" w:rsidRDefault="00292D46" w:rsidP="000E5AC0">
      <w:pPr>
        <w:spacing w:line="240" w:lineRule="auto"/>
        <w:jc w:val="both"/>
        <w:rPr>
          <w:rFonts w:ascii="Century Gothic" w:hAnsi="Century Gothic"/>
          <w:sz w:val="16"/>
          <w:szCs w:val="16"/>
        </w:rPr>
      </w:pPr>
    </w:p>
    <w:p w14:paraId="4D851F69" w14:textId="77777777" w:rsidR="00292D46" w:rsidRDefault="00292D46" w:rsidP="000E5AC0">
      <w:pPr>
        <w:spacing w:line="240" w:lineRule="auto"/>
        <w:jc w:val="both"/>
        <w:rPr>
          <w:rFonts w:ascii="Century Gothic" w:hAnsi="Century Gothic"/>
          <w:sz w:val="16"/>
          <w:szCs w:val="16"/>
        </w:rPr>
      </w:pPr>
    </w:p>
    <w:p w14:paraId="0712DFCE" w14:textId="77777777" w:rsidR="00292D46" w:rsidRDefault="00292D46" w:rsidP="000E5AC0">
      <w:pPr>
        <w:spacing w:line="240" w:lineRule="auto"/>
        <w:jc w:val="both"/>
        <w:rPr>
          <w:rFonts w:ascii="Century Gothic" w:hAnsi="Century Gothic"/>
          <w:sz w:val="16"/>
          <w:szCs w:val="16"/>
        </w:rPr>
      </w:pPr>
    </w:p>
    <w:p w14:paraId="7A20A172" w14:textId="77777777" w:rsidR="00292D46" w:rsidRDefault="00292D46" w:rsidP="000E5AC0">
      <w:pPr>
        <w:spacing w:line="240" w:lineRule="auto"/>
        <w:jc w:val="both"/>
        <w:rPr>
          <w:rFonts w:ascii="Century Gothic" w:hAnsi="Century Gothic"/>
          <w:sz w:val="16"/>
          <w:szCs w:val="16"/>
        </w:rPr>
      </w:pPr>
    </w:p>
    <w:p w14:paraId="06E4DAFA" w14:textId="77777777" w:rsidR="00292D46" w:rsidRDefault="00292D46" w:rsidP="000E5AC0">
      <w:pPr>
        <w:spacing w:line="240" w:lineRule="auto"/>
        <w:jc w:val="both"/>
        <w:rPr>
          <w:rFonts w:ascii="Century Gothic" w:hAnsi="Century Gothic"/>
          <w:sz w:val="16"/>
          <w:szCs w:val="16"/>
        </w:rPr>
      </w:pPr>
    </w:p>
    <w:p w14:paraId="1078A02F" w14:textId="77777777" w:rsidR="00F75F90" w:rsidRPr="00E94619" w:rsidRDefault="00F75F90" w:rsidP="00292D46">
      <w:pPr>
        <w:spacing w:line="240" w:lineRule="auto"/>
        <w:jc w:val="center"/>
        <w:rPr>
          <w:rFonts w:ascii="Century Gothic" w:hAnsi="Century Gothic"/>
          <w:sz w:val="16"/>
          <w:szCs w:val="16"/>
        </w:rPr>
      </w:pPr>
      <w:r w:rsidRPr="00E94619">
        <w:rPr>
          <w:rFonts w:ascii="Century Gothic" w:hAnsi="Century Gothic"/>
          <w:sz w:val="16"/>
          <w:szCs w:val="16"/>
        </w:rPr>
        <w:t>Elaboración propia con base en datos del Sistema Integrado de Información de la Protección Social</w:t>
      </w:r>
      <w:r w:rsidRPr="00E94619">
        <w:rPr>
          <w:rFonts w:ascii="Century Gothic" w:hAnsi="Century Gothic"/>
          <w:color w:val="000000"/>
          <w:sz w:val="16"/>
          <w:szCs w:val="16"/>
        </w:rPr>
        <w:t>.2019</w:t>
      </w:r>
    </w:p>
    <w:bookmarkStart w:id="67" w:name="_Toc488624283"/>
    <w:p w14:paraId="7EA5E79D" w14:textId="77777777" w:rsidR="00F75F90" w:rsidRPr="00292D46" w:rsidRDefault="00830DBC" w:rsidP="000E5AC0">
      <w:pPr>
        <w:pStyle w:val="Ttulo4"/>
        <w:rPr>
          <w:rStyle w:val="Ttulo3Car"/>
          <w:rFonts w:ascii="Century Gothic" w:hAnsi="Century Gothic"/>
          <w:bCs w:val="0"/>
          <w:i w:val="0"/>
          <w:iCs w:val="0"/>
          <w:color w:val="C73465"/>
        </w:rPr>
      </w:pPr>
      <w:sdt>
        <w:sdtPr>
          <w:rPr>
            <w:rFonts w:ascii="Century Gothic" w:hAnsi="Century Gothic"/>
            <w:b w:val="0"/>
            <w:lang w:val="es-ES_tradnl" w:eastAsia="es-ES"/>
          </w:rPr>
          <w:tag w:val="goog_rdk_66"/>
          <w:id w:val="-1271008310"/>
        </w:sdtPr>
        <w:sdtEndPr>
          <w:rPr>
            <w:b/>
            <w:lang w:val="es-CO" w:eastAsia="en-US"/>
          </w:rPr>
        </w:sdtEndPr>
        <w:sdtContent/>
      </w:sdt>
      <w:r w:rsidR="00F75F90" w:rsidRPr="00292D46">
        <w:rPr>
          <w:rStyle w:val="Ttulo3Car"/>
          <w:rFonts w:ascii="Century Gothic" w:hAnsi="Century Gothic"/>
          <w:bCs w:val="0"/>
          <w:i w:val="0"/>
          <w:iCs w:val="0"/>
          <w:color w:val="C73465"/>
        </w:rPr>
        <w:t>6.2 Cobertura de los servicios de asistencia prenatal (al menos una visita y al menos cuatro visitas) (ODS 3.2).</w:t>
      </w:r>
      <w:bookmarkEnd w:id="67"/>
    </w:p>
    <w:p w14:paraId="3DB3693F" w14:textId="77777777" w:rsidR="00F75F90" w:rsidRPr="00E94619" w:rsidRDefault="00F75F90" w:rsidP="000E5AC0">
      <w:pPr>
        <w:spacing w:after="0" w:line="240" w:lineRule="auto"/>
        <w:ind w:left="720"/>
        <w:jc w:val="both"/>
        <w:rPr>
          <w:rFonts w:ascii="Century Gothic" w:hAnsi="Century Gothic"/>
          <w:b/>
        </w:rPr>
      </w:pPr>
    </w:p>
    <w:p w14:paraId="26D96F6E"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La atención en salud durante el embarazo, el parto y el periodo posnatal (inmediatamente posterior al parto) “evita complicaciones a la madre y al recién nacido, y permite la detección y tratamiento tempranos de problemas de salud” (Ministerio de salud 2015). Según el Sistema Integral de Información de la Protección Social del Ministerio de Salud, el porcentaje de nacidos vivos con cuatro o más consultas de control prenatal es del 83.92% en el 2019</w:t>
      </w:r>
      <w:r w:rsidRPr="00E94619">
        <w:rPr>
          <w:rStyle w:val="Refdenotaalpie"/>
          <w:rFonts w:ascii="Century Gothic" w:hAnsi="Century Gothic"/>
          <w:color w:val="000000"/>
        </w:rPr>
        <w:footnoteReference w:id="46"/>
      </w:r>
      <w:r w:rsidRPr="00E94619">
        <w:rPr>
          <w:rFonts w:ascii="Century Gothic" w:hAnsi="Century Gothic"/>
          <w:color w:val="000000"/>
        </w:rPr>
        <w:t>. Sin embargo, aún siguen ocurriendo muertes evitables por factores como el bajo peso al nacer.</w:t>
      </w:r>
    </w:p>
    <w:p w14:paraId="22B5F05A" w14:textId="77777777" w:rsidR="00F75F90" w:rsidRPr="00E94619" w:rsidRDefault="00F75F90" w:rsidP="000E5AC0">
      <w:pPr>
        <w:spacing w:after="0" w:line="240" w:lineRule="auto"/>
        <w:ind w:left="720"/>
        <w:rPr>
          <w:rFonts w:ascii="Century Gothic" w:hAnsi="Century Gothic"/>
          <w:b/>
        </w:rPr>
      </w:pPr>
    </w:p>
    <w:p w14:paraId="38D2797F" w14:textId="07A42B83" w:rsidR="00F75F90" w:rsidRPr="00292D46" w:rsidRDefault="00F75F90" w:rsidP="000E5AC0">
      <w:pPr>
        <w:pStyle w:val="Ttulo3"/>
        <w:rPr>
          <w:rFonts w:ascii="Century Gothic" w:eastAsia="Cambria" w:hAnsi="Century Gothic"/>
          <w:b w:val="0"/>
          <w:i/>
          <w:color w:val="C73465"/>
        </w:rPr>
      </w:pPr>
      <w:bookmarkStart w:id="68" w:name="_Toc488624284"/>
      <w:r w:rsidRPr="00292D46">
        <w:rPr>
          <w:rFonts w:ascii="Century Gothic" w:eastAsia="Cambria" w:hAnsi="Century Gothic"/>
          <w:b w:val="0"/>
          <w:color w:val="C73465"/>
        </w:rPr>
        <w:t>6.3</w:t>
      </w:r>
      <w:r w:rsidR="00292D46">
        <w:rPr>
          <w:rFonts w:ascii="Century Gothic" w:eastAsia="Cambria" w:hAnsi="Century Gothic"/>
          <w:b w:val="0"/>
          <w:color w:val="C73465"/>
        </w:rPr>
        <w:t>.</w:t>
      </w:r>
      <w:r w:rsidRPr="00292D46">
        <w:rPr>
          <w:rFonts w:ascii="Century Gothic" w:eastAsia="Cambria" w:hAnsi="Century Gothic"/>
          <w:b w:val="0"/>
          <w:color w:val="C73465"/>
        </w:rPr>
        <w:t xml:space="preserve"> Partos atendidos por personal cualificado de salud</w:t>
      </w:r>
      <w:bookmarkEnd w:id="68"/>
    </w:p>
    <w:p w14:paraId="7D8BDDF1" w14:textId="77777777" w:rsidR="00F75F90" w:rsidRPr="00E94619" w:rsidRDefault="00F75F90" w:rsidP="000E5AC0">
      <w:pPr>
        <w:spacing w:after="0" w:line="240" w:lineRule="auto"/>
        <w:ind w:left="720"/>
        <w:rPr>
          <w:rFonts w:ascii="Century Gothic" w:hAnsi="Century Gothic"/>
          <w:b/>
        </w:rPr>
      </w:pPr>
    </w:p>
    <w:p w14:paraId="79CE5A76" w14:textId="77777777" w:rsidR="00F75F90" w:rsidRDefault="00F75F90" w:rsidP="000E5AC0">
      <w:pPr>
        <w:spacing w:after="0" w:line="240" w:lineRule="auto"/>
        <w:jc w:val="both"/>
        <w:rPr>
          <w:rFonts w:ascii="Century Gothic" w:hAnsi="Century Gothic"/>
        </w:rPr>
      </w:pPr>
      <w:r w:rsidRPr="00E94619">
        <w:rPr>
          <w:rFonts w:ascii="Century Gothic" w:hAnsi="Century Gothic"/>
        </w:rPr>
        <w:t xml:space="preserve">Según el Sistema Integral de Información de la Protección Social del Ministerio de Salud, el porcentaje de atención institucional del parto por personal calificado fue de 99,04% para el 2016 98.89% para el 2017 y de 98.42% en el 2018, lo que evidencia un descenso. </w:t>
      </w:r>
    </w:p>
    <w:p w14:paraId="2849A2B7" w14:textId="77777777" w:rsidR="0049584C" w:rsidRDefault="0049584C" w:rsidP="000E5AC0">
      <w:pPr>
        <w:spacing w:after="0" w:line="240" w:lineRule="auto"/>
        <w:jc w:val="both"/>
        <w:rPr>
          <w:rFonts w:ascii="Century Gothic" w:hAnsi="Century Gothic"/>
        </w:rPr>
      </w:pPr>
    </w:p>
    <w:p w14:paraId="2BF41AA0" w14:textId="217A3C1B" w:rsidR="0049584C" w:rsidRPr="0049584C" w:rsidRDefault="0049584C" w:rsidP="0049584C">
      <w:pPr>
        <w:spacing w:after="0" w:line="240" w:lineRule="auto"/>
        <w:jc w:val="center"/>
        <w:rPr>
          <w:rFonts w:ascii="Century Gothic" w:hAnsi="Century Gothic"/>
          <w:b/>
          <w:sz w:val="16"/>
          <w:szCs w:val="16"/>
        </w:rPr>
      </w:pPr>
      <w:r w:rsidRPr="0049584C">
        <w:rPr>
          <w:rFonts w:ascii="Century Gothic" w:hAnsi="Century Gothic"/>
          <w:b/>
          <w:sz w:val="16"/>
          <w:szCs w:val="16"/>
        </w:rPr>
        <w:t>Gráfica 46. Atención institucional del parto por personal calificado (2016-2017-2018)</w:t>
      </w:r>
    </w:p>
    <w:p w14:paraId="7C716111" w14:textId="6F226F21" w:rsidR="00F75F90" w:rsidRPr="00E94619" w:rsidRDefault="00830DBC" w:rsidP="000E5AC0">
      <w:pPr>
        <w:spacing w:after="0" w:line="240" w:lineRule="auto"/>
        <w:rPr>
          <w:rFonts w:ascii="Century Gothic" w:hAnsi="Century Gothic"/>
          <w:b/>
        </w:rPr>
      </w:pPr>
      <w:sdt>
        <w:sdtPr>
          <w:rPr>
            <w:rFonts w:ascii="Century Gothic" w:hAnsi="Century Gothic"/>
          </w:rPr>
          <w:tag w:val="goog_rdk_67"/>
          <w:id w:val="-170718818"/>
        </w:sdtPr>
        <w:sdtContent/>
      </w:sdt>
    </w:p>
    <w:p w14:paraId="24A5C14A" w14:textId="170E29B2" w:rsidR="00F75F90" w:rsidRPr="00E94619" w:rsidRDefault="00614296" w:rsidP="000E5AC0">
      <w:pPr>
        <w:spacing w:line="240" w:lineRule="auto"/>
        <w:jc w:val="both"/>
        <w:rPr>
          <w:rFonts w:ascii="Century Gothic" w:hAnsi="Century Gothic"/>
          <w:b/>
        </w:rPr>
      </w:pPr>
      <w:r w:rsidRPr="00E94619">
        <w:rPr>
          <w:rFonts w:ascii="Century Gothic" w:hAnsi="Century Gothic"/>
          <w:b/>
          <w:noProof/>
          <w:lang w:val="es-ES" w:eastAsia="es-ES"/>
        </w:rPr>
        <w:drawing>
          <wp:anchor distT="0" distB="0" distL="114300" distR="114300" simplePos="0" relativeHeight="251711488" behindDoc="0" locked="0" layoutInCell="1" allowOverlap="1" wp14:anchorId="6960A462" wp14:editId="156249F0">
            <wp:simplePos x="0" y="0"/>
            <wp:positionH relativeFrom="column">
              <wp:posOffset>1257300</wp:posOffset>
            </wp:positionH>
            <wp:positionV relativeFrom="paragraph">
              <wp:posOffset>105410</wp:posOffset>
            </wp:positionV>
            <wp:extent cx="2771775" cy="1666240"/>
            <wp:effectExtent l="0" t="0" r="0" b="10160"/>
            <wp:wrapSquare wrapText="bothSides"/>
            <wp:docPr id="54"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71775" cy="1666240"/>
                    </a:xfrm>
                    <a:prstGeom prst="rect">
                      <a:avLst/>
                    </a:prstGeom>
                    <a:noFill/>
                  </pic:spPr>
                </pic:pic>
              </a:graphicData>
            </a:graphic>
            <wp14:sizeRelH relativeFrom="page">
              <wp14:pctWidth>0</wp14:pctWidth>
            </wp14:sizeRelH>
            <wp14:sizeRelV relativeFrom="page">
              <wp14:pctHeight>0</wp14:pctHeight>
            </wp14:sizeRelV>
          </wp:anchor>
        </w:drawing>
      </w:r>
    </w:p>
    <w:p w14:paraId="39535B28" w14:textId="77777777" w:rsidR="0049584C" w:rsidRDefault="0049584C" w:rsidP="000E5AC0">
      <w:pPr>
        <w:spacing w:line="240" w:lineRule="auto"/>
        <w:jc w:val="both"/>
        <w:rPr>
          <w:rFonts w:ascii="Century Gothic" w:hAnsi="Century Gothic"/>
          <w:sz w:val="16"/>
          <w:szCs w:val="16"/>
        </w:rPr>
      </w:pPr>
    </w:p>
    <w:p w14:paraId="4DDCEB31" w14:textId="77777777" w:rsidR="0049584C" w:rsidRDefault="0049584C" w:rsidP="000E5AC0">
      <w:pPr>
        <w:spacing w:line="240" w:lineRule="auto"/>
        <w:jc w:val="both"/>
        <w:rPr>
          <w:rFonts w:ascii="Century Gothic" w:hAnsi="Century Gothic"/>
          <w:sz w:val="16"/>
          <w:szCs w:val="16"/>
        </w:rPr>
      </w:pPr>
    </w:p>
    <w:p w14:paraId="2F379297" w14:textId="77777777" w:rsidR="0049584C" w:rsidRDefault="0049584C" w:rsidP="000E5AC0">
      <w:pPr>
        <w:spacing w:line="240" w:lineRule="auto"/>
        <w:jc w:val="both"/>
        <w:rPr>
          <w:rFonts w:ascii="Century Gothic" w:hAnsi="Century Gothic"/>
          <w:sz w:val="16"/>
          <w:szCs w:val="16"/>
        </w:rPr>
      </w:pPr>
    </w:p>
    <w:p w14:paraId="01FF71E4" w14:textId="77777777" w:rsidR="0049584C" w:rsidRDefault="0049584C" w:rsidP="000E5AC0">
      <w:pPr>
        <w:spacing w:line="240" w:lineRule="auto"/>
        <w:jc w:val="both"/>
        <w:rPr>
          <w:rFonts w:ascii="Century Gothic" w:hAnsi="Century Gothic"/>
          <w:sz w:val="16"/>
          <w:szCs w:val="16"/>
        </w:rPr>
      </w:pPr>
    </w:p>
    <w:p w14:paraId="3FC0F2CC" w14:textId="77777777" w:rsidR="0049584C" w:rsidRDefault="0049584C" w:rsidP="000E5AC0">
      <w:pPr>
        <w:spacing w:line="240" w:lineRule="auto"/>
        <w:jc w:val="both"/>
        <w:rPr>
          <w:rFonts w:ascii="Century Gothic" w:hAnsi="Century Gothic"/>
          <w:sz w:val="16"/>
          <w:szCs w:val="16"/>
        </w:rPr>
      </w:pPr>
    </w:p>
    <w:p w14:paraId="682F5413" w14:textId="77777777" w:rsidR="0049584C" w:rsidRDefault="0049584C" w:rsidP="000E5AC0">
      <w:pPr>
        <w:spacing w:line="240" w:lineRule="auto"/>
        <w:jc w:val="both"/>
        <w:rPr>
          <w:rFonts w:ascii="Century Gothic" w:hAnsi="Century Gothic"/>
          <w:sz w:val="16"/>
          <w:szCs w:val="16"/>
        </w:rPr>
      </w:pPr>
    </w:p>
    <w:p w14:paraId="7AB9572F" w14:textId="77777777" w:rsidR="0049584C" w:rsidRDefault="0049584C" w:rsidP="000E5AC0">
      <w:pPr>
        <w:spacing w:line="240" w:lineRule="auto"/>
        <w:jc w:val="both"/>
        <w:rPr>
          <w:rFonts w:ascii="Century Gothic" w:hAnsi="Century Gothic"/>
          <w:sz w:val="16"/>
          <w:szCs w:val="16"/>
        </w:rPr>
      </w:pPr>
    </w:p>
    <w:p w14:paraId="1BD9A82D" w14:textId="76BB3F78" w:rsidR="007D4FA1" w:rsidRDefault="00D620F9" w:rsidP="00614296">
      <w:pPr>
        <w:spacing w:line="240" w:lineRule="auto"/>
        <w:jc w:val="center"/>
        <w:rPr>
          <w:rFonts w:ascii="Century Gothic" w:hAnsi="Century Gothic"/>
          <w:color w:val="000000"/>
          <w:sz w:val="16"/>
          <w:szCs w:val="16"/>
        </w:rPr>
      </w:pPr>
      <w:r w:rsidRPr="00E94619">
        <w:rPr>
          <w:rFonts w:ascii="Century Gothic" w:hAnsi="Century Gothic"/>
          <w:sz w:val="16"/>
          <w:szCs w:val="16"/>
        </w:rPr>
        <w:t xml:space="preserve">Fuente: </w:t>
      </w:r>
      <w:r w:rsidR="00F75F90" w:rsidRPr="00E94619">
        <w:rPr>
          <w:rFonts w:ascii="Century Gothic" w:hAnsi="Century Gothic"/>
          <w:sz w:val="16"/>
          <w:szCs w:val="16"/>
        </w:rPr>
        <w:t>Sistema Integrado de Información de la Protección Social</w:t>
      </w:r>
      <w:r w:rsidR="00F75F90" w:rsidRPr="00E94619">
        <w:rPr>
          <w:rFonts w:ascii="Century Gothic" w:hAnsi="Century Gothic"/>
          <w:color w:val="000000"/>
          <w:sz w:val="16"/>
          <w:szCs w:val="16"/>
        </w:rPr>
        <w:t>.2019</w:t>
      </w:r>
    </w:p>
    <w:p w14:paraId="0FC420B6" w14:textId="77777777" w:rsidR="00646447" w:rsidRDefault="00646447" w:rsidP="00614296">
      <w:pPr>
        <w:spacing w:line="240" w:lineRule="auto"/>
        <w:jc w:val="center"/>
        <w:rPr>
          <w:rFonts w:ascii="Century Gothic" w:hAnsi="Century Gothic"/>
          <w:color w:val="000000"/>
          <w:sz w:val="16"/>
          <w:szCs w:val="16"/>
        </w:rPr>
      </w:pPr>
    </w:p>
    <w:p w14:paraId="53AB2C5E" w14:textId="5E935D0E" w:rsidR="00646447" w:rsidRPr="00614296" w:rsidRDefault="00646447" w:rsidP="00614296">
      <w:pPr>
        <w:spacing w:line="240" w:lineRule="auto"/>
        <w:jc w:val="center"/>
        <w:rPr>
          <w:rFonts w:ascii="Century Gothic" w:hAnsi="Century Gothic"/>
          <w:color w:val="000000"/>
          <w:sz w:val="16"/>
          <w:szCs w:val="16"/>
        </w:rPr>
      </w:pPr>
    </w:p>
    <w:p w14:paraId="20597AB7" w14:textId="50575E03" w:rsidR="00F75F90" w:rsidRPr="0049584C" w:rsidRDefault="00D2173C" w:rsidP="000E5AC0">
      <w:pPr>
        <w:pStyle w:val="Ttulo4"/>
        <w:rPr>
          <w:rStyle w:val="Ttulo3Car"/>
          <w:rFonts w:ascii="Century Gothic" w:hAnsi="Century Gothic"/>
          <w:bCs w:val="0"/>
          <w:i w:val="0"/>
          <w:iCs w:val="0"/>
          <w:color w:val="C73465"/>
        </w:rPr>
      </w:pPr>
      <w:bookmarkStart w:id="69" w:name="_Toc488624285"/>
      <w:r>
        <w:rPr>
          <w:rFonts w:ascii="Century Gothic" w:hAnsi="Century Gothic"/>
          <w:b w:val="0"/>
          <w:noProof/>
          <w:szCs w:val="24"/>
          <w:lang w:val="es-ES"/>
        </w:rPr>
        <w:lastRenderedPageBreak/>
        <w:drawing>
          <wp:anchor distT="0" distB="0" distL="114300" distR="114300" simplePos="0" relativeHeight="251868160" behindDoc="0" locked="0" layoutInCell="1" allowOverlap="1" wp14:anchorId="003E3434" wp14:editId="22D568DC">
            <wp:simplePos x="0" y="0"/>
            <wp:positionH relativeFrom="column">
              <wp:posOffset>-1080135</wp:posOffset>
            </wp:positionH>
            <wp:positionV relativeFrom="paragraph">
              <wp:posOffset>-822960</wp:posOffset>
            </wp:positionV>
            <wp:extent cx="965835" cy="708660"/>
            <wp:effectExtent l="0" t="0" r="0" b="0"/>
            <wp:wrapNone/>
            <wp:docPr id="404" name="Imagen 40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b w:val="0"/>
            <w:lang w:val="es-ES_tradnl" w:eastAsia="es-ES"/>
          </w:rPr>
          <w:tag w:val="goog_rdk_68"/>
          <w:id w:val="-414784270"/>
        </w:sdtPr>
        <w:sdtContent/>
      </w:sdt>
      <w:r w:rsidR="00F75F90" w:rsidRPr="0049584C">
        <w:rPr>
          <w:rStyle w:val="Ttulo3Car"/>
          <w:rFonts w:ascii="Century Gothic" w:hAnsi="Century Gothic"/>
          <w:bCs w:val="0"/>
          <w:i w:val="0"/>
          <w:iCs w:val="0"/>
          <w:color w:val="C73465"/>
        </w:rPr>
        <w:t>6.4</w:t>
      </w:r>
      <w:r w:rsidR="0049584C">
        <w:rPr>
          <w:rStyle w:val="Ttulo3Car"/>
          <w:rFonts w:ascii="Century Gothic" w:hAnsi="Century Gothic"/>
          <w:bCs w:val="0"/>
          <w:i w:val="0"/>
          <w:iCs w:val="0"/>
          <w:color w:val="C73465"/>
        </w:rPr>
        <w:t>.</w:t>
      </w:r>
      <w:r w:rsidR="00F75F90" w:rsidRPr="0049584C">
        <w:rPr>
          <w:rStyle w:val="Ttulo3Car"/>
          <w:rFonts w:ascii="Century Gothic" w:hAnsi="Century Gothic"/>
          <w:bCs w:val="0"/>
          <w:i w:val="0"/>
          <w:iCs w:val="0"/>
          <w:color w:val="C73465"/>
        </w:rPr>
        <w:t xml:space="preserve"> Mujeres con detección de cáncer cervical (ODS 3.17)</w:t>
      </w:r>
      <w:bookmarkEnd w:id="69"/>
    </w:p>
    <w:p w14:paraId="23C5867D" w14:textId="77777777" w:rsidR="00F75F90" w:rsidRPr="00E94619" w:rsidRDefault="00F75F90" w:rsidP="000E5AC0">
      <w:pPr>
        <w:spacing w:after="0"/>
        <w:rPr>
          <w:rFonts w:ascii="Century Gothic" w:hAnsi="Century Gothic"/>
          <w:b/>
        </w:rPr>
      </w:pPr>
    </w:p>
    <w:p w14:paraId="6BC5323D" w14:textId="77777777" w:rsidR="00F75F90" w:rsidRDefault="00F75F90"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La tendencia de notificación para el 2018 comparada con 2017, para cáncer de mama aumentó un 13,8 % con una media de notificación para el 2018 de 189 casos por semana epidemiológica. Para el cáncer de cuello uterino, la notificación aumentó 68,1 %, con una media de notificación de 85 casos por semana epidemiológica</w:t>
      </w:r>
      <w:r w:rsidRPr="00E94619">
        <w:rPr>
          <w:rStyle w:val="Refdenotaalpie"/>
          <w:rFonts w:ascii="Century Gothic" w:hAnsi="Century Gothic"/>
          <w:color w:val="000000"/>
        </w:rPr>
        <w:footnoteReference w:id="47"/>
      </w:r>
      <w:sdt>
        <w:sdtPr>
          <w:rPr>
            <w:rFonts w:ascii="Century Gothic" w:hAnsi="Century Gothic"/>
            <w:color w:val="000000"/>
          </w:rPr>
          <w:id w:val="724962434"/>
          <w:citation/>
        </w:sdtPr>
        <w:sdtContent>
          <w:r w:rsidRPr="00E94619">
            <w:rPr>
              <w:rFonts w:ascii="Century Gothic" w:hAnsi="Century Gothic"/>
              <w:color w:val="000000"/>
            </w:rPr>
            <w:fldChar w:fldCharType="begin"/>
          </w:r>
          <w:r w:rsidRPr="00E94619">
            <w:rPr>
              <w:rFonts w:ascii="Century Gothic" w:hAnsi="Century Gothic"/>
              <w:color w:val="000000"/>
              <w:lang w:val="es-MX"/>
            </w:rPr>
            <w:instrText xml:space="preserve"> CITATION Min182 \l 2058 </w:instrText>
          </w:r>
          <w:r w:rsidRPr="00E94619">
            <w:rPr>
              <w:rFonts w:ascii="Century Gothic" w:hAnsi="Century Gothic"/>
              <w:color w:val="000000"/>
            </w:rPr>
            <w:fldChar w:fldCharType="separate"/>
          </w:r>
          <w:r w:rsidRPr="00E94619">
            <w:rPr>
              <w:rFonts w:ascii="Century Gothic" w:hAnsi="Century Gothic"/>
              <w:noProof/>
              <w:color w:val="000000"/>
              <w:lang w:val="es-MX"/>
            </w:rPr>
            <w:t xml:space="preserve"> (Ministerio de Salud y Protección Social, 2018)</w:t>
          </w:r>
          <w:r w:rsidRPr="00E94619">
            <w:rPr>
              <w:rFonts w:ascii="Century Gothic" w:hAnsi="Century Gothic"/>
              <w:color w:val="000000"/>
            </w:rPr>
            <w:fldChar w:fldCharType="end"/>
          </w:r>
        </w:sdtContent>
      </w:sdt>
      <w:r w:rsidRPr="00E94619">
        <w:rPr>
          <w:rFonts w:ascii="Century Gothic" w:hAnsi="Century Gothic"/>
          <w:color w:val="000000"/>
        </w:rPr>
        <w:t xml:space="preserve">. Los grupos de edad en la que esta enfermedad es más frecuente es en los de 30 a 34 (32,10%), 35 a 39 (29,18%) y 25 a 29 (25,14%).  </w:t>
      </w:r>
    </w:p>
    <w:p w14:paraId="58F543CD" w14:textId="77777777" w:rsidR="0049584C" w:rsidRDefault="0049584C" w:rsidP="000E5AC0">
      <w:pPr>
        <w:pBdr>
          <w:top w:val="nil"/>
          <w:left w:val="nil"/>
          <w:bottom w:val="nil"/>
          <w:right w:val="nil"/>
          <w:between w:val="nil"/>
        </w:pBdr>
        <w:spacing w:after="0" w:line="240" w:lineRule="auto"/>
        <w:jc w:val="both"/>
        <w:rPr>
          <w:rFonts w:ascii="Century Gothic" w:hAnsi="Century Gothic"/>
          <w:color w:val="000000"/>
        </w:rPr>
      </w:pPr>
    </w:p>
    <w:p w14:paraId="2900E884" w14:textId="50C470CE" w:rsidR="0049584C" w:rsidRDefault="0049584C" w:rsidP="0049584C">
      <w:pPr>
        <w:pBdr>
          <w:top w:val="nil"/>
          <w:left w:val="nil"/>
          <w:bottom w:val="nil"/>
          <w:right w:val="nil"/>
          <w:between w:val="nil"/>
        </w:pBdr>
        <w:spacing w:after="0" w:line="240" w:lineRule="auto"/>
        <w:jc w:val="center"/>
        <w:rPr>
          <w:rFonts w:ascii="Century Gothic" w:hAnsi="Century Gothic"/>
          <w:b/>
          <w:color w:val="000000"/>
          <w:sz w:val="16"/>
          <w:szCs w:val="16"/>
        </w:rPr>
      </w:pPr>
      <w:r w:rsidRPr="0049584C">
        <w:rPr>
          <w:rFonts w:ascii="Century Gothic" w:hAnsi="Century Gothic"/>
          <w:b/>
          <w:color w:val="000000"/>
          <w:sz w:val="16"/>
          <w:szCs w:val="16"/>
        </w:rPr>
        <w:t>Gráfica 47. Grupos de edad en los que es más frecuente el cáncer de cuello uterino (2019)</w:t>
      </w:r>
    </w:p>
    <w:p w14:paraId="1B286348" w14:textId="77777777" w:rsidR="0049584C" w:rsidRPr="0049584C" w:rsidRDefault="0049584C" w:rsidP="0049584C">
      <w:pPr>
        <w:pBdr>
          <w:top w:val="nil"/>
          <w:left w:val="nil"/>
          <w:bottom w:val="nil"/>
          <w:right w:val="nil"/>
          <w:between w:val="nil"/>
        </w:pBdr>
        <w:spacing w:after="0" w:line="240" w:lineRule="auto"/>
        <w:jc w:val="center"/>
        <w:rPr>
          <w:rFonts w:ascii="Century Gothic" w:hAnsi="Century Gothic"/>
          <w:b/>
          <w:color w:val="000000"/>
          <w:sz w:val="16"/>
          <w:szCs w:val="16"/>
        </w:rPr>
      </w:pPr>
    </w:p>
    <w:p w14:paraId="3AACB505" w14:textId="2D3F6E5B" w:rsidR="00F75F90" w:rsidRPr="00E94619" w:rsidRDefault="0049584C" w:rsidP="000E5AC0">
      <w:pPr>
        <w:spacing w:after="0"/>
        <w:jc w:val="both"/>
        <w:rPr>
          <w:rFonts w:ascii="Century Gothic" w:hAnsi="Century Gothic"/>
        </w:rPr>
      </w:pPr>
      <w:r w:rsidRPr="00E94619">
        <w:rPr>
          <w:rFonts w:ascii="Century Gothic" w:hAnsi="Century Gothic"/>
          <w:noProof/>
          <w:lang w:val="es-ES" w:eastAsia="es-ES"/>
        </w:rPr>
        <w:drawing>
          <wp:anchor distT="0" distB="0" distL="114300" distR="114300" simplePos="0" relativeHeight="251712512" behindDoc="0" locked="0" layoutInCell="1" allowOverlap="1" wp14:anchorId="77758FD4" wp14:editId="7579573F">
            <wp:simplePos x="0" y="0"/>
            <wp:positionH relativeFrom="column">
              <wp:posOffset>1257300</wp:posOffset>
            </wp:positionH>
            <wp:positionV relativeFrom="paragraph">
              <wp:posOffset>8890</wp:posOffset>
            </wp:positionV>
            <wp:extent cx="2886710" cy="1721485"/>
            <wp:effectExtent l="0" t="0" r="8890" b="5715"/>
            <wp:wrapSquare wrapText="bothSides"/>
            <wp:docPr id="55"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86710" cy="172148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entury Gothic" w:hAnsi="Century Gothic"/>
          </w:rPr>
          <w:tag w:val="goog_rdk_69"/>
          <w:id w:val="-2007423310"/>
        </w:sdtPr>
        <w:sdtContent/>
      </w:sdt>
      <w:r w:rsidR="00F75F90" w:rsidRPr="00E94619">
        <w:rPr>
          <w:rFonts w:ascii="Century Gothic" w:hAnsi="Century Gothic"/>
        </w:rPr>
        <w:t xml:space="preserve"> </w:t>
      </w:r>
    </w:p>
    <w:p w14:paraId="4B1502F3" w14:textId="77777777" w:rsidR="0049584C" w:rsidRDefault="0049584C" w:rsidP="000E5AC0">
      <w:pPr>
        <w:spacing w:after="0"/>
        <w:jc w:val="both"/>
        <w:rPr>
          <w:rFonts w:ascii="Century Gothic" w:hAnsi="Century Gothic"/>
          <w:sz w:val="16"/>
          <w:szCs w:val="16"/>
        </w:rPr>
      </w:pPr>
    </w:p>
    <w:p w14:paraId="001EEFE2" w14:textId="77777777" w:rsidR="0049584C" w:rsidRDefault="0049584C" w:rsidP="000E5AC0">
      <w:pPr>
        <w:spacing w:after="0"/>
        <w:jc w:val="both"/>
        <w:rPr>
          <w:rFonts w:ascii="Century Gothic" w:hAnsi="Century Gothic"/>
          <w:sz w:val="16"/>
          <w:szCs w:val="16"/>
        </w:rPr>
      </w:pPr>
    </w:p>
    <w:p w14:paraId="3DE56F25" w14:textId="77777777" w:rsidR="0049584C" w:rsidRDefault="0049584C" w:rsidP="000E5AC0">
      <w:pPr>
        <w:spacing w:after="0"/>
        <w:jc w:val="both"/>
        <w:rPr>
          <w:rFonts w:ascii="Century Gothic" w:hAnsi="Century Gothic"/>
          <w:sz w:val="16"/>
          <w:szCs w:val="16"/>
        </w:rPr>
      </w:pPr>
    </w:p>
    <w:p w14:paraId="25E5A135" w14:textId="77777777" w:rsidR="0049584C" w:rsidRDefault="0049584C" w:rsidP="000E5AC0">
      <w:pPr>
        <w:spacing w:after="0"/>
        <w:jc w:val="both"/>
        <w:rPr>
          <w:rFonts w:ascii="Century Gothic" w:hAnsi="Century Gothic"/>
          <w:sz w:val="16"/>
          <w:szCs w:val="16"/>
        </w:rPr>
      </w:pPr>
    </w:p>
    <w:p w14:paraId="75662A0B" w14:textId="77777777" w:rsidR="0049584C" w:rsidRDefault="0049584C" w:rsidP="000E5AC0">
      <w:pPr>
        <w:spacing w:after="0"/>
        <w:jc w:val="both"/>
        <w:rPr>
          <w:rFonts w:ascii="Century Gothic" w:hAnsi="Century Gothic"/>
          <w:sz w:val="16"/>
          <w:szCs w:val="16"/>
        </w:rPr>
      </w:pPr>
    </w:p>
    <w:p w14:paraId="6B67E63F" w14:textId="77777777" w:rsidR="0049584C" w:rsidRDefault="0049584C" w:rsidP="000E5AC0">
      <w:pPr>
        <w:spacing w:after="0"/>
        <w:jc w:val="both"/>
        <w:rPr>
          <w:rFonts w:ascii="Century Gothic" w:hAnsi="Century Gothic"/>
          <w:sz w:val="16"/>
          <w:szCs w:val="16"/>
        </w:rPr>
      </w:pPr>
    </w:p>
    <w:p w14:paraId="0BF901A4" w14:textId="77777777" w:rsidR="0049584C" w:rsidRDefault="0049584C" w:rsidP="000E5AC0">
      <w:pPr>
        <w:spacing w:after="0"/>
        <w:jc w:val="both"/>
        <w:rPr>
          <w:rFonts w:ascii="Century Gothic" w:hAnsi="Century Gothic"/>
          <w:sz w:val="16"/>
          <w:szCs w:val="16"/>
        </w:rPr>
      </w:pPr>
    </w:p>
    <w:p w14:paraId="6AC0A2B4" w14:textId="77777777" w:rsidR="0049584C" w:rsidRDefault="0049584C" w:rsidP="000E5AC0">
      <w:pPr>
        <w:spacing w:after="0"/>
        <w:jc w:val="both"/>
        <w:rPr>
          <w:rFonts w:ascii="Century Gothic" w:hAnsi="Century Gothic"/>
          <w:sz w:val="16"/>
          <w:szCs w:val="16"/>
        </w:rPr>
      </w:pPr>
    </w:p>
    <w:p w14:paraId="7B2EC115" w14:textId="77777777" w:rsidR="0049584C" w:rsidRDefault="0049584C" w:rsidP="000E5AC0">
      <w:pPr>
        <w:spacing w:after="0"/>
        <w:jc w:val="both"/>
        <w:rPr>
          <w:rFonts w:ascii="Century Gothic" w:hAnsi="Century Gothic"/>
          <w:sz w:val="16"/>
          <w:szCs w:val="16"/>
        </w:rPr>
      </w:pPr>
    </w:p>
    <w:p w14:paraId="4BB23FD5" w14:textId="77777777" w:rsidR="0049584C" w:rsidRDefault="0049584C" w:rsidP="000E5AC0">
      <w:pPr>
        <w:spacing w:after="0"/>
        <w:jc w:val="both"/>
        <w:rPr>
          <w:rFonts w:ascii="Century Gothic" w:hAnsi="Century Gothic"/>
          <w:sz w:val="16"/>
          <w:szCs w:val="16"/>
        </w:rPr>
      </w:pPr>
    </w:p>
    <w:p w14:paraId="1047BC4D" w14:textId="77777777" w:rsidR="0049584C" w:rsidRDefault="0049584C" w:rsidP="000E5AC0">
      <w:pPr>
        <w:spacing w:after="0"/>
        <w:jc w:val="both"/>
        <w:rPr>
          <w:rFonts w:ascii="Century Gothic" w:hAnsi="Century Gothic"/>
          <w:sz w:val="16"/>
          <w:szCs w:val="16"/>
        </w:rPr>
      </w:pPr>
    </w:p>
    <w:p w14:paraId="2B0F9B5C" w14:textId="77777777" w:rsidR="0049584C" w:rsidRDefault="0049584C" w:rsidP="000E5AC0">
      <w:pPr>
        <w:spacing w:after="0"/>
        <w:jc w:val="both"/>
        <w:rPr>
          <w:rFonts w:ascii="Century Gothic" w:hAnsi="Century Gothic"/>
          <w:sz w:val="16"/>
          <w:szCs w:val="16"/>
        </w:rPr>
      </w:pPr>
    </w:p>
    <w:p w14:paraId="0EA94DB2" w14:textId="77777777" w:rsidR="00F75F90" w:rsidRPr="00E94619" w:rsidRDefault="00D620F9" w:rsidP="0049584C">
      <w:pPr>
        <w:spacing w:after="0"/>
        <w:jc w:val="center"/>
        <w:rPr>
          <w:rFonts w:ascii="Century Gothic" w:hAnsi="Century Gothic"/>
        </w:rPr>
      </w:pPr>
      <w:r w:rsidRPr="00E94619">
        <w:rPr>
          <w:rFonts w:ascii="Century Gothic" w:hAnsi="Century Gothic"/>
          <w:sz w:val="16"/>
          <w:szCs w:val="16"/>
        </w:rPr>
        <w:t xml:space="preserve">Fuente: </w:t>
      </w:r>
      <w:r w:rsidR="00F75F90" w:rsidRPr="00E94619">
        <w:rPr>
          <w:rFonts w:ascii="Century Gothic" w:hAnsi="Century Gothic"/>
          <w:sz w:val="16"/>
          <w:szCs w:val="16"/>
        </w:rPr>
        <w:t>nstituto Nacional de Salud. 2019</w:t>
      </w:r>
    </w:p>
    <w:p w14:paraId="10166714" w14:textId="77777777" w:rsidR="00F75F90" w:rsidRPr="00E94619" w:rsidRDefault="00F75F90" w:rsidP="000E5AC0">
      <w:pPr>
        <w:spacing w:after="0"/>
        <w:jc w:val="both"/>
        <w:rPr>
          <w:rFonts w:ascii="Century Gothic" w:hAnsi="Century Gothic"/>
        </w:rPr>
      </w:pPr>
    </w:p>
    <w:p w14:paraId="467D33B2" w14:textId="77777777" w:rsidR="00F75F90" w:rsidRPr="00E94619" w:rsidRDefault="00F75F90" w:rsidP="000E5AC0">
      <w:pPr>
        <w:spacing w:after="0"/>
        <w:jc w:val="both"/>
        <w:rPr>
          <w:rFonts w:ascii="Century Gothic" w:hAnsi="Century Gothic"/>
        </w:rPr>
      </w:pPr>
      <w:r w:rsidRPr="00E94619">
        <w:rPr>
          <w:rFonts w:ascii="Century Gothic" w:hAnsi="Century Gothic"/>
        </w:rPr>
        <w:t xml:space="preserve">Con respecto a la tasa de mortalidad, según el Ministerio de Salud y protección Social, el cáncer de cuello uterino representa la quinta causa de muerte por cáncer en el país y una incidencia de 18,4 casos nuevos por cada 100 000 mujeres. </w:t>
      </w:r>
    </w:p>
    <w:p w14:paraId="4C350DCD" w14:textId="77777777" w:rsidR="00D82B9E" w:rsidRPr="00E94619" w:rsidRDefault="00D82B9E" w:rsidP="000E5AC0">
      <w:pPr>
        <w:spacing w:after="0"/>
        <w:jc w:val="both"/>
        <w:rPr>
          <w:rFonts w:ascii="Century Gothic" w:hAnsi="Century Gothic"/>
        </w:rPr>
      </w:pPr>
    </w:p>
    <w:p w14:paraId="2A5F5F05" w14:textId="10C7D38B" w:rsidR="00F75F90" w:rsidRPr="0049584C" w:rsidRDefault="00F75F90" w:rsidP="000E5AC0">
      <w:pPr>
        <w:pStyle w:val="Ttulo3"/>
        <w:rPr>
          <w:rFonts w:ascii="Century Gothic" w:eastAsia="Cambria" w:hAnsi="Century Gothic"/>
          <w:b w:val="0"/>
          <w:i/>
          <w:color w:val="C73465"/>
        </w:rPr>
      </w:pPr>
      <w:bookmarkStart w:id="70" w:name="_Toc488624286"/>
      <w:r w:rsidRPr="0049584C">
        <w:rPr>
          <w:rFonts w:ascii="Century Gothic" w:eastAsia="Cambria" w:hAnsi="Century Gothic"/>
          <w:b w:val="0"/>
          <w:color w:val="C73465"/>
        </w:rPr>
        <w:t>6.5</w:t>
      </w:r>
      <w:r w:rsidR="0049584C">
        <w:rPr>
          <w:rFonts w:ascii="Century Gothic" w:eastAsia="Cambria" w:hAnsi="Century Gothic"/>
          <w:b w:val="0"/>
          <w:color w:val="C73465"/>
        </w:rPr>
        <w:t>.</w:t>
      </w:r>
      <w:r w:rsidRPr="0049584C">
        <w:rPr>
          <w:rFonts w:ascii="Century Gothic" w:eastAsia="Cambria" w:hAnsi="Century Gothic"/>
          <w:b w:val="0"/>
          <w:color w:val="C73465"/>
        </w:rPr>
        <w:t xml:space="preserve"> Número de mujeres que acceden y usan algún método anticonceptivo</w:t>
      </w:r>
      <w:bookmarkEnd w:id="70"/>
    </w:p>
    <w:p w14:paraId="27CD0BB9" w14:textId="77777777" w:rsidR="00F75F90" w:rsidRPr="00E94619" w:rsidRDefault="00F75F90" w:rsidP="000E5AC0">
      <w:pPr>
        <w:spacing w:after="0"/>
        <w:jc w:val="both"/>
        <w:rPr>
          <w:rFonts w:ascii="Century Gothic" w:hAnsi="Century Gothic"/>
        </w:rPr>
      </w:pPr>
    </w:p>
    <w:p w14:paraId="004787EF" w14:textId="77777777" w:rsidR="00F75F90" w:rsidRPr="00E94619" w:rsidRDefault="00F75F90" w:rsidP="000E5AC0">
      <w:pPr>
        <w:spacing w:after="0"/>
        <w:jc w:val="both"/>
        <w:rPr>
          <w:rFonts w:ascii="Century Gothic" w:hAnsi="Century Gothic"/>
        </w:rPr>
      </w:pPr>
      <w:r w:rsidRPr="00E94619">
        <w:rPr>
          <w:rFonts w:ascii="Century Gothic" w:hAnsi="Century Gothic"/>
        </w:rPr>
        <w:t>Según el Ministerio de Salud y Protección Social</w:t>
      </w:r>
      <w:r w:rsidRPr="00E94619">
        <w:rPr>
          <w:rStyle w:val="Refdenotaalpie"/>
          <w:rFonts w:ascii="Century Gothic" w:hAnsi="Century Gothic"/>
        </w:rPr>
        <w:footnoteReference w:id="48"/>
      </w:r>
      <w:r w:rsidRPr="00E94619">
        <w:rPr>
          <w:rFonts w:ascii="Century Gothic" w:hAnsi="Century Gothic"/>
        </w:rPr>
        <w:t>, aunque el 100 % de la población colombiana conoce sobre algún método anticonceptivo, el 19,1 % de las mujeres actualmente unidas y el 17,5 de las no unidas sexualmente activas no usan métodos anticonceptivos. En el caso de los hombres, el 17,3 % unidos y el 10,4 % de los no unidos sexualmente activos no usan métodos anticonceptivos.</w:t>
      </w:r>
    </w:p>
    <w:p w14:paraId="70AB3D0E" w14:textId="77777777" w:rsidR="00F75F90" w:rsidRPr="00E94619" w:rsidRDefault="00F75F90" w:rsidP="000E5AC0">
      <w:pPr>
        <w:spacing w:after="0"/>
        <w:jc w:val="both"/>
        <w:rPr>
          <w:rFonts w:ascii="Century Gothic" w:hAnsi="Century Gothic"/>
        </w:rPr>
      </w:pPr>
      <w:r w:rsidRPr="00E94619">
        <w:rPr>
          <w:rFonts w:ascii="Century Gothic" w:hAnsi="Century Gothic"/>
        </w:rPr>
        <w:t xml:space="preserve">Por su parte, el 69,9 % de las mujeres adolescentes entre 15 y 19 años y el 52,7 % de los hombres adolescentes en el mismo rango de edad, unidos y no unidos con actividad sexual reciente, no usan métodos anticonceptivos </w:t>
      </w:r>
      <w:sdt>
        <w:sdtPr>
          <w:rPr>
            <w:rFonts w:ascii="Century Gothic" w:hAnsi="Century Gothic"/>
          </w:rPr>
          <w:id w:val="1251925052"/>
          <w:citation/>
        </w:sdtPr>
        <w:sdtContent>
          <w:r w:rsidRPr="00E94619">
            <w:rPr>
              <w:rFonts w:ascii="Century Gothic" w:hAnsi="Century Gothic"/>
            </w:rPr>
            <w:fldChar w:fldCharType="begin"/>
          </w:r>
          <w:r w:rsidRPr="00E94619">
            <w:rPr>
              <w:rFonts w:ascii="Century Gothic" w:hAnsi="Century Gothic"/>
              <w:lang w:val="es-MX"/>
            </w:rPr>
            <w:instrText xml:space="preserve"> CITATION Min16 \l 2058 </w:instrText>
          </w:r>
          <w:r w:rsidRPr="00E94619">
            <w:rPr>
              <w:rFonts w:ascii="Century Gothic" w:hAnsi="Century Gothic"/>
            </w:rPr>
            <w:fldChar w:fldCharType="separate"/>
          </w:r>
          <w:r w:rsidRPr="00E94619">
            <w:rPr>
              <w:rFonts w:ascii="Century Gothic" w:hAnsi="Century Gothic"/>
              <w:noProof/>
              <w:lang w:val="es-MX"/>
            </w:rPr>
            <w:t>(Ministerio de Salud y Protección Social, 2016)</w:t>
          </w:r>
          <w:r w:rsidRPr="00E94619">
            <w:rPr>
              <w:rFonts w:ascii="Century Gothic" w:hAnsi="Century Gothic"/>
            </w:rPr>
            <w:fldChar w:fldCharType="end"/>
          </w:r>
        </w:sdtContent>
      </w:sdt>
      <w:r w:rsidRPr="00E94619">
        <w:rPr>
          <w:rFonts w:ascii="Century Gothic" w:hAnsi="Century Gothic"/>
        </w:rPr>
        <w:t xml:space="preserve">. </w:t>
      </w:r>
    </w:p>
    <w:p w14:paraId="745238D8" w14:textId="77777777" w:rsidR="00F75F90" w:rsidRPr="00E94619" w:rsidRDefault="00F75F90" w:rsidP="000E5AC0">
      <w:pPr>
        <w:spacing w:after="0"/>
        <w:jc w:val="both"/>
        <w:rPr>
          <w:rFonts w:ascii="Century Gothic" w:hAnsi="Century Gothic"/>
        </w:rPr>
      </w:pPr>
    </w:p>
    <w:p w14:paraId="115BB2EE" w14:textId="71BE5B5F" w:rsidR="00F75F90" w:rsidRPr="00E94619" w:rsidRDefault="00F75F90" w:rsidP="000E5AC0">
      <w:pPr>
        <w:spacing w:after="0"/>
        <w:jc w:val="both"/>
        <w:rPr>
          <w:rFonts w:ascii="Century Gothic" w:hAnsi="Century Gothic"/>
        </w:rPr>
      </w:pPr>
      <w:r w:rsidRPr="00E94619">
        <w:rPr>
          <w:rFonts w:ascii="Century Gothic" w:hAnsi="Century Gothic"/>
        </w:rPr>
        <w:t xml:space="preserve">El acceso a métodos anticonceptivos tiene como barreras el bajo nivel socioeconómico y de educación de las mujeres, así como la región en la que viven. Es de resaltar que la planificación familiar sigue siendo considerada una responsabilidad de la mujer, de la que se excluye a los hombres. </w:t>
      </w:r>
    </w:p>
    <w:p w14:paraId="05EBFCB4" w14:textId="5E08D04C" w:rsidR="00F75F90" w:rsidRPr="00E46859" w:rsidRDefault="00D2173C" w:rsidP="000E5AC0">
      <w:pPr>
        <w:pStyle w:val="Ttulo4"/>
        <w:rPr>
          <w:rStyle w:val="Ttulo3Car"/>
          <w:rFonts w:ascii="Century Gothic" w:hAnsi="Century Gothic"/>
          <w:bCs w:val="0"/>
          <w:i w:val="0"/>
          <w:iCs w:val="0"/>
          <w:color w:val="C73465"/>
        </w:rPr>
      </w:pPr>
      <w:bookmarkStart w:id="71" w:name="_Toc488624287"/>
      <w:r>
        <w:rPr>
          <w:rFonts w:ascii="Century Gothic" w:hAnsi="Century Gothic"/>
          <w:b w:val="0"/>
          <w:noProof/>
          <w:szCs w:val="24"/>
          <w:lang w:val="es-ES"/>
        </w:rPr>
        <w:lastRenderedPageBreak/>
        <w:drawing>
          <wp:anchor distT="0" distB="0" distL="114300" distR="114300" simplePos="0" relativeHeight="251870208" behindDoc="0" locked="0" layoutInCell="1" allowOverlap="1" wp14:anchorId="0AF9635C" wp14:editId="16411ABD">
            <wp:simplePos x="0" y="0"/>
            <wp:positionH relativeFrom="column">
              <wp:posOffset>-1080135</wp:posOffset>
            </wp:positionH>
            <wp:positionV relativeFrom="paragraph">
              <wp:posOffset>-822960</wp:posOffset>
            </wp:positionV>
            <wp:extent cx="965835" cy="708660"/>
            <wp:effectExtent l="0" t="0" r="0" b="0"/>
            <wp:wrapNone/>
            <wp:docPr id="405" name="Imagen 40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b w:val="0"/>
            <w:color w:val="C73465"/>
            <w:lang w:val="es-ES_tradnl" w:eastAsia="es-ES"/>
          </w:rPr>
          <w:tag w:val="goog_rdk_71"/>
          <w:id w:val="526919551"/>
          <w:showingPlcHdr/>
        </w:sdtPr>
        <w:sdtEndPr>
          <w:rPr>
            <w:lang w:val="es-CO" w:eastAsia="en-US"/>
          </w:rPr>
        </w:sdtEndPr>
        <w:sdtContent>
          <w:r w:rsidR="00D620F9" w:rsidRPr="00E46859">
            <w:rPr>
              <w:rFonts w:ascii="Century Gothic" w:hAnsi="Century Gothic"/>
              <w:color w:val="C73465"/>
              <w:lang w:val="es-ES_tradnl" w:eastAsia="es-ES"/>
            </w:rPr>
            <w:t xml:space="preserve">     </w:t>
          </w:r>
        </w:sdtContent>
      </w:sdt>
      <w:r w:rsidR="00F75F90" w:rsidRPr="00E46859">
        <w:rPr>
          <w:rStyle w:val="Ttulo3Car"/>
          <w:rFonts w:ascii="Century Gothic" w:hAnsi="Century Gothic"/>
          <w:bCs w:val="0"/>
          <w:i w:val="0"/>
          <w:iCs w:val="0"/>
          <w:color w:val="C73465"/>
        </w:rPr>
        <w:t>6.6</w:t>
      </w:r>
      <w:r w:rsidR="00D82B9E" w:rsidRPr="00E46859">
        <w:rPr>
          <w:rStyle w:val="Ttulo3Car"/>
          <w:rFonts w:ascii="Century Gothic" w:hAnsi="Century Gothic"/>
          <w:bCs w:val="0"/>
          <w:i w:val="0"/>
          <w:iCs w:val="0"/>
          <w:color w:val="C73465"/>
        </w:rPr>
        <w:t>.</w:t>
      </w:r>
      <w:r w:rsidR="00F75F90" w:rsidRPr="00E46859">
        <w:rPr>
          <w:rStyle w:val="Ttulo3Car"/>
          <w:rFonts w:ascii="Century Gothic" w:hAnsi="Century Gothic"/>
          <w:bCs w:val="0"/>
          <w:i w:val="0"/>
          <w:iCs w:val="0"/>
          <w:color w:val="C73465"/>
        </w:rPr>
        <w:t xml:space="preserve"> Embarazo en adolescentes</w:t>
      </w:r>
      <w:bookmarkEnd w:id="71"/>
    </w:p>
    <w:p w14:paraId="494A2742" w14:textId="77777777" w:rsidR="00F75F90" w:rsidRPr="00E94619" w:rsidRDefault="00F75F90" w:rsidP="000E5AC0">
      <w:pPr>
        <w:spacing w:after="0"/>
        <w:jc w:val="both"/>
        <w:rPr>
          <w:rFonts w:ascii="Century Gothic" w:hAnsi="Century Gothic"/>
        </w:rPr>
      </w:pPr>
    </w:p>
    <w:p w14:paraId="3CD0ECB6" w14:textId="7D8DBCF3" w:rsidR="00F75F90" w:rsidRPr="00E94619" w:rsidRDefault="00F75F90" w:rsidP="000E5AC0">
      <w:pPr>
        <w:spacing w:after="0"/>
        <w:jc w:val="both"/>
        <w:rPr>
          <w:rFonts w:ascii="Century Gothic" w:hAnsi="Century Gothic"/>
        </w:rPr>
      </w:pPr>
      <w:r w:rsidRPr="00E94619">
        <w:rPr>
          <w:rFonts w:ascii="Century Gothic" w:hAnsi="Century Gothic"/>
        </w:rPr>
        <w:t>Según las Estadísticas Vitales del DANE (2020) se registraron nacimientos 4.243 de madres entre los 10 y 15 años, y 109.380 nacimientos de madres entre los 15 y 19 años.  En particular durante el año 2019 el 57,95% de los recién nacidos correspondió a madres entre los 15 y 19 años y el 2,47% a las de 10 a 14 años</w:t>
      </w:r>
      <w:sdt>
        <w:sdtPr>
          <w:rPr>
            <w:rFonts w:ascii="Century Gothic" w:hAnsi="Century Gothic"/>
          </w:rPr>
          <w:id w:val="-51002533"/>
          <w:citation/>
        </w:sdtPr>
        <w:sdtContent>
          <w:r w:rsidRPr="00E94619">
            <w:rPr>
              <w:rFonts w:ascii="Century Gothic" w:hAnsi="Century Gothic"/>
            </w:rPr>
            <w:fldChar w:fldCharType="begin"/>
          </w:r>
          <w:r w:rsidRPr="00E94619">
            <w:rPr>
              <w:rFonts w:ascii="Century Gothic" w:hAnsi="Century Gothic"/>
              <w:lang w:val="es-MX"/>
            </w:rPr>
            <w:instrText xml:space="preserve"> CITATION SIS19 \l 2058 </w:instrText>
          </w:r>
          <w:r w:rsidRPr="00E94619">
            <w:rPr>
              <w:rFonts w:ascii="Century Gothic" w:hAnsi="Century Gothic"/>
            </w:rPr>
            <w:fldChar w:fldCharType="separate"/>
          </w:r>
          <w:r w:rsidRPr="00E94619">
            <w:rPr>
              <w:rFonts w:ascii="Century Gothic" w:hAnsi="Century Gothic"/>
              <w:noProof/>
              <w:lang w:val="es-MX"/>
            </w:rPr>
            <w:t xml:space="preserve"> (SISPRO, 2019)</w:t>
          </w:r>
          <w:r w:rsidRPr="00E94619">
            <w:rPr>
              <w:rFonts w:ascii="Century Gothic" w:hAnsi="Century Gothic"/>
            </w:rPr>
            <w:fldChar w:fldCharType="end"/>
          </w:r>
        </w:sdtContent>
      </w:sdt>
      <w:r w:rsidRPr="00E94619">
        <w:rPr>
          <w:rFonts w:ascii="Century Gothic" w:hAnsi="Century Gothic"/>
        </w:rPr>
        <w:t xml:space="preserve">. </w:t>
      </w:r>
    </w:p>
    <w:p w14:paraId="3615E4E0" w14:textId="77777777" w:rsidR="00F75F90" w:rsidRDefault="00F75F90" w:rsidP="000E5AC0">
      <w:pPr>
        <w:widowControl w:val="0"/>
        <w:spacing w:after="0" w:line="240" w:lineRule="auto"/>
        <w:jc w:val="both"/>
        <w:rPr>
          <w:rFonts w:ascii="Century Gothic" w:hAnsi="Century Gothic"/>
        </w:rPr>
      </w:pPr>
      <w:r w:rsidRPr="00E94619">
        <w:rPr>
          <w:rFonts w:ascii="Century Gothic" w:hAnsi="Century Gothic"/>
        </w:rPr>
        <w:t>Los embarazos adolescentes en Colombia obedecen a patrones socioculturales basados en relaciones de poder desiguales entre hombres y mujeres, niñas-os-adultos, en los que, por ejemplo, se sustentan y toleran las relaciones de hombres mayores con mujeres jóvenes y la percepción del cuerpo de la mujer como un objeto para complacer y agradar al sexo opuesto. A lo anterior, se agrega las percepciones del amor romántico, la alta valoración del embarazo en algunas comunidades, las carencias afectivas, la presión de pares, el desempoderamiento y la baja calidad de la educación sobre sexualidad.</w:t>
      </w:r>
    </w:p>
    <w:p w14:paraId="25F8A7A0" w14:textId="77777777" w:rsidR="00E46859" w:rsidRDefault="00E46859" w:rsidP="00E46859">
      <w:pPr>
        <w:widowControl w:val="0"/>
        <w:spacing w:after="0" w:line="240" w:lineRule="auto"/>
        <w:jc w:val="center"/>
        <w:rPr>
          <w:rFonts w:ascii="Century Gothic" w:hAnsi="Century Gothic"/>
          <w:b/>
          <w:sz w:val="16"/>
          <w:szCs w:val="16"/>
        </w:rPr>
      </w:pPr>
    </w:p>
    <w:p w14:paraId="01B87F53" w14:textId="3493D254" w:rsidR="00E46859" w:rsidRPr="00E46859" w:rsidRDefault="00E46859" w:rsidP="00E46859">
      <w:pPr>
        <w:widowControl w:val="0"/>
        <w:spacing w:after="0" w:line="240" w:lineRule="auto"/>
        <w:jc w:val="center"/>
        <w:rPr>
          <w:rFonts w:ascii="Century Gothic" w:hAnsi="Century Gothic"/>
          <w:b/>
          <w:sz w:val="16"/>
          <w:szCs w:val="16"/>
        </w:rPr>
      </w:pPr>
      <w:r w:rsidRPr="00E46859">
        <w:rPr>
          <w:rFonts w:ascii="Century Gothic" w:hAnsi="Century Gothic"/>
          <w:b/>
          <w:sz w:val="16"/>
          <w:szCs w:val="16"/>
        </w:rPr>
        <w:t>Gráfica 48. Nacimientos por rango de edad de la madre</w:t>
      </w:r>
    </w:p>
    <w:p w14:paraId="00FA284A" w14:textId="13101FE9" w:rsidR="00F75F90" w:rsidRPr="00E94619" w:rsidRDefault="00E46859" w:rsidP="000E5AC0">
      <w:pPr>
        <w:spacing w:after="0" w:line="240" w:lineRule="auto"/>
        <w:jc w:val="both"/>
        <w:rPr>
          <w:rFonts w:ascii="Century Gothic" w:hAnsi="Century Gothic"/>
          <w:sz w:val="16"/>
          <w:szCs w:val="16"/>
        </w:rPr>
      </w:pPr>
      <w:r w:rsidRPr="00E94619">
        <w:rPr>
          <w:rFonts w:ascii="Century Gothic" w:hAnsi="Century Gothic"/>
          <w:noProof/>
          <w:lang w:val="es-ES" w:eastAsia="es-ES"/>
        </w:rPr>
        <w:drawing>
          <wp:anchor distT="0" distB="0" distL="114300" distR="114300" simplePos="0" relativeHeight="251713536" behindDoc="0" locked="0" layoutInCell="1" allowOverlap="1" wp14:anchorId="4F437290" wp14:editId="6CA4EA09">
            <wp:simplePos x="0" y="0"/>
            <wp:positionH relativeFrom="column">
              <wp:posOffset>1257300</wp:posOffset>
            </wp:positionH>
            <wp:positionV relativeFrom="paragraph">
              <wp:posOffset>78740</wp:posOffset>
            </wp:positionV>
            <wp:extent cx="2929890" cy="1747520"/>
            <wp:effectExtent l="0" t="0" r="0" b="5080"/>
            <wp:wrapSquare wrapText="bothSides"/>
            <wp:docPr id="56"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29890" cy="1747520"/>
                    </a:xfrm>
                    <a:prstGeom prst="rect">
                      <a:avLst/>
                    </a:prstGeom>
                    <a:noFill/>
                  </pic:spPr>
                </pic:pic>
              </a:graphicData>
            </a:graphic>
            <wp14:sizeRelH relativeFrom="page">
              <wp14:pctWidth>0</wp14:pctWidth>
            </wp14:sizeRelH>
            <wp14:sizeRelV relativeFrom="page">
              <wp14:pctHeight>0</wp14:pctHeight>
            </wp14:sizeRelV>
          </wp:anchor>
        </w:drawing>
      </w:r>
    </w:p>
    <w:p w14:paraId="17E85A3B" w14:textId="17EA501D" w:rsidR="00F75F90" w:rsidRPr="00E94619" w:rsidRDefault="00830DBC" w:rsidP="000E5AC0">
      <w:pPr>
        <w:spacing w:after="0" w:line="240" w:lineRule="auto"/>
        <w:jc w:val="both"/>
        <w:rPr>
          <w:rFonts w:ascii="Century Gothic" w:hAnsi="Century Gothic"/>
          <w:sz w:val="16"/>
          <w:szCs w:val="16"/>
        </w:rPr>
      </w:pPr>
      <w:sdt>
        <w:sdtPr>
          <w:rPr>
            <w:rFonts w:ascii="Century Gothic" w:hAnsi="Century Gothic"/>
          </w:rPr>
          <w:tag w:val="goog_rdk_72"/>
          <w:id w:val="-1792353279"/>
          <w:showingPlcHdr/>
        </w:sdtPr>
        <w:sdtContent>
          <w:r w:rsidR="00D620F9" w:rsidRPr="00E94619">
            <w:rPr>
              <w:rFonts w:ascii="Century Gothic" w:hAnsi="Century Gothic"/>
            </w:rPr>
            <w:t xml:space="preserve">     </w:t>
          </w:r>
        </w:sdtContent>
      </w:sdt>
    </w:p>
    <w:p w14:paraId="0DB3448C" w14:textId="77777777" w:rsidR="00E46859" w:rsidRDefault="00E46859" w:rsidP="000E5AC0">
      <w:pPr>
        <w:spacing w:after="0" w:line="240" w:lineRule="auto"/>
        <w:jc w:val="both"/>
        <w:rPr>
          <w:rFonts w:ascii="Century Gothic" w:hAnsi="Century Gothic"/>
          <w:sz w:val="16"/>
          <w:szCs w:val="16"/>
        </w:rPr>
      </w:pPr>
    </w:p>
    <w:p w14:paraId="31596A47" w14:textId="77777777" w:rsidR="00E46859" w:rsidRDefault="00E46859" w:rsidP="000E5AC0">
      <w:pPr>
        <w:spacing w:after="0" w:line="240" w:lineRule="auto"/>
        <w:jc w:val="both"/>
        <w:rPr>
          <w:rFonts w:ascii="Century Gothic" w:hAnsi="Century Gothic"/>
          <w:sz w:val="16"/>
          <w:szCs w:val="16"/>
        </w:rPr>
      </w:pPr>
    </w:p>
    <w:p w14:paraId="4E4F0134" w14:textId="77777777" w:rsidR="00E46859" w:rsidRDefault="00E46859" w:rsidP="000E5AC0">
      <w:pPr>
        <w:spacing w:after="0" w:line="240" w:lineRule="auto"/>
        <w:jc w:val="both"/>
        <w:rPr>
          <w:rFonts w:ascii="Century Gothic" w:hAnsi="Century Gothic"/>
          <w:sz w:val="16"/>
          <w:szCs w:val="16"/>
        </w:rPr>
      </w:pPr>
    </w:p>
    <w:p w14:paraId="47EE18CF" w14:textId="77777777" w:rsidR="00E46859" w:rsidRDefault="00E46859" w:rsidP="000E5AC0">
      <w:pPr>
        <w:spacing w:after="0" w:line="240" w:lineRule="auto"/>
        <w:jc w:val="both"/>
        <w:rPr>
          <w:rFonts w:ascii="Century Gothic" w:hAnsi="Century Gothic"/>
          <w:sz w:val="16"/>
          <w:szCs w:val="16"/>
        </w:rPr>
      </w:pPr>
    </w:p>
    <w:p w14:paraId="143A8CC7" w14:textId="77777777" w:rsidR="00E46859" w:rsidRDefault="00E46859" w:rsidP="000E5AC0">
      <w:pPr>
        <w:spacing w:after="0" w:line="240" w:lineRule="auto"/>
        <w:jc w:val="both"/>
        <w:rPr>
          <w:rFonts w:ascii="Century Gothic" w:hAnsi="Century Gothic"/>
          <w:sz w:val="16"/>
          <w:szCs w:val="16"/>
        </w:rPr>
      </w:pPr>
    </w:p>
    <w:p w14:paraId="25375E06" w14:textId="77777777" w:rsidR="00E46859" w:rsidRDefault="00E46859" w:rsidP="000E5AC0">
      <w:pPr>
        <w:spacing w:after="0" w:line="240" w:lineRule="auto"/>
        <w:jc w:val="both"/>
        <w:rPr>
          <w:rFonts w:ascii="Century Gothic" w:hAnsi="Century Gothic"/>
          <w:sz w:val="16"/>
          <w:szCs w:val="16"/>
        </w:rPr>
      </w:pPr>
    </w:p>
    <w:p w14:paraId="581EDAB4" w14:textId="77777777" w:rsidR="00E46859" w:rsidRDefault="00E46859" w:rsidP="000E5AC0">
      <w:pPr>
        <w:spacing w:after="0" w:line="240" w:lineRule="auto"/>
        <w:jc w:val="both"/>
        <w:rPr>
          <w:rFonts w:ascii="Century Gothic" w:hAnsi="Century Gothic"/>
          <w:sz w:val="16"/>
          <w:szCs w:val="16"/>
        </w:rPr>
      </w:pPr>
    </w:p>
    <w:p w14:paraId="32B91305" w14:textId="77777777" w:rsidR="00E46859" w:rsidRDefault="00E46859" w:rsidP="000E5AC0">
      <w:pPr>
        <w:spacing w:after="0" w:line="240" w:lineRule="auto"/>
        <w:jc w:val="both"/>
        <w:rPr>
          <w:rFonts w:ascii="Century Gothic" w:hAnsi="Century Gothic"/>
          <w:sz w:val="16"/>
          <w:szCs w:val="16"/>
        </w:rPr>
      </w:pPr>
    </w:p>
    <w:p w14:paraId="011B6250" w14:textId="77777777" w:rsidR="00E46859" w:rsidRDefault="00E46859" w:rsidP="000E5AC0">
      <w:pPr>
        <w:spacing w:after="0" w:line="240" w:lineRule="auto"/>
        <w:jc w:val="both"/>
        <w:rPr>
          <w:rFonts w:ascii="Century Gothic" w:hAnsi="Century Gothic"/>
          <w:sz w:val="16"/>
          <w:szCs w:val="16"/>
        </w:rPr>
      </w:pPr>
    </w:p>
    <w:p w14:paraId="12975315" w14:textId="77777777" w:rsidR="00E46859" w:rsidRDefault="00E46859" w:rsidP="000E5AC0">
      <w:pPr>
        <w:spacing w:after="0" w:line="240" w:lineRule="auto"/>
        <w:jc w:val="both"/>
        <w:rPr>
          <w:rFonts w:ascii="Century Gothic" w:hAnsi="Century Gothic"/>
          <w:sz w:val="16"/>
          <w:szCs w:val="16"/>
        </w:rPr>
      </w:pPr>
    </w:p>
    <w:p w14:paraId="525B1310" w14:textId="77777777" w:rsidR="00E46859" w:rsidRDefault="00E46859" w:rsidP="000E5AC0">
      <w:pPr>
        <w:spacing w:after="0" w:line="240" w:lineRule="auto"/>
        <w:jc w:val="both"/>
        <w:rPr>
          <w:rFonts w:ascii="Century Gothic" w:hAnsi="Century Gothic"/>
          <w:sz w:val="16"/>
          <w:szCs w:val="16"/>
        </w:rPr>
      </w:pPr>
    </w:p>
    <w:p w14:paraId="0AF72844" w14:textId="77777777" w:rsidR="00E46859" w:rsidRDefault="00E46859" w:rsidP="000E5AC0">
      <w:pPr>
        <w:spacing w:after="0" w:line="240" w:lineRule="auto"/>
        <w:jc w:val="both"/>
        <w:rPr>
          <w:rFonts w:ascii="Century Gothic" w:hAnsi="Century Gothic"/>
          <w:sz w:val="16"/>
          <w:szCs w:val="16"/>
        </w:rPr>
      </w:pPr>
    </w:p>
    <w:p w14:paraId="46D07399" w14:textId="77777777" w:rsidR="00E46859" w:rsidRDefault="00E46859" w:rsidP="000E5AC0">
      <w:pPr>
        <w:spacing w:after="0" w:line="240" w:lineRule="auto"/>
        <w:jc w:val="both"/>
        <w:rPr>
          <w:rFonts w:ascii="Century Gothic" w:hAnsi="Century Gothic"/>
          <w:sz w:val="16"/>
          <w:szCs w:val="16"/>
        </w:rPr>
      </w:pPr>
    </w:p>
    <w:p w14:paraId="47DA3784" w14:textId="77777777" w:rsidR="00F75F90" w:rsidRPr="00E94619" w:rsidRDefault="00D620F9" w:rsidP="00E46859">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F75F90" w:rsidRPr="00E94619">
        <w:rPr>
          <w:rFonts w:ascii="Century Gothic" w:hAnsi="Century Gothic"/>
          <w:sz w:val="16"/>
          <w:szCs w:val="16"/>
        </w:rPr>
        <w:t>DANE, Estadísticas vitales de nacimientos y defunciones, 2020</w:t>
      </w:r>
    </w:p>
    <w:p w14:paraId="19909D22" w14:textId="77777777" w:rsidR="00D82B9E" w:rsidRPr="00E94619" w:rsidRDefault="00D82B9E" w:rsidP="000E5AC0">
      <w:pPr>
        <w:spacing w:after="0" w:line="240" w:lineRule="auto"/>
        <w:jc w:val="both"/>
        <w:rPr>
          <w:rFonts w:ascii="Century Gothic" w:hAnsi="Century Gothic"/>
          <w:sz w:val="16"/>
          <w:szCs w:val="16"/>
        </w:rPr>
      </w:pPr>
    </w:p>
    <w:p w14:paraId="5BE8D8CC" w14:textId="77777777" w:rsidR="00D82B9E" w:rsidRPr="00E94619" w:rsidRDefault="00D82B9E" w:rsidP="000E5AC0">
      <w:pPr>
        <w:spacing w:after="0" w:line="240" w:lineRule="auto"/>
        <w:jc w:val="both"/>
        <w:rPr>
          <w:rFonts w:ascii="Century Gothic" w:hAnsi="Century Gothic"/>
          <w:sz w:val="16"/>
          <w:szCs w:val="16"/>
        </w:rPr>
      </w:pPr>
    </w:p>
    <w:p w14:paraId="0ED1F3D6" w14:textId="48F66BC8" w:rsidR="00F75F90" w:rsidRPr="00E46859" w:rsidRDefault="00F75F90" w:rsidP="00E46859">
      <w:pPr>
        <w:pStyle w:val="Ttulo4"/>
        <w:rPr>
          <w:rFonts w:ascii="Century Gothic" w:hAnsi="Century Gothic"/>
          <w:b w:val="0"/>
          <w:i w:val="0"/>
          <w:color w:val="C73465"/>
          <w:lang w:val="es-ES_tradnl" w:eastAsia="es-ES"/>
        </w:rPr>
      </w:pPr>
      <w:bookmarkStart w:id="72" w:name="_Toc488624288"/>
      <w:r w:rsidRPr="00E46859">
        <w:rPr>
          <w:rFonts w:ascii="Century Gothic" w:hAnsi="Century Gothic"/>
          <w:b w:val="0"/>
          <w:i w:val="0"/>
          <w:color w:val="C73465"/>
          <w:lang w:val="es-ES_tradnl" w:eastAsia="es-ES"/>
        </w:rPr>
        <w:t>6.7</w:t>
      </w:r>
      <w:r w:rsidR="00E46859">
        <w:rPr>
          <w:rFonts w:ascii="Century Gothic" w:hAnsi="Century Gothic"/>
          <w:b w:val="0"/>
          <w:i w:val="0"/>
          <w:color w:val="C73465"/>
          <w:lang w:val="es-ES_tradnl" w:eastAsia="es-ES"/>
        </w:rPr>
        <w:t>.</w:t>
      </w:r>
      <w:r w:rsidRPr="00E46859">
        <w:rPr>
          <w:rFonts w:ascii="Century Gothic" w:hAnsi="Century Gothic"/>
          <w:b w:val="0"/>
          <w:i w:val="0"/>
          <w:color w:val="C73465"/>
          <w:lang w:val="es-ES_tradnl" w:eastAsia="es-ES"/>
        </w:rPr>
        <w:t xml:space="preserve"> Jóvenes que reciben educación integral sobre la sexualidad (ODS 5.5)</w:t>
      </w:r>
      <w:bookmarkEnd w:id="72"/>
    </w:p>
    <w:p w14:paraId="27841789" w14:textId="77777777" w:rsidR="00D82B9E" w:rsidRPr="00E94619" w:rsidRDefault="00D82B9E" w:rsidP="000E5AC0">
      <w:pPr>
        <w:rPr>
          <w:rFonts w:ascii="Century Gothic" w:hAnsi="Century Gothic"/>
          <w:lang w:val="es-ES_tradnl" w:eastAsia="es-ES"/>
        </w:rPr>
      </w:pPr>
    </w:p>
    <w:p w14:paraId="11879E7E"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Aunque hace más de dos décadas el estado colombiano estableció la obligatoriedad de incluir acciones educativas para formar en derechos sexuales y reproductivos, no se tienen cifras de cobertura de su implementación. Desde el 2008 el país cuenta con el Programa de Educación para la Sexualidad y Construcción de Ciudadanía (PESCC) del Ministerio de Educación Nacional, el cual tiene como objetivo promover prácticas pedagógicas que desarrollen habilidades en los y las estudiantes, para que puedan incorporar en su cotidianidad el ejercicio de los derechos humanos sexuales y reproductivo.</w:t>
      </w:r>
    </w:p>
    <w:p w14:paraId="1AD7F256" w14:textId="77777777" w:rsidR="00F75F90" w:rsidRPr="00E94619" w:rsidRDefault="00F75F90" w:rsidP="000E5AC0">
      <w:pPr>
        <w:spacing w:after="0" w:line="240" w:lineRule="auto"/>
        <w:jc w:val="both"/>
        <w:rPr>
          <w:rFonts w:ascii="Century Gothic" w:hAnsi="Century Gothic"/>
        </w:rPr>
      </w:pPr>
    </w:p>
    <w:p w14:paraId="6978874F" w14:textId="3D3DF944" w:rsidR="00F75F90" w:rsidRPr="00E94619" w:rsidRDefault="00F75F90" w:rsidP="000E5AC0">
      <w:pPr>
        <w:spacing w:after="0" w:line="240" w:lineRule="auto"/>
        <w:jc w:val="both"/>
        <w:rPr>
          <w:rFonts w:ascii="Century Gothic" w:hAnsi="Century Gothic"/>
        </w:rPr>
      </w:pPr>
      <w:r w:rsidRPr="00E94619">
        <w:rPr>
          <w:rFonts w:ascii="Century Gothic" w:hAnsi="Century Gothic"/>
        </w:rPr>
        <w:t>Según la evaluación del PESCC realizada por UNFPA y la Universidad de los Andes,</w:t>
      </w:r>
      <w:r w:rsidRPr="00E94619">
        <w:rPr>
          <w:rFonts w:ascii="Century Gothic" w:eastAsia="Calibri" w:hAnsi="Century Gothic" w:cs="Calibri"/>
        </w:rPr>
        <w:t xml:space="preserve"> </w:t>
      </w:r>
      <w:r w:rsidRPr="00E94619">
        <w:rPr>
          <w:rFonts w:ascii="Century Gothic" w:hAnsi="Century Gothic"/>
        </w:rPr>
        <w:t xml:space="preserve">es necesario que el Estado colombiano se comprometa con la ampliación de la cobertura y el fortalecimiento de su implementación, sobre todo en los entes territoriales. También debe desarrollar estrategias para que las instituciones educativas, en todos los niveles, incorporen la formación a docentes en los temas de sexualidad, derechos humanos y ciudadanía. </w:t>
      </w:r>
    </w:p>
    <w:p w14:paraId="4FEBD922" w14:textId="2FBC2EAF" w:rsidR="00F75F90" w:rsidRPr="00E46859" w:rsidRDefault="00D2173C" w:rsidP="000E5AC0">
      <w:pPr>
        <w:pStyle w:val="Ttulo4"/>
        <w:jc w:val="both"/>
        <w:rPr>
          <w:rStyle w:val="Ttulo3Car"/>
          <w:rFonts w:ascii="Century Gothic" w:hAnsi="Century Gothic"/>
          <w:bCs w:val="0"/>
          <w:i w:val="0"/>
          <w:iCs w:val="0"/>
          <w:color w:val="CC3366"/>
        </w:rPr>
      </w:pPr>
      <w:bookmarkStart w:id="73" w:name="_Toc488624289"/>
      <w:r>
        <w:rPr>
          <w:rFonts w:ascii="Century Gothic" w:hAnsi="Century Gothic"/>
          <w:b w:val="0"/>
          <w:noProof/>
          <w:szCs w:val="24"/>
          <w:lang w:val="es-ES"/>
        </w:rPr>
        <w:lastRenderedPageBreak/>
        <w:drawing>
          <wp:anchor distT="0" distB="0" distL="114300" distR="114300" simplePos="0" relativeHeight="251872256" behindDoc="0" locked="0" layoutInCell="1" allowOverlap="1" wp14:anchorId="59E6DCBE" wp14:editId="7E35EBEE">
            <wp:simplePos x="0" y="0"/>
            <wp:positionH relativeFrom="column">
              <wp:posOffset>-1080135</wp:posOffset>
            </wp:positionH>
            <wp:positionV relativeFrom="paragraph">
              <wp:posOffset>-822960</wp:posOffset>
            </wp:positionV>
            <wp:extent cx="965835" cy="708660"/>
            <wp:effectExtent l="0" t="0" r="0" b="0"/>
            <wp:wrapNone/>
            <wp:docPr id="406" name="Imagen 40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b w:val="0"/>
            <w:lang w:val="es-ES_tradnl" w:eastAsia="es-ES"/>
          </w:rPr>
          <w:tag w:val="goog_rdk_73"/>
          <w:id w:val="-974523063"/>
        </w:sdtPr>
        <w:sdtEndPr>
          <w:rPr>
            <w:b/>
            <w:lang w:val="es-CO" w:eastAsia="en-US"/>
          </w:rPr>
        </w:sdtEndPr>
        <w:sdtContent/>
      </w:sdt>
      <w:r w:rsidR="00F75F90" w:rsidRPr="00E46859">
        <w:rPr>
          <w:rStyle w:val="Ttulo3Car"/>
          <w:rFonts w:ascii="Century Gothic" w:hAnsi="Century Gothic"/>
          <w:bCs w:val="0"/>
          <w:i w:val="0"/>
          <w:iCs w:val="0"/>
          <w:color w:val="CC3366"/>
        </w:rPr>
        <w:t>6.8</w:t>
      </w:r>
      <w:r w:rsidR="00E46859">
        <w:rPr>
          <w:rStyle w:val="Ttulo3Car"/>
          <w:rFonts w:ascii="Century Gothic" w:hAnsi="Century Gothic"/>
          <w:bCs w:val="0"/>
          <w:i w:val="0"/>
          <w:iCs w:val="0"/>
          <w:color w:val="CC3366"/>
        </w:rPr>
        <w:t>.</w:t>
      </w:r>
      <w:r w:rsidR="00F75F90" w:rsidRPr="00E46859">
        <w:rPr>
          <w:rStyle w:val="Ttulo3Car"/>
          <w:rFonts w:ascii="Century Gothic" w:hAnsi="Century Gothic"/>
          <w:bCs w:val="0"/>
          <w:i w:val="0"/>
          <w:iCs w:val="0"/>
          <w:color w:val="CC3366"/>
        </w:rPr>
        <w:t xml:space="preserve"> Número de personas infectadas con VIH desagregadas por sexo, edades y regiones</w:t>
      </w:r>
      <w:bookmarkEnd w:id="73"/>
    </w:p>
    <w:p w14:paraId="25F5DBB9" w14:textId="77777777" w:rsidR="00F75F90" w:rsidRPr="00E94619" w:rsidRDefault="00F75F90" w:rsidP="000E5AC0">
      <w:pPr>
        <w:spacing w:after="0" w:line="240" w:lineRule="auto"/>
        <w:rPr>
          <w:rFonts w:ascii="Century Gothic" w:hAnsi="Century Gothic"/>
          <w:b/>
        </w:rPr>
      </w:pPr>
    </w:p>
    <w:p w14:paraId="63FB1109"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Según el Sistema Nacional de Vigilancia en Salud Pública (Sivigila) se notificaron 12.682 casos de VIH-Sida en el 2019. En los casos de VIH el 81,6 % correspondió a hombres y el 18% a mujeres, el 1,5% a mujeres gestantes. Sobre estas cifras, se señaló que los casos registrados aumentaron progresivamente durante este periodo. Una revisión a las cifras de los últimos cuatro años evidencia que esta tendencia se ha mantenido hasta ahora. Este aumento podría explicarse por el “crecimiento de casos de infecciones recientemente adquiridas, mayor acceso a la asesoría y prueba voluntaria, oferta masiva al grupo de gestantes, mayor demanda de servicios diagnósticos y disminución de barreras administrativas para autorización de servicios” (MSPS 2012:25). </w:t>
      </w:r>
    </w:p>
    <w:p w14:paraId="31C97564" w14:textId="77777777" w:rsidR="00F75F90" w:rsidRDefault="00F75F90" w:rsidP="000E5AC0">
      <w:pPr>
        <w:pBdr>
          <w:top w:val="nil"/>
          <w:left w:val="nil"/>
          <w:bottom w:val="nil"/>
          <w:right w:val="nil"/>
          <w:between w:val="nil"/>
        </w:pBdr>
        <w:spacing w:after="0" w:line="240" w:lineRule="auto"/>
        <w:jc w:val="both"/>
        <w:rPr>
          <w:rFonts w:ascii="Century Gothic" w:hAnsi="Century Gothic"/>
          <w:color w:val="000000"/>
        </w:rPr>
      </w:pPr>
    </w:p>
    <w:p w14:paraId="05007F22" w14:textId="5B22BDE3" w:rsidR="00E46859" w:rsidRPr="00E46859" w:rsidRDefault="00E46859" w:rsidP="00E46859">
      <w:pPr>
        <w:pBdr>
          <w:top w:val="nil"/>
          <w:left w:val="nil"/>
          <w:bottom w:val="nil"/>
          <w:right w:val="nil"/>
          <w:between w:val="nil"/>
        </w:pBdr>
        <w:spacing w:after="0" w:line="240" w:lineRule="auto"/>
        <w:jc w:val="center"/>
        <w:rPr>
          <w:rFonts w:ascii="Century Gothic" w:hAnsi="Century Gothic"/>
          <w:b/>
          <w:color w:val="000000"/>
          <w:sz w:val="16"/>
          <w:szCs w:val="16"/>
        </w:rPr>
      </w:pPr>
      <w:r w:rsidRPr="00E46859">
        <w:rPr>
          <w:rFonts w:ascii="Century Gothic" w:hAnsi="Century Gothic"/>
          <w:b/>
          <w:color w:val="000000"/>
          <w:sz w:val="16"/>
          <w:szCs w:val="16"/>
        </w:rPr>
        <w:t>Gráfica 49. Casos de VIH / Sida 2019</w:t>
      </w:r>
    </w:p>
    <w:p w14:paraId="34813032" w14:textId="16192CE5" w:rsidR="00E46859" w:rsidRPr="00E94619" w:rsidRDefault="00E46859"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noProof/>
          <w:lang w:val="es-ES" w:eastAsia="es-ES"/>
        </w:rPr>
        <w:drawing>
          <wp:anchor distT="0" distB="0" distL="114300" distR="114300" simplePos="0" relativeHeight="251714560" behindDoc="0" locked="0" layoutInCell="1" allowOverlap="1" wp14:anchorId="5EDB917E" wp14:editId="5EDC1C8A">
            <wp:simplePos x="0" y="0"/>
            <wp:positionH relativeFrom="column">
              <wp:posOffset>1257300</wp:posOffset>
            </wp:positionH>
            <wp:positionV relativeFrom="paragraph">
              <wp:posOffset>136525</wp:posOffset>
            </wp:positionV>
            <wp:extent cx="2677795" cy="1609725"/>
            <wp:effectExtent l="0" t="0" r="0" b="0"/>
            <wp:wrapSquare wrapText="bothSides"/>
            <wp:docPr id="57"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77795" cy="1609725"/>
                    </a:xfrm>
                    <a:prstGeom prst="rect">
                      <a:avLst/>
                    </a:prstGeom>
                    <a:noFill/>
                  </pic:spPr>
                </pic:pic>
              </a:graphicData>
            </a:graphic>
            <wp14:sizeRelH relativeFrom="page">
              <wp14:pctWidth>0</wp14:pctWidth>
            </wp14:sizeRelH>
            <wp14:sizeRelV relativeFrom="page">
              <wp14:pctHeight>0</wp14:pctHeight>
            </wp14:sizeRelV>
          </wp:anchor>
        </w:drawing>
      </w:r>
    </w:p>
    <w:p w14:paraId="18A93F1E" w14:textId="2DB86576" w:rsidR="00F75F90" w:rsidRPr="00E94619" w:rsidRDefault="00830DBC" w:rsidP="000E5AC0">
      <w:pPr>
        <w:spacing w:after="0"/>
        <w:jc w:val="both"/>
        <w:rPr>
          <w:rFonts w:ascii="Century Gothic" w:hAnsi="Century Gothic"/>
        </w:rPr>
      </w:pPr>
      <w:sdt>
        <w:sdtPr>
          <w:rPr>
            <w:rFonts w:ascii="Century Gothic" w:hAnsi="Century Gothic"/>
          </w:rPr>
          <w:tag w:val="goog_rdk_74"/>
          <w:id w:val="1413970676"/>
        </w:sdtPr>
        <w:sdtContent/>
      </w:sdt>
    </w:p>
    <w:p w14:paraId="3D3FC1AF" w14:textId="77777777" w:rsidR="00E46859" w:rsidRDefault="00E46859" w:rsidP="000E5AC0">
      <w:pPr>
        <w:spacing w:after="0" w:line="240" w:lineRule="auto"/>
        <w:jc w:val="both"/>
        <w:rPr>
          <w:rFonts w:ascii="Century Gothic" w:hAnsi="Century Gothic"/>
          <w:color w:val="000000"/>
          <w:sz w:val="16"/>
          <w:szCs w:val="16"/>
        </w:rPr>
      </w:pPr>
    </w:p>
    <w:p w14:paraId="51F63176" w14:textId="77777777" w:rsidR="00E46859" w:rsidRDefault="00E46859" w:rsidP="000E5AC0">
      <w:pPr>
        <w:spacing w:after="0" w:line="240" w:lineRule="auto"/>
        <w:jc w:val="both"/>
        <w:rPr>
          <w:rFonts w:ascii="Century Gothic" w:hAnsi="Century Gothic"/>
          <w:color w:val="000000"/>
          <w:sz w:val="16"/>
          <w:szCs w:val="16"/>
        </w:rPr>
      </w:pPr>
    </w:p>
    <w:p w14:paraId="6CD4625E" w14:textId="77777777" w:rsidR="00E46859" w:rsidRDefault="00E46859" w:rsidP="000E5AC0">
      <w:pPr>
        <w:spacing w:after="0" w:line="240" w:lineRule="auto"/>
        <w:jc w:val="both"/>
        <w:rPr>
          <w:rFonts w:ascii="Century Gothic" w:hAnsi="Century Gothic"/>
          <w:color w:val="000000"/>
          <w:sz w:val="16"/>
          <w:szCs w:val="16"/>
        </w:rPr>
      </w:pPr>
    </w:p>
    <w:p w14:paraId="2ACE9C92" w14:textId="77777777" w:rsidR="00E46859" w:rsidRDefault="00E46859" w:rsidP="000E5AC0">
      <w:pPr>
        <w:spacing w:after="0" w:line="240" w:lineRule="auto"/>
        <w:jc w:val="both"/>
        <w:rPr>
          <w:rFonts w:ascii="Century Gothic" w:hAnsi="Century Gothic"/>
          <w:color w:val="000000"/>
          <w:sz w:val="16"/>
          <w:szCs w:val="16"/>
        </w:rPr>
      </w:pPr>
    </w:p>
    <w:p w14:paraId="53596095" w14:textId="77777777" w:rsidR="00E46859" w:rsidRDefault="00E46859" w:rsidP="000E5AC0">
      <w:pPr>
        <w:spacing w:after="0" w:line="240" w:lineRule="auto"/>
        <w:jc w:val="both"/>
        <w:rPr>
          <w:rFonts w:ascii="Century Gothic" w:hAnsi="Century Gothic"/>
          <w:color w:val="000000"/>
          <w:sz w:val="16"/>
          <w:szCs w:val="16"/>
        </w:rPr>
      </w:pPr>
    </w:p>
    <w:p w14:paraId="26DB2246" w14:textId="77777777" w:rsidR="00E46859" w:rsidRDefault="00E46859" w:rsidP="000E5AC0">
      <w:pPr>
        <w:spacing w:after="0" w:line="240" w:lineRule="auto"/>
        <w:jc w:val="both"/>
        <w:rPr>
          <w:rFonts w:ascii="Century Gothic" w:hAnsi="Century Gothic"/>
          <w:color w:val="000000"/>
          <w:sz w:val="16"/>
          <w:szCs w:val="16"/>
        </w:rPr>
      </w:pPr>
    </w:p>
    <w:p w14:paraId="3FBEB1B8" w14:textId="77777777" w:rsidR="00E46859" w:rsidRDefault="00E46859" w:rsidP="000E5AC0">
      <w:pPr>
        <w:spacing w:after="0" w:line="240" w:lineRule="auto"/>
        <w:jc w:val="both"/>
        <w:rPr>
          <w:rFonts w:ascii="Century Gothic" w:hAnsi="Century Gothic"/>
          <w:color w:val="000000"/>
          <w:sz w:val="16"/>
          <w:szCs w:val="16"/>
        </w:rPr>
      </w:pPr>
    </w:p>
    <w:p w14:paraId="11B4B4F7" w14:textId="77777777" w:rsidR="00E46859" w:rsidRDefault="00E46859" w:rsidP="000E5AC0">
      <w:pPr>
        <w:spacing w:after="0" w:line="240" w:lineRule="auto"/>
        <w:jc w:val="both"/>
        <w:rPr>
          <w:rFonts w:ascii="Century Gothic" w:hAnsi="Century Gothic"/>
          <w:color w:val="000000"/>
          <w:sz w:val="16"/>
          <w:szCs w:val="16"/>
        </w:rPr>
      </w:pPr>
    </w:p>
    <w:p w14:paraId="5C8F2864" w14:textId="77777777" w:rsidR="00E46859" w:rsidRDefault="00E46859" w:rsidP="000E5AC0">
      <w:pPr>
        <w:spacing w:after="0" w:line="240" w:lineRule="auto"/>
        <w:jc w:val="both"/>
        <w:rPr>
          <w:rFonts w:ascii="Century Gothic" w:hAnsi="Century Gothic"/>
          <w:color w:val="000000"/>
          <w:sz w:val="16"/>
          <w:szCs w:val="16"/>
        </w:rPr>
      </w:pPr>
    </w:p>
    <w:p w14:paraId="7B0D7B29" w14:textId="77777777" w:rsidR="00E46859" w:rsidRDefault="00E46859" w:rsidP="000E5AC0">
      <w:pPr>
        <w:spacing w:after="0" w:line="240" w:lineRule="auto"/>
        <w:jc w:val="both"/>
        <w:rPr>
          <w:rFonts w:ascii="Century Gothic" w:hAnsi="Century Gothic"/>
          <w:color w:val="000000"/>
          <w:sz w:val="16"/>
          <w:szCs w:val="16"/>
        </w:rPr>
      </w:pPr>
    </w:p>
    <w:p w14:paraId="4F3AD73E" w14:textId="77777777" w:rsidR="00E46859" w:rsidRDefault="00E46859" w:rsidP="000E5AC0">
      <w:pPr>
        <w:spacing w:after="0" w:line="240" w:lineRule="auto"/>
        <w:jc w:val="both"/>
        <w:rPr>
          <w:rFonts w:ascii="Century Gothic" w:hAnsi="Century Gothic"/>
          <w:color w:val="000000"/>
          <w:sz w:val="16"/>
          <w:szCs w:val="16"/>
        </w:rPr>
      </w:pPr>
    </w:p>
    <w:p w14:paraId="1F604F66" w14:textId="77777777" w:rsidR="00E46859" w:rsidRDefault="00E46859" w:rsidP="000E5AC0">
      <w:pPr>
        <w:spacing w:after="0" w:line="240" w:lineRule="auto"/>
        <w:jc w:val="both"/>
        <w:rPr>
          <w:rFonts w:ascii="Century Gothic" w:hAnsi="Century Gothic"/>
          <w:color w:val="000000"/>
          <w:sz w:val="16"/>
          <w:szCs w:val="16"/>
        </w:rPr>
      </w:pPr>
    </w:p>
    <w:p w14:paraId="2FE727CF" w14:textId="77777777" w:rsidR="00F75F90" w:rsidRPr="00E94619" w:rsidRDefault="00F75F90" w:rsidP="00E46859">
      <w:pPr>
        <w:spacing w:after="0" w:line="240" w:lineRule="auto"/>
        <w:jc w:val="center"/>
        <w:rPr>
          <w:rFonts w:ascii="Century Gothic" w:hAnsi="Century Gothic"/>
          <w:color w:val="000000"/>
          <w:sz w:val="16"/>
          <w:szCs w:val="16"/>
        </w:rPr>
      </w:pPr>
      <w:r w:rsidRPr="00E94619">
        <w:rPr>
          <w:rFonts w:ascii="Century Gothic" w:hAnsi="Century Gothic"/>
          <w:color w:val="000000"/>
          <w:sz w:val="16"/>
          <w:szCs w:val="16"/>
        </w:rPr>
        <w:t>Elaboración propia con base en datos del Fondo Colombiano de Enfermedades de Alto Costo, Situación del VIH/SIDA en Colombia, 2020</w:t>
      </w:r>
    </w:p>
    <w:p w14:paraId="4CD2C8C8" w14:textId="77777777" w:rsidR="00E46859" w:rsidRPr="00E94619" w:rsidRDefault="00E46859" w:rsidP="000E5AC0">
      <w:pPr>
        <w:spacing w:after="0"/>
        <w:jc w:val="both"/>
        <w:rPr>
          <w:rFonts w:ascii="Century Gothic" w:hAnsi="Century Gothic"/>
        </w:rPr>
      </w:pPr>
    </w:p>
    <w:p w14:paraId="5755F65A" w14:textId="77777777" w:rsidR="00F75F90" w:rsidRPr="00E94619" w:rsidRDefault="00F75F90" w:rsidP="000E5AC0">
      <w:pPr>
        <w:rPr>
          <w:rFonts w:ascii="Century Gothic" w:hAnsi="Century Gothic"/>
          <w:b/>
        </w:rPr>
      </w:pPr>
      <w:r w:rsidRPr="00E94619">
        <w:rPr>
          <w:rFonts w:ascii="Century Gothic" w:hAnsi="Century Gothic"/>
          <w:b/>
        </w:rPr>
        <w:t>Avances y retos para garantizar la salud sexual y reproductiva en Colombia</w:t>
      </w:r>
    </w:p>
    <w:tbl>
      <w:tblPr>
        <w:tblStyle w:val="affffc"/>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9"/>
        <w:gridCol w:w="2693"/>
        <w:gridCol w:w="2694"/>
      </w:tblGrid>
      <w:tr w:rsidR="00F75F90" w:rsidRPr="00E94619" w14:paraId="7B92C49D" w14:textId="77777777" w:rsidTr="007D4FA1">
        <w:tc>
          <w:tcPr>
            <w:tcW w:w="3659" w:type="dxa"/>
            <w:tcBorders>
              <w:top w:val="single" w:sz="4" w:space="0" w:color="CC0066"/>
              <w:left w:val="single" w:sz="4" w:space="0" w:color="CC0066"/>
              <w:bottom w:val="single" w:sz="4" w:space="0" w:color="CC0066"/>
              <w:right w:val="single" w:sz="4" w:space="0" w:color="CC0066"/>
            </w:tcBorders>
            <w:shd w:val="clear" w:color="auto" w:fill="FF99CC"/>
          </w:tcPr>
          <w:p w14:paraId="17D8B85C"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Avances del Estado</w:t>
            </w:r>
          </w:p>
        </w:tc>
        <w:tc>
          <w:tcPr>
            <w:tcW w:w="2693" w:type="dxa"/>
            <w:tcBorders>
              <w:top w:val="single" w:sz="4" w:space="0" w:color="CC0066"/>
              <w:left w:val="single" w:sz="4" w:space="0" w:color="CC0066"/>
              <w:bottom w:val="single" w:sz="4" w:space="0" w:color="CC0066"/>
              <w:right w:val="single" w:sz="4" w:space="0" w:color="CC0066"/>
            </w:tcBorders>
            <w:shd w:val="clear" w:color="auto" w:fill="FF99CC"/>
          </w:tcPr>
          <w:p w14:paraId="702556D8"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Respuesta de la sociedad civil</w:t>
            </w:r>
          </w:p>
        </w:tc>
        <w:tc>
          <w:tcPr>
            <w:tcW w:w="2694" w:type="dxa"/>
            <w:tcBorders>
              <w:top w:val="single" w:sz="4" w:space="0" w:color="CC0066"/>
              <w:left w:val="single" w:sz="4" w:space="0" w:color="CC0066"/>
              <w:bottom w:val="single" w:sz="4" w:space="0" w:color="CC0066"/>
              <w:right w:val="single" w:sz="4" w:space="0" w:color="CC0066"/>
            </w:tcBorders>
            <w:shd w:val="clear" w:color="auto" w:fill="FF99CC"/>
          </w:tcPr>
          <w:p w14:paraId="638189DD" w14:textId="77777777" w:rsidR="00F75F90" w:rsidRPr="00E94619" w:rsidRDefault="00F75F90" w:rsidP="000E5AC0">
            <w:pPr>
              <w:spacing w:after="0"/>
              <w:rPr>
                <w:rFonts w:ascii="Century Gothic" w:hAnsi="Century Gothic"/>
                <w:b/>
                <w:sz w:val="16"/>
                <w:szCs w:val="16"/>
              </w:rPr>
            </w:pPr>
            <w:r w:rsidRPr="00E94619">
              <w:rPr>
                <w:rFonts w:ascii="Century Gothic" w:hAnsi="Century Gothic"/>
                <w:b/>
                <w:sz w:val="16"/>
                <w:szCs w:val="16"/>
              </w:rPr>
              <w:t>Retos</w:t>
            </w:r>
          </w:p>
        </w:tc>
      </w:tr>
      <w:tr w:rsidR="00F75F90" w:rsidRPr="00E94619" w14:paraId="45FC622F" w14:textId="77777777" w:rsidTr="007D4FA1">
        <w:tc>
          <w:tcPr>
            <w:tcW w:w="3659" w:type="dxa"/>
            <w:tcBorders>
              <w:top w:val="single" w:sz="4" w:space="0" w:color="CC0066"/>
              <w:left w:val="single" w:sz="4" w:space="0" w:color="CC0066"/>
              <w:right w:val="single" w:sz="4" w:space="0" w:color="CC0066"/>
            </w:tcBorders>
          </w:tcPr>
          <w:p w14:paraId="488DB95D"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Salud sexual y reproductiva</w:t>
            </w:r>
          </w:p>
          <w:p w14:paraId="000D0838"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-Plan Decenal de salud Pública 2012-2021: estipula derechos sexuales y reproductivos como prioridad.</w:t>
            </w:r>
          </w:p>
          <w:p w14:paraId="0F01013F"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-Política de Atención Integral en salud PAIS 2015: incluye promoción de derechos sexuales y reproductivos.</w:t>
            </w:r>
          </w:p>
          <w:p w14:paraId="34998A8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-Política Nacional de Sexualidad, Derechos Sexuales y Derechos Reproductivos 2014-2021 PNSDSDR: orienta el desarrollo de acciones sectoriales e intersectoriales para garantizar los derechos sexuales y reproductivos.</w:t>
            </w:r>
          </w:p>
          <w:p w14:paraId="01635C5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-Resolución 0459 de 2012, Min salud: Por la cual se adopta el protocolo y el modelo de atención integral a violencia sexual.</w:t>
            </w:r>
          </w:p>
          <w:p w14:paraId="5BDA1EF7"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-Decreto No 2698 de 2010, Minsalud: se crea la Comisión Nacional Intersectorial para la promoción y garantía de los Derechos Sexuales y Reproductivos.</w:t>
            </w:r>
            <w:r w:rsidRPr="00E94619">
              <w:rPr>
                <w:rFonts w:ascii="Century Gothic" w:hAnsi="Century Gothic"/>
                <w:b/>
                <w:sz w:val="16"/>
                <w:szCs w:val="16"/>
              </w:rPr>
              <w:t xml:space="preserve"> </w:t>
            </w:r>
          </w:p>
          <w:p w14:paraId="59E2CDC2" w14:textId="57FF8336"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-Sentencia T-388 de 2009:  ordenó al Ministerio de Protección Social, junto con el Ministerio de Educación Nacional, la Procuraduría General de la Nación y la Defensoría del Pueblo, diseñar e implementar campañas masivas de </w:t>
            </w:r>
            <w:r w:rsidRPr="00E94619">
              <w:rPr>
                <w:rFonts w:ascii="Century Gothic" w:hAnsi="Century Gothic"/>
                <w:sz w:val="16"/>
                <w:szCs w:val="16"/>
              </w:rPr>
              <w:lastRenderedPageBreak/>
              <w:t xml:space="preserve">promoción de los derechos sexuales y reproductivos y el conocimiento de lo dispuesto en la Sentencia C-355 de 2006. </w:t>
            </w:r>
          </w:p>
          <w:p w14:paraId="6CFC8396" w14:textId="469072E4" w:rsidR="00F75F90" w:rsidRPr="00E94619" w:rsidRDefault="00D2173C" w:rsidP="000E5AC0">
            <w:pPr>
              <w:spacing w:after="0"/>
              <w:jc w:val="both"/>
              <w:rPr>
                <w:rFonts w:ascii="Century Gothic" w:hAnsi="Century Gothic"/>
                <w:sz w:val="16"/>
                <w:szCs w:val="16"/>
              </w:rPr>
            </w:pPr>
            <w:r>
              <w:rPr>
                <w:rFonts w:ascii="Century Gothic" w:hAnsi="Century Gothic"/>
                <w:b/>
                <w:noProof/>
                <w:szCs w:val="24"/>
                <w:lang w:val="es-ES"/>
              </w:rPr>
              <w:drawing>
                <wp:anchor distT="0" distB="0" distL="114300" distR="114300" simplePos="0" relativeHeight="251874304" behindDoc="0" locked="0" layoutInCell="1" allowOverlap="1" wp14:anchorId="090DE23D" wp14:editId="101E5F85">
                  <wp:simplePos x="0" y="0"/>
                  <wp:positionH relativeFrom="column">
                    <wp:posOffset>-1080135</wp:posOffset>
                  </wp:positionH>
                  <wp:positionV relativeFrom="paragraph">
                    <wp:posOffset>-1232535</wp:posOffset>
                  </wp:positionV>
                  <wp:extent cx="965835" cy="708660"/>
                  <wp:effectExtent l="0" t="0" r="0" b="0"/>
                  <wp:wrapNone/>
                  <wp:docPr id="407" name="Imagen 40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sz w:val="16"/>
                <w:szCs w:val="16"/>
              </w:rPr>
              <w:t xml:space="preserve">-Sanción de Ley presidencial (enero de 2017): ampliación de licencia materna de 14 semanas a 18 semanas. </w:t>
            </w:r>
          </w:p>
          <w:p w14:paraId="2E50F1DA"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Mortalidad materna, cobertura de servicios de asistencia prenatal y partos atendidos por personal calificado</w:t>
            </w:r>
          </w:p>
          <w:p w14:paraId="725B027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 cuenta con guías y protocolos para la atención materna (Ministerio de Salud). </w:t>
            </w:r>
          </w:p>
          <w:p w14:paraId="2879CFD8"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-Resolución 2003 de 2014: estándares para emergencias obstétricas. </w:t>
            </w:r>
          </w:p>
          <w:p w14:paraId="642751D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-Circular 05 de 2012, Procuraduría General de la Nación, Minsalud, Superintendencia de Salud: sobre los deberes de las IPS para garantizar la maternidad segura a nivel nacional </w:t>
            </w:r>
          </w:p>
          <w:p w14:paraId="537B335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-Consejo de Estado, 18364 del 20 de mayo de 2009: sobre la responsabilidad médica en casos de muerte materna.</w:t>
            </w:r>
          </w:p>
          <w:p w14:paraId="386D7E1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-Ley 823 de 2003, art 7: la mujer gozará de la especial asistencia y protección del Estado durante el embarazo y después del parto. </w:t>
            </w:r>
          </w:p>
          <w:p w14:paraId="5B8A8733"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-Constitución Política de 1991, art 43.: las mujeres durante el embarazo y después del parto gozará de especial asistencia y protección del Estado, y recibirá́ de este subsidio alimentario si entonces estuviere desempleada o desamparada </w:t>
            </w:r>
          </w:p>
          <w:p w14:paraId="6C71A9BC" w14:textId="77777777" w:rsidR="00F75F90" w:rsidRPr="00E94619" w:rsidRDefault="00F75F90" w:rsidP="000E5AC0">
            <w:pPr>
              <w:spacing w:after="0"/>
              <w:jc w:val="both"/>
              <w:rPr>
                <w:rFonts w:ascii="Century Gothic" w:hAnsi="Century Gothic"/>
                <w:sz w:val="16"/>
                <w:szCs w:val="16"/>
              </w:rPr>
            </w:pPr>
          </w:p>
          <w:p w14:paraId="5F8974F3"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Detección cáncer cervical:</w:t>
            </w:r>
          </w:p>
          <w:p w14:paraId="37587E9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-Resolución 1477 de 2016:</w:t>
            </w:r>
            <w:r w:rsidRPr="00E94619">
              <w:rPr>
                <w:rFonts w:ascii="Century Gothic" w:hAnsi="Century Gothic"/>
                <w:color w:val="383838"/>
                <w:sz w:val="16"/>
                <w:szCs w:val="16"/>
              </w:rPr>
              <w:t xml:space="preserve"> </w:t>
            </w:r>
            <w:r w:rsidRPr="00E94619">
              <w:rPr>
                <w:rFonts w:ascii="Century Gothic" w:hAnsi="Century Gothic"/>
                <w:sz w:val="16"/>
                <w:szCs w:val="16"/>
              </w:rPr>
              <w:t>Adopta el Plan Decenal para el control del cáncer en Colombia, 2012-2021. </w:t>
            </w:r>
          </w:p>
          <w:p w14:paraId="58FD71C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-Ley 1626 de 2013: establece que el Gobierno Nacional deberá garantizar la vacunación contra el Virus del Papiloma Humano de manera gratuita a todas las niñas entre cuarto grado de básica primaria y séptimo grado de básica secundaria.  </w:t>
            </w:r>
          </w:p>
          <w:p w14:paraId="0E0289A1"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-CRES, Acuerdo 29 de 2011:</w:t>
            </w:r>
            <w:r w:rsidRPr="00E94619">
              <w:rPr>
                <w:rFonts w:ascii="Century Gothic" w:hAnsi="Century Gothic"/>
                <w:b/>
                <w:sz w:val="16"/>
                <w:szCs w:val="16"/>
              </w:rPr>
              <w:t xml:space="preserve"> </w:t>
            </w:r>
            <w:r w:rsidRPr="00E94619">
              <w:rPr>
                <w:rFonts w:ascii="Century Gothic" w:hAnsi="Century Gothic"/>
                <w:sz w:val="16"/>
                <w:szCs w:val="16"/>
              </w:rPr>
              <w:t>la Comisión de Regulación en Salud recomienda al Instituto Nacional de Cancerología que realice los entrenamientos y capacitaciones a profesionales del sector en salud en el tema de VPH.</w:t>
            </w:r>
          </w:p>
          <w:p w14:paraId="1266B10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-Acuerdo 229 de 2002, art. 4: sobre detección temprana del cáncer de cuello uterino.</w:t>
            </w:r>
          </w:p>
          <w:p w14:paraId="08A1C3E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-Guías prácticas para la detección y manejo de lesiones precancerosas de cuello uterino. </w:t>
            </w:r>
          </w:p>
          <w:p w14:paraId="40E4C8B6" w14:textId="77777777" w:rsidR="00F75F90" w:rsidRPr="00E94619" w:rsidRDefault="00F75F90" w:rsidP="000E5AC0">
            <w:pPr>
              <w:spacing w:after="0"/>
              <w:jc w:val="both"/>
              <w:rPr>
                <w:rFonts w:ascii="Century Gothic" w:hAnsi="Century Gothic"/>
                <w:sz w:val="16"/>
                <w:szCs w:val="16"/>
              </w:rPr>
            </w:pPr>
          </w:p>
          <w:p w14:paraId="23F4C184"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Acceso a la planificación familiar y uso de métodos anticonceptivos</w:t>
            </w:r>
          </w:p>
          <w:p w14:paraId="7FB09EC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-Resolución 5521 de 2013: Actualiza los contenidos del Plan Obligatorio de Salud (POS). Art. 20. El Plan Obligatorio de Salud cubre el condón masculino de látex para la prevención de Infecciones de Transmisión Sexual -ITS-, VIH/SIDA y planificación familiar.</w:t>
            </w:r>
          </w:p>
          <w:p w14:paraId="35C8DAA4" w14:textId="37714D7B"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-Sentencia T-627 de 2012: se determina que </w:t>
            </w:r>
            <w:r w:rsidRPr="00E94619">
              <w:rPr>
                <w:rFonts w:ascii="Century Gothic" w:hAnsi="Century Gothic"/>
                <w:sz w:val="16"/>
                <w:szCs w:val="16"/>
              </w:rPr>
              <w:lastRenderedPageBreak/>
              <w:t xml:space="preserve">anticonceptivos de emergencia no están limitados a causales en las que la IVE está despenalizada. </w:t>
            </w:r>
          </w:p>
          <w:p w14:paraId="75789A05" w14:textId="49C9B538" w:rsidR="00F75F90" w:rsidRPr="00E94619" w:rsidRDefault="00D2173C" w:rsidP="000E5AC0">
            <w:pPr>
              <w:spacing w:after="0"/>
              <w:jc w:val="both"/>
              <w:rPr>
                <w:rFonts w:ascii="Century Gothic" w:hAnsi="Century Gothic"/>
                <w:sz w:val="16"/>
                <w:szCs w:val="16"/>
              </w:rPr>
            </w:pPr>
            <w:r>
              <w:rPr>
                <w:rFonts w:ascii="Century Gothic" w:hAnsi="Century Gothic"/>
                <w:b/>
                <w:noProof/>
                <w:szCs w:val="24"/>
                <w:lang w:val="es-ES"/>
              </w:rPr>
              <w:drawing>
                <wp:anchor distT="0" distB="0" distL="114300" distR="114300" simplePos="0" relativeHeight="251876352" behindDoc="0" locked="0" layoutInCell="1" allowOverlap="1" wp14:anchorId="65A280A0" wp14:editId="0004E879">
                  <wp:simplePos x="0" y="0"/>
                  <wp:positionH relativeFrom="column">
                    <wp:posOffset>-1080135</wp:posOffset>
                  </wp:positionH>
                  <wp:positionV relativeFrom="paragraph">
                    <wp:posOffset>-1232535</wp:posOffset>
                  </wp:positionV>
                  <wp:extent cx="965835" cy="708660"/>
                  <wp:effectExtent l="0" t="0" r="0" b="0"/>
                  <wp:wrapNone/>
                  <wp:docPr id="408" name="Imagen 40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sz w:val="16"/>
                <w:szCs w:val="16"/>
              </w:rPr>
              <w:t>-Ley 1412 de 2010: por medio de la cual se autoriza la realización de forma gratuita y se promueve la ligadura de conductos deferentes o vasectomía y la ligadura de trompas de Falopio como formas para fomentar la paternidad y la maternidad responsable.</w:t>
            </w:r>
          </w:p>
          <w:p w14:paraId="2EB9A6D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-Resolución No 0769 de 2008, Minsalud: actualización de la Norma Técnica para la Atención en Planificación Familiar a Hombres y Mujeres establecida en la Resolución 412 de 2000.</w:t>
            </w:r>
          </w:p>
          <w:p w14:paraId="2342EEE9" w14:textId="77777777" w:rsidR="00F75F90" w:rsidRPr="00E94619" w:rsidRDefault="00F75F90" w:rsidP="000E5AC0">
            <w:pPr>
              <w:spacing w:after="0"/>
              <w:jc w:val="both"/>
              <w:rPr>
                <w:rFonts w:ascii="Century Gothic" w:hAnsi="Century Gothic"/>
                <w:sz w:val="16"/>
                <w:szCs w:val="16"/>
              </w:rPr>
            </w:pPr>
          </w:p>
          <w:p w14:paraId="59D421D5"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Embarazo adolescente</w:t>
            </w:r>
          </w:p>
          <w:p w14:paraId="3A22C345"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-CONPES 147 de 2012: Lineamentos para el desarrollo de una estrategia para la prevención del embarazo en la adolescencia y la promoción de Proyectos de vida para los niños, niñas y jóvenes en edades entre 6 y 19 años.</w:t>
            </w:r>
          </w:p>
          <w:p w14:paraId="62A9EE34"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1622 de 2013, art 8:</w:t>
            </w:r>
            <w:r w:rsidRPr="00E94619">
              <w:rPr>
                <w:rFonts w:ascii="Century Gothic" w:hAnsi="Century Gothic"/>
                <w:b/>
                <w:color w:val="000000"/>
                <w:sz w:val="16"/>
                <w:szCs w:val="16"/>
              </w:rPr>
              <w:t xml:space="preserve"> </w:t>
            </w:r>
            <w:r w:rsidRPr="00E94619">
              <w:rPr>
                <w:rFonts w:ascii="Century Gothic" w:hAnsi="Century Gothic"/>
                <w:color w:val="000000"/>
                <w:sz w:val="16"/>
                <w:szCs w:val="16"/>
              </w:rPr>
              <w:t>Garantizar la permanencia en el sistema educativo de jóvenes en estado de embarazo.</w:t>
            </w:r>
          </w:p>
          <w:p w14:paraId="2C242D50"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-Ley 1098 de 2006 art. 46: Desarrollar programas para la prevención del embarazo no deseado y la protección especializada y apoyo prioritario a las madres adolescentes.</w:t>
            </w:r>
          </w:p>
          <w:p w14:paraId="02EB298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-Decreto 3705 de 2007, art 1: Declarase como «Día Nacional de la Prevención del Embarazo en Adolescentes» el 26 de septiembre de cada año. </w:t>
            </w:r>
          </w:p>
          <w:p w14:paraId="12A52D96"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-Sentencia T-393 de 2009: constituyen hechos discriminatorios todos aquellos que tengan por finalidad someter a una alumna embarazada a un tratamiento educativo distinto al de sus compañeros. </w:t>
            </w:r>
          </w:p>
          <w:p w14:paraId="65D28B8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-ICBF: programa prevención embarazo adolescente.</w:t>
            </w:r>
          </w:p>
          <w:p w14:paraId="594018E1" w14:textId="77777777" w:rsidR="00F75F90" w:rsidRPr="00E94619" w:rsidRDefault="00F75F90" w:rsidP="000E5AC0">
            <w:pPr>
              <w:spacing w:after="0"/>
              <w:jc w:val="both"/>
              <w:rPr>
                <w:rFonts w:ascii="Century Gothic" w:hAnsi="Century Gothic"/>
                <w:sz w:val="16"/>
                <w:szCs w:val="16"/>
              </w:rPr>
            </w:pPr>
          </w:p>
          <w:p w14:paraId="0B075139"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Jóvenes que reciben educación integral sobre sexualidad</w:t>
            </w:r>
          </w:p>
          <w:p w14:paraId="32C3B73F"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-Programa Servicios amigables para adolescentes y jóvenes: a través del cual se brinda información y asesoría sobre sexualidad, derechos sexuales y reproductivos. </w:t>
            </w:r>
          </w:p>
          <w:p w14:paraId="1959C6E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-Programa de Educación para la Sexualidad y Construcción de Ciudadanía, Ministerio de educación. </w:t>
            </w:r>
          </w:p>
          <w:p w14:paraId="2431402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-Ley 115 de 1994: determina que se deben implementar acciones educativas para desarrollar una sana sexualidad.</w:t>
            </w:r>
          </w:p>
          <w:p w14:paraId="1077BC2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-Ley 1029 de 2006: establece la enseñanza obligatoria de la educación sexual.</w:t>
            </w:r>
          </w:p>
          <w:p w14:paraId="5C7A6B7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Ley 1146 de 2007: determina que los establecimientos de educación media y superior deberán incluir en sus programas la prevención de la violencia sexual. </w:t>
            </w:r>
          </w:p>
          <w:p w14:paraId="5F7A0774" w14:textId="77B78A88"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-Ley 1385 de 2010: art. 6 El Ministerio de la Protección Social, el Instituto Colombiano de Bienestar Familiar, y el Ministerio de Educación, diseñarán nuevos programas y </w:t>
            </w:r>
            <w:r w:rsidRPr="00E94619">
              <w:rPr>
                <w:rFonts w:ascii="Century Gothic" w:hAnsi="Century Gothic"/>
                <w:sz w:val="16"/>
                <w:szCs w:val="16"/>
              </w:rPr>
              <w:lastRenderedPageBreak/>
              <w:t>fortalecerán las estrategias existentes en los colegios, referentes a educación sexual.</w:t>
            </w:r>
          </w:p>
          <w:p w14:paraId="677CC8B3" w14:textId="0BE188DB" w:rsidR="00F75F90" w:rsidRPr="00E94619" w:rsidRDefault="00D2173C" w:rsidP="000E5AC0">
            <w:pPr>
              <w:spacing w:after="0"/>
              <w:jc w:val="both"/>
              <w:rPr>
                <w:rFonts w:ascii="Century Gothic" w:hAnsi="Century Gothic"/>
                <w:sz w:val="16"/>
                <w:szCs w:val="16"/>
              </w:rPr>
            </w:pPr>
            <w:r>
              <w:rPr>
                <w:rFonts w:ascii="Century Gothic" w:hAnsi="Century Gothic"/>
                <w:b/>
                <w:noProof/>
                <w:szCs w:val="24"/>
                <w:lang w:val="es-ES"/>
              </w:rPr>
              <w:drawing>
                <wp:anchor distT="0" distB="0" distL="114300" distR="114300" simplePos="0" relativeHeight="251878400" behindDoc="0" locked="0" layoutInCell="1" allowOverlap="1" wp14:anchorId="6C50BBDB" wp14:editId="0B04D61B">
                  <wp:simplePos x="0" y="0"/>
                  <wp:positionH relativeFrom="column">
                    <wp:posOffset>-1080135</wp:posOffset>
                  </wp:positionH>
                  <wp:positionV relativeFrom="paragraph">
                    <wp:posOffset>-1097915</wp:posOffset>
                  </wp:positionV>
                  <wp:extent cx="965835" cy="708660"/>
                  <wp:effectExtent l="0" t="0" r="0" b="0"/>
                  <wp:wrapNone/>
                  <wp:docPr id="409" name="Imagen 40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sz w:val="16"/>
                <w:szCs w:val="16"/>
              </w:rPr>
              <w:t xml:space="preserve">-Ley 1620 de 2013: crea el Sistema Nacional de Convivencia Escolar y formación para el ejercicio de los Derechos Humanos, la Educación para la Sexualidad y la Prevención y Mitigación de la Violencia Escolar” </w:t>
            </w:r>
          </w:p>
          <w:p w14:paraId="392C79E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-Sentencia T-220 de 2004: cuando una institución educativa divulgue circunstancias que pertenecen exclusivamente al ámbito privado de la sexualidad del menor, hay violación del derecho a la intimidad.</w:t>
            </w:r>
            <w:r w:rsidRPr="00E94619">
              <w:rPr>
                <w:rFonts w:ascii="Century Gothic" w:hAnsi="Century Gothic"/>
                <w:i/>
                <w:sz w:val="16"/>
                <w:szCs w:val="16"/>
              </w:rPr>
              <w:t xml:space="preserve"> </w:t>
            </w:r>
          </w:p>
          <w:p w14:paraId="7A4C9A6E" w14:textId="77777777" w:rsidR="00F75F90" w:rsidRPr="00E94619" w:rsidRDefault="00F75F90" w:rsidP="000E5AC0">
            <w:pPr>
              <w:spacing w:after="0"/>
              <w:jc w:val="both"/>
              <w:rPr>
                <w:rFonts w:ascii="Century Gothic" w:hAnsi="Century Gothic"/>
                <w:sz w:val="16"/>
                <w:szCs w:val="16"/>
              </w:rPr>
            </w:pPr>
          </w:p>
          <w:p w14:paraId="67CD6B2A"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Derecho a la interrupción voluntaria del embarazo IVE</w:t>
            </w:r>
          </w:p>
          <w:p w14:paraId="4E95182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-Sentencia C355 de 2006: “reconoció el derecho al aborto legal y seguro en tres circunstancias específicas: (i) Cuando la continuación del embarazo constituya peligro para la vida o la salud de la mujer, certificada por un médico; (ii) Cuando exista grave malformación del feto que haga inviable su vida, certificada por un médico; y, (iii) Cuando el embarazo sea el resultado de una conducta, debidamente denunciada, constitutiva de acceso carnal o acto sexual sin consentimiento, abusivo o de inseminación artificial o transferencia de óvulo fecundado no consentidas, o de incesto”.</w:t>
            </w:r>
          </w:p>
          <w:p w14:paraId="48CD6218"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-Protocolos y Guías del Ministerio de Salud para la prevención del aborto inseguro y la atención integral de la interrupción voluntaria del embarazo.</w:t>
            </w:r>
          </w:p>
          <w:p w14:paraId="0A39143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-Ley 1719 de 2014: reconocimientos de nuevos delitos como el embarazo forzado, la esterilización forzada, así como, se establece la obligatoriedad para los servicios de salud de brindar información idónea y oportuna sobre derechos sexuales y reproductivos.</w:t>
            </w:r>
          </w:p>
          <w:p w14:paraId="4AC8CE6E"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-Sentencia T-209 de 2008: las menores de catorce (14) años que se encuentren en estado de embarazo no necesitan presentar la denuncia de abuso sexual para tener derecho a solicitar la práctica de una IVE.</w:t>
            </w:r>
          </w:p>
          <w:p w14:paraId="14A42D00"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-Súper Salud, Circular Externa 3 de 2013: Los Prestadores de Servicios de Salud, las Entidades Administradoras de Planes de Beneficios, públicos o privados, de carácter laico o confesional y las Entidades Territoriales, están en la obligación de prestar el servicio de interrupción voluntaria del embarazo a mujeres incursas en cualquiera de las causales establecidas en la sentencia C-355 de 2006. </w:t>
            </w:r>
          </w:p>
          <w:p w14:paraId="795F271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-Resolución 0652 de 2016: Reporte de la Interrupción voluntaria del embarazo.</w:t>
            </w:r>
          </w:p>
          <w:p w14:paraId="526AE815" w14:textId="77777777" w:rsidR="00F75F90" w:rsidRPr="00E94619" w:rsidRDefault="00F75F90" w:rsidP="000E5AC0">
            <w:pPr>
              <w:spacing w:after="0"/>
              <w:jc w:val="both"/>
              <w:rPr>
                <w:rFonts w:ascii="Century Gothic" w:hAnsi="Century Gothic"/>
                <w:sz w:val="16"/>
                <w:szCs w:val="16"/>
              </w:rPr>
            </w:pPr>
          </w:p>
          <w:p w14:paraId="6A5641EC"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VIH-SIDA</w:t>
            </w:r>
          </w:p>
          <w:p w14:paraId="0A2BE1D7" w14:textId="05AAF5E5"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-Plan estratégico para la eliminación de la transmisión materno infantil del VIH y de la sífilis congénita, Colombia 2011 - 2015 </w:t>
            </w:r>
          </w:p>
          <w:p w14:paraId="5083A62F" w14:textId="7C830F37" w:rsidR="00F75F90" w:rsidRPr="00E94619" w:rsidRDefault="00D2173C" w:rsidP="000E5AC0">
            <w:pPr>
              <w:spacing w:after="0"/>
              <w:jc w:val="both"/>
              <w:rPr>
                <w:rFonts w:ascii="Century Gothic" w:hAnsi="Century Gothic"/>
                <w:sz w:val="16"/>
                <w:szCs w:val="16"/>
              </w:rPr>
            </w:pPr>
            <w:r>
              <w:rPr>
                <w:rFonts w:ascii="Century Gothic" w:hAnsi="Century Gothic"/>
                <w:b/>
                <w:noProof/>
                <w:szCs w:val="24"/>
                <w:lang w:val="es-ES"/>
              </w:rPr>
              <w:lastRenderedPageBreak/>
              <w:drawing>
                <wp:anchor distT="0" distB="0" distL="114300" distR="114300" simplePos="0" relativeHeight="251880448" behindDoc="0" locked="0" layoutInCell="1" allowOverlap="1" wp14:anchorId="42803347" wp14:editId="509FB6E2">
                  <wp:simplePos x="0" y="0"/>
                  <wp:positionH relativeFrom="column">
                    <wp:posOffset>-1080135</wp:posOffset>
                  </wp:positionH>
                  <wp:positionV relativeFrom="paragraph">
                    <wp:posOffset>-829310</wp:posOffset>
                  </wp:positionV>
                  <wp:extent cx="965835" cy="708660"/>
                  <wp:effectExtent l="0" t="0" r="0" b="0"/>
                  <wp:wrapNone/>
                  <wp:docPr id="410" name="Imagen 4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sz w:val="16"/>
                <w:szCs w:val="16"/>
              </w:rPr>
              <w:t>-Plan Nacional de respuesta ante el VIH y el Sida, Colombia 2008-2011</w:t>
            </w:r>
          </w:p>
          <w:p w14:paraId="658B31F0"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-Sentencia T- 948 de 2008: Las personas que, en razón de su condición física están en una circunstancia de debilidad manifiesta por estar infectadas con VIH o por padecer SIDA, gozan de una protección constitucional especial en virtud de la cual no pueden ser discriminadas </w:t>
            </w:r>
          </w:p>
          <w:p w14:paraId="2807AE5D"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-Resolución 3442 de 2006:  por la cual se adoptan las Guías de Práctica Clínica basadas en evidencia para la prevención, diagnóstico y tratamiento de pacientes con VIH/Sida.</w:t>
            </w:r>
          </w:p>
          <w:p w14:paraId="49B8E806"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 xml:space="preserve">-Ley 972 de 2005: es la Ley en la cual se declara de interés y prioridad de la Republica de Colombia la Atención integral estatal a la lucha contra el VIH/Sida. </w:t>
            </w:r>
          </w:p>
          <w:p w14:paraId="55A9F789"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-Decreto 1543 de 1997: por el cual se reglamenta el manejo de la infección por el Virus de Inmunodeficiencia Humana (VIH), Síndrome de la Inmunodeficiencia Adquirida (SIDA) </w:t>
            </w:r>
          </w:p>
        </w:tc>
        <w:tc>
          <w:tcPr>
            <w:tcW w:w="2693" w:type="dxa"/>
            <w:tcBorders>
              <w:top w:val="single" w:sz="4" w:space="0" w:color="CC0066"/>
              <w:left w:val="single" w:sz="4" w:space="0" w:color="CC0066"/>
              <w:right w:val="single" w:sz="4" w:space="0" w:color="CC0066"/>
            </w:tcBorders>
          </w:tcPr>
          <w:p w14:paraId="748A15F0"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lastRenderedPageBreak/>
              <w:t>Organizaciones de la sociedad civil</w:t>
            </w:r>
          </w:p>
          <w:p w14:paraId="707889D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-Profamilia: Entidad privada que trabaja en el área de derechos sexuales y reproductivos. </w:t>
            </w:r>
          </w:p>
          <w:p w14:paraId="5B4D5F2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-Liga colombiana de la lucha contra el sida.</w:t>
            </w:r>
          </w:p>
          <w:p w14:paraId="4248A88C"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-Liga colombiana contra el cáncer. </w:t>
            </w:r>
          </w:p>
          <w:p w14:paraId="7876D7F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-Algunas organizaciones:  Sinergias, Red Nacional de Mujeres, FUNDAMOR, Fundación Prosurgir, recolvih, fundavih, Fundación Eudes.</w:t>
            </w:r>
          </w:p>
          <w:p w14:paraId="024878DA" w14:textId="77777777" w:rsidR="00F75F90" w:rsidRPr="00E94619" w:rsidRDefault="00F75F90" w:rsidP="000E5AC0">
            <w:pPr>
              <w:spacing w:after="0"/>
              <w:jc w:val="both"/>
              <w:rPr>
                <w:rFonts w:ascii="Century Gothic" w:hAnsi="Century Gothic"/>
                <w:b/>
                <w:sz w:val="16"/>
                <w:szCs w:val="16"/>
              </w:rPr>
            </w:pPr>
          </w:p>
          <w:p w14:paraId="3150ED62"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Cooperación Internacional</w:t>
            </w:r>
          </w:p>
          <w:p w14:paraId="08AF8633"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-Agencias de las Naciones Unidas: </w:t>
            </w:r>
          </w:p>
          <w:p w14:paraId="50BC027B"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-UNFPA: cuentan un programa para mejorar la atención en salud sexual y reproductiva (salud materna, salud sexual adolescente, planificación familiar, VIH y prevención de la violencia por razón de género). </w:t>
            </w:r>
            <w:r w:rsidRPr="00E94619">
              <w:rPr>
                <w:rFonts w:ascii="Century Gothic" w:hAnsi="Century Gothic"/>
                <w:sz w:val="16"/>
                <w:szCs w:val="16"/>
              </w:rPr>
              <w:lastRenderedPageBreak/>
              <w:t xml:space="preserve">Apoyó construcción PNSDSDR. </w:t>
            </w:r>
          </w:p>
          <w:p w14:paraId="57B80C1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-Apoya el Programa de educación para la sexualidad y construcción de ciudadanía del Ministerio de Educación. </w:t>
            </w:r>
          </w:p>
          <w:p w14:paraId="4AB58FCC"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-UNICEF: Apoya estrategia nacional de prevención de embarazo adolescente</w:t>
            </w:r>
          </w:p>
          <w:p w14:paraId="325A681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-ONUSIDA: estrategia Fast-Track o acción acelerada para eliminar el VIH como amenaza a la salud. </w:t>
            </w:r>
          </w:p>
          <w:p w14:paraId="5158122C"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 -OIM: Cuenta con programa para migración y salud</w:t>
            </w:r>
          </w:p>
          <w:p w14:paraId="3ABDF75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-OMS-OPS: programa atención integral a la mujer y recién nacido, prevención VIH-SIDA, apoyó construcción PNSDSDR.</w:t>
            </w:r>
          </w:p>
          <w:p w14:paraId="24C62716" w14:textId="77777777" w:rsidR="00F75F90" w:rsidRPr="00E94619" w:rsidRDefault="00F75F90" w:rsidP="000E5AC0">
            <w:pPr>
              <w:spacing w:after="0"/>
              <w:jc w:val="both"/>
              <w:rPr>
                <w:rFonts w:ascii="Century Gothic" w:hAnsi="Century Gothic"/>
                <w:b/>
                <w:sz w:val="16"/>
                <w:szCs w:val="16"/>
              </w:rPr>
            </w:pPr>
          </w:p>
          <w:p w14:paraId="60D63B1A"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 xml:space="preserve">-Cooperación Alemana: apoyo a organizaciones que trabajan contra el VIH y la salud materna. </w:t>
            </w:r>
          </w:p>
        </w:tc>
        <w:tc>
          <w:tcPr>
            <w:tcW w:w="2694" w:type="dxa"/>
            <w:tcBorders>
              <w:top w:val="single" w:sz="4" w:space="0" w:color="CC0066"/>
              <w:left w:val="single" w:sz="4" w:space="0" w:color="CC0066"/>
              <w:right w:val="single" w:sz="4" w:space="0" w:color="CC0066"/>
            </w:tcBorders>
          </w:tcPr>
          <w:p w14:paraId="15A6328F"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lastRenderedPageBreak/>
              <w:t>Salud sexual y reproductiva</w:t>
            </w:r>
          </w:p>
          <w:p w14:paraId="23EE50D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-Lograr que los Derechos sexuales y reproductivos no sean obstaculizados por posturas religiosas y socioculturales, en las que el patriarcado incide en la negación de la autonomía de las mujeres para decidir sobre su cuerpo, su sexualidad y su reproducción. También, obstaculizan la garantía de los derechos de las mujeres y hombres con orientaciones sexuales diversas.</w:t>
            </w:r>
          </w:p>
          <w:p w14:paraId="089F5CF6" w14:textId="77777777" w:rsidR="00F75F90" w:rsidRPr="00E94619" w:rsidRDefault="00F75F90" w:rsidP="000E5AC0">
            <w:pPr>
              <w:spacing w:after="0"/>
              <w:jc w:val="both"/>
              <w:rPr>
                <w:rFonts w:ascii="Century Gothic" w:hAnsi="Century Gothic"/>
                <w:sz w:val="16"/>
                <w:szCs w:val="16"/>
              </w:rPr>
            </w:pPr>
          </w:p>
          <w:p w14:paraId="64BE069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-Según el documento “Compilación analítica de las normas de salud sexual y reproductiva (2013), en Colombia existen más de 245 cuerpos normativos, entre sentencias, leyes, decretos, resoluciones, acuerdos, circulares, en el tema de salud sexual y reproductiva, lo que </w:t>
            </w:r>
            <w:r w:rsidRPr="00E94619">
              <w:rPr>
                <w:rFonts w:ascii="Century Gothic" w:hAnsi="Century Gothic"/>
                <w:sz w:val="16"/>
                <w:szCs w:val="16"/>
              </w:rPr>
              <w:lastRenderedPageBreak/>
              <w:t>podría considerarse una inflación de normas en este campo, llevando a problemas de interpretación e implementación. Específicamente en los usuarios lleva al desconocimiento de todos sus derechos, especialmente en las mujeres.</w:t>
            </w:r>
          </w:p>
          <w:p w14:paraId="690F6B53" w14:textId="77777777" w:rsidR="00F75F90" w:rsidRPr="00E94619" w:rsidRDefault="00F75F90" w:rsidP="000E5AC0">
            <w:pPr>
              <w:spacing w:after="0"/>
              <w:jc w:val="both"/>
              <w:rPr>
                <w:rFonts w:ascii="Century Gothic" w:hAnsi="Century Gothic"/>
                <w:sz w:val="16"/>
                <w:szCs w:val="16"/>
              </w:rPr>
            </w:pPr>
          </w:p>
          <w:p w14:paraId="0F95504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-Según PNSDSDR y “Compilación analítica de las normas de salud sexual y reproductiva (2013):</w:t>
            </w:r>
          </w:p>
          <w:p w14:paraId="6E34A62D"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-Mejorar la implementación de normas en los niveles territorial y municipal. </w:t>
            </w:r>
          </w:p>
          <w:p w14:paraId="74D8010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-Garantizar el enfoque diferencial de derechos.</w:t>
            </w:r>
          </w:p>
          <w:p w14:paraId="1DABA2E3"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-Programas de atención integral con respuesta, información y atención oportuna y de calidad</w:t>
            </w:r>
            <w:r w:rsidRPr="00E94619">
              <w:rPr>
                <w:rFonts w:ascii="Century Gothic" w:hAnsi="Century Gothic"/>
                <w:i/>
                <w:sz w:val="16"/>
                <w:szCs w:val="16"/>
              </w:rPr>
              <w:t>.</w:t>
            </w:r>
          </w:p>
          <w:p w14:paraId="5C94AD5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-Formación para los prestadores de servicios de salud en el tema.</w:t>
            </w:r>
          </w:p>
          <w:p w14:paraId="4ECBACE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-Fortalecer el seguimiento, evaluación y control a la implementación de la Política y normatividad existentes.</w:t>
            </w:r>
          </w:p>
          <w:p w14:paraId="76B4741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-Promover relaciones igualitarias entre hombres y mujeres en los espacios de atención en salud. </w:t>
            </w:r>
          </w:p>
          <w:p w14:paraId="03D60786"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-Garantizar que todas las personas, en especial las mujeres, vivan una vida libre de violencias en los ámbitos de la sexualidad y reproductivo.</w:t>
            </w:r>
          </w:p>
          <w:p w14:paraId="44EB54A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-Realizar campañas de comunicación.</w:t>
            </w:r>
          </w:p>
          <w:p w14:paraId="131B749F"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-Identificar y erradicar las prácticas institucionales violentas asociada al ejercicio de los derechos sexuales y reproductivos, como el trato sexista a las mujeres en la atención obstétrica, o por la iniciación temprana del ejercicio sexual o el estigma y discriminación a las personas con VIH, a las-los trabajadores sexuales, personas con identidad de género diversa, etc. </w:t>
            </w:r>
          </w:p>
          <w:p w14:paraId="1F55A518"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-Involucrar a los hombres en los programas sobre derechos sexuales y reproductivos. </w:t>
            </w:r>
          </w:p>
          <w:p w14:paraId="33AB5F70" w14:textId="77777777" w:rsidR="00F75F90" w:rsidRPr="00E94619" w:rsidRDefault="00F75F90" w:rsidP="000E5AC0">
            <w:pPr>
              <w:spacing w:after="0"/>
              <w:jc w:val="both"/>
              <w:rPr>
                <w:rFonts w:ascii="Century Gothic" w:hAnsi="Century Gothic"/>
                <w:sz w:val="16"/>
                <w:szCs w:val="16"/>
              </w:rPr>
            </w:pPr>
          </w:p>
          <w:p w14:paraId="50791DBC"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Mortalidad materna, cobertura de servicios de asistencia prenatal y partos atendidos por personal calificado</w:t>
            </w:r>
          </w:p>
          <w:p w14:paraId="51768B2A"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sz w:val="16"/>
                <w:szCs w:val="16"/>
              </w:rPr>
              <w:t xml:space="preserve">-Garantizar la atención pertinente y de calidad a las gestantes afiliadas al régimen </w:t>
            </w:r>
            <w:r w:rsidRPr="00E94619">
              <w:rPr>
                <w:rFonts w:ascii="Century Gothic" w:hAnsi="Century Gothic"/>
                <w:sz w:val="16"/>
                <w:szCs w:val="16"/>
              </w:rPr>
              <w:lastRenderedPageBreak/>
              <w:t>subsidiado, sin demoras en la autorización de procedimientos.</w:t>
            </w:r>
          </w:p>
          <w:p w14:paraId="4BC5AA3E"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-Garantizar recursos, infraestructura y personal para la atención materna en las regiones más apartadas.</w:t>
            </w:r>
          </w:p>
          <w:p w14:paraId="7920DA2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-Reforzar controles prenatales.</w:t>
            </w:r>
          </w:p>
          <w:p w14:paraId="7C5DC48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-Prevenir embarazo en adolescentes, personas mayores, mujeres con necesidades básicas insatisfechas.</w:t>
            </w:r>
          </w:p>
          <w:p w14:paraId="3449A8CB" w14:textId="77777777" w:rsidR="00F75F90" w:rsidRPr="00E94619" w:rsidRDefault="00F75F90" w:rsidP="000E5AC0">
            <w:pPr>
              <w:spacing w:after="0"/>
              <w:jc w:val="both"/>
              <w:rPr>
                <w:rFonts w:ascii="Century Gothic" w:hAnsi="Century Gothic"/>
                <w:b/>
                <w:sz w:val="16"/>
                <w:szCs w:val="16"/>
              </w:rPr>
            </w:pPr>
          </w:p>
          <w:p w14:paraId="08DD3251"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 xml:space="preserve">Detección cáncer cervical </w:t>
            </w:r>
          </w:p>
          <w:p w14:paraId="28DFF43E"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-Logar el descenso definitivo de mortalidad de cáncer de cuello uterino. </w:t>
            </w:r>
          </w:p>
          <w:p w14:paraId="32A9A57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-Educación y sistemas oportunos de información sobre el virus del papiloma humano para su prevención.</w:t>
            </w:r>
          </w:p>
          <w:p w14:paraId="313CE5B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-Entrega oportuna de resultados de citología.</w:t>
            </w:r>
          </w:p>
          <w:p w14:paraId="0845C5D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el diagnóstico y tratamiento. </w:t>
            </w:r>
          </w:p>
          <w:p w14:paraId="77C3CEE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los servicios de salud para la detección y tratamiento en zonas geográficas que no cuentan con éstos. </w:t>
            </w:r>
          </w:p>
          <w:p w14:paraId="2DE643AC" w14:textId="77777777" w:rsidR="00F75F90" w:rsidRPr="00E94619" w:rsidRDefault="00F75F90" w:rsidP="000E5AC0">
            <w:pPr>
              <w:spacing w:after="0"/>
              <w:jc w:val="both"/>
              <w:rPr>
                <w:rFonts w:ascii="Century Gothic" w:hAnsi="Century Gothic"/>
                <w:sz w:val="16"/>
                <w:szCs w:val="16"/>
              </w:rPr>
            </w:pPr>
          </w:p>
          <w:p w14:paraId="75BEF4C6"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Acceso a la planificación familiar y uso de métodos anticonceptivos</w:t>
            </w:r>
          </w:p>
          <w:p w14:paraId="39C14139"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el acceso gratuito a anticonceptivos y divulgar información suficiente y adecuada sobre éstos. </w:t>
            </w:r>
          </w:p>
          <w:p w14:paraId="45EFF3C2"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-Establecer medidas entorno al acceso de métodos anticonceptivos en niñas y niños que inician su vida sexual antes de los 14 años. </w:t>
            </w:r>
          </w:p>
          <w:p w14:paraId="21674154" w14:textId="77777777" w:rsidR="00F75F90" w:rsidRPr="00E94619" w:rsidRDefault="00F75F90" w:rsidP="000E5AC0">
            <w:pPr>
              <w:spacing w:after="0"/>
              <w:jc w:val="both"/>
              <w:rPr>
                <w:rFonts w:ascii="Century Gothic" w:hAnsi="Century Gothic"/>
                <w:b/>
                <w:sz w:val="16"/>
                <w:szCs w:val="16"/>
              </w:rPr>
            </w:pPr>
          </w:p>
          <w:p w14:paraId="114203EB"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 xml:space="preserve">Embarazo adolescente </w:t>
            </w:r>
          </w:p>
          <w:p w14:paraId="2C9CFE0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-Fortalecer las estrategias de prevención de embarazo adolescente.</w:t>
            </w:r>
          </w:p>
          <w:p w14:paraId="1DCA1A1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la permanencia en el sistema educativo de adolescentes y jóvenes embarazadas. </w:t>
            </w:r>
          </w:p>
          <w:p w14:paraId="6D581CD4"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-En las menores de 14 años se debe garantizar la atención en salud materna, el derecho a la IVE y la denuncia del caso, ya que las relaciones sexuales con menores de 14 años constituyen una violación. </w:t>
            </w:r>
          </w:p>
          <w:p w14:paraId="6856D27F" w14:textId="77777777" w:rsidR="00F75F90" w:rsidRPr="00E94619" w:rsidRDefault="00F75F90" w:rsidP="000E5AC0">
            <w:pPr>
              <w:spacing w:after="0"/>
              <w:jc w:val="both"/>
              <w:rPr>
                <w:rFonts w:ascii="Century Gothic" w:hAnsi="Century Gothic"/>
                <w:b/>
                <w:sz w:val="16"/>
                <w:szCs w:val="16"/>
              </w:rPr>
            </w:pPr>
          </w:p>
          <w:p w14:paraId="65D6381D"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Jóvenes que reciben educación integral sobre sexualidad</w:t>
            </w:r>
          </w:p>
          <w:p w14:paraId="6633928A"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-Crear estrategias para que docentes y directivas </w:t>
            </w:r>
            <w:r w:rsidRPr="00E94619">
              <w:rPr>
                <w:rFonts w:ascii="Century Gothic" w:hAnsi="Century Gothic"/>
                <w:sz w:val="16"/>
                <w:szCs w:val="16"/>
              </w:rPr>
              <w:lastRenderedPageBreak/>
              <w:t>reconozcan la importancia de educar en este tema.</w:t>
            </w:r>
          </w:p>
          <w:p w14:paraId="6389A873"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-Mejorar implementación y cobertura de los programas.</w:t>
            </w:r>
          </w:p>
          <w:p w14:paraId="3310285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-Fortalecer la participación de los adolescentes en los procesos de formulación, implementación y evaluación de la Política Nacional de Sexualidad, Derechos Sexuales y Derechos Reproductivo </w:t>
            </w:r>
          </w:p>
          <w:p w14:paraId="0DE81594" w14:textId="77777777" w:rsidR="00F75F90" w:rsidRPr="00E94619" w:rsidRDefault="00F75F90" w:rsidP="000E5AC0">
            <w:pPr>
              <w:spacing w:after="0"/>
              <w:jc w:val="both"/>
              <w:rPr>
                <w:rFonts w:ascii="Century Gothic" w:hAnsi="Century Gothic"/>
                <w:b/>
                <w:sz w:val="16"/>
                <w:szCs w:val="16"/>
              </w:rPr>
            </w:pPr>
          </w:p>
          <w:p w14:paraId="1B909A4C"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 xml:space="preserve">Derecho a la interrupción voluntaria del embarazo IVE </w:t>
            </w:r>
          </w:p>
          <w:p w14:paraId="157C0CAF"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el acceso a la IVE, ya que éste es limitado e inapropiado, sobre todo en las zonas rurales del país. En el 90% de los casos la IVE se realiza de manera clandestina poniendo en riesgo la vida de las mujeres. </w:t>
            </w:r>
          </w:p>
          <w:p w14:paraId="52FF5C75"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-Erradicar las barreras administrativas que hacen que se realice de manera tardía.</w:t>
            </w:r>
          </w:p>
          <w:p w14:paraId="298AC7E7"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-Asegurar la inclusión y disponibilidad de los medicamentos para IVE.</w:t>
            </w:r>
          </w:p>
          <w:p w14:paraId="4C23A2C3"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-Objeción de conciencia de los médicos: la objeción de conciencia para no realizar estos procedimientos es personal y debe justificarse de manera anticipada al inicio del cargo; sin embargo, existen en Colombia Clínicas que se han declarado objetoras al igual médicos y EPS que no han remitido a otro especialista para garantizar el derecho a la IVE. </w:t>
            </w:r>
          </w:p>
          <w:p w14:paraId="0E27F560" w14:textId="77777777" w:rsidR="00F75F90" w:rsidRPr="00E94619" w:rsidRDefault="00F75F90" w:rsidP="000E5AC0">
            <w:pPr>
              <w:spacing w:after="0"/>
              <w:jc w:val="both"/>
              <w:rPr>
                <w:rFonts w:ascii="Century Gothic" w:hAnsi="Century Gothic"/>
                <w:sz w:val="16"/>
                <w:szCs w:val="16"/>
              </w:rPr>
            </w:pPr>
          </w:p>
          <w:p w14:paraId="2DFD11E2" w14:textId="77777777" w:rsidR="00F75F90" w:rsidRPr="00E94619" w:rsidRDefault="00F75F90" w:rsidP="000E5AC0">
            <w:pPr>
              <w:spacing w:after="0"/>
              <w:jc w:val="both"/>
              <w:rPr>
                <w:rFonts w:ascii="Century Gothic" w:hAnsi="Century Gothic"/>
                <w:b/>
                <w:sz w:val="16"/>
                <w:szCs w:val="16"/>
              </w:rPr>
            </w:pPr>
            <w:r w:rsidRPr="00E94619">
              <w:rPr>
                <w:rFonts w:ascii="Century Gothic" w:hAnsi="Century Gothic"/>
                <w:b/>
                <w:sz w:val="16"/>
                <w:szCs w:val="16"/>
              </w:rPr>
              <w:t>VIH-SIDA</w:t>
            </w:r>
          </w:p>
          <w:p w14:paraId="60A3D2CE" w14:textId="77777777" w:rsidR="00F75F90" w:rsidRPr="00E94619" w:rsidRDefault="00F75F90"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-Llegar a una cobertura de la Terapia Anti Retroviral del 100% </w:t>
            </w:r>
          </w:p>
          <w:p w14:paraId="07DB2286"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-Mayor atención al VIH en las mujeres, ya que éste ha ido en aumento. </w:t>
            </w:r>
          </w:p>
          <w:p w14:paraId="7CC8218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-Mejorar la prevención del VIH-SIDA.</w:t>
            </w:r>
          </w:p>
          <w:p w14:paraId="24BC2B3D"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-Continuar promoviendo el uso del condón como forma de protección. </w:t>
            </w:r>
          </w:p>
          <w:p w14:paraId="61D3974E"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 xml:space="preserve">-Garantizar la no discriminación de las personas con VIH-SIDA, incluyendo los ámbitos educativos. </w:t>
            </w:r>
          </w:p>
          <w:p w14:paraId="0D606481" w14:textId="77777777" w:rsidR="00F75F90" w:rsidRPr="00E94619" w:rsidRDefault="00F75F90" w:rsidP="000E5AC0">
            <w:pPr>
              <w:spacing w:after="0"/>
              <w:jc w:val="both"/>
              <w:rPr>
                <w:rFonts w:ascii="Century Gothic" w:hAnsi="Century Gothic"/>
                <w:sz w:val="16"/>
                <w:szCs w:val="16"/>
              </w:rPr>
            </w:pPr>
            <w:r w:rsidRPr="00E94619">
              <w:rPr>
                <w:rFonts w:ascii="Century Gothic" w:hAnsi="Century Gothic"/>
                <w:sz w:val="16"/>
                <w:szCs w:val="16"/>
              </w:rPr>
              <w:t>-Garantizar la no discriminación de personas con orientaciones sexuales diversas portadoras de VIH-SIDA.</w:t>
            </w:r>
          </w:p>
        </w:tc>
      </w:tr>
    </w:tbl>
    <w:p w14:paraId="7E4F7D30" w14:textId="77777777" w:rsidR="00F75F90" w:rsidRPr="00E94619" w:rsidRDefault="00F75F90" w:rsidP="000E5AC0">
      <w:pPr>
        <w:spacing w:after="0" w:line="240" w:lineRule="auto"/>
        <w:jc w:val="both"/>
        <w:rPr>
          <w:rFonts w:ascii="Century Gothic" w:hAnsi="Century Gothic"/>
          <w:b/>
        </w:rPr>
      </w:pPr>
    </w:p>
    <w:p w14:paraId="4A828BA7" w14:textId="77777777" w:rsidR="00F75F90" w:rsidRPr="00E46859" w:rsidRDefault="00F75F90" w:rsidP="000E5AC0">
      <w:pPr>
        <w:pStyle w:val="Ttulo2"/>
        <w:rPr>
          <w:rFonts w:ascii="Century Gothic" w:hAnsi="Century Gothic"/>
          <w:color w:val="CC3366"/>
        </w:rPr>
      </w:pPr>
      <w:bookmarkStart w:id="74" w:name="_Toc488624290"/>
      <w:r w:rsidRPr="00E46859">
        <w:rPr>
          <w:rFonts w:ascii="Century Gothic" w:hAnsi="Century Gothic"/>
          <w:color w:val="CC3366"/>
        </w:rPr>
        <w:t>7</w:t>
      </w:r>
      <w:r w:rsidR="00EE6ABB" w:rsidRPr="00E46859">
        <w:rPr>
          <w:rFonts w:ascii="Century Gothic" w:hAnsi="Century Gothic"/>
          <w:color w:val="CC3366"/>
        </w:rPr>
        <w:t>.</w:t>
      </w:r>
      <w:r w:rsidRPr="00E46859">
        <w:rPr>
          <w:rFonts w:ascii="Century Gothic" w:hAnsi="Century Gothic"/>
          <w:color w:val="CC3366"/>
        </w:rPr>
        <w:t xml:space="preserve"> Seguridad alimentaria y nutricional</w:t>
      </w:r>
      <w:bookmarkEnd w:id="74"/>
    </w:p>
    <w:p w14:paraId="0D347132" w14:textId="77777777" w:rsidR="00F75F90" w:rsidRPr="00E94619" w:rsidRDefault="00F75F90" w:rsidP="000E5AC0">
      <w:pPr>
        <w:spacing w:after="0" w:line="240" w:lineRule="auto"/>
        <w:jc w:val="both"/>
        <w:rPr>
          <w:rFonts w:ascii="Century Gothic" w:hAnsi="Century Gothic"/>
          <w:b/>
        </w:rPr>
      </w:pPr>
    </w:p>
    <w:p w14:paraId="2FE73161" w14:textId="77777777" w:rsidR="00F75F90" w:rsidRPr="00E94619" w:rsidRDefault="00F75F90" w:rsidP="000E5AC0">
      <w:pPr>
        <w:spacing w:after="0" w:line="240" w:lineRule="auto"/>
        <w:jc w:val="both"/>
        <w:rPr>
          <w:rFonts w:ascii="Century Gothic" w:hAnsi="Century Gothic"/>
          <w:i/>
        </w:rPr>
      </w:pPr>
      <w:r w:rsidRPr="00E94619">
        <w:rPr>
          <w:rFonts w:ascii="Century Gothic" w:hAnsi="Century Gothic"/>
        </w:rPr>
        <w:t>Según el Conpes 113 de 2008, referente de política pública, la “</w:t>
      </w:r>
      <w:r w:rsidRPr="00E94619">
        <w:rPr>
          <w:rFonts w:ascii="Century Gothic" w:hAnsi="Century Gothic"/>
          <w:i/>
        </w:rPr>
        <w:t xml:space="preserve">Seguridad alimentaria y nutricional es la disponibilidad suficiente y estable de alimentos, el acceso y el consumo oportuno y permanente de los mismos en cantidad, calidad e inocuidad por parte de todas las personas, bajo condiciones que permitan su adecuada utilización biológica, para llevar una vida saludable y activa” </w:t>
      </w:r>
      <w:r w:rsidRPr="00E94619">
        <w:rPr>
          <w:rFonts w:ascii="Century Gothic" w:hAnsi="Century Gothic"/>
        </w:rPr>
        <w:t>(DNP, 2008)</w:t>
      </w:r>
      <w:r w:rsidRPr="00E94619">
        <w:rPr>
          <w:rFonts w:ascii="Century Gothic" w:hAnsi="Century Gothic"/>
          <w:b/>
          <w:i/>
        </w:rPr>
        <w:t>.</w:t>
      </w:r>
      <w:r w:rsidRPr="00E94619">
        <w:rPr>
          <w:rFonts w:ascii="Century Gothic" w:hAnsi="Century Gothic"/>
          <w:i/>
        </w:rPr>
        <w:t xml:space="preserve"> </w:t>
      </w:r>
    </w:p>
    <w:p w14:paraId="535E2224" w14:textId="77777777" w:rsidR="00F75F90" w:rsidRPr="00E94619" w:rsidRDefault="00F75F90" w:rsidP="000E5AC0">
      <w:pPr>
        <w:spacing w:after="0" w:line="240" w:lineRule="auto"/>
        <w:jc w:val="both"/>
        <w:rPr>
          <w:rFonts w:ascii="Century Gothic" w:hAnsi="Century Gothic"/>
        </w:rPr>
      </w:pPr>
    </w:p>
    <w:p w14:paraId="5D5098FE"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 xml:space="preserve">Las mujeres por los roles socioculturales que cumplen en las sociedades han tenido y siguen teniendo un papel fundamental en la seguridad alimentaria y nutricional, desde la lactancia materna, hasta en la producción, comercialización y suministro de los alimentos, sin embargo, su aporte no es suficientemente reconocido ni valorado por estar en el marco de las actividades relacionadas con la reproducción y en muchas ocasiones con el trabajo doméstico no remunerado.  </w:t>
      </w:r>
    </w:p>
    <w:p w14:paraId="780A20E9" w14:textId="77777777" w:rsidR="00F75F90" w:rsidRPr="00E94619" w:rsidRDefault="00F75F90" w:rsidP="000E5AC0">
      <w:pPr>
        <w:spacing w:after="0" w:line="240" w:lineRule="auto"/>
        <w:jc w:val="both"/>
        <w:rPr>
          <w:rFonts w:ascii="Century Gothic" w:hAnsi="Century Gothic"/>
        </w:rPr>
      </w:pPr>
    </w:p>
    <w:bookmarkStart w:id="75" w:name="_Toc488624291"/>
    <w:p w14:paraId="3135208B" w14:textId="55145698" w:rsidR="00F75F90" w:rsidRDefault="00830DBC" w:rsidP="00E46859">
      <w:pPr>
        <w:pStyle w:val="Ttulo4"/>
        <w:rPr>
          <w:rStyle w:val="Ttulo3Car"/>
          <w:rFonts w:ascii="Century Gothic" w:hAnsi="Century Gothic"/>
          <w:bCs w:val="0"/>
          <w:i w:val="0"/>
          <w:iCs w:val="0"/>
          <w:color w:val="CC3366"/>
        </w:rPr>
      </w:pPr>
      <w:sdt>
        <w:sdtPr>
          <w:rPr>
            <w:rFonts w:ascii="Century Gothic" w:hAnsi="Century Gothic"/>
            <w:b w:val="0"/>
            <w:lang w:val="es-ES_tradnl" w:eastAsia="es-ES"/>
          </w:rPr>
          <w:tag w:val="goog_rdk_75"/>
          <w:id w:val="1176923585"/>
          <w:showingPlcHdr/>
        </w:sdtPr>
        <w:sdtEndPr>
          <w:rPr>
            <w:b/>
            <w:lang w:val="es-CO" w:eastAsia="en-US"/>
          </w:rPr>
        </w:sdtEndPr>
        <w:sdtContent>
          <w:r w:rsidR="00E46859">
            <w:rPr>
              <w:rFonts w:ascii="Century Gothic" w:hAnsi="Century Gothic"/>
              <w:b w:val="0"/>
              <w:lang w:val="es-ES_tradnl" w:eastAsia="es-ES"/>
            </w:rPr>
            <w:t xml:space="preserve">     </w:t>
          </w:r>
        </w:sdtContent>
      </w:sdt>
      <w:r w:rsidR="00F75F90" w:rsidRPr="00E46859">
        <w:rPr>
          <w:rStyle w:val="Ttulo3Car"/>
          <w:rFonts w:ascii="Century Gothic" w:hAnsi="Century Gothic"/>
          <w:bCs w:val="0"/>
          <w:i w:val="0"/>
          <w:iCs w:val="0"/>
          <w:color w:val="CC3366"/>
        </w:rPr>
        <w:t>7.1 Niños y niñas nacidas con bajo peso (ODS 2.3)</w:t>
      </w:r>
      <w:bookmarkEnd w:id="75"/>
    </w:p>
    <w:p w14:paraId="084AD9F7" w14:textId="77777777" w:rsidR="00E46859" w:rsidRPr="00E46859" w:rsidRDefault="00E46859" w:rsidP="00E46859">
      <w:pPr>
        <w:rPr>
          <w:lang w:val="es-ES_tradnl" w:eastAsia="es-ES"/>
        </w:rPr>
      </w:pPr>
    </w:p>
    <w:p w14:paraId="5E2E4AAA"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 xml:space="preserve">Según el Instituto Nacional de Salud, los niños que nacen con bajo peso al nacer tienen mayor riesgo de morir durante los primeros años de vida, presentar retraso en el desarrollo físico y cognitivo durante la niñez, tener capacidades reducidas para trabajar y para obtener ingresos en la adultez, en el caso de las mujeres es posible que den a luz niños con peso por debajo de los estándares de salud.  Con relación a los lactantes con bajo peso el riesgo de muerte neonatal es cuatro veces mayor en quienes nacen con peso menor de 2.5 kilogramos y 18 veces mayor en los que pesan menos de 2 kilogramos. </w:t>
      </w:r>
    </w:p>
    <w:p w14:paraId="30F33141" w14:textId="33DD93D5" w:rsidR="00F75F90" w:rsidRPr="00E94619" w:rsidRDefault="00F75F90" w:rsidP="000E5AC0">
      <w:pPr>
        <w:spacing w:after="0" w:line="240" w:lineRule="auto"/>
        <w:jc w:val="both"/>
        <w:rPr>
          <w:rFonts w:ascii="Century Gothic" w:hAnsi="Century Gothic"/>
        </w:rPr>
      </w:pPr>
    </w:p>
    <w:p w14:paraId="7CB547C0" w14:textId="31B62EAD" w:rsidR="00F75F90" w:rsidRPr="00E94619" w:rsidRDefault="00D2173C" w:rsidP="000E5AC0">
      <w:pPr>
        <w:spacing w:after="0" w:line="240" w:lineRule="auto"/>
        <w:jc w:val="both"/>
        <w:rPr>
          <w:rFonts w:ascii="Century Gothic" w:hAnsi="Century Gothic"/>
        </w:rPr>
      </w:pPr>
      <w:r>
        <w:rPr>
          <w:rFonts w:ascii="Century Gothic" w:hAnsi="Century Gothic"/>
          <w:b/>
          <w:noProof/>
          <w:szCs w:val="24"/>
          <w:lang w:val="es-ES"/>
        </w:rPr>
        <w:lastRenderedPageBreak/>
        <w:drawing>
          <wp:anchor distT="0" distB="0" distL="114300" distR="114300" simplePos="0" relativeHeight="251882496" behindDoc="0" locked="0" layoutInCell="1" allowOverlap="1" wp14:anchorId="7D9D1D6A" wp14:editId="12F4C55F">
            <wp:simplePos x="0" y="0"/>
            <wp:positionH relativeFrom="column">
              <wp:posOffset>-1080135</wp:posOffset>
            </wp:positionH>
            <wp:positionV relativeFrom="paragraph">
              <wp:posOffset>-822960</wp:posOffset>
            </wp:positionV>
            <wp:extent cx="965835" cy="708660"/>
            <wp:effectExtent l="0" t="0" r="0" b="0"/>
            <wp:wrapNone/>
            <wp:docPr id="411" name="Imagen 41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F75F90" w:rsidRPr="00E94619">
        <w:rPr>
          <w:rFonts w:ascii="Century Gothic" w:hAnsi="Century Gothic"/>
        </w:rPr>
        <w:t>El bajo peso al nacer también es un indicador de malnutrición de la madre y mal estado de salud. Colombia ocupa el segundo lugar a nivel de Sur América en el porcentaje de niños y niñas que nacen con bajo peso al nacer, el cual es de 9%, dato que se ha incrementado en la última década al pasar de 70 a 90 nacimientos con bajo peso por cada 1000 nacidos vivos.</w:t>
      </w:r>
    </w:p>
    <w:p w14:paraId="60A0D6AC" w14:textId="77777777" w:rsidR="00E46859" w:rsidRDefault="00E46859" w:rsidP="000E5AC0">
      <w:pPr>
        <w:spacing w:after="0" w:line="240" w:lineRule="auto"/>
        <w:jc w:val="both"/>
        <w:rPr>
          <w:rFonts w:ascii="Century Gothic" w:hAnsi="Century Gothic"/>
          <w:b/>
          <w:bCs/>
          <w:sz w:val="14"/>
          <w:szCs w:val="14"/>
        </w:rPr>
      </w:pPr>
    </w:p>
    <w:p w14:paraId="518E9958" w14:textId="6A4EB957" w:rsidR="00F75F90" w:rsidRPr="00E94619" w:rsidRDefault="00E46859" w:rsidP="00E46859">
      <w:pPr>
        <w:spacing w:after="0" w:line="240" w:lineRule="auto"/>
        <w:jc w:val="center"/>
        <w:rPr>
          <w:rFonts w:ascii="Century Gothic" w:hAnsi="Century Gothic"/>
          <w:b/>
          <w:bCs/>
          <w:sz w:val="14"/>
          <w:szCs w:val="14"/>
        </w:rPr>
      </w:pPr>
      <w:r w:rsidRPr="00E94619">
        <w:rPr>
          <w:rFonts w:ascii="Century Gothic" w:hAnsi="Century Gothic"/>
          <w:noProof/>
          <w:lang w:val="es-ES" w:eastAsia="es-ES"/>
        </w:rPr>
        <w:drawing>
          <wp:anchor distT="0" distB="0" distL="114300" distR="114300" simplePos="0" relativeHeight="251715584" behindDoc="0" locked="0" layoutInCell="1" allowOverlap="1" wp14:anchorId="15586093" wp14:editId="1E93842F">
            <wp:simplePos x="0" y="0"/>
            <wp:positionH relativeFrom="column">
              <wp:posOffset>685800</wp:posOffset>
            </wp:positionH>
            <wp:positionV relativeFrom="paragraph">
              <wp:posOffset>219075</wp:posOffset>
            </wp:positionV>
            <wp:extent cx="3648075" cy="1763395"/>
            <wp:effectExtent l="0" t="0" r="9525" b="0"/>
            <wp:wrapSquare wrapText="bothSides"/>
            <wp:docPr id="58"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3648075" cy="176339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sz w:val="14"/>
          <w:szCs w:val="14"/>
        </w:rPr>
        <w:t>Gráfica 50. Tasas de mortalidad por desnutrición en menores de cinco años</w:t>
      </w:r>
    </w:p>
    <w:p w14:paraId="669DA3E7" w14:textId="3A8DBB14" w:rsidR="00F75F90" w:rsidRPr="00E94619" w:rsidRDefault="00F75F90" w:rsidP="000E5AC0">
      <w:pPr>
        <w:spacing w:after="0" w:line="240" w:lineRule="auto"/>
        <w:jc w:val="both"/>
        <w:rPr>
          <w:rFonts w:ascii="Century Gothic" w:hAnsi="Century Gothic"/>
        </w:rPr>
      </w:pPr>
    </w:p>
    <w:p w14:paraId="1C42CE20" w14:textId="77777777" w:rsidR="00E46859" w:rsidRDefault="00E46859" w:rsidP="000E5AC0">
      <w:pPr>
        <w:spacing w:after="0" w:line="240" w:lineRule="auto"/>
        <w:jc w:val="both"/>
        <w:rPr>
          <w:rFonts w:ascii="Century Gothic" w:hAnsi="Century Gothic"/>
          <w:sz w:val="16"/>
          <w:szCs w:val="16"/>
        </w:rPr>
      </w:pPr>
    </w:p>
    <w:p w14:paraId="49EA6D4D" w14:textId="77777777" w:rsidR="00E46859" w:rsidRDefault="00E46859" w:rsidP="000E5AC0">
      <w:pPr>
        <w:spacing w:after="0" w:line="240" w:lineRule="auto"/>
        <w:jc w:val="both"/>
        <w:rPr>
          <w:rFonts w:ascii="Century Gothic" w:hAnsi="Century Gothic"/>
          <w:sz w:val="16"/>
          <w:szCs w:val="16"/>
        </w:rPr>
      </w:pPr>
    </w:p>
    <w:p w14:paraId="41700E58" w14:textId="77777777" w:rsidR="00E46859" w:rsidRDefault="00E46859" w:rsidP="000E5AC0">
      <w:pPr>
        <w:spacing w:after="0" w:line="240" w:lineRule="auto"/>
        <w:jc w:val="both"/>
        <w:rPr>
          <w:rFonts w:ascii="Century Gothic" w:hAnsi="Century Gothic"/>
          <w:sz w:val="16"/>
          <w:szCs w:val="16"/>
        </w:rPr>
      </w:pPr>
    </w:p>
    <w:p w14:paraId="02E32AFA" w14:textId="77777777" w:rsidR="00E46859" w:rsidRDefault="00E46859" w:rsidP="000E5AC0">
      <w:pPr>
        <w:spacing w:after="0" w:line="240" w:lineRule="auto"/>
        <w:jc w:val="both"/>
        <w:rPr>
          <w:rFonts w:ascii="Century Gothic" w:hAnsi="Century Gothic"/>
          <w:sz w:val="16"/>
          <w:szCs w:val="16"/>
        </w:rPr>
      </w:pPr>
    </w:p>
    <w:p w14:paraId="5FF4669A" w14:textId="77777777" w:rsidR="00E46859" w:rsidRDefault="00E46859" w:rsidP="000E5AC0">
      <w:pPr>
        <w:spacing w:after="0" w:line="240" w:lineRule="auto"/>
        <w:jc w:val="both"/>
        <w:rPr>
          <w:rFonts w:ascii="Century Gothic" w:hAnsi="Century Gothic"/>
          <w:sz w:val="16"/>
          <w:szCs w:val="16"/>
        </w:rPr>
      </w:pPr>
    </w:p>
    <w:p w14:paraId="3E10FB1D" w14:textId="77777777" w:rsidR="00E46859" w:rsidRDefault="00E46859" w:rsidP="000E5AC0">
      <w:pPr>
        <w:spacing w:after="0" w:line="240" w:lineRule="auto"/>
        <w:jc w:val="both"/>
        <w:rPr>
          <w:rFonts w:ascii="Century Gothic" w:hAnsi="Century Gothic"/>
          <w:sz w:val="16"/>
          <w:szCs w:val="16"/>
        </w:rPr>
      </w:pPr>
    </w:p>
    <w:p w14:paraId="2C7E57DC" w14:textId="77777777" w:rsidR="00E46859" w:rsidRDefault="00E46859" w:rsidP="000E5AC0">
      <w:pPr>
        <w:spacing w:after="0" w:line="240" w:lineRule="auto"/>
        <w:jc w:val="both"/>
        <w:rPr>
          <w:rFonts w:ascii="Century Gothic" w:hAnsi="Century Gothic"/>
          <w:sz w:val="16"/>
          <w:szCs w:val="16"/>
        </w:rPr>
      </w:pPr>
    </w:p>
    <w:p w14:paraId="05FD61FA" w14:textId="77777777" w:rsidR="00E46859" w:rsidRDefault="00E46859" w:rsidP="000E5AC0">
      <w:pPr>
        <w:spacing w:after="0" w:line="240" w:lineRule="auto"/>
        <w:jc w:val="both"/>
        <w:rPr>
          <w:rFonts w:ascii="Century Gothic" w:hAnsi="Century Gothic"/>
          <w:sz w:val="16"/>
          <w:szCs w:val="16"/>
        </w:rPr>
      </w:pPr>
    </w:p>
    <w:p w14:paraId="64A45922" w14:textId="77777777" w:rsidR="00E46859" w:rsidRDefault="00E46859" w:rsidP="000E5AC0">
      <w:pPr>
        <w:spacing w:after="0" w:line="240" w:lineRule="auto"/>
        <w:jc w:val="both"/>
        <w:rPr>
          <w:rFonts w:ascii="Century Gothic" w:hAnsi="Century Gothic"/>
          <w:sz w:val="16"/>
          <w:szCs w:val="16"/>
        </w:rPr>
      </w:pPr>
    </w:p>
    <w:p w14:paraId="0FFC58BA" w14:textId="77777777" w:rsidR="00E46859" w:rsidRDefault="00E46859" w:rsidP="000E5AC0">
      <w:pPr>
        <w:spacing w:after="0" w:line="240" w:lineRule="auto"/>
        <w:jc w:val="both"/>
        <w:rPr>
          <w:rFonts w:ascii="Century Gothic" w:hAnsi="Century Gothic"/>
          <w:sz w:val="16"/>
          <w:szCs w:val="16"/>
        </w:rPr>
      </w:pPr>
    </w:p>
    <w:p w14:paraId="5EE49635" w14:textId="77777777" w:rsidR="00E46859" w:rsidRDefault="00E46859" w:rsidP="000E5AC0">
      <w:pPr>
        <w:spacing w:after="0" w:line="240" w:lineRule="auto"/>
        <w:jc w:val="both"/>
        <w:rPr>
          <w:rFonts w:ascii="Century Gothic" w:hAnsi="Century Gothic"/>
          <w:sz w:val="16"/>
          <w:szCs w:val="16"/>
        </w:rPr>
      </w:pPr>
    </w:p>
    <w:p w14:paraId="026369C4" w14:textId="77777777" w:rsidR="00E46859" w:rsidRDefault="00E46859" w:rsidP="000E5AC0">
      <w:pPr>
        <w:spacing w:after="0" w:line="240" w:lineRule="auto"/>
        <w:jc w:val="both"/>
        <w:rPr>
          <w:rFonts w:ascii="Century Gothic" w:hAnsi="Century Gothic"/>
          <w:sz w:val="16"/>
          <w:szCs w:val="16"/>
        </w:rPr>
      </w:pPr>
    </w:p>
    <w:p w14:paraId="3ADD3701" w14:textId="77777777" w:rsidR="00E46859" w:rsidRDefault="00E46859" w:rsidP="000E5AC0">
      <w:pPr>
        <w:spacing w:after="0" w:line="240" w:lineRule="auto"/>
        <w:jc w:val="both"/>
        <w:rPr>
          <w:rFonts w:ascii="Century Gothic" w:hAnsi="Century Gothic"/>
          <w:sz w:val="16"/>
          <w:szCs w:val="16"/>
        </w:rPr>
      </w:pPr>
    </w:p>
    <w:p w14:paraId="5394010C" w14:textId="77777777" w:rsidR="00E46859" w:rsidRDefault="00E46859" w:rsidP="000E5AC0">
      <w:pPr>
        <w:spacing w:after="0" w:line="240" w:lineRule="auto"/>
        <w:jc w:val="both"/>
        <w:rPr>
          <w:rFonts w:ascii="Century Gothic" w:hAnsi="Century Gothic"/>
          <w:sz w:val="16"/>
          <w:szCs w:val="16"/>
        </w:rPr>
      </w:pPr>
    </w:p>
    <w:p w14:paraId="48A5B414" w14:textId="77777777" w:rsidR="00F75F90" w:rsidRPr="00E94619" w:rsidRDefault="00CB10A0" w:rsidP="00E46859">
      <w:pPr>
        <w:spacing w:after="0" w:line="240" w:lineRule="auto"/>
        <w:jc w:val="center"/>
        <w:rPr>
          <w:rFonts w:ascii="Century Gothic" w:hAnsi="Century Gothic"/>
          <w:sz w:val="16"/>
          <w:szCs w:val="16"/>
        </w:rPr>
      </w:pPr>
      <w:r w:rsidRPr="00E94619">
        <w:rPr>
          <w:rFonts w:ascii="Century Gothic" w:hAnsi="Century Gothic"/>
          <w:sz w:val="16"/>
          <w:szCs w:val="16"/>
        </w:rPr>
        <w:t xml:space="preserve">Fuente: </w:t>
      </w:r>
      <w:r w:rsidR="00F75F90" w:rsidRPr="00E94619">
        <w:rPr>
          <w:rFonts w:ascii="Century Gothic" w:hAnsi="Century Gothic"/>
          <w:sz w:val="16"/>
          <w:szCs w:val="16"/>
        </w:rPr>
        <w:t>Elaborado por Bodega de Datos de SISPRO (SGD) – Registro de Estadísticas Vitales, 2009 – 2019</w:t>
      </w:r>
    </w:p>
    <w:p w14:paraId="17FA30F8" w14:textId="77777777" w:rsidR="00F75F90" w:rsidRPr="00E94619" w:rsidRDefault="00F75F90" w:rsidP="000E5AC0">
      <w:pPr>
        <w:spacing w:after="0" w:line="240" w:lineRule="auto"/>
        <w:jc w:val="both"/>
        <w:rPr>
          <w:rFonts w:ascii="Century Gothic" w:hAnsi="Century Gothic"/>
          <w:sz w:val="16"/>
          <w:szCs w:val="16"/>
        </w:rPr>
      </w:pPr>
    </w:p>
    <w:p w14:paraId="74355B6E" w14:textId="77777777" w:rsidR="00F75F90" w:rsidRPr="00E46859" w:rsidRDefault="00F75F90" w:rsidP="000E5AC0">
      <w:pPr>
        <w:pStyle w:val="Ttulo3"/>
        <w:rPr>
          <w:rFonts w:ascii="Century Gothic" w:hAnsi="Century Gothic"/>
          <w:b w:val="0"/>
          <w:color w:val="CC3366"/>
          <w:sz w:val="16"/>
          <w:szCs w:val="16"/>
        </w:rPr>
      </w:pPr>
      <w:bookmarkStart w:id="76" w:name="_Toc488624292"/>
      <w:r w:rsidRPr="00E46859">
        <w:rPr>
          <w:rFonts w:ascii="Century Gothic" w:hAnsi="Century Gothic"/>
          <w:b w:val="0"/>
          <w:color w:val="CC3366"/>
        </w:rPr>
        <w:t>7.2 Mujeres en edad reproductiva con anemia (ODS2)</w:t>
      </w:r>
      <w:bookmarkEnd w:id="76"/>
    </w:p>
    <w:p w14:paraId="3E0173C9" w14:textId="77777777" w:rsidR="00F75F90" w:rsidRPr="00E94619" w:rsidRDefault="00F75F90" w:rsidP="000E5AC0">
      <w:pPr>
        <w:spacing w:after="0" w:line="240" w:lineRule="auto"/>
        <w:jc w:val="both"/>
        <w:rPr>
          <w:rFonts w:ascii="Century Gothic" w:hAnsi="Century Gothic"/>
          <w:b/>
        </w:rPr>
      </w:pPr>
    </w:p>
    <w:p w14:paraId="58C3C45A"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 xml:space="preserve">La anemia está considerada como el principal trastorno nutricional al que están expuestas de manera especial las mujeres durante el embarazo, ésta puede presentarse con mayor posibilidad en los países en desarrollo. La anemia durante el embarazo puede desencadenar en aumento de la morbimortalidad tanto de la madre como del feto, así mismo puede ocasionar parto prematuro, bajo peso al nacer y hasta la muerte materna. </w:t>
      </w:r>
    </w:p>
    <w:p w14:paraId="6950A4D5" w14:textId="77777777" w:rsidR="00F75F90" w:rsidRPr="00E94619" w:rsidRDefault="00F75F90" w:rsidP="000E5AC0">
      <w:pPr>
        <w:spacing w:after="0" w:line="240" w:lineRule="auto"/>
        <w:jc w:val="both"/>
        <w:rPr>
          <w:rFonts w:ascii="Century Gothic" w:hAnsi="Century Gothic"/>
        </w:rPr>
      </w:pPr>
    </w:p>
    <w:p w14:paraId="55D06E0C" w14:textId="77777777" w:rsidR="00F75F90" w:rsidRPr="00E94619" w:rsidRDefault="00F75F90" w:rsidP="000E5AC0">
      <w:pPr>
        <w:spacing w:after="0" w:line="240" w:lineRule="auto"/>
        <w:jc w:val="both"/>
        <w:rPr>
          <w:rFonts w:ascii="Century Gothic" w:hAnsi="Century Gothic"/>
        </w:rPr>
      </w:pPr>
      <w:r w:rsidRPr="00E94619">
        <w:rPr>
          <w:rFonts w:ascii="Century Gothic" w:hAnsi="Century Gothic"/>
        </w:rPr>
        <w:t>Según el Instituto Nacional de Salud</w:t>
      </w:r>
      <w:r w:rsidRPr="00E94619">
        <w:rPr>
          <w:rStyle w:val="Refdenotaalpie"/>
          <w:rFonts w:ascii="Century Gothic" w:hAnsi="Century Gothic"/>
        </w:rPr>
        <w:footnoteReference w:id="49"/>
      </w:r>
      <w:r w:rsidRPr="00E94619">
        <w:rPr>
          <w:rFonts w:ascii="Century Gothic" w:hAnsi="Century Gothic"/>
        </w:rPr>
        <w:t xml:space="preserve">, se evidenció que 15 de cada 100 en mujeres en edad fértil (entre los 13 a 49 años) son anémicas. Las prevalencias más altas están a mayor edad y aumentan si la mujer pertenece a una etnia.  En mujeres indígenas se encontró que 28 de cada 100 (28,4%) y en afrodescendientes 24 de cada cien (24,5%) son anémicas, los porcentajes fueron el doble al comparar las cifras con mujeres sin pertenencia étnica. </w:t>
      </w:r>
    </w:p>
    <w:p w14:paraId="7187EF72" w14:textId="77777777" w:rsidR="00F75F90" w:rsidRPr="00E94619" w:rsidRDefault="00F75F90" w:rsidP="000E5AC0">
      <w:pPr>
        <w:spacing w:after="0" w:line="240" w:lineRule="auto"/>
        <w:jc w:val="both"/>
        <w:rPr>
          <w:rFonts w:ascii="Century Gothic" w:hAnsi="Century Gothic"/>
        </w:rPr>
      </w:pPr>
    </w:p>
    <w:p w14:paraId="2A0072C7" w14:textId="5741449D" w:rsidR="007D4FA1" w:rsidRDefault="00F75F90" w:rsidP="000E5AC0">
      <w:pPr>
        <w:spacing w:after="0" w:line="240" w:lineRule="auto"/>
        <w:jc w:val="both"/>
        <w:rPr>
          <w:rFonts w:ascii="Century Gothic" w:hAnsi="Century Gothic"/>
        </w:rPr>
      </w:pPr>
      <w:r w:rsidRPr="00E94619">
        <w:rPr>
          <w:rFonts w:ascii="Century Gothic" w:hAnsi="Century Gothic"/>
        </w:rPr>
        <w:t>En general el informe del Instituto Nacional de Salud concluye que “la malnutrición o la desnutrición oculta es considerada un riesgo presente en toda la población colombiana y su prevalencia es mayor en grupos indígenas, afrocolombianos y con factores como la pobreza y la ubicación geográfica en zonas rurales dispersas”</w:t>
      </w:r>
      <w:sdt>
        <w:sdtPr>
          <w:rPr>
            <w:rFonts w:ascii="Century Gothic" w:hAnsi="Century Gothic"/>
          </w:rPr>
          <w:id w:val="1679770454"/>
          <w:citation/>
        </w:sdtPr>
        <w:sdtContent>
          <w:r w:rsidRPr="00E94619">
            <w:rPr>
              <w:rFonts w:ascii="Century Gothic" w:hAnsi="Century Gothic"/>
            </w:rPr>
            <w:fldChar w:fldCharType="begin"/>
          </w:r>
          <w:r w:rsidRPr="00E94619">
            <w:rPr>
              <w:rFonts w:ascii="Century Gothic" w:hAnsi="Century Gothic"/>
              <w:lang w:val="es-MX"/>
            </w:rPr>
            <w:instrText xml:space="preserve"> CITATION Ins192 \l 2058 </w:instrText>
          </w:r>
          <w:r w:rsidRPr="00E94619">
            <w:rPr>
              <w:rFonts w:ascii="Century Gothic" w:hAnsi="Century Gothic"/>
            </w:rPr>
            <w:fldChar w:fldCharType="separate"/>
          </w:r>
          <w:r w:rsidRPr="00E94619">
            <w:rPr>
              <w:rFonts w:ascii="Century Gothic" w:hAnsi="Century Gothic"/>
              <w:noProof/>
              <w:lang w:val="es-MX"/>
            </w:rPr>
            <w:t xml:space="preserve"> (Instituto Nacional de Salud, 2019)</w:t>
          </w:r>
          <w:r w:rsidRPr="00E94619">
            <w:rPr>
              <w:rFonts w:ascii="Century Gothic" w:hAnsi="Century Gothic"/>
            </w:rPr>
            <w:fldChar w:fldCharType="end"/>
          </w:r>
        </w:sdtContent>
      </w:sdt>
      <w:r w:rsidRPr="00E94619">
        <w:rPr>
          <w:rFonts w:ascii="Century Gothic" w:hAnsi="Century Gothic"/>
        </w:rPr>
        <w:t>.</w:t>
      </w:r>
    </w:p>
    <w:p w14:paraId="38FC8E26" w14:textId="77777777" w:rsidR="00F75F90" w:rsidRPr="00E94619" w:rsidRDefault="00F75F90" w:rsidP="000E5AC0">
      <w:pPr>
        <w:spacing w:after="0" w:line="240" w:lineRule="auto"/>
        <w:jc w:val="both"/>
        <w:rPr>
          <w:rFonts w:ascii="Century Gothic" w:hAnsi="Century Gothic"/>
        </w:rPr>
      </w:pPr>
    </w:p>
    <w:p w14:paraId="4BE61594" w14:textId="77777777" w:rsidR="00F75F90" w:rsidRDefault="00F75F90" w:rsidP="000E5AC0">
      <w:pPr>
        <w:spacing w:after="0" w:line="240" w:lineRule="auto"/>
        <w:jc w:val="both"/>
        <w:rPr>
          <w:rFonts w:ascii="Century Gothic" w:hAnsi="Century Gothic"/>
          <w:b/>
        </w:rPr>
      </w:pPr>
      <w:r w:rsidRPr="00E94619">
        <w:rPr>
          <w:rFonts w:ascii="Century Gothic" w:hAnsi="Century Gothic"/>
          <w:b/>
        </w:rPr>
        <w:t>Avances y retos para garantizar la seguridad alimentaria y nutricional</w:t>
      </w:r>
    </w:p>
    <w:p w14:paraId="68D206F6" w14:textId="77777777" w:rsidR="00646447" w:rsidRDefault="00646447" w:rsidP="000E5AC0">
      <w:pPr>
        <w:spacing w:after="0" w:line="240" w:lineRule="auto"/>
        <w:jc w:val="both"/>
        <w:rPr>
          <w:rFonts w:ascii="Century Gothic" w:hAnsi="Century Gothic"/>
          <w:b/>
        </w:rPr>
      </w:pPr>
    </w:p>
    <w:p w14:paraId="5C61EC06" w14:textId="77777777" w:rsidR="00646447" w:rsidRDefault="00646447" w:rsidP="000E5AC0">
      <w:pPr>
        <w:spacing w:after="0" w:line="240" w:lineRule="auto"/>
        <w:jc w:val="both"/>
        <w:rPr>
          <w:rFonts w:ascii="Century Gothic" w:hAnsi="Century Gothic"/>
          <w:b/>
        </w:rPr>
      </w:pPr>
    </w:p>
    <w:p w14:paraId="33A88828" w14:textId="77777777" w:rsidR="00646447" w:rsidRDefault="00646447" w:rsidP="000E5AC0">
      <w:pPr>
        <w:spacing w:after="0" w:line="240" w:lineRule="auto"/>
        <w:jc w:val="both"/>
        <w:rPr>
          <w:rFonts w:ascii="Century Gothic" w:hAnsi="Century Gothic"/>
          <w:b/>
        </w:rPr>
      </w:pPr>
    </w:p>
    <w:p w14:paraId="637C4889" w14:textId="77777777" w:rsidR="00646447" w:rsidRDefault="00646447" w:rsidP="000E5AC0">
      <w:pPr>
        <w:spacing w:after="0" w:line="240" w:lineRule="auto"/>
        <w:jc w:val="both"/>
        <w:rPr>
          <w:rFonts w:ascii="Century Gothic" w:hAnsi="Century Gothic"/>
          <w:b/>
        </w:rPr>
      </w:pPr>
    </w:p>
    <w:p w14:paraId="31F7A017" w14:textId="77777777" w:rsidR="00646447" w:rsidRDefault="00646447" w:rsidP="000E5AC0">
      <w:pPr>
        <w:spacing w:after="0" w:line="240" w:lineRule="auto"/>
        <w:jc w:val="both"/>
        <w:rPr>
          <w:rFonts w:ascii="Century Gothic" w:hAnsi="Century Gothic"/>
          <w:b/>
        </w:rPr>
      </w:pPr>
    </w:p>
    <w:p w14:paraId="03C5508D" w14:textId="77777777" w:rsidR="00646447" w:rsidRDefault="00646447" w:rsidP="000E5AC0">
      <w:pPr>
        <w:spacing w:after="0" w:line="240" w:lineRule="auto"/>
        <w:jc w:val="both"/>
        <w:rPr>
          <w:rFonts w:ascii="Century Gothic" w:hAnsi="Century Gothic"/>
          <w:b/>
        </w:rPr>
      </w:pPr>
    </w:p>
    <w:p w14:paraId="6FF9187A" w14:textId="1B2018E6" w:rsidR="00E46859" w:rsidRPr="00E94619" w:rsidRDefault="00E46859" w:rsidP="000E5AC0">
      <w:pPr>
        <w:spacing w:after="0" w:line="240" w:lineRule="auto"/>
        <w:jc w:val="both"/>
        <w:rPr>
          <w:rFonts w:ascii="Century Gothic" w:hAnsi="Century Gothic"/>
          <w:b/>
        </w:rPr>
      </w:pPr>
    </w:p>
    <w:tbl>
      <w:tblPr>
        <w:tblStyle w:val="affffd"/>
        <w:tblW w:w="9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9"/>
        <w:gridCol w:w="3685"/>
        <w:gridCol w:w="2552"/>
      </w:tblGrid>
      <w:tr w:rsidR="00F75F90" w:rsidRPr="00E94619" w14:paraId="5CF432F8" w14:textId="77777777" w:rsidTr="007D4FA1">
        <w:tc>
          <w:tcPr>
            <w:tcW w:w="2809" w:type="dxa"/>
            <w:tcBorders>
              <w:top w:val="single" w:sz="4" w:space="0" w:color="CC0066"/>
              <w:left w:val="single" w:sz="4" w:space="0" w:color="CC0066"/>
              <w:bottom w:val="single" w:sz="4" w:space="0" w:color="CC0066"/>
              <w:right w:val="single" w:sz="4" w:space="0" w:color="CC0066"/>
            </w:tcBorders>
            <w:shd w:val="clear" w:color="auto" w:fill="FF99CC"/>
          </w:tcPr>
          <w:p w14:paraId="54D6BD6F" w14:textId="283F15A2"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Avances del Estado</w:t>
            </w:r>
          </w:p>
        </w:tc>
        <w:tc>
          <w:tcPr>
            <w:tcW w:w="3685" w:type="dxa"/>
            <w:tcBorders>
              <w:top w:val="single" w:sz="4" w:space="0" w:color="CC0066"/>
              <w:left w:val="single" w:sz="4" w:space="0" w:color="CC0066"/>
              <w:bottom w:val="single" w:sz="4" w:space="0" w:color="CC0066"/>
              <w:right w:val="single" w:sz="4" w:space="0" w:color="CC0066"/>
            </w:tcBorders>
            <w:shd w:val="clear" w:color="auto" w:fill="FF99CC"/>
          </w:tcPr>
          <w:p w14:paraId="7FF55B2C" w14:textId="422CE879"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Respuesta de la sociedad civil</w:t>
            </w:r>
          </w:p>
        </w:tc>
        <w:tc>
          <w:tcPr>
            <w:tcW w:w="2552" w:type="dxa"/>
            <w:tcBorders>
              <w:top w:val="single" w:sz="4" w:space="0" w:color="CC0066"/>
              <w:left w:val="single" w:sz="4" w:space="0" w:color="CC0066"/>
              <w:bottom w:val="single" w:sz="4" w:space="0" w:color="CC0066"/>
              <w:right w:val="single" w:sz="4" w:space="0" w:color="CC0066"/>
            </w:tcBorders>
            <w:shd w:val="clear" w:color="auto" w:fill="FF99CC"/>
          </w:tcPr>
          <w:p w14:paraId="02B7B700"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Retos</w:t>
            </w:r>
          </w:p>
        </w:tc>
      </w:tr>
      <w:tr w:rsidR="00F75F90" w:rsidRPr="00E94619" w14:paraId="391B4B84" w14:textId="77777777" w:rsidTr="007D4FA1">
        <w:trPr>
          <w:trHeight w:val="5143"/>
        </w:trPr>
        <w:tc>
          <w:tcPr>
            <w:tcW w:w="2809" w:type="dxa"/>
            <w:tcBorders>
              <w:top w:val="single" w:sz="4" w:space="0" w:color="CC0066"/>
              <w:left w:val="single" w:sz="4" w:space="0" w:color="CC0066"/>
              <w:bottom w:val="single" w:sz="4" w:space="0" w:color="CC0066"/>
              <w:right w:val="single" w:sz="4" w:space="0" w:color="CC0066"/>
            </w:tcBorders>
          </w:tcPr>
          <w:p w14:paraId="1F54483D" w14:textId="6B4AC804"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-Plan Decenal de Lactancia Materna 2010-2020 para promover, proteger y apoyar la lactancia materna.</w:t>
            </w:r>
          </w:p>
          <w:p w14:paraId="7F64051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-Decreto 2055 de 2009: a través del cual se crea la Comisión Intersectorial de Seguridad Alimentaria y Nutricional-CISAN-.</w:t>
            </w:r>
          </w:p>
          <w:p w14:paraId="3B24B872"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-Ley 1355 de 2009: establece la obesidad y las enfermedades crónicas no transmisibles como una prioridad de la salud pública y se adoptan medidas para su control, atención y prevención.</w:t>
            </w:r>
          </w:p>
          <w:p w14:paraId="0AC4CCF4"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-Conpes 113, del 31 de marzo de 2008: Política Nacional de Seguridad Alimentaria y Nutricional -PSAN-.</w:t>
            </w:r>
          </w:p>
          <w:p w14:paraId="3AF75075"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-Observatorio de Seguridad Alimentaria y Nutricional: es una herramienta para producir información sobre la seguridad alimentaria y nutricional en el país.</w:t>
            </w:r>
          </w:p>
          <w:p w14:paraId="3CD66B9A"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-Resolución 1281 de 2014, que integra el Observatorio de Seguridad Alimentaria y Nutricional al Observatorio Nacional de Salud.</w:t>
            </w:r>
          </w:p>
        </w:tc>
        <w:tc>
          <w:tcPr>
            <w:tcW w:w="3685" w:type="dxa"/>
            <w:tcBorders>
              <w:top w:val="single" w:sz="4" w:space="0" w:color="CC0066"/>
              <w:left w:val="single" w:sz="4" w:space="0" w:color="CC0066"/>
              <w:bottom w:val="single" w:sz="4" w:space="0" w:color="CC0066"/>
              <w:right w:val="single" w:sz="4" w:space="0" w:color="CC0066"/>
            </w:tcBorders>
          </w:tcPr>
          <w:p w14:paraId="08EAB749" w14:textId="77777777" w:rsidR="00F75F90" w:rsidRPr="00E94619" w:rsidRDefault="00F75F90"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Organización para la Agricultura y la Alimentación-FAO: </w:t>
            </w:r>
            <w:r w:rsidRPr="00E94619">
              <w:rPr>
                <w:rFonts w:ascii="Century Gothic" w:hAnsi="Century Gothic"/>
                <w:sz w:val="16"/>
                <w:szCs w:val="16"/>
              </w:rPr>
              <w:t>en su plan estratégico 2015-2019 tiene dos programas orientados al tema de la alimentación:</w:t>
            </w:r>
            <w:r w:rsidRPr="00E94619">
              <w:rPr>
                <w:rFonts w:ascii="Century Gothic" w:hAnsi="Century Gothic"/>
                <w:b/>
                <w:sz w:val="16"/>
                <w:szCs w:val="16"/>
              </w:rPr>
              <w:t xml:space="preserve"> </w:t>
            </w:r>
            <w:r w:rsidRPr="00E94619">
              <w:rPr>
                <w:rFonts w:ascii="Century Gothic" w:hAnsi="Century Gothic"/>
                <w:sz w:val="16"/>
                <w:szCs w:val="16"/>
              </w:rPr>
              <w:t>1- Alimentación y lucha contra la malnutrición y 2- Agricultura familiar y mercados inclusivos, en el segundo las mujeres están consideradas como un grupo de población de interés.</w:t>
            </w:r>
          </w:p>
          <w:p w14:paraId="2F8611CF"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Oxfam: </w:t>
            </w:r>
            <w:r w:rsidRPr="00E94619">
              <w:rPr>
                <w:rFonts w:ascii="Century Gothic" w:hAnsi="Century Gothic"/>
                <w:sz w:val="16"/>
                <w:szCs w:val="16"/>
              </w:rPr>
              <w:t xml:space="preserve">en su Plan Estratégico uno de sus programas es la Justicia Económica, desde el cual apoya el desarrollo rural, hace incidencia en las políticas para el acceso a mercados y la soberanía y seguridad alimentaria. </w:t>
            </w:r>
          </w:p>
          <w:p w14:paraId="45660512"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Programa Mundial de Alimentos-PMA</w:t>
            </w:r>
            <w:r w:rsidRPr="00E94619">
              <w:rPr>
                <w:rFonts w:ascii="Century Gothic" w:hAnsi="Century Gothic"/>
                <w:sz w:val="16"/>
                <w:szCs w:val="16"/>
              </w:rPr>
              <w:t>-: trabaja en Colombia en los temas de seguridad alimentaria y nutricional con comunidades afectadas por situaciones de crisis derivadas del conflicto armado o el cambio climático. En el año 2015 adelantó trabajo con mujeres víctimas de violencia de pareja para apoyar su recuperación y el reconocimiento de su aporte al bienestar de sus familias, a partir del apoyo a mujeres en hogares de acogida.</w:t>
            </w:r>
          </w:p>
          <w:p w14:paraId="75DD5954"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UNICEF: </w:t>
            </w:r>
            <w:r w:rsidRPr="00E94619">
              <w:rPr>
                <w:rFonts w:ascii="Century Gothic" w:hAnsi="Century Gothic"/>
                <w:sz w:val="16"/>
                <w:szCs w:val="16"/>
              </w:rPr>
              <w:t>aporta desde el Programa Reducción de inequidades a que los niños y las niñas no mueran por causas evitables, para esto trabaja con pueblos indígenas en la Seguridad Alimentaria y Nutricional.</w:t>
            </w:r>
          </w:p>
          <w:p w14:paraId="47B8EAE5"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b/>
                <w:sz w:val="16"/>
                <w:szCs w:val="16"/>
              </w:rPr>
              <w:t xml:space="preserve">OPS/OMS: </w:t>
            </w:r>
            <w:r w:rsidRPr="00E94619">
              <w:rPr>
                <w:rFonts w:ascii="Century Gothic" w:hAnsi="Century Gothic"/>
                <w:sz w:val="16"/>
                <w:szCs w:val="16"/>
              </w:rPr>
              <w:t>tiene entre sus proyectos de intervención en Colombia uno dedicado a la Atención Integral a la Mujer y el Recién Nacido, desde éste adelanta acciones para promover la lactancia materna.</w:t>
            </w:r>
          </w:p>
        </w:tc>
        <w:tc>
          <w:tcPr>
            <w:tcW w:w="2552" w:type="dxa"/>
            <w:tcBorders>
              <w:top w:val="single" w:sz="4" w:space="0" w:color="CC0066"/>
              <w:left w:val="single" w:sz="4" w:space="0" w:color="CC0066"/>
              <w:bottom w:val="single" w:sz="4" w:space="0" w:color="CC0066"/>
              <w:right w:val="single" w:sz="4" w:space="0" w:color="CC0066"/>
            </w:tcBorders>
          </w:tcPr>
          <w:p w14:paraId="1C1824F1"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-Garantizar condiciones para erradicar la desnutrición infantil, sobre todo en las regiones afectadas por esta problemática (Guajira, Choco, Guaviare).</w:t>
            </w:r>
          </w:p>
          <w:p w14:paraId="654DEB8B"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-Desarrollar estrategias para promover hábitos saludables, orientados especialmente a las mujeres, que disminuyan las tasas de obesidad y desnutrición.</w:t>
            </w:r>
          </w:p>
          <w:p w14:paraId="795223F6"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-Incentivar la vinculación de los hombres en la lactancia materna.</w:t>
            </w:r>
          </w:p>
          <w:p w14:paraId="5F3A86DB"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-Generar condiciones laborales, comunitarias y familiares para que las mujeres puedan lactar.</w:t>
            </w:r>
          </w:p>
          <w:p w14:paraId="63546E60" w14:textId="77777777" w:rsidR="00F75F90" w:rsidRPr="00E94619" w:rsidRDefault="00F75F90" w:rsidP="000E5AC0">
            <w:pPr>
              <w:spacing w:after="0" w:line="240" w:lineRule="auto"/>
              <w:jc w:val="both"/>
              <w:rPr>
                <w:rFonts w:ascii="Century Gothic" w:hAnsi="Century Gothic"/>
                <w:sz w:val="16"/>
                <w:szCs w:val="16"/>
              </w:rPr>
            </w:pPr>
            <w:r w:rsidRPr="00E94619">
              <w:rPr>
                <w:rFonts w:ascii="Century Gothic" w:hAnsi="Century Gothic"/>
                <w:sz w:val="16"/>
                <w:szCs w:val="16"/>
              </w:rPr>
              <w:t>-Promover estrategias para que las mujeres puedan lactar el tiempo estipulado por la norma (6 meses exclusiva y hasta los dos años con alimentación complementaria), ya que para el 2010 sólo se llegaba hasta los 14,9 meses.</w:t>
            </w:r>
          </w:p>
        </w:tc>
      </w:tr>
    </w:tbl>
    <w:p w14:paraId="5E18F493" w14:textId="77777777" w:rsidR="00614296" w:rsidRDefault="00614296" w:rsidP="00E46859"/>
    <w:p w14:paraId="7E6B8B3B" w14:textId="6DF8C478" w:rsidR="00614296" w:rsidRPr="00E46859" w:rsidRDefault="00646447" w:rsidP="00E46859">
      <w:r w:rsidRPr="000130CA">
        <w:rPr>
          <w:rFonts w:ascii="Century Gothic" w:eastAsia="Cambria" w:hAnsi="Century Gothic"/>
          <w:b/>
          <w:noProof/>
          <w:lang w:val="es-ES" w:eastAsia="es-ES"/>
        </w:rPr>
        <w:drawing>
          <wp:anchor distT="0" distB="0" distL="114300" distR="114300" simplePos="0" relativeHeight="251734016" behindDoc="1" locked="0" layoutInCell="1" allowOverlap="1" wp14:anchorId="2C1D2078" wp14:editId="7B961DCF">
            <wp:simplePos x="0" y="0"/>
            <wp:positionH relativeFrom="column">
              <wp:posOffset>0</wp:posOffset>
            </wp:positionH>
            <wp:positionV relativeFrom="paragraph">
              <wp:posOffset>241300</wp:posOffset>
            </wp:positionV>
            <wp:extent cx="5396230" cy="567055"/>
            <wp:effectExtent l="0" t="0" r="0" b="0"/>
            <wp:wrapNone/>
            <wp:docPr id="33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p>
    <w:p w14:paraId="5D98BD2D" w14:textId="7EED3AE1" w:rsidR="000130CA" w:rsidRPr="00DD058B" w:rsidRDefault="0062171F" w:rsidP="00DD058B">
      <w:pPr>
        <w:pStyle w:val="Ttulo1"/>
        <w:rPr>
          <w:rFonts w:ascii="Century Gothic" w:hAnsi="Century Gothic"/>
          <w:b/>
        </w:rPr>
      </w:pPr>
      <w:bookmarkStart w:id="77" w:name="_Toc488623928"/>
      <w:bookmarkStart w:id="78" w:name="_Toc488624293"/>
      <w:r w:rsidRPr="00DD058B">
        <w:rPr>
          <w:rFonts w:ascii="Century Gothic" w:hAnsi="Century Gothic"/>
          <w:b/>
        </w:rPr>
        <w:t>VI</w:t>
      </w:r>
      <w:r w:rsidR="0036411F" w:rsidRPr="00DD058B">
        <w:rPr>
          <w:rFonts w:ascii="Century Gothic" w:hAnsi="Century Gothic"/>
          <w:b/>
        </w:rPr>
        <w:t>-</w:t>
      </w:r>
      <w:r w:rsidR="005D27A4" w:rsidRPr="00DD058B">
        <w:rPr>
          <w:rFonts w:ascii="Century Gothic" w:hAnsi="Century Gothic"/>
          <w:b/>
        </w:rPr>
        <w:t>R</w:t>
      </w:r>
      <w:r w:rsidR="000130CA" w:rsidRPr="00DD058B">
        <w:rPr>
          <w:rFonts w:ascii="Century Gothic" w:hAnsi="Century Gothic"/>
          <w:b/>
        </w:rPr>
        <w:t>eforzar los derechos económicos y sociales y</w:t>
      </w:r>
      <w:bookmarkEnd w:id="77"/>
      <w:bookmarkEnd w:id="78"/>
      <w:r w:rsidR="000130CA" w:rsidRPr="00DD058B">
        <w:rPr>
          <w:rFonts w:ascii="Century Gothic" w:hAnsi="Century Gothic"/>
          <w:b/>
        </w:rPr>
        <w:t xml:space="preserve"> </w:t>
      </w:r>
    </w:p>
    <w:p w14:paraId="3F34635E" w14:textId="479E483B" w:rsidR="001238D7" w:rsidRPr="00DD058B" w:rsidRDefault="000130CA" w:rsidP="00DD058B">
      <w:pPr>
        <w:pStyle w:val="Ttulo1"/>
        <w:rPr>
          <w:rFonts w:ascii="Century Gothic" w:hAnsi="Century Gothic"/>
          <w:b/>
        </w:rPr>
      </w:pPr>
      <w:bookmarkStart w:id="79" w:name="_Toc488624294"/>
      <w:r w:rsidRPr="00DD058B">
        <w:rPr>
          <w:rFonts w:ascii="Century Gothic" w:hAnsi="Century Gothic"/>
          <w:b/>
        </w:rPr>
        <w:t>empoderar a las niñas y mujeres</w:t>
      </w:r>
      <w:bookmarkEnd w:id="79"/>
    </w:p>
    <w:p w14:paraId="57D4E44A" w14:textId="77777777" w:rsidR="001238D7" w:rsidRPr="00E94619" w:rsidRDefault="001238D7" w:rsidP="000E5AC0">
      <w:pPr>
        <w:spacing w:after="0"/>
        <w:jc w:val="both"/>
        <w:rPr>
          <w:rFonts w:ascii="Century Gothic" w:hAnsi="Century Gothic"/>
          <w:b/>
        </w:rPr>
      </w:pPr>
    </w:p>
    <w:p w14:paraId="1D46CE3D" w14:textId="2E8C2DDC" w:rsidR="001238D7" w:rsidRPr="000130CA" w:rsidRDefault="0036411F" w:rsidP="000E5AC0">
      <w:pPr>
        <w:pStyle w:val="Ttulo2"/>
        <w:rPr>
          <w:rFonts w:ascii="Century Gothic" w:hAnsi="Century Gothic"/>
          <w:color w:val="CC3366"/>
        </w:rPr>
      </w:pPr>
      <w:bookmarkStart w:id="80" w:name="_Toc488624295"/>
      <w:r w:rsidRPr="000130CA">
        <w:rPr>
          <w:rFonts w:ascii="Century Gothic" w:hAnsi="Century Gothic"/>
          <w:color w:val="CC3366"/>
        </w:rPr>
        <w:t>1. A</w:t>
      </w:r>
      <w:r w:rsidR="000130CA" w:rsidRPr="000130CA">
        <w:rPr>
          <w:rFonts w:ascii="Century Gothic" w:hAnsi="Century Gothic"/>
          <w:color w:val="CC3366"/>
        </w:rPr>
        <w:t>cceso de las mujeres y las niñas a la educación</w:t>
      </w:r>
      <w:bookmarkEnd w:id="80"/>
      <w:r w:rsidR="000130CA" w:rsidRPr="000130CA">
        <w:rPr>
          <w:rFonts w:ascii="Century Gothic" w:hAnsi="Century Gothic"/>
          <w:color w:val="CC3366"/>
        </w:rPr>
        <w:t xml:space="preserve"> </w:t>
      </w:r>
    </w:p>
    <w:p w14:paraId="4062CE74" w14:textId="77777777" w:rsidR="001238D7" w:rsidRPr="00E94619" w:rsidRDefault="001238D7" w:rsidP="000E5AC0">
      <w:pPr>
        <w:spacing w:after="0"/>
        <w:rPr>
          <w:rFonts w:ascii="Century Gothic" w:hAnsi="Century Gothic"/>
          <w:b/>
          <w:color w:val="000000"/>
        </w:rPr>
      </w:pPr>
    </w:p>
    <w:p w14:paraId="29971F3E"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La constitución de 1991 y la Ley General de la Educación de 1994, establecen que todos-as los colombianos tienen derecho a acceder a la educación para su desarrollo personal y para el beneficio de la sociedad. Es así que durante los últimos años Colombia ha avanzado en el desarrollo de políticas que han permitido mejorar la cobertura en educación tanto para mujeres como para hombres. </w:t>
      </w:r>
    </w:p>
    <w:p w14:paraId="259664F7"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rPr>
      </w:pPr>
    </w:p>
    <w:p w14:paraId="15AC3099" w14:textId="35297831" w:rsidR="001238D7" w:rsidRPr="00E94619" w:rsidRDefault="00D2173C" w:rsidP="000E5AC0">
      <w:pPr>
        <w:pBdr>
          <w:top w:val="nil"/>
          <w:left w:val="nil"/>
          <w:bottom w:val="nil"/>
          <w:right w:val="nil"/>
          <w:between w:val="nil"/>
        </w:pBdr>
        <w:spacing w:after="0" w:line="240" w:lineRule="auto"/>
        <w:jc w:val="both"/>
        <w:rPr>
          <w:rFonts w:ascii="Century Gothic" w:hAnsi="Century Gothic"/>
          <w:color w:val="000000"/>
        </w:rPr>
      </w:pPr>
      <w:r>
        <w:rPr>
          <w:rFonts w:ascii="Century Gothic" w:hAnsi="Century Gothic"/>
          <w:b/>
          <w:noProof/>
          <w:szCs w:val="24"/>
          <w:lang w:val="es-ES"/>
        </w:rPr>
        <w:drawing>
          <wp:anchor distT="0" distB="0" distL="114300" distR="114300" simplePos="0" relativeHeight="251884544" behindDoc="0" locked="0" layoutInCell="1" allowOverlap="1" wp14:anchorId="716BFF88" wp14:editId="5344919F">
            <wp:simplePos x="0" y="0"/>
            <wp:positionH relativeFrom="column">
              <wp:posOffset>-1080135</wp:posOffset>
            </wp:positionH>
            <wp:positionV relativeFrom="paragraph">
              <wp:posOffset>-8274685</wp:posOffset>
            </wp:positionV>
            <wp:extent cx="965835" cy="708660"/>
            <wp:effectExtent l="0" t="0" r="0" b="0"/>
            <wp:wrapNone/>
            <wp:docPr id="412" name="Imagen 41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color w:val="000000"/>
        </w:rPr>
        <w:t>No obstante, el país todavía enfrenta retos para garantizar una educación con cobertura universal y de calidad. Estos retos incluyen eliminar las desigualdades geográficas y socioeconómicas en el sistema educativo, pues son las personas de las regiones y zonas rurales más pobres del país, incluyendo indígenas y afrodescendientes, las que tienen menos acceso a una educación de calidad que les permita logros académicos competitivos. Además, crear estrategias para disminuir la deserción escolar. Lo anterior es fundamental en la transición hacia la paz que vive actualmente Colombia.</w:t>
      </w:r>
    </w:p>
    <w:p w14:paraId="09D12165" w14:textId="3832A116" w:rsidR="001238D7" w:rsidRPr="00E94619" w:rsidRDefault="00D2173C" w:rsidP="000E5AC0">
      <w:pPr>
        <w:pBdr>
          <w:top w:val="nil"/>
          <w:left w:val="nil"/>
          <w:bottom w:val="nil"/>
          <w:right w:val="nil"/>
          <w:between w:val="nil"/>
        </w:pBdr>
        <w:spacing w:after="0" w:line="240" w:lineRule="auto"/>
        <w:jc w:val="both"/>
        <w:rPr>
          <w:rFonts w:ascii="Century Gothic" w:hAnsi="Century Gothic"/>
          <w:color w:val="000000"/>
        </w:rPr>
      </w:pPr>
      <w:r>
        <w:rPr>
          <w:rFonts w:ascii="Century Gothic" w:hAnsi="Century Gothic"/>
          <w:b/>
          <w:noProof/>
          <w:szCs w:val="24"/>
          <w:lang w:val="es-ES"/>
        </w:rPr>
        <w:lastRenderedPageBreak/>
        <w:drawing>
          <wp:anchor distT="0" distB="0" distL="114300" distR="114300" simplePos="0" relativeHeight="251886592" behindDoc="0" locked="0" layoutInCell="1" allowOverlap="1" wp14:anchorId="51C0D33E" wp14:editId="570BC843">
            <wp:simplePos x="0" y="0"/>
            <wp:positionH relativeFrom="column">
              <wp:posOffset>-1080135</wp:posOffset>
            </wp:positionH>
            <wp:positionV relativeFrom="paragraph">
              <wp:posOffset>-856615</wp:posOffset>
            </wp:positionV>
            <wp:extent cx="965835" cy="708660"/>
            <wp:effectExtent l="0" t="0" r="0" b="0"/>
            <wp:wrapNone/>
            <wp:docPr id="413" name="Imagen 4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6FAE1EE" w14:textId="40DEAFF8"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Con respecto al acceso de las niñas y mujeres a la educación en el país, la información expuesta en este apartado muestra que ha habido un incremento significativo del acceso por parte éstas a la educación básica, secundaria y superior. Incluso las mayores tasas de deserción y repitencia se encuentran en los estudiantes hombres. Sin embargo, en la educación técnica y superior, es necesario crear estrategias para promover la participación de las mujeres en las áreas de ciencia, tecnología e ingeniería, ya que éstas siguen siendo mayoritariamente masculinas. El único ámbito en la que las mujeres tienen una mayor participación es el de la salud. De igual forma, es necesario incrementar su participación como docentes universitarias y líderes de grupos de investigación. </w:t>
      </w:r>
    </w:p>
    <w:p w14:paraId="51BA30D1"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rPr>
      </w:pPr>
    </w:p>
    <w:p w14:paraId="6EEF9518" w14:textId="77777777" w:rsidR="000D17E3" w:rsidRPr="00E94619" w:rsidRDefault="00830DBC" w:rsidP="000E5AC0">
      <w:pPr>
        <w:pBdr>
          <w:top w:val="nil"/>
          <w:left w:val="nil"/>
          <w:bottom w:val="nil"/>
          <w:right w:val="nil"/>
          <w:between w:val="nil"/>
        </w:pBdr>
        <w:spacing w:after="0" w:line="240" w:lineRule="auto"/>
        <w:jc w:val="both"/>
        <w:rPr>
          <w:rFonts w:ascii="Century Gothic" w:hAnsi="Century Gothic"/>
          <w:color w:val="000000"/>
        </w:rPr>
      </w:pPr>
      <w:sdt>
        <w:sdtPr>
          <w:rPr>
            <w:rFonts w:ascii="Century Gothic" w:hAnsi="Century Gothic"/>
          </w:rPr>
          <w:tag w:val="goog_rdk_78"/>
          <w:id w:val="541100249"/>
        </w:sdtPr>
        <w:sdtContent>
          <w:r w:rsidR="000D17E3" w:rsidRPr="00E94619">
            <w:rPr>
              <w:rFonts w:ascii="Century Gothic" w:hAnsi="Century Gothic"/>
              <w:color w:val="000000"/>
            </w:rPr>
            <w:t xml:space="preserve"> Según el informe de las pruebas PISA </w:t>
          </w:r>
          <w:sdt>
            <w:sdtPr>
              <w:rPr>
                <w:rFonts w:ascii="Century Gothic" w:hAnsi="Century Gothic"/>
                <w:color w:val="000000"/>
              </w:rPr>
              <w:id w:val="1301816324"/>
              <w:citation/>
            </w:sdtPr>
            <w:sdtContent>
              <w:r w:rsidR="000D17E3" w:rsidRPr="00E94619">
                <w:rPr>
                  <w:rFonts w:ascii="Century Gothic" w:hAnsi="Century Gothic"/>
                  <w:color w:val="000000"/>
                </w:rPr>
                <w:fldChar w:fldCharType="begin"/>
              </w:r>
              <w:r w:rsidR="000D17E3" w:rsidRPr="00E94619">
                <w:rPr>
                  <w:rFonts w:ascii="Century Gothic" w:hAnsi="Century Gothic"/>
                  <w:color w:val="000000"/>
                  <w:lang w:val="es-ES"/>
                </w:rPr>
                <w:instrText xml:space="preserve"> CITATION ICF18 \l 3082 </w:instrText>
              </w:r>
              <w:r w:rsidR="000D17E3" w:rsidRPr="00E94619">
                <w:rPr>
                  <w:rFonts w:ascii="Century Gothic" w:hAnsi="Century Gothic"/>
                  <w:color w:val="000000"/>
                </w:rPr>
                <w:fldChar w:fldCharType="separate"/>
              </w:r>
              <w:r w:rsidR="000D17E3" w:rsidRPr="00E94619">
                <w:rPr>
                  <w:rFonts w:ascii="Century Gothic" w:hAnsi="Century Gothic"/>
                  <w:noProof/>
                  <w:color w:val="000000"/>
                  <w:lang w:val="es-ES"/>
                </w:rPr>
                <w:t>(ICFES, 2018)</w:t>
              </w:r>
              <w:r w:rsidR="000D17E3" w:rsidRPr="00E94619">
                <w:rPr>
                  <w:rFonts w:ascii="Century Gothic" w:hAnsi="Century Gothic"/>
                  <w:color w:val="000000"/>
                </w:rPr>
                <w:fldChar w:fldCharType="end"/>
              </w:r>
            </w:sdtContent>
          </w:sdt>
          <w:r w:rsidR="000D17E3" w:rsidRPr="00E94619">
            <w:rPr>
              <w:rFonts w:ascii="Century Gothic" w:hAnsi="Century Gothic"/>
              <w:color w:val="000000"/>
            </w:rPr>
            <w:t xml:space="preserve"> realizado por el Instituto Colombiano para la Evaluación de la Educación (ICFES), se reporta que las mujeres obtuvieron un mayor puntaje promedio que los hombres en lectura, mas no en matemáticas o ciencias. Sin embargo, entre 2016 y 2018 disminuyó la diferencia entre hombres y mujeres en dos de las tres áreas evaluadas en PISA. </w:t>
          </w:r>
        </w:sdtContent>
      </w:sdt>
    </w:p>
    <w:p w14:paraId="7837AB62" w14:textId="77777777" w:rsidR="000D17E3" w:rsidRPr="00E94619" w:rsidRDefault="000D17E3" w:rsidP="000E5AC0">
      <w:pPr>
        <w:pBdr>
          <w:top w:val="nil"/>
          <w:left w:val="nil"/>
          <w:bottom w:val="nil"/>
          <w:right w:val="nil"/>
          <w:between w:val="nil"/>
        </w:pBdr>
        <w:spacing w:after="0" w:line="240" w:lineRule="auto"/>
        <w:jc w:val="both"/>
        <w:rPr>
          <w:rFonts w:ascii="Century Gothic" w:hAnsi="Century Gothic"/>
          <w:color w:val="000000"/>
        </w:rPr>
      </w:pPr>
    </w:p>
    <w:bookmarkStart w:id="81" w:name="_Toc488624296"/>
    <w:p w14:paraId="0AB6BD93" w14:textId="77777777" w:rsidR="000D17E3" w:rsidRPr="000130CA" w:rsidRDefault="00830DBC" w:rsidP="000E5AC0">
      <w:pPr>
        <w:pStyle w:val="Ttulo3"/>
        <w:rPr>
          <w:rFonts w:ascii="Century Gothic" w:hAnsi="Century Gothic"/>
          <w:b w:val="0"/>
          <w:color w:val="CC3366"/>
        </w:rPr>
      </w:pPr>
      <w:sdt>
        <w:sdtPr>
          <w:rPr>
            <w:rFonts w:ascii="Century Gothic" w:hAnsi="Century Gothic"/>
          </w:rPr>
          <w:tag w:val="goog_rdk_79"/>
          <w:id w:val="136385093"/>
        </w:sdtPr>
        <w:sdtContent/>
      </w:sdt>
      <w:r w:rsidR="000D17E3" w:rsidRPr="000130CA">
        <w:rPr>
          <w:rFonts w:ascii="Century Gothic" w:hAnsi="Century Gothic"/>
          <w:b w:val="0"/>
          <w:color w:val="CC3366"/>
        </w:rPr>
        <w:t>1.1 Tasa de alfabetismo de mujeres y hombres de entre 15 y 24 años (ODS 4.5)</w:t>
      </w:r>
      <w:bookmarkEnd w:id="81"/>
    </w:p>
    <w:p w14:paraId="1F936454" w14:textId="77777777" w:rsidR="000D17E3" w:rsidRPr="00E94619" w:rsidRDefault="000D17E3" w:rsidP="000E5AC0">
      <w:pPr>
        <w:spacing w:after="0"/>
        <w:ind w:left="720"/>
        <w:rPr>
          <w:rFonts w:ascii="Century Gothic" w:hAnsi="Century Gothic"/>
          <w:b/>
          <w:color w:val="000000"/>
        </w:rPr>
      </w:pPr>
    </w:p>
    <w:p w14:paraId="747CBFA2" w14:textId="77777777" w:rsidR="000D17E3" w:rsidRPr="00E94619" w:rsidRDefault="000D17E3" w:rsidP="000E5AC0">
      <w:pPr>
        <w:spacing w:after="0"/>
        <w:jc w:val="both"/>
        <w:rPr>
          <w:rFonts w:ascii="Century Gothic" w:hAnsi="Century Gothic"/>
          <w:color w:val="000000"/>
        </w:rPr>
      </w:pPr>
      <w:r w:rsidRPr="00E94619">
        <w:rPr>
          <w:rFonts w:ascii="Century Gothic" w:hAnsi="Century Gothic"/>
          <w:color w:val="000000"/>
        </w:rPr>
        <w:t>De acuerdo con la información del Instituto de estadística de la UNESCO (2018), el analfabetismo en Colombia ha disminuido en los últimos años, ya que el porcentaje de personas alfabetizadas pasó de un 94,65% en el 2016 a un 95,09% en el 2018. Sin embargo, para el 2015 no se cumplió con la meta establecida en los objetivos del milenio de un 99% de alfabetismo en el país. A 2018, las mujeres jóvenes se acercaron más a este indicador, con una tasa de alfabetización del 99,07%, mientras que la tasa de alfabetización de hombres jóvenes alcanzó el 98,53%</w:t>
      </w:r>
      <w:sdt>
        <w:sdtPr>
          <w:rPr>
            <w:rFonts w:ascii="Century Gothic" w:hAnsi="Century Gothic"/>
            <w:color w:val="000000"/>
          </w:rPr>
          <w:id w:val="1022824741"/>
          <w:citation/>
        </w:sdtPr>
        <w:sdtContent>
          <w:r w:rsidRPr="00E94619">
            <w:rPr>
              <w:rFonts w:ascii="Century Gothic" w:hAnsi="Century Gothic"/>
              <w:color w:val="000000"/>
            </w:rPr>
            <w:fldChar w:fldCharType="begin"/>
          </w:r>
          <w:r w:rsidRPr="00E94619">
            <w:rPr>
              <w:rFonts w:ascii="Century Gothic" w:hAnsi="Century Gothic"/>
              <w:color w:val="000000"/>
              <w:lang w:val="es-ES"/>
            </w:rPr>
            <w:instrText xml:space="preserve"> CITATION UNE18 \l 3082 </w:instrText>
          </w:r>
          <w:r w:rsidRPr="00E94619">
            <w:rPr>
              <w:rFonts w:ascii="Century Gothic" w:hAnsi="Century Gothic"/>
              <w:color w:val="000000"/>
            </w:rPr>
            <w:fldChar w:fldCharType="separate"/>
          </w:r>
          <w:r w:rsidRPr="00E94619">
            <w:rPr>
              <w:rFonts w:ascii="Century Gothic" w:hAnsi="Century Gothic"/>
              <w:noProof/>
              <w:color w:val="000000"/>
              <w:lang w:val="es-ES"/>
            </w:rPr>
            <w:t xml:space="preserve"> (UNESCO, 2018)</w:t>
          </w:r>
          <w:r w:rsidRPr="00E94619">
            <w:rPr>
              <w:rFonts w:ascii="Century Gothic" w:hAnsi="Century Gothic"/>
              <w:color w:val="000000"/>
            </w:rPr>
            <w:fldChar w:fldCharType="end"/>
          </w:r>
        </w:sdtContent>
      </w:sdt>
      <w:r w:rsidRPr="00E94619">
        <w:rPr>
          <w:rFonts w:ascii="Century Gothic" w:hAnsi="Century Gothic"/>
          <w:color w:val="000000"/>
        </w:rPr>
        <w:t xml:space="preserve">. </w:t>
      </w:r>
    </w:p>
    <w:p w14:paraId="70D090E0" w14:textId="77777777" w:rsidR="000D17E3" w:rsidRPr="00E94619" w:rsidRDefault="000D17E3" w:rsidP="000E5AC0">
      <w:pPr>
        <w:spacing w:before="20" w:after="20"/>
        <w:rPr>
          <w:rFonts w:ascii="Century Gothic" w:hAnsi="Century Gothic"/>
          <w:b/>
          <w:color w:val="000000"/>
        </w:rPr>
      </w:pPr>
    </w:p>
    <w:bookmarkStart w:id="82" w:name="_Toc488624297"/>
    <w:p w14:paraId="0C52D84A" w14:textId="77777777" w:rsidR="000D17E3" w:rsidRPr="000130CA" w:rsidRDefault="00830DBC" w:rsidP="000E5AC0">
      <w:pPr>
        <w:pStyle w:val="Ttulo3"/>
        <w:rPr>
          <w:rFonts w:ascii="Century Gothic" w:hAnsi="Century Gothic"/>
          <w:b w:val="0"/>
          <w:color w:val="CC3366"/>
        </w:rPr>
      </w:pPr>
      <w:sdt>
        <w:sdtPr>
          <w:rPr>
            <w:rFonts w:ascii="Century Gothic" w:hAnsi="Century Gothic"/>
          </w:rPr>
          <w:tag w:val="goog_rdk_80"/>
          <w:id w:val="-128867431"/>
        </w:sdtPr>
        <w:sdtContent/>
      </w:sdt>
      <w:r w:rsidR="000D17E3" w:rsidRPr="000130CA">
        <w:rPr>
          <w:rFonts w:ascii="Century Gothic" w:hAnsi="Century Gothic"/>
          <w:b w:val="0"/>
          <w:color w:val="CC3366"/>
        </w:rPr>
        <w:t>1.2 Educación básica primaria</w:t>
      </w:r>
      <w:bookmarkEnd w:id="82"/>
    </w:p>
    <w:p w14:paraId="7AC58381" w14:textId="457E9611" w:rsidR="000D17E3" w:rsidRDefault="000D17E3" w:rsidP="000E5AC0">
      <w:pPr>
        <w:pStyle w:val="Ttulo4"/>
        <w:rPr>
          <w:rFonts w:ascii="Century Gothic" w:eastAsia="Cambria" w:hAnsi="Century Gothic" w:cs="Cambria"/>
          <w:b w:val="0"/>
          <w:i w:val="0"/>
          <w:color w:val="CC3366"/>
          <w:u w:val="single"/>
        </w:rPr>
      </w:pPr>
      <w:bookmarkStart w:id="83" w:name="_Toc488624298"/>
      <w:r w:rsidRPr="000130CA">
        <w:rPr>
          <w:rFonts w:ascii="Century Gothic" w:eastAsia="Cambria" w:hAnsi="Century Gothic" w:cs="Cambria"/>
          <w:b w:val="0"/>
          <w:i w:val="0"/>
          <w:color w:val="CC3366"/>
          <w:u w:val="single"/>
        </w:rPr>
        <w:t>1.2.1 Acceso: Número de niñas y niños matriculados en enseñanza primaria.</w:t>
      </w:r>
      <w:bookmarkEnd w:id="83"/>
    </w:p>
    <w:p w14:paraId="244FF134" w14:textId="77777777" w:rsidR="000130CA" w:rsidRPr="000130CA" w:rsidRDefault="000130CA" w:rsidP="000130CA"/>
    <w:p w14:paraId="0652D43E" w14:textId="77777777" w:rsidR="000D17E3" w:rsidRPr="00E94619" w:rsidRDefault="000D17E3" w:rsidP="000E5AC0">
      <w:pPr>
        <w:spacing w:before="20" w:after="20"/>
        <w:jc w:val="both"/>
        <w:rPr>
          <w:rFonts w:ascii="Century Gothic" w:hAnsi="Century Gothic"/>
          <w:color w:val="000000"/>
        </w:rPr>
      </w:pPr>
      <w:r w:rsidRPr="00E94619">
        <w:rPr>
          <w:rFonts w:ascii="Century Gothic" w:hAnsi="Century Gothic"/>
          <w:color w:val="000000"/>
        </w:rPr>
        <w:t xml:space="preserve">Con respecto al acceso a la educación primaria, de acuerdo con el DANE, en el 2014 había 4.725.834 niños-as matriculados y para el 2015 se presentó un aumento a 4.445.938. En 2018 el indicador disminuyó de manera importante, con un total de 3.607.456 niñas y niños matriculados </w:t>
      </w:r>
      <w:sdt>
        <w:sdtPr>
          <w:rPr>
            <w:rFonts w:ascii="Century Gothic" w:hAnsi="Century Gothic"/>
            <w:color w:val="000000"/>
          </w:rPr>
          <w:id w:val="-77990045"/>
          <w:citation/>
        </w:sdtPr>
        <w:sdtContent>
          <w:r w:rsidRPr="00E94619">
            <w:rPr>
              <w:rFonts w:ascii="Century Gothic" w:hAnsi="Century Gothic"/>
              <w:color w:val="000000"/>
            </w:rPr>
            <w:fldChar w:fldCharType="begin"/>
          </w:r>
          <w:r w:rsidRPr="00E94619">
            <w:rPr>
              <w:rFonts w:ascii="Century Gothic" w:hAnsi="Century Gothic"/>
              <w:color w:val="000000"/>
              <w:lang w:val="es-ES"/>
            </w:rPr>
            <w:instrText xml:space="preserve">CITATION DAN18a \l 3082 </w:instrText>
          </w:r>
          <w:r w:rsidRPr="00E94619">
            <w:rPr>
              <w:rFonts w:ascii="Century Gothic" w:hAnsi="Century Gothic"/>
              <w:color w:val="000000"/>
            </w:rPr>
            <w:fldChar w:fldCharType="separate"/>
          </w:r>
          <w:r w:rsidRPr="00E94619">
            <w:rPr>
              <w:rFonts w:ascii="Century Gothic" w:hAnsi="Century Gothic"/>
              <w:noProof/>
              <w:color w:val="000000"/>
              <w:lang w:val="es-ES"/>
            </w:rPr>
            <w:t>(DANE, 2018b)</w:t>
          </w:r>
          <w:r w:rsidRPr="00E94619">
            <w:rPr>
              <w:rFonts w:ascii="Century Gothic" w:hAnsi="Century Gothic"/>
              <w:color w:val="000000"/>
            </w:rPr>
            <w:fldChar w:fldCharType="end"/>
          </w:r>
        </w:sdtContent>
      </w:sdt>
      <w:r w:rsidRPr="00E94619">
        <w:rPr>
          <w:rFonts w:ascii="Century Gothic" w:hAnsi="Century Gothic"/>
          <w:color w:val="000000"/>
        </w:rPr>
        <w:t xml:space="preserve">. En 2020 se registra un nuevo aumento con un total de 4.169.781 de niñas y niños matriculados </w:t>
      </w:r>
      <w:sdt>
        <w:sdtPr>
          <w:rPr>
            <w:rFonts w:ascii="Century Gothic" w:hAnsi="Century Gothic"/>
            <w:color w:val="000000"/>
          </w:rPr>
          <w:id w:val="593820266"/>
          <w:citation/>
        </w:sdtPr>
        <w:sdtContent>
          <w:r w:rsidRPr="00E94619">
            <w:rPr>
              <w:rFonts w:ascii="Century Gothic" w:hAnsi="Century Gothic"/>
              <w:color w:val="000000"/>
            </w:rPr>
            <w:fldChar w:fldCharType="begin"/>
          </w:r>
          <w:r w:rsidRPr="00E94619">
            <w:rPr>
              <w:rFonts w:ascii="Century Gothic" w:hAnsi="Century Gothic"/>
              <w:color w:val="000000"/>
              <w:lang w:val="es-ES"/>
            </w:rPr>
            <w:instrText xml:space="preserve"> CITATION DAN20 \l 3082 </w:instrText>
          </w:r>
          <w:r w:rsidRPr="00E94619">
            <w:rPr>
              <w:rFonts w:ascii="Century Gothic" w:hAnsi="Century Gothic"/>
              <w:color w:val="000000"/>
            </w:rPr>
            <w:fldChar w:fldCharType="separate"/>
          </w:r>
          <w:r w:rsidRPr="00E94619">
            <w:rPr>
              <w:rFonts w:ascii="Century Gothic" w:hAnsi="Century Gothic"/>
              <w:noProof/>
              <w:color w:val="000000"/>
              <w:lang w:val="es-ES"/>
            </w:rPr>
            <w:t>(DANE, 2020)</w:t>
          </w:r>
          <w:r w:rsidRPr="00E94619">
            <w:rPr>
              <w:rFonts w:ascii="Century Gothic" w:hAnsi="Century Gothic"/>
              <w:color w:val="000000"/>
            </w:rPr>
            <w:fldChar w:fldCharType="end"/>
          </w:r>
        </w:sdtContent>
      </w:sdt>
    </w:p>
    <w:p w14:paraId="32A5030D" w14:textId="77777777" w:rsidR="000D17E3" w:rsidRPr="00E94619" w:rsidRDefault="000D17E3" w:rsidP="000E5AC0">
      <w:pPr>
        <w:spacing w:before="20" w:after="20"/>
        <w:jc w:val="both"/>
        <w:rPr>
          <w:rFonts w:ascii="Century Gothic" w:hAnsi="Century Gothic"/>
          <w:color w:val="000000"/>
        </w:rPr>
      </w:pPr>
    </w:p>
    <w:tbl>
      <w:tblPr>
        <w:tblW w:w="8070" w:type="dxa"/>
        <w:jc w:val="center"/>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CellMar>
          <w:left w:w="70" w:type="dxa"/>
          <w:right w:w="70" w:type="dxa"/>
        </w:tblCellMar>
        <w:tblLook w:val="04A0" w:firstRow="1" w:lastRow="0" w:firstColumn="1" w:lastColumn="0" w:noHBand="0" w:noVBand="1"/>
      </w:tblPr>
      <w:tblGrid>
        <w:gridCol w:w="1289"/>
        <w:gridCol w:w="828"/>
        <w:gridCol w:w="850"/>
        <w:gridCol w:w="851"/>
        <w:gridCol w:w="850"/>
        <w:gridCol w:w="851"/>
        <w:gridCol w:w="850"/>
        <w:gridCol w:w="851"/>
        <w:gridCol w:w="850"/>
      </w:tblGrid>
      <w:tr w:rsidR="000D17E3" w:rsidRPr="00E94619" w14:paraId="664576A6" w14:textId="77777777" w:rsidTr="00683C35">
        <w:trPr>
          <w:trHeight w:val="340"/>
          <w:jc w:val="center"/>
        </w:trPr>
        <w:tc>
          <w:tcPr>
            <w:tcW w:w="1289" w:type="dxa"/>
            <w:shd w:val="clear" w:color="auto" w:fill="auto"/>
            <w:vAlign w:val="center"/>
            <w:hideMark/>
          </w:tcPr>
          <w:p w14:paraId="7F72C9DC"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 </w:t>
            </w:r>
          </w:p>
        </w:tc>
        <w:tc>
          <w:tcPr>
            <w:tcW w:w="1678" w:type="dxa"/>
            <w:gridSpan w:val="2"/>
            <w:shd w:val="clear" w:color="auto" w:fill="FF99CC"/>
            <w:vAlign w:val="center"/>
            <w:hideMark/>
          </w:tcPr>
          <w:p w14:paraId="71B6E957"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2014</w:t>
            </w:r>
          </w:p>
        </w:tc>
        <w:tc>
          <w:tcPr>
            <w:tcW w:w="1701" w:type="dxa"/>
            <w:gridSpan w:val="2"/>
            <w:shd w:val="clear" w:color="auto" w:fill="FF99CC"/>
            <w:vAlign w:val="center"/>
            <w:hideMark/>
          </w:tcPr>
          <w:p w14:paraId="1122A884"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2015</w:t>
            </w:r>
          </w:p>
        </w:tc>
        <w:tc>
          <w:tcPr>
            <w:tcW w:w="1701" w:type="dxa"/>
            <w:gridSpan w:val="2"/>
            <w:shd w:val="clear" w:color="auto" w:fill="FF99CC"/>
            <w:vAlign w:val="center"/>
            <w:hideMark/>
          </w:tcPr>
          <w:p w14:paraId="79A797CE"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2018</w:t>
            </w:r>
          </w:p>
        </w:tc>
        <w:tc>
          <w:tcPr>
            <w:tcW w:w="1701" w:type="dxa"/>
            <w:gridSpan w:val="2"/>
            <w:shd w:val="clear" w:color="auto" w:fill="FF99CC"/>
            <w:vAlign w:val="center"/>
            <w:hideMark/>
          </w:tcPr>
          <w:p w14:paraId="2D77C175"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2020</w:t>
            </w:r>
          </w:p>
        </w:tc>
      </w:tr>
      <w:tr w:rsidR="000D17E3" w:rsidRPr="00E94619" w14:paraId="154547D4" w14:textId="77777777" w:rsidTr="00683C35">
        <w:trPr>
          <w:trHeight w:val="607"/>
          <w:jc w:val="center"/>
        </w:trPr>
        <w:tc>
          <w:tcPr>
            <w:tcW w:w="1289" w:type="dxa"/>
            <w:shd w:val="clear" w:color="auto" w:fill="auto"/>
            <w:vAlign w:val="center"/>
            <w:hideMark/>
          </w:tcPr>
          <w:p w14:paraId="11E5B3A5"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Número de niñas y niños matriculados en primaria</w:t>
            </w:r>
          </w:p>
        </w:tc>
        <w:tc>
          <w:tcPr>
            <w:tcW w:w="828" w:type="dxa"/>
            <w:shd w:val="clear" w:color="auto" w:fill="auto"/>
            <w:vAlign w:val="center"/>
            <w:hideMark/>
          </w:tcPr>
          <w:p w14:paraId="342985A7"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37F920CC"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1" w:type="dxa"/>
            <w:shd w:val="clear" w:color="auto" w:fill="auto"/>
            <w:vAlign w:val="center"/>
            <w:hideMark/>
          </w:tcPr>
          <w:p w14:paraId="6B6C16BC"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2CB12854"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1" w:type="dxa"/>
            <w:shd w:val="clear" w:color="auto" w:fill="auto"/>
            <w:vAlign w:val="center"/>
            <w:hideMark/>
          </w:tcPr>
          <w:p w14:paraId="2364E613"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70DB2C49"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1" w:type="dxa"/>
            <w:shd w:val="clear" w:color="auto" w:fill="auto"/>
            <w:vAlign w:val="center"/>
            <w:hideMark/>
          </w:tcPr>
          <w:p w14:paraId="233ECE01"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3B71BBFA"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r>
      <w:tr w:rsidR="000D17E3" w:rsidRPr="00E94619" w14:paraId="1DACB7D3" w14:textId="77777777" w:rsidTr="00683C35">
        <w:trPr>
          <w:trHeight w:val="340"/>
          <w:jc w:val="center"/>
        </w:trPr>
        <w:tc>
          <w:tcPr>
            <w:tcW w:w="1289" w:type="dxa"/>
            <w:shd w:val="clear" w:color="auto" w:fill="auto"/>
            <w:hideMark/>
          </w:tcPr>
          <w:p w14:paraId="1DE159F9" w14:textId="77777777" w:rsidR="000D17E3" w:rsidRPr="00E94619" w:rsidRDefault="000D17E3" w:rsidP="000E5AC0">
            <w:pPr>
              <w:spacing w:after="0" w:line="240" w:lineRule="auto"/>
              <w:rPr>
                <w:rFonts w:ascii="Century Gothic" w:eastAsia="Times New Roman" w:hAnsi="Century Gothic" w:cs="Calibri"/>
                <w:color w:val="000000"/>
                <w:sz w:val="24"/>
                <w:szCs w:val="24"/>
                <w:lang w:eastAsia="es-MX"/>
              </w:rPr>
            </w:pPr>
            <w:r w:rsidRPr="00E94619">
              <w:rPr>
                <w:rFonts w:ascii="Century Gothic" w:eastAsia="Times New Roman" w:hAnsi="Century Gothic" w:cs="Calibri"/>
                <w:color w:val="000000"/>
                <w:sz w:val="24"/>
                <w:szCs w:val="24"/>
                <w:lang w:eastAsia="es-MX"/>
              </w:rPr>
              <w:t> </w:t>
            </w:r>
          </w:p>
        </w:tc>
        <w:tc>
          <w:tcPr>
            <w:tcW w:w="828" w:type="dxa"/>
            <w:shd w:val="clear" w:color="auto" w:fill="auto"/>
            <w:vAlign w:val="center"/>
            <w:hideMark/>
          </w:tcPr>
          <w:p w14:paraId="694563A5"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1.841.112</w:t>
            </w:r>
          </w:p>
        </w:tc>
        <w:tc>
          <w:tcPr>
            <w:tcW w:w="850" w:type="dxa"/>
            <w:shd w:val="clear" w:color="auto" w:fill="auto"/>
            <w:vAlign w:val="center"/>
            <w:hideMark/>
          </w:tcPr>
          <w:p w14:paraId="260CA801"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1.970.497</w:t>
            </w:r>
          </w:p>
        </w:tc>
        <w:tc>
          <w:tcPr>
            <w:tcW w:w="851" w:type="dxa"/>
            <w:shd w:val="clear" w:color="auto" w:fill="auto"/>
            <w:vAlign w:val="center"/>
            <w:hideMark/>
          </w:tcPr>
          <w:p w14:paraId="4E95F9E4"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2156674</w:t>
            </w:r>
          </w:p>
        </w:tc>
        <w:tc>
          <w:tcPr>
            <w:tcW w:w="850" w:type="dxa"/>
            <w:shd w:val="clear" w:color="auto" w:fill="auto"/>
            <w:vAlign w:val="center"/>
            <w:hideMark/>
          </w:tcPr>
          <w:p w14:paraId="6AA07D43"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2299264</w:t>
            </w:r>
          </w:p>
        </w:tc>
        <w:tc>
          <w:tcPr>
            <w:tcW w:w="851" w:type="dxa"/>
            <w:shd w:val="clear" w:color="auto" w:fill="auto"/>
            <w:vAlign w:val="center"/>
            <w:hideMark/>
          </w:tcPr>
          <w:p w14:paraId="29F26096"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1749616</w:t>
            </w:r>
          </w:p>
        </w:tc>
        <w:tc>
          <w:tcPr>
            <w:tcW w:w="850" w:type="dxa"/>
            <w:shd w:val="clear" w:color="auto" w:fill="auto"/>
            <w:vAlign w:val="center"/>
            <w:hideMark/>
          </w:tcPr>
          <w:p w14:paraId="52702DE3"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1857840</w:t>
            </w:r>
          </w:p>
        </w:tc>
        <w:tc>
          <w:tcPr>
            <w:tcW w:w="851" w:type="dxa"/>
            <w:shd w:val="clear" w:color="auto" w:fill="auto"/>
            <w:vAlign w:val="center"/>
            <w:hideMark/>
          </w:tcPr>
          <w:p w14:paraId="349D3DAC"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2022344</w:t>
            </w:r>
          </w:p>
        </w:tc>
        <w:tc>
          <w:tcPr>
            <w:tcW w:w="850" w:type="dxa"/>
            <w:shd w:val="clear" w:color="auto" w:fill="auto"/>
            <w:vAlign w:val="center"/>
            <w:hideMark/>
          </w:tcPr>
          <w:p w14:paraId="0F53D205"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2147437</w:t>
            </w:r>
          </w:p>
        </w:tc>
      </w:tr>
      <w:tr w:rsidR="000D17E3" w:rsidRPr="00E94619" w14:paraId="6E906909" w14:textId="77777777" w:rsidTr="00683C35">
        <w:trPr>
          <w:trHeight w:val="340"/>
          <w:jc w:val="center"/>
        </w:trPr>
        <w:tc>
          <w:tcPr>
            <w:tcW w:w="1289" w:type="dxa"/>
            <w:shd w:val="clear" w:color="auto" w:fill="auto"/>
            <w:vAlign w:val="center"/>
            <w:hideMark/>
          </w:tcPr>
          <w:p w14:paraId="0614E15D" w14:textId="098E6E85"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 xml:space="preserve">Total </w:t>
            </w:r>
          </w:p>
        </w:tc>
        <w:tc>
          <w:tcPr>
            <w:tcW w:w="1678" w:type="dxa"/>
            <w:gridSpan w:val="2"/>
            <w:shd w:val="clear" w:color="auto" w:fill="auto"/>
            <w:vAlign w:val="center"/>
            <w:hideMark/>
          </w:tcPr>
          <w:p w14:paraId="6A1659BD"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3.811.609</w:t>
            </w:r>
          </w:p>
        </w:tc>
        <w:tc>
          <w:tcPr>
            <w:tcW w:w="1701" w:type="dxa"/>
            <w:gridSpan w:val="2"/>
            <w:shd w:val="clear" w:color="auto" w:fill="auto"/>
            <w:vAlign w:val="center"/>
            <w:hideMark/>
          </w:tcPr>
          <w:p w14:paraId="767DA743"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4.455.938</w:t>
            </w:r>
          </w:p>
        </w:tc>
        <w:tc>
          <w:tcPr>
            <w:tcW w:w="1701" w:type="dxa"/>
            <w:gridSpan w:val="2"/>
            <w:shd w:val="clear" w:color="auto" w:fill="auto"/>
            <w:vAlign w:val="center"/>
            <w:hideMark/>
          </w:tcPr>
          <w:p w14:paraId="4D869BFE"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3.607.456</w:t>
            </w:r>
          </w:p>
        </w:tc>
        <w:tc>
          <w:tcPr>
            <w:tcW w:w="1701" w:type="dxa"/>
            <w:gridSpan w:val="2"/>
            <w:shd w:val="clear" w:color="auto" w:fill="auto"/>
            <w:vAlign w:val="center"/>
            <w:hideMark/>
          </w:tcPr>
          <w:p w14:paraId="401B336B"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4.169.781</w:t>
            </w:r>
          </w:p>
        </w:tc>
      </w:tr>
    </w:tbl>
    <w:p w14:paraId="351A5DF4" w14:textId="3EFE77E9" w:rsidR="000D17E3" w:rsidRPr="00E94619" w:rsidRDefault="00BD41A8" w:rsidP="000E5AC0">
      <w:pPr>
        <w:spacing w:before="20" w:after="20"/>
        <w:jc w:val="right"/>
        <w:rPr>
          <w:rFonts w:ascii="Century Gothic" w:hAnsi="Century Gothic"/>
          <w:color w:val="000000"/>
          <w:sz w:val="16"/>
          <w:szCs w:val="16"/>
        </w:rPr>
      </w:pPr>
      <w:r>
        <w:rPr>
          <w:rFonts w:ascii="Century Gothic" w:hAnsi="Century Gothic"/>
          <w:b/>
          <w:noProof/>
          <w:szCs w:val="24"/>
          <w:lang w:val="es-ES"/>
        </w:rPr>
        <w:lastRenderedPageBreak/>
        <w:drawing>
          <wp:anchor distT="0" distB="0" distL="114300" distR="114300" simplePos="0" relativeHeight="251888640" behindDoc="0" locked="0" layoutInCell="1" allowOverlap="1" wp14:anchorId="2FD57C27" wp14:editId="10D7834A">
            <wp:simplePos x="0" y="0"/>
            <wp:positionH relativeFrom="column">
              <wp:posOffset>-1080135</wp:posOffset>
            </wp:positionH>
            <wp:positionV relativeFrom="paragraph">
              <wp:posOffset>-822960</wp:posOffset>
            </wp:positionV>
            <wp:extent cx="965835" cy="708660"/>
            <wp:effectExtent l="0" t="0" r="0" b="0"/>
            <wp:wrapNone/>
            <wp:docPr id="414" name="Imagen 4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4F9331D5" w14:textId="29E5285E" w:rsidR="000D17E3" w:rsidRPr="00E94619" w:rsidRDefault="000D17E3" w:rsidP="000130CA">
      <w:pPr>
        <w:spacing w:before="20" w:after="20"/>
        <w:jc w:val="center"/>
        <w:rPr>
          <w:rFonts w:ascii="Century Gothic" w:hAnsi="Century Gothic"/>
          <w:color w:val="000000"/>
          <w:sz w:val="16"/>
          <w:szCs w:val="16"/>
          <w:lang w:val="fr-FR"/>
        </w:rPr>
      </w:pPr>
      <w:r w:rsidRPr="00E94619">
        <w:rPr>
          <w:rFonts w:ascii="Century Gothic" w:hAnsi="Century Gothic"/>
          <w:color w:val="000000"/>
          <w:sz w:val="16"/>
          <w:szCs w:val="16"/>
        </w:rPr>
        <w:t xml:space="preserve">Elaboración propia con base en estadísticas del DANE DANE (2016). </w:t>
      </w:r>
      <w:hyperlink r:id="rId85" w:history="1">
        <w:r w:rsidRPr="00E94619">
          <w:rPr>
            <w:rStyle w:val="Hipervnculo"/>
            <w:rFonts w:ascii="Century Gothic" w:hAnsi="Century Gothic"/>
            <w:sz w:val="16"/>
            <w:szCs w:val="16"/>
          </w:rPr>
          <w:t>https://www.dane.gov.co/index.php/estadisticas-por-tema/educacion/poblacion-escolarizada/educacion-formal/historico-educacion</w:t>
        </w:r>
      </w:hyperlink>
      <w:r w:rsidRPr="00E94619">
        <w:rPr>
          <w:rFonts w:ascii="Century Gothic" w:hAnsi="Century Gothic"/>
          <w:color w:val="000000"/>
          <w:sz w:val="16"/>
          <w:szCs w:val="16"/>
        </w:rPr>
        <w:t xml:space="preserve"> . </w:t>
      </w:r>
      <w:r w:rsidRPr="00E94619">
        <w:rPr>
          <w:rFonts w:ascii="Century Gothic" w:hAnsi="Century Gothic"/>
          <w:color w:val="000000"/>
          <w:sz w:val="16"/>
          <w:szCs w:val="16"/>
          <w:lang w:val="fr-FR"/>
        </w:rPr>
        <w:t xml:space="preserve">DANE (2018) </w:t>
      </w:r>
      <w:hyperlink r:id="rId86" w:history="1">
        <w:r w:rsidRPr="00E94619">
          <w:rPr>
            <w:rStyle w:val="Hipervnculo"/>
            <w:rFonts w:ascii="Century Gothic" w:hAnsi="Century Gothic"/>
            <w:sz w:val="16"/>
            <w:szCs w:val="16"/>
            <w:lang w:val="fr-FR"/>
          </w:rPr>
          <w:t>https://www.dane.gov.co/files/investigaciones/boletines/educacion/bol_EDUC_18.pdf</w:t>
        </w:r>
      </w:hyperlink>
      <w:r w:rsidRPr="00E94619">
        <w:rPr>
          <w:rFonts w:ascii="Century Gothic" w:hAnsi="Century Gothic"/>
          <w:color w:val="000000"/>
          <w:sz w:val="16"/>
          <w:szCs w:val="16"/>
          <w:lang w:val="fr-FR"/>
        </w:rPr>
        <w:t xml:space="preserve"> DANE (2020) </w:t>
      </w:r>
      <w:hyperlink r:id="rId87" w:history="1">
        <w:r w:rsidRPr="00E94619">
          <w:rPr>
            <w:rStyle w:val="Hipervnculo"/>
            <w:rFonts w:ascii="Century Gothic" w:hAnsi="Century Gothic"/>
            <w:sz w:val="16"/>
            <w:szCs w:val="16"/>
            <w:lang w:val="fr-FR"/>
          </w:rPr>
          <w:t>https://www.dane.gov.co/files/investigaciones/boletines/educacion/bol_EDUC_20.pdf</w:t>
        </w:r>
      </w:hyperlink>
    </w:p>
    <w:p w14:paraId="5CEB8A33" w14:textId="77777777" w:rsidR="000D17E3" w:rsidRPr="00E94619" w:rsidRDefault="000D17E3" w:rsidP="000E5AC0">
      <w:pPr>
        <w:spacing w:before="20" w:after="20"/>
        <w:jc w:val="both"/>
        <w:rPr>
          <w:rFonts w:ascii="Century Gothic" w:hAnsi="Century Gothic"/>
          <w:color w:val="000000"/>
          <w:lang w:val="fr-FR"/>
        </w:rPr>
      </w:pPr>
    </w:p>
    <w:p w14:paraId="5321ADDA" w14:textId="3AFE0B26" w:rsidR="000D17E3" w:rsidRPr="00E94619" w:rsidRDefault="000D17E3" w:rsidP="000E5AC0">
      <w:pPr>
        <w:spacing w:before="20" w:after="20"/>
        <w:jc w:val="both"/>
        <w:rPr>
          <w:rFonts w:ascii="Century Gothic" w:hAnsi="Century Gothic"/>
          <w:color w:val="000000"/>
        </w:rPr>
      </w:pPr>
      <w:r w:rsidRPr="00E94619">
        <w:rPr>
          <w:rFonts w:ascii="Century Gothic" w:hAnsi="Century Gothic"/>
          <w:color w:val="000000"/>
        </w:rPr>
        <w:t xml:space="preserve">Sin embargo, con referencia al número de niños-as en edad oficial para cursar primaria que no se matricularon, cifras de la UNESCO (2016) muestran que para el 2010 59.277 eran niñas y 54.420 niños. En el 2014 las cifras de niños-as no matriculados aumentaron tanto para las niñas (147.281) como para los niños (161.887), siendo esto últimos los más afectados. </w:t>
      </w:r>
    </w:p>
    <w:p w14:paraId="4E17708B" w14:textId="77777777" w:rsidR="000D17E3" w:rsidRPr="00E94619" w:rsidRDefault="000D17E3" w:rsidP="000E5AC0">
      <w:pPr>
        <w:spacing w:before="20" w:after="20"/>
        <w:jc w:val="both"/>
        <w:rPr>
          <w:rFonts w:ascii="Century Gothic" w:hAnsi="Century Gothic"/>
          <w:color w:val="000000"/>
        </w:rPr>
      </w:pPr>
    </w:p>
    <w:p w14:paraId="3A257BDC" w14:textId="2DF1673B" w:rsidR="000D17E3" w:rsidRPr="00E94619" w:rsidRDefault="000D17E3" w:rsidP="000E5AC0">
      <w:pPr>
        <w:spacing w:before="20" w:after="20"/>
        <w:jc w:val="both"/>
        <w:rPr>
          <w:rFonts w:ascii="Century Gothic" w:hAnsi="Century Gothic"/>
          <w:color w:val="000000"/>
        </w:rPr>
      </w:pPr>
      <w:r w:rsidRPr="00E94619">
        <w:rPr>
          <w:rFonts w:ascii="Century Gothic" w:hAnsi="Century Gothic"/>
          <w:color w:val="000000"/>
        </w:rPr>
        <w:t>Para el nivel educativo de básica primaria, en 2018 se registró un total de 3.607.456 matriculados, donde la mayor participación de alumnos fue para grado primero (20,5%), seguido del grado quinto (20,1%). Frente al año 2017, el grado que registró crecimiento fue primero (1,0%) con 7.294 matriculados más. Los demás grados de básica primaria registraron bajas en las matrículas, siendo los de mayor variación los grados de tercero y cuarto en -1,6%, respectivamente</w:t>
      </w:r>
      <w:sdt>
        <w:sdtPr>
          <w:rPr>
            <w:rFonts w:ascii="Century Gothic" w:hAnsi="Century Gothic"/>
            <w:color w:val="000000"/>
          </w:rPr>
          <w:id w:val="-2066085913"/>
          <w:citation/>
        </w:sdtPr>
        <w:sdtContent>
          <w:r w:rsidRPr="00E94619">
            <w:rPr>
              <w:rFonts w:ascii="Century Gothic" w:hAnsi="Century Gothic"/>
              <w:color w:val="000000"/>
            </w:rPr>
            <w:fldChar w:fldCharType="begin"/>
          </w:r>
          <w:r w:rsidRPr="00E94619">
            <w:rPr>
              <w:rFonts w:ascii="Century Gothic" w:hAnsi="Century Gothic"/>
              <w:color w:val="000000"/>
              <w:lang w:val="es-ES"/>
            </w:rPr>
            <w:instrText xml:space="preserve"> CITATION DAN18a \l 3082 </w:instrText>
          </w:r>
          <w:r w:rsidRPr="00E94619">
            <w:rPr>
              <w:rFonts w:ascii="Century Gothic" w:hAnsi="Century Gothic"/>
              <w:color w:val="000000"/>
            </w:rPr>
            <w:fldChar w:fldCharType="separate"/>
          </w:r>
          <w:r w:rsidRPr="00E94619">
            <w:rPr>
              <w:rFonts w:ascii="Century Gothic" w:hAnsi="Century Gothic"/>
              <w:noProof/>
              <w:color w:val="000000"/>
              <w:lang w:val="es-ES"/>
            </w:rPr>
            <w:t xml:space="preserve"> (DANE, 2018b)</w:t>
          </w:r>
          <w:r w:rsidRPr="00E94619">
            <w:rPr>
              <w:rFonts w:ascii="Century Gothic" w:hAnsi="Century Gothic"/>
              <w:color w:val="000000"/>
            </w:rPr>
            <w:fldChar w:fldCharType="end"/>
          </w:r>
        </w:sdtContent>
      </w:sdt>
      <w:r w:rsidRPr="00E94619">
        <w:rPr>
          <w:rFonts w:ascii="Century Gothic" w:hAnsi="Century Gothic"/>
          <w:color w:val="000000"/>
        </w:rPr>
        <w:t xml:space="preserve"> .</w:t>
      </w:r>
    </w:p>
    <w:bookmarkStart w:id="84" w:name="_Toc488624299"/>
    <w:p w14:paraId="4B0D7F30" w14:textId="77777777" w:rsidR="000D17E3" w:rsidRPr="000130CA" w:rsidRDefault="00830DBC" w:rsidP="000E5AC0">
      <w:pPr>
        <w:pStyle w:val="Ttulo4"/>
        <w:rPr>
          <w:rFonts w:ascii="Century Gothic" w:eastAsia="Cambria" w:hAnsi="Century Gothic" w:cs="Cambria"/>
          <w:b w:val="0"/>
          <w:i w:val="0"/>
          <w:color w:val="CC3366"/>
        </w:rPr>
      </w:pPr>
      <w:sdt>
        <w:sdtPr>
          <w:rPr>
            <w:rFonts w:ascii="Century Gothic" w:hAnsi="Century Gothic"/>
          </w:rPr>
          <w:tag w:val="goog_rdk_82"/>
          <w:id w:val="-1797138618"/>
        </w:sdtPr>
        <w:sdtContent/>
      </w:sdt>
      <w:r w:rsidR="000D17E3" w:rsidRPr="000130CA">
        <w:rPr>
          <w:rFonts w:ascii="Century Gothic" w:eastAsia="Cambria" w:hAnsi="Century Gothic" w:cs="Cambria"/>
          <w:b w:val="0"/>
          <w:i w:val="0"/>
          <w:color w:val="CC3366"/>
        </w:rPr>
        <w:t>1.2.2 Calidad: Número de docentes formados desagregado por sexo.</w:t>
      </w:r>
      <w:bookmarkEnd w:id="84"/>
    </w:p>
    <w:p w14:paraId="5FD52D3A" w14:textId="77777777" w:rsidR="000D17E3" w:rsidRPr="00E94619" w:rsidRDefault="000D17E3" w:rsidP="000E5AC0">
      <w:pPr>
        <w:spacing w:after="0" w:line="240" w:lineRule="auto"/>
        <w:rPr>
          <w:rFonts w:ascii="Century Gothic" w:hAnsi="Century Gothic"/>
          <w:b/>
          <w:color w:val="000000"/>
        </w:rPr>
      </w:pPr>
    </w:p>
    <w:p w14:paraId="1034ED47" w14:textId="77777777" w:rsidR="000D17E3" w:rsidRPr="00E94619" w:rsidRDefault="000D17E3" w:rsidP="000E5AC0">
      <w:pPr>
        <w:spacing w:after="0" w:line="240" w:lineRule="auto"/>
        <w:jc w:val="both"/>
        <w:rPr>
          <w:rFonts w:ascii="Century Gothic" w:hAnsi="Century Gothic"/>
          <w:color w:val="000000"/>
        </w:rPr>
      </w:pPr>
      <w:r w:rsidRPr="00E94619">
        <w:rPr>
          <w:rFonts w:ascii="Century Gothic" w:hAnsi="Century Gothic"/>
          <w:color w:val="000000"/>
        </w:rPr>
        <w:t xml:space="preserve">Cifras del DANE (2016) muestran que el número de docentes disminuyó de 188.242 en el 2010 a 182.649 en el 2015 en comparación con el año 2020, se registra un aumento significativo con un total de 447.855 docentes. Durante 2010 y 2015 el número de profesoras es más de tres veces mayor que el de los profesores hombres. En 2020, la proporción cambia, siendo el 67% de profesores hombres frente a un 33% de mujeres. Con respecto al porcentaje de maestros capacitados en educación de nivel primario, cifras de la UNESCO muestran que este descendió del 100% en el 2010 a un 98.231% en el 2014. En 2018, el DANE registra un aumento en el total de docentes </w:t>
      </w:r>
    </w:p>
    <w:p w14:paraId="597F8326" w14:textId="77777777" w:rsidR="000D17E3" w:rsidRPr="00E94619" w:rsidRDefault="000D17E3" w:rsidP="000E5AC0">
      <w:pPr>
        <w:spacing w:after="0" w:line="240" w:lineRule="auto"/>
        <w:jc w:val="both"/>
        <w:rPr>
          <w:rFonts w:ascii="Century Gothic" w:hAnsi="Century Gothic"/>
          <w:color w:val="000000"/>
        </w:rPr>
      </w:pPr>
    </w:p>
    <w:p w14:paraId="0BD73827" w14:textId="77777777" w:rsidR="000D17E3" w:rsidRPr="00E94619" w:rsidRDefault="000D17E3" w:rsidP="000E5AC0">
      <w:pPr>
        <w:spacing w:after="0" w:line="240" w:lineRule="auto"/>
        <w:jc w:val="both"/>
        <w:rPr>
          <w:rFonts w:ascii="Century Gothic" w:hAnsi="Century Gothic"/>
          <w:color w:val="000000"/>
        </w:rPr>
      </w:pPr>
    </w:p>
    <w:tbl>
      <w:tblPr>
        <w:tblW w:w="6369" w:type="dxa"/>
        <w:jc w:val="center"/>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CellMar>
          <w:left w:w="70" w:type="dxa"/>
          <w:right w:w="70" w:type="dxa"/>
        </w:tblCellMar>
        <w:tblLook w:val="04A0" w:firstRow="1" w:lastRow="0" w:firstColumn="1" w:lastColumn="0" w:noHBand="0" w:noVBand="1"/>
      </w:tblPr>
      <w:tblGrid>
        <w:gridCol w:w="1300"/>
        <w:gridCol w:w="817"/>
        <w:gridCol w:w="850"/>
        <w:gridCol w:w="851"/>
        <w:gridCol w:w="850"/>
        <w:gridCol w:w="851"/>
        <w:gridCol w:w="850"/>
      </w:tblGrid>
      <w:tr w:rsidR="000D17E3" w:rsidRPr="00E94619" w14:paraId="6CC335E8" w14:textId="77777777" w:rsidTr="00683C35">
        <w:trPr>
          <w:trHeight w:val="165"/>
          <w:jc w:val="center"/>
        </w:trPr>
        <w:tc>
          <w:tcPr>
            <w:tcW w:w="1300" w:type="dxa"/>
            <w:shd w:val="clear" w:color="auto" w:fill="auto"/>
            <w:vAlign w:val="center"/>
            <w:hideMark/>
          </w:tcPr>
          <w:p w14:paraId="5A91E07F"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 </w:t>
            </w:r>
          </w:p>
        </w:tc>
        <w:tc>
          <w:tcPr>
            <w:tcW w:w="1667" w:type="dxa"/>
            <w:gridSpan w:val="2"/>
            <w:shd w:val="clear" w:color="auto" w:fill="FF99CC"/>
            <w:vAlign w:val="center"/>
            <w:hideMark/>
          </w:tcPr>
          <w:p w14:paraId="295E480C"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2010</w:t>
            </w:r>
          </w:p>
        </w:tc>
        <w:tc>
          <w:tcPr>
            <w:tcW w:w="1701" w:type="dxa"/>
            <w:gridSpan w:val="2"/>
            <w:shd w:val="clear" w:color="auto" w:fill="FF99CC"/>
            <w:vAlign w:val="center"/>
            <w:hideMark/>
          </w:tcPr>
          <w:p w14:paraId="20FEBB05"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2015</w:t>
            </w:r>
          </w:p>
        </w:tc>
        <w:tc>
          <w:tcPr>
            <w:tcW w:w="1701" w:type="dxa"/>
            <w:gridSpan w:val="2"/>
            <w:shd w:val="clear" w:color="auto" w:fill="FF99CC"/>
            <w:vAlign w:val="center"/>
            <w:hideMark/>
          </w:tcPr>
          <w:p w14:paraId="67596D4E"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2020</w:t>
            </w:r>
          </w:p>
        </w:tc>
      </w:tr>
      <w:tr w:rsidR="000D17E3" w:rsidRPr="00E94619" w14:paraId="72CF452E" w14:textId="77777777" w:rsidTr="00683C35">
        <w:trPr>
          <w:trHeight w:val="653"/>
          <w:jc w:val="center"/>
        </w:trPr>
        <w:tc>
          <w:tcPr>
            <w:tcW w:w="1300" w:type="dxa"/>
            <w:shd w:val="clear" w:color="auto" w:fill="auto"/>
            <w:vAlign w:val="center"/>
            <w:hideMark/>
          </w:tcPr>
          <w:p w14:paraId="17F7E6B1" w14:textId="77777777" w:rsidR="000D17E3" w:rsidRPr="00E94619" w:rsidRDefault="000D17E3"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Número de docentes desagregado por sexo</w:t>
            </w:r>
          </w:p>
        </w:tc>
        <w:tc>
          <w:tcPr>
            <w:tcW w:w="817" w:type="dxa"/>
            <w:shd w:val="clear" w:color="auto" w:fill="auto"/>
            <w:vAlign w:val="center"/>
            <w:hideMark/>
          </w:tcPr>
          <w:p w14:paraId="1C59CCE0"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3C15662C"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1" w:type="dxa"/>
            <w:shd w:val="clear" w:color="auto" w:fill="auto"/>
            <w:vAlign w:val="center"/>
            <w:hideMark/>
          </w:tcPr>
          <w:p w14:paraId="1BFD73B0"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654BE846"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1" w:type="dxa"/>
            <w:shd w:val="clear" w:color="auto" w:fill="auto"/>
            <w:vAlign w:val="center"/>
            <w:hideMark/>
          </w:tcPr>
          <w:p w14:paraId="2C1AAE42"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169BD1E0"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r>
      <w:tr w:rsidR="000D17E3" w:rsidRPr="00E94619" w14:paraId="3CD2BD5F" w14:textId="77777777" w:rsidTr="00683C35">
        <w:trPr>
          <w:trHeight w:val="50"/>
          <w:jc w:val="center"/>
        </w:trPr>
        <w:tc>
          <w:tcPr>
            <w:tcW w:w="1300" w:type="dxa"/>
            <w:shd w:val="clear" w:color="auto" w:fill="auto"/>
            <w:hideMark/>
          </w:tcPr>
          <w:p w14:paraId="149DE881" w14:textId="77777777" w:rsidR="000D17E3" w:rsidRPr="00E94619" w:rsidRDefault="000D17E3" w:rsidP="000E5AC0">
            <w:pPr>
              <w:spacing w:after="0" w:line="240" w:lineRule="auto"/>
              <w:rPr>
                <w:rFonts w:ascii="Century Gothic" w:eastAsia="Times New Roman" w:hAnsi="Century Gothic" w:cs="Calibri"/>
                <w:color w:val="000000"/>
                <w:sz w:val="24"/>
                <w:szCs w:val="24"/>
                <w:lang w:eastAsia="es-MX"/>
              </w:rPr>
            </w:pPr>
            <w:r w:rsidRPr="00E94619">
              <w:rPr>
                <w:rFonts w:ascii="Century Gothic" w:eastAsia="Times New Roman" w:hAnsi="Century Gothic" w:cs="Calibri"/>
                <w:color w:val="000000"/>
                <w:sz w:val="24"/>
                <w:szCs w:val="24"/>
                <w:lang w:eastAsia="es-MX"/>
              </w:rPr>
              <w:t> </w:t>
            </w:r>
          </w:p>
        </w:tc>
        <w:tc>
          <w:tcPr>
            <w:tcW w:w="817" w:type="dxa"/>
            <w:shd w:val="clear" w:color="auto" w:fill="auto"/>
            <w:vAlign w:val="center"/>
            <w:hideMark/>
          </w:tcPr>
          <w:p w14:paraId="08ED5AD5"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147.174</w:t>
            </w:r>
          </w:p>
        </w:tc>
        <w:tc>
          <w:tcPr>
            <w:tcW w:w="850" w:type="dxa"/>
            <w:shd w:val="clear" w:color="auto" w:fill="auto"/>
            <w:vAlign w:val="center"/>
            <w:hideMark/>
          </w:tcPr>
          <w:p w14:paraId="14C2592D"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41.068</w:t>
            </w:r>
          </w:p>
        </w:tc>
        <w:tc>
          <w:tcPr>
            <w:tcW w:w="851" w:type="dxa"/>
            <w:shd w:val="clear" w:color="auto" w:fill="auto"/>
            <w:vAlign w:val="center"/>
            <w:hideMark/>
          </w:tcPr>
          <w:p w14:paraId="7EE3C4DF"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141.466</w:t>
            </w:r>
          </w:p>
        </w:tc>
        <w:tc>
          <w:tcPr>
            <w:tcW w:w="850" w:type="dxa"/>
            <w:shd w:val="clear" w:color="auto" w:fill="auto"/>
            <w:vAlign w:val="center"/>
            <w:hideMark/>
          </w:tcPr>
          <w:p w14:paraId="0304A1B1"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41.183</w:t>
            </w:r>
          </w:p>
        </w:tc>
        <w:tc>
          <w:tcPr>
            <w:tcW w:w="851" w:type="dxa"/>
            <w:shd w:val="clear" w:color="auto" w:fill="auto"/>
            <w:vAlign w:val="center"/>
            <w:hideMark/>
          </w:tcPr>
          <w:p w14:paraId="63BBAE62"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149.584</w:t>
            </w:r>
          </w:p>
        </w:tc>
        <w:tc>
          <w:tcPr>
            <w:tcW w:w="850" w:type="dxa"/>
            <w:shd w:val="clear" w:color="auto" w:fill="auto"/>
            <w:vAlign w:val="center"/>
            <w:hideMark/>
          </w:tcPr>
          <w:p w14:paraId="321DD074" w14:textId="77777777" w:rsidR="000D17E3" w:rsidRPr="00E94619" w:rsidRDefault="000D17E3"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298.271</w:t>
            </w:r>
          </w:p>
        </w:tc>
      </w:tr>
      <w:tr w:rsidR="000D17E3" w:rsidRPr="00E94619" w14:paraId="1090FD68" w14:textId="77777777" w:rsidTr="00683C35">
        <w:trPr>
          <w:trHeight w:val="50"/>
          <w:jc w:val="center"/>
        </w:trPr>
        <w:tc>
          <w:tcPr>
            <w:tcW w:w="1300" w:type="dxa"/>
            <w:shd w:val="clear" w:color="auto" w:fill="auto"/>
            <w:vAlign w:val="center"/>
            <w:hideMark/>
          </w:tcPr>
          <w:p w14:paraId="7BB7A712" w14:textId="77777777" w:rsidR="000D17E3" w:rsidRPr="00E94619" w:rsidRDefault="000D17E3"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 xml:space="preserve">Total </w:t>
            </w:r>
          </w:p>
        </w:tc>
        <w:tc>
          <w:tcPr>
            <w:tcW w:w="1667" w:type="dxa"/>
            <w:gridSpan w:val="2"/>
            <w:shd w:val="clear" w:color="auto" w:fill="auto"/>
            <w:vAlign w:val="center"/>
            <w:hideMark/>
          </w:tcPr>
          <w:p w14:paraId="4F915B45"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188.242</w:t>
            </w:r>
          </w:p>
        </w:tc>
        <w:tc>
          <w:tcPr>
            <w:tcW w:w="1701" w:type="dxa"/>
            <w:gridSpan w:val="2"/>
            <w:shd w:val="clear" w:color="auto" w:fill="auto"/>
            <w:vAlign w:val="center"/>
            <w:hideMark/>
          </w:tcPr>
          <w:p w14:paraId="1667381E"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182.649</w:t>
            </w:r>
          </w:p>
        </w:tc>
        <w:tc>
          <w:tcPr>
            <w:tcW w:w="1701" w:type="dxa"/>
            <w:gridSpan w:val="2"/>
            <w:shd w:val="clear" w:color="auto" w:fill="auto"/>
            <w:vAlign w:val="center"/>
            <w:hideMark/>
          </w:tcPr>
          <w:p w14:paraId="10E08668" w14:textId="77777777" w:rsidR="000D17E3" w:rsidRPr="00E94619" w:rsidRDefault="000D17E3" w:rsidP="000E5AC0">
            <w:pPr>
              <w:spacing w:after="0" w:line="240" w:lineRule="auto"/>
              <w:jc w:val="center"/>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447.855</w:t>
            </w:r>
          </w:p>
        </w:tc>
      </w:tr>
    </w:tbl>
    <w:p w14:paraId="2556260C" w14:textId="77777777" w:rsidR="000D17E3" w:rsidRPr="00E94619" w:rsidRDefault="000D17E3" w:rsidP="000E5AC0">
      <w:pPr>
        <w:spacing w:after="0"/>
        <w:rPr>
          <w:rFonts w:ascii="Century Gothic" w:hAnsi="Century Gothic"/>
          <w:b/>
          <w:color w:val="000000"/>
        </w:rPr>
      </w:pPr>
    </w:p>
    <w:p w14:paraId="52EEB5FD" w14:textId="744B5844" w:rsidR="000D17E3" w:rsidRDefault="000D17E3" w:rsidP="00683C35">
      <w:pPr>
        <w:spacing w:before="20" w:after="20"/>
        <w:jc w:val="center"/>
        <w:rPr>
          <w:rFonts w:ascii="Century Gothic" w:hAnsi="Century Gothic"/>
          <w:color w:val="000000"/>
          <w:sz w:val="16"/>
          <w:szCs w:val="16"/>
        </w:rPr>
      </w:pPr>
      <w:r w:rsidRPr="00E94619">
        <w:rPr>
          <w:rFonts w:ascii="Century Gothic" w:hAnsi="Century Gothic"/>
          <w:color w:val="000000"/>
          <w:sz w:val="16"/>
          <w:szCs w:val="16"/>
        </w:rPr>
        <w:t xml:space="preserve">Elaboración propia con base en estadísticas del DANE (2016). </w:t>
      </w:r>
      <w:hyperlink r:id="rId88" w:history="1">
        <w:r w:rsidRPr="00E94619">
          <w:rPr>
            <w:rStyle w:val="Hipervnculo"/>
            <w:rFonts w:ascii="Century Gothic" w:hAnsi="Century Gothic"/>
            <w:sz w:val="16"/>
            <w:szCs w:val="16"/>
          </w:rPr>
          <w:t>https://www.dane.gov.co/index.php/estadisticas-por-tema/educacion/poblacion-escolarizada/educacion-formal/historico-educacion</w:t>
        </w:r>
      </w:hyperlink>
      <w:r w:rsidRPr="00E94619">
        <w:rPr>
          <w:rFonts w:ascii="Century Gothic" w:hAnsi="Century Gothic"/>
          <w:color w:val="000000"/>
          <w:sz w:val="16"/>
          <w:szCs w:val="16"/>
        </w:rPr>
        <w:t xml:space="preserve"> y DANE (2020) </w:t>
      </w:r>
      <w:hyperlink r:id="rId89" w:history="1">
        <w:r w:rsidRPr="00E94619">
          <w:rPr>
            <w:rStyle w:val="Hipervnculo"/>
            <w:rFonts w:ascii="Century Gothic" w:hAnsi="Century Gothic"/>
            <w:sz w:val="16"/>
            <w:szCs w:val="16"/>
          </w:rPr>
          <w:t>https://www.dane.gov.co/files/investigaciones/boletines/educacion/bol_EDUC_20.pdf</w:t>
        </w:r>
      </w:hyperlink>
    </w:p>
    <w:p w14:paraId="0986162D" w14:textId="77777777" w:rsidR="00683C35" w:rsidRPr="00683C35" w:rsidRDefault="00683C35" w:rsidP="00683C35">
      <w:pPr>
        <w:spacing w:before="20" w:after="20"/>
        <w:jc w:val="center"/>
        <w:rPr>
          <w:rFonts w:ascii="Century Gothic" w:hAnsi="Century Gothic"/>
          <w:color w:val="000000"/>
          <w:sz w:val="16"/>
          <w:szCs w:val="16"/>
        </w:rPr>
      </w:pPr>
    </w:p>
    <w:p w14:paraId="2AC8832D" w14:textId="77777777" w:rsidR="000D17E3" w:rsidRPr="00683C35" w:rsidRDefault="000D17E3" w:rsidP="000E5AC0">
      <w:pPr>
        <w:pStyle w:val="Ttulo4"/>
        <w:rPr>
          <w:rFonts w:ascii="Century Gothic" w:eastAsia="Cambria" w:hAnsi="Century Gothic" w:cs="Cambria"/>
          <w:b w:val="0"/>
          <w:i w:val="0"/>
          <w:color w:val="CC3366"/>
          <w:u w:val="single"/>
        </w:rPr>
      </w:pPr>
      <w:bookmarkStart w:id="85" w:name="_Toc488624300"/>
      <w:r w:rsidRPr="00683C35">
        <w:rPr>
          <w:rFonts w:ascii="Century Gothic" w:eastAsia="Cambria" w:hAnsi="Century Gothic" w:cs="Cambria"/>
          <w:b w:val="0"/>
          <w:i w:val="0"/>
          <w:color w:val="CC3366"/>
          <w:u w:val="single"/>
        </w:rPr>
        <w:t>1.2.3 Tasa de finalización de enseñanza primaria de niñas y niños (ODS 4.33)</w:t>
      </w:r>
      <w:bookmarkEnd w:id="85"/>
    </w:p>
    <w:p w14:paraId="695D2E23" w14:textId="77777777" w:rsidR="000D17E3" w:rsidRPr="00E94619" w:rsidRDefault="000D17E3" w:rsidP="000E5AC0">
      <w:pPr>
        <w:spacing w:after="0"/>
        <w:ind w:left="720"/>
        <w:rPr>
          <w:rFonts w:ascii="Century Gothic" w:hAnsi="Century Gothic"/>
          <w:b/>
          <w:color w:val="000000"/>
        </w:rPr>
      </w:pPr>
    </w:p>
    <w:p w14:paraId="29286459" w14:textId="6B633727" w:rsidR="007D4FA1" w:rsidRDefault="000D17E3" w:rsidP="000E5AC0">
      <w:pPr>
        <w:spacing w:before="20" w:after="20"/>
        <w:jc w:val="both"/>
        <w:rPr>
          <w:rFonts w:ascii="Century Gothic" w:hAnsi="Century Gothic"/>
          <w:color w:val="000000"/>
        </w:rPr>
      </w:pPr>
      <w:r w:rsidRPr="00E94619">
        <w:rPr>
          <w:rFonts w:ascii="Century Gothic" w:hAnsi="Century Gothic"/>
          <w:color w:val="000000"/>
        </w:rPr>
        <w:t>Para el año 2019, la tasa de aprobación nacional fue de 90,0%. Los mayores porcentajes de aprobación escolar se registraron en el nivel de preescolar con 97,1%, seguido por básica primaria (92,2%) y media (92,1%).</w:t>
      </w:r>
    </w:p>
    <w:p w14:paraId="0D9E7198" w14:textId="4C81A30F" w:rsidR="007D4FA1" w:rsidRDefault="00BD41A8" w:rsidP="000E5AC0">
      <w:pPr>
        <w:spacing w:before="20" w:after="20"/>
        <w:jc w:val="both"/>
        <w:rPr>
          <w:rFonts w:ascii="Century Gothic" w:hAnsi="Century Gothic"/>
          <w:color w:val="000000"/>
        </w:rPr>
      </w:pPr>
      <w:r>
        <w:rPr>
          <w:rFonts w:ascii="Century Gothic" w:hAnsi="Century Gothic"/>
          <w:b/>
          <w:noProof/>
          <w:szCs w:val="24"/>
          <w:lang w:val="es-ES"/>
        </w:rPr>
        <w:lastRenderedPageBreak/>
        <w:drawing>
          <wp:anchor distT="0" distB="0" distL="114300" distR="114300" simplePos="0" relativeHeight="251890688" behindDoc="0" locked="0" layoutInCell="1" allowOverlap="1" wp14:anchorId="14B10F58" wp14:editId="123EAEFD">
            <wp:simplePos x="0" y="0"/>
            <wp:positionH relativeFrom="column">
              <wp:posOffset>-1080135</wp:posOffset>
            </wp:positionH>
            <wp:positionV relativeFrom="paragraph">
              <wp:posOffset>-822960</wp:posOffset>
            </wp:positionV>
            <wp:extent cx="965835" cy="708660"/>
            <wp:effectExtent l="0" t="0" r="0" b="0"/>
            <wp:wrapNone/>
            <wp:docPr id="415" name="Imagen 4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6BBD11D4" w14:textId="643A12B5" w:rsidR="00683C35" w:rsidRPr="00683C35" w:rsidRDefault="00683C35" w:rsidP="00683C35">
      <w:pPr>
        <w:spacing w:before="20" w:after="20"/>
        <w:jc w:val="center"/>
        <w:rPr>
          <w:rFonts w:ascii="Century Gothic" w:hAnsi="Century Gothic"/>
          <w:b/>
          <w:color w:val="000000"/>
          <w:sz w:val="16"/>
          <w:szCs w:val="16"/>
        </w:rPr>
      </w:pPr>
      <w:r w:rsidRPr="00683C35">
        <w:rPr>
          <w:rFonts w:ascii="Century Gothic" w:hAnsi="Century Gothic"/>
          <w:b/>
          <w:color w:val="000000"/>
          <w:sz w:val="16"/>
          <w:szCs w:val="16"/>
        </w:rPr>
        <w:t>Gráfica 51. Tasa de aprobados enseñanza primaria</w:t>
      </w:r>
    </w:p>
    <w:p w14:paraId="78CB3F17" w14:textId="77777777" w:rsidR="000D17E3" w:rsidRPr="00E94619" w:rsidRDefault="000D17E3" w:rsidP="000E5AC0">
      <w:pPr>
        <w:spacing w:before="20" w:after="20"/>
        <w:jc w:val="both"/>
        <w:rPr>
          <w:rFonts w:ascii="Century Gothic" w:hAnsi="Century Gothic"/>
          <w:color w:val="000000"/>
        </w:rPr>
      </w:pPr>
    </w:p>
    <w:p w14:paraId="284044B3" w14:textId="77777777" w:rsidR="000D17E3" w:rsidRPr="00E94619" w:rsidRDefault="000D17E3" w:rsidP="000E5AC0">
      <w:pPr>
        <w:spacing w:before="20" w:after="20"/>
        <w:jc w:val="center"/>
        <w:rPr>
          <w:rFonts w:ascii="Century Gothic" w:hAnsi="Century Gothic"/>
          <w:color w:val="000000"/>
        </w:rPr>
      </w:pPr>
      <w:r w:rsidRPr="00E94619">
        <w:rPr>
          <w:rFonts w:ascii="Century Gothic" w:hAnsi="Century Gothic"/>
          <w:noProof/>
          <w:lang w:val="es-ES" w:eastAsia="es-ES"/>
        </w:rPr>
        <w:drawing>
          <wp:inline distT="0" distB="0" distL="0" distR="0" wp14:anchorId="34ED168A" wp14:editId="06866AED">
            <wp:extent cx="3086735" cy="1508134"/>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093637" cy="1511506"/>
                    </a:xfrm>
                    <a:prstGeom prst="rect">
                      <a:avLst/>
                    </a:prstGeom>
                  </pic:spPr>
                </pic:pic>
              </a:graphicData>
            </a:graphic>
          </wp:inline>
        </w:drawing>
      </w:r>
    </w:p>
    <w:p w14:paraId="44985DDF" w14:textId="500EAF3A" w:rsidR="000D17E3" w:rsidRPr="00E94619" w:rsidRDefault="000D17E3" w:rsidP="00683C35">
      <w:pPr>
        <w:spacing w:before="20" w:after="20"/>
        <w:jc w:val="center"/>
        <w:rPr>
          <w:rFonts w:ascii="Century Gothic" w:hAnsi="Century Gothic"/>
          <w:color w:val="000000"/>
          <w:sz w:val="16"/>
          <w:szCs w:val="16"/>
        </w:rPr>
      </w:pPr>
      <w:r w:rsidRPr="00E94619">
        <w:rPr>
          <w:rFonts w:ascii="Century Gothic" w:hAnsi="Century Gothic"/>
          <w:color w:val="000000"/>
          <w:sz w:val="16"/>
          <w:szCs w:val="16"/>
        </w:rPr>
        <w:t xml:space="preserve">Elaboración propia con base en datos del DANE, Boletín Técnico Educación Formal (EDUC), 2020 </w:t>
      </w:r>
      <w:hyperlink r:id="rId91" w:history="1">
        <w:r w:rsidRPr="00E94619">
          <w:rPr>
            <w:rStyle w:val="Hipervnculo"/>
            <w:rFonts w:ascii="Century Gothic" w:hAnsi="Century Gothic"/>
            <w:sz w:val="16"/>
            <w:szCs w:val="16"/>
          </w:rPr>
          <w:t>https://www.dane.gov.co/files/investigaciones/boletines/educacion/bol_EDUC_20.pdf</w:t>
        </w:r>
      </w:hyperlink>
    </w:p>
    <w:p w14:paraId="119DF58E" w14:textId="77777777" w:rsidR="000D17E3" w:rsidRPr="00683C35" w:rsidRDefault="000D17E3" w:rsidP="000E5AC0">
      <w:pPr>
        <w:pStyle w:val="Ttulo4"/>
        <w:rPr>
          <w:rFonts w:ascii="Century Gothic" w:eastAsia="Cambria" w:hAnsi="Century Gothic" w:cs="Cambria"/>
          <w:b w:val="0"/>
          <w:i w:val="0"/>
          <w:color w:val="CC3366"/>
          <w:u w:val="single"/>
        </w:rPr>
      </w:pPr>
      <w:bookmarkStart w:id="86" w:name="_Toc488624301"/>
      <w:r w:rsidRPr="00683C35">
        <w:rPr>
          <w:rFonts w:ascii="Century Gothic" w:eastAsia="Cambria" w:hAnsi="Century Gothic" w:cs="Cambria"/>
          <w:b w:val="0"/>
          <w:i w:val="0"/>
          <w:color w:val="CC3366"/>
          <w:u w:val="single"/>
        </w:rPr>
        <w:t>1.2.4 Deserción escolar</w:t>
      </w:r>
      <w:bookmarkEnd w:id="86"/>
      <w:r w:rsidRPr="00683C35">
        <w:rPr>
          <w:rFonts w:ascii="Century Gothic" w:eastAsia="Cambria" w:hAnsi="Century Gothic" w:cs="Cambria"/>
          <w:b w:val="0"/>
          <w:i w:val="0"/>
          <w:color w:val="CC3366"/>
          <w:u w:val="single"/>
        </w:rPr>
        <w:t xml:space="preserve"> </w:t>
      </w:r>
    </w:p>
    <w:p w14:paraId="73E207D3" w14:textId="77777777" w:rsidR="000D17E3" w:rsidRPr="00E94619" w:rsidRDefault="000D17E3" w:rsidP="000E5AC0">
      <w:pPr>
        <w:spacing w:after="0" w:line="240" w:lineRule="auto"/>
        <w:ind w:left="720"/>
        <w:rPr>
          <w:rFonts w:ascii="Century Gothic" w:hAnsi="Century Gothic"/>
          <w:b/>
          <w:color w:val="000000"/>
        </w:rPr>
      </w:pPr>
    </w:p>
    <w:p w14:paraId="41530F2E" w14:textId="77777777" w:rsidR="000D17E3" w:rsidRDefault="000D17E3" w:rsidP="000E5AC0">
      <w:pPr>
        <w:tabs>
          <w:tab w:val="left" w:pos="1120"/>
        </w:tabs>
        <w:spacing w:after="0" w:line="240" w:lineRule="auto"/>
        <w:jc w:val="both"/>
        <w:rPr>
          <w:rFonts w:ascii="Century Gothic" w:hAnsi="Century Gothic"/>
          <w:color w:val="000000"/>
        </w:rPr>
      </w:pPr>
      <w:r w:rsidRPr="00E94619">
        <w:rPr>
          <w:rFonts w:ascii="Century Gothic" w:hAnsi="Century Gothic"/>
          <w:color w:val="000000"/>
        </w:rPr>
        <w:t>Según datos del DANE (2020) en 2019 la deserción en el nivel educativo de básica secundaria fue de 3,5% para hombres y 2,9% de mujeres.</w:t>
      </w:r>
    </w:p>
    <w:p w14:paraId="6EED81CB" w14:textId="77777777" w:rsidR="00683C35" w:rsidRDefault="00683C35" w:rsidP="00683C35">
      <w:pPr>
        <w:spacing w:before="20" w:after="20"/>
        <w:jc w:val="center"/>
        <w:rPr>
          <w:rFonts w:ascii="Century Gothic" w:hAnsi="Century Gothic"/>
          <w:b/>
          <w:color w:val="000000"/>
          <w:sz w:val="16"/>
          <w:szCs w:val="16"/>
        </w:rPr>
      </w:pPr>
    </w:p>
    <w:p w14:paraId="2A7A3659" w14:textId="229FFF4A" w:rsidR="000D17E3" w:rsidRPr="00683C35" w:rsidRDefault="00683C35" w:rsidP="00683C35">
      <w:pPr>
        <w:spacing w:before="20" w:after="20"/>
        <w:jc w:val="center"/>
        <w:rPr>
          <w:rFonts w:ascii="Century Gothic" w:hAnsi="Century Gothic"/>
          <w:b/>
          <w:color w:val="000000"/>
          <w:sz w:val="16"/>
          <w:szCs w:val="16"/>
        </w:rPr>
      </w:pPr>
      <w:r w:rsidRPr="00683C35">
        <w:rPr>
          <w:rFonts w:ascii="Century Gothic" w:hAnsi="Century Gothic"/>
          <w:b/>
          <w:color w:val="000000"/>
          <w:sz w:val="16"/>
          <w:szCs w:val="16"/>
        </w:rPr>
        <w:t>Gráfica 51. Tasa de aprobados enseñanza primaria</w:t>
      </w:r>
    </w:p>
    <w:p w14:paraId="2D83B79E" w14:textId="259A8D17" w:rsidR="000D17E3" w:rsidRPr="00E94619" w:rsidRDefault="00830DBC" w:rsidP="000E5AC0">
      <w:pPr>
        <w:tabs>
          <w:tab w:val="left" w:pos="1120"/>
        </w:tabs>
        <w:spacing w:after="0" w:line="240" w:lineRule="auto"/>
        <w:jc w:val="center"/>
        <w:rPr>
          <w:rFonts w:ascii="Century Gothic" w:hAnsi="Century Gothic"/>
          <w:color w:val="000000"/>
        </w:rPr>
      </w:pPr>
      <w:sdt>
        <w:sdtPr>
          <w:rPr>
            <w:rFonts w:ascii="Century Gothic" w:hAnsi="Century Gothic"/>
          </w:rPr>
          <w:tag w:val="goog_rdk_84"/>
          <w:id w:val="-1703626457"/>
          <w:showingPlcHdr/>
        </w:sdtPr>
        <w:sdtContent>
          <w:r w:rsidR="00332568" w:rsidRPr="00E94619">
            <w:rPr>
              <w:rFonts w:ascii="Century Gothic" w:hAnsi="Century Gothic"/>
            </w:rPr>
            <w:t xml:space="preserve">     </w:t>
          </w:r>
        </w:sdtContent>
      </w:sdt>
      <w:r w:rsidR="000D17E3" w:rsidRPr="00E94619">
        <w:rPr>
          <w:rFonts w:ascii="Century Gothic" w:hAnsi="Century Gothic"/>
          <w:noProof/>
        </w:rPr>
        <w:t xml:space="preserve"> </w:t>
      </w:r>
      <w:r w:rsidR="000D17E3" w:rsidRPr="00E94619">
        <w:rPr>
          <w:rFonts w:ascii="Century Gothic" w:hAnsi="Century Gothic"/>
          <w:noProof/>
          <w:lang w:val="es-ES" w:eastAsia="es-ES"/>
        </w:rPr>
        <w:drawing>
          <wp:inline distT="0" distB="0" distL="0" distR="0" wp14:anchorId="6DC0C1D0" wp14:editId="4A7FC471">
            <wp:extent cx="3249933" cy="1442385"/>
            <wp:effectExtent l="0" t="0" r="127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252145" cy="1443367"/>
                    </a:xfrm>
                    <a:prstGeom prst="rect">
                      <a:avLst/>
                    </a:prstGeom>
                  </pic:spPr>
                </pic:pic>
              </a:graphicData>
            </a:graphic>
          </wp:inline>
        </w:drawing>
      </w:r>
    </w:p>
    <w:p w14:paraId="31280696" w14:textId="77777777" w:rsidR="001238D7" w:rsidRDefault="000D17E3" w:rsidP="00683C35">
      <w:pPr>
        <w:pBdr>
          <w:top w:val="nil"/>
          <w:left w:val="nil"/>
          <w:bottom w:val="nil"/>
          <w:right w:val="nil"/>
          <w:between w:val="nil"/>
        </w:pBdr>
        <w:spacing w:after="0" w:line="240" w:lineRule="auto"/>
        <w:jc w:val="center"/>
        <w:rPr>
          <w:rStyle w:val="Hipervnculo"/>
          <w:rFonts w:ascii="Century Gothic" w:hAnsi="Century Gothic"/>
          <w:sz w:val="16"/>
          <w:szCs w:val="16"/>
        </w:rPr>
      </w:pPr>
      <w:r w:rsidRPr="00E94619">
        <w:rPr>
          <w:rFonts w:ascii="Century Gothic" w:hAnsi="Century Gothic"/>
          <w:color w:val="000000"/>
          <w:sz w:val="16"/>
          <w:szCs w:val="16"/>
        </w:rPr>
        <w:t xml:space="preserve">Elaboración propia con base en datos del DANE, Boletín Técnico Educación Formal (EDUC), 2020 </w:t>
      </w:r>
      <w:hyperlink r:id="rId93" w:history="1">
        <w:r w:rsidRPr="00E94619">
          <w:rPr>
            <w:rStyle w:val="Hipervnculo"/>
            <w:rFonts w:ascii="Century Gothic" w:hAnsi="Century Gothic"/>
            <w:sz w:val="16"/>
            <w:szCs w:val="16"/>
          </w:rPr>
          <w:t>https://www.dane.gov.co/files/investigaciones/boletines/educacion/bol_EDUC_20.pdf</w:t>
        </w:r>
      </w:hyperlink>
    </w:p>
    <w:p w14:paraId="12787DBB" w14:textId="77777777" w:rsidR="007D4FA1" w:rsidRPr="00E94619" w:rsidRDefault="007D4FA1" w:rsidP="00683C35">
      <w:pPr>
        <w:pBdr>
          <w:top w:val="nil"/>
          <w:left w:val="nil"/>
          <w:bottom w:val="nil"/>
          <w:right w:val="nil"/>
          <w:between w:val="nil"/>
        </w:pBdr>
        <w:spacing w:after="0" w:line="240" w:lineRule="auto"/>
        <w:jc w:val="center"/>
        <w:rPr>
          <w:rFonts w:ascii="Century Gothic" w:hAnsi="Century Gothic"/>
          <w:b/>
          <w:color w:val="000000"/>
        </w:rPr>
      </w:pPr>
    </w:p>
    <w:p w14:paraId="67916854" w14:textId="77777777" w:rsidR="001238D7" w:rsidRPr="00683C35" w:rsidRDefault="0036411F" w:rsidP="000E5AC0">
      <w:pPr>
        <w:pStyle w:val="Ttulo3"/>
        <w:rPr>
          <w:rFonts w:ascii="Century Gothic" w:hAnsi="Century Gothic"/>
          <w:b w:val="0"/>
          <w:color w:val="CC3366"/>
        </w:rPr>
      </w:pPr>
      <w:bookmarkStart w:id="87" w:name="_Toc488624302"/>
      <w:r w:rsidRPr="00683C35">
        <w:rPr>
          <w:rFonts w:ascii="Century Gothic" w:hAnsi="Century Gothic"/>
          <w:b w:val="0"/>
          <w:color w:val="CC3366"/>
        </w:rPr>
        <w:t>1.3 Educación media</w:t>
      </w:r>
      <w:bookmarkEnd w:id="87"/>
    </w:p>
    <w:p w14:paraId="505C556D" w14:textId="77777777" w:rsidR="00306535" w:rsidRPr="00683C35" w:rsidRDefault="00306535" w:rsidP="000E5AC0">
      <w:pPr>
        <w:pStyle w:val="Ttulo4"/>
        <w:rPr>
          <w:rFonts w:ascii="Century Gothic" w:eastAsia="Cambria" w:hAnsi="Century Gothic" w:cs="Cambria"/>
          <w:b w:val="0"/>
          <w:i w:val="0"/>
          <w:color w:val="CC3366"/>
          <w:u w:val="single"/>
        </w:rPr>
      </w:pPr>
      <w:bookmarkStart w:id="88" w:name="_Toc488624303"/>
      <w:r w:rsidRPr="00683C35">
        <w:rPr>
          <w:rFonts w:ascii="Century Gothic" w:eastAsia="Cambria" w:hAnsi="Century Gothic" w:cs="Cambria"/>
          <w:b w:val="0"/>
          <w:i w:val="0"/>
          <w:color w:val="CC3366"/>
          <w:u w:val="single"/>
        </w:rPr>
        <w:t>1.3.1 Acceso: niños y niñas matriculadas en enseñanza secundaria</w:t>
      </w:r>
      <w:bookmarkEnd w:id="88"/>
    </w:p>
    <w:p w14:paraId="01461A8E" w14:textId="77777777" w:rsidR="00306535" w:rsidRPr="00E94619" w:rsidRDefault="00306535" w:rsidP="000E5AC0">
      <w:pPr>
        <w:spacing w:after="0" w:line="240" w:lineRule="auto"/>
        <w:jc w:val="both"/>
        <w:rPr>
          <w:rFonts w:ascii="Century Gothic" w:hAnsi="Century Gothic"/>
          <w:color w:val="000000"/>
        </w:rPr>
      </w:pPr>
    </w:p>
    <w:p w14:paraId="797578E6" w14:textId="549A425D" w:rsidR="00306535" w:rsidRPr="00E94619" w:rsidRDefault="00306535" w:rsidP="000E5AC0">
      <w:pPr>
        <w:spacing w:after="0" w:line="240" w:lineRule="auto"/>
        <w:jc w:val="both"/>
        <w:rPr>
          <w:rFonts w:ascii="Century Gothic" w:hAnsi="Century Gothic"/>
          <w:color w:val="000000"/>
        </w:rPr>
      </w:pPr>
      <w:r w:rsidRPr="00E94619">
        <w:rPr>
          <w:rFonts w:ascii="Century Gothic" w:hAnsi="Century Gothic"/>
          <w:color w:val="000000"/>
        </w:rPr>
        <w:t xml:space="preserve">Con respecto al acceso a la educación secundaria, según el DANE, en el 2010 habían 4.349.971 niños-as matriculados, en el 2015 la cifra aumentó a 4.768.079. Durante los dos años revisados el número de mujeres matriculadas fue mayor que el de los hombres. Según datos del Informe de Seguimiento de los Objetivos del Milenio (2014), para el 2013 la tasa de cobertura en educación media era de 78.2%. Por sexo, se muestra que desde el 2009 la tasa de cobertura en este nivel fue superior para las mujeres. Por ejemplo, en el 2013 el porcentaje en estas últimas (86.1%) súpero en un 15,3% el de los hombres (70.7%). </w:t>
      </w:r>
      <w:r w:rsidR="007C7B87" w:rsidRPr="00E94619">
        <w:rPr>
          <w:rFonts w:ascii="Century Gothic" w:hAnsi="Century Gothic"/>
        </w:rPr>
        <w:t>Durante 2019, del total de matriculados el 16,5% representó la población con características especiales (1.659.282 matriculados). La población con mayor proporción de matriculados fue en grupos étnicos, para hombres 9,7% y para mujeres 9,6%; seguido de la población desplazada y desmovilizada víctimas de conflicto con una proporción de alumnos 11 Boletín Técnico Educación Formal (EDUC) 2019 matriculados mujeres de 5,2% y hombres 5,1%; mientras, en la población con limitaciones físicas y capacidades excepcionales, la proporción de hombres fue 2,0% y de mujeres fue 1,4%.</w:t>
      </w:r>
      <w:r w:rsidRPr="00E94619">
        <w:rPr>
          <w:rFonts w:ascii="Century Gothic" w:hAnsi="Century Gothic"/>
          <w:color w:val="000000"/>
        </w:rPr>
        <w:t xml:space="preserve">En el </w:t>
      </w:r>
      <w:r w:rsidRPr="00E94619">
        <w:rPr>
          <w:rFonts w:ascii="Century Gothic" w:hAnsi="Century Gothic"/>
          <w:color w:val="000000"/>
        </w:rPr>
        <w:lastRenderedPageBreak/>
        <w:t>año 2020 se registró un total de 3.439.531 personas matriculadas en nivel básica secundaria y, en términos de balance de género, se registró un 50,1% hombres y un 49,9% mujeres</w:t>
      </w:r>
      <w:r w:rsidRPr="00E94619">
        <w:rPr>
          <w:rFonts w:ascii="Century Gothic" w:hAnsi="Century Gothic"/>
          <w:noProof/>
          <w:color w:val="000000"/>
          <w:lang w:val="es-ES"/>
        </w:rPr>
        <w:t xml:space="preserve"> (DANE, 2020)</w:t>
      </w:r>
      <w:r w:rsidRPr="00E94619">
        <w:rPr>
          <w:rFonts w:ascii="Century Gothic" w:hAnsi="Century Gothic"/>
          <w:color w:val="000000"/>
        </w:rPr>
        <w:t>.</w:t>
      </w:r>
    </w:p>
    <w:p w14:paraId="5B3D1380" w14:textId="7DBE987C" w:rsidR="003105F1" w:rsidRPr="00E94619" w:rsidRDefault="00BD41A8" w:rsidP="000E5AC0">
      <w:pPr>
        <w:spacing w:after="0" w:line="240" w:lineRule="auto"/>
        <w:jc w:val="both"/>
        <w:rPr>
          <w:rFonts w:ascii="Century Gothic" w:hAnsi="Century Gothic"/>
          <w:color w:val="000000"/>
        </w:rPr>
      </w:pPr>
      <w:r>
        <w:rPr>
          <w:rFonts w:ascii="Century Gothic" w:hAnsi="Century Gothic"/>
          <w:b/>
          <w:noProof/>
          <w:szCs w:val="24"/>
          <w:lang w:val="es-ES"/>
        </w:rPr>
        <w:drawing>
          <wp:anchor distT="0" distB="0" distL="114300" distR="114300" simplePos="0" relativeHeight="251892736" behindDoc="0" locked="0" layoutInCell="1" allowOverlap="1" wp14:anchorId="33CB9A88" wp14:editId="13ECC9F5">
            <wp:simplePos x="0" y="0"/>
            <wp:positionH relativeFrom="column">
              <wp:posOffset>-1080135</wp:posOffset>
            </wp:positionH>
            <wp:positionV relativeFrom="paragraph">
              <wp:posOffset>-1336675</wp:posOffset>
            </wp:positionV>
            <wp:extent cx="965835" cy="708660"/>
            <wp:effectExtent l="0" t="0" r="0" b="0"/>
            <wp:wrapNone/>
            <wp:docPr id="416" name="Imagen 4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2AABFC0E" w14:textId="6EB0BD04" w:rsidR="00306535" w:rsidRPr="00E94619" w:rsidRDefault="003105F1" w:rsidP="00683C35">
      <w:pPr>
        <w:spacing w:before="20" w:after="20"/>
        <w:jc w:val="both"/>
        <w:rPr>
          <w:rFonts w:ascii="Century Gothic" w:hAnsi="Century Gothic"/>
          <w:b/>
          <w:color w:val="000000"/>
        </w:rPr>
      </w:pPr>
      <w:r w:rsidRPr="00E94619">
        <w:rPr>
          <w:rFonts w:ascii="Century Gothic" w:hAnsi="Century Gothic"/>
        </w:rPr>
        <w:t>La población de mayor representatividad fue con característica étnicas, en el nivel de básica primaria tanto para hombres como para mujeres con una proporción del 11,4% y 11,3%, respectivamente. Mientras, la población con baja proporción fue aquella con limitaciones físicas y capacidades excepcionales, en el nivel de preescolar para mujeres del 0,7% y en CLEI para hombres del 1,1%.</w:t>
      </w:r>
      <w:sdt>
        <w:sdtPr>
          <w:rPr>
            <w:rFonts w:ascii="Century Gothic" w:hAnsi="Century Gothic"/>
          </w:rPr>
          <w:id w:val="1302811530"/>
          <w:citation/>
        </w:sdtPr>
        <w:sdtContent>
          <w:r w:rsidRPr="00E94619">
            <w:rPr>
              <w:rFonts w:ascii="Century Gothic" w:hAnsi="Century Gothic"/>
            </w:rPr>
            <w:fldChar w:fldCharType="begin"/>
          </w:r>
          <w:r w:rsidRPr="00E94619">
            <w:rPr>
              <w:rFonts w:ascii="Century Gothic" w:hAnsi="Century Gothic"/>
            </w:rPr>
            <w:instrText xml:space="preserve"> CITATION DAN20 \l 9226 </w:instrText>
          </w:r>
          <w:r w:rsidRPr="00E94619">
            <w:rPr>
              <w:rFonts w:ascii="Century Gothic" w:hAnsi="Century Gothic"/>
            </w:rPr>
            <w:fldChar w:fldCharType="separate"/>
          </w:r>
          <w:r w:rsidRPr="00E94619">
            <w:rPr>
              <w:rFonts w:ascii="Century Gothic" w:hAnsi="Century Gothic"/>
              <w:noProof/>
            </w:rPr>
            <w:t xml:space="preserve"> (DANE, 2020)</w:t>
          </w:r>
          <w:r w:rsidRPr="00E94619">
            <w:rPr>
              <w:rFonts w:ascii="Century Gothic" w:hAnsi="Century Gothic"/>
            </w:rPr>
            <w:fldChar w:fldCharType="end"/>
          </w:r>
        </w:sdtContent>
      </w:sdt>
      <w:r w:rsidR="00683C35">
        <w:rPr>
          <w:rFonts w:ascii="Century Gothic" w:hAnsi="Century Gothic"/>
          <w:b/>
          <w:color w:val="000000"/>
        </w:rPr>
        <w:t>.</w:t>
      </w:r>
    </w:p>
    <w:p w14:paraId="22F164B4" w14:textId="77777777" w:rsidR="00306535" w:rsidRPr="00683C35" w:rsidRDefault="00306535" w:rsidP="000E5AC0">
      <w:pPr>
        <w:pStyle w:val="Ttulo4"/>
        <w:rPr>
          <w:rFonts w:ascii="Century Gothic" w:eastAsia="Cambria" w:hAnsi="Century Gothic" w:cs="Cambria"/>
          <w:b w:val="0"/>
          <w:i w:val="0"/>
          <w:color w:val="CC3366"/>
          <w:u w:val="single"/>
        </w:rPr>
      </w:pPr>
      <w:bookmarkStart w:id="89" w:name="_Toc488624304"/>
      <w:r w:rsidRPr="00683C35">
        <w:rPr>
          <w:rFonts w:ascii="Century Gothic" w:eastAsia="Cambria" w:hAnsi="Century Gothic" w:cs="Cambria"/>
          <w:b w:val="0"/>
          <w:i w:val="0"/>
          <w:color w:val="CC3366"/>
          <w:u w:val="single"/>
        </w:rPr>
        <w:t>1.3.2 Calidad: Número de docentes formados desagregado por sexo.</w:t>
      </w:r>
      <w:bookmarkEnd w:id="89"/>
    </w:p>
    <w:p w14:paraId="21B10909" w14:textId="77777777" w:rsidR="00306535" w:rsidRPr="00E94619" w:rsidRDefault="00306535" w:rsidP="000E5AC0">
      <w:pPr>
        <w:spacing w:after="0"/>
        <w:rPr>
          <w:rFonts w:ascii="Century Gothic" w:hAnsi="Century Gothic"/>
          <w:b/>
          <w:color w:val="000000"/>
        </w:rPr>
      </w:pPr>
    </w:p>
    <w:p w14:paraId="4DC7D609" w14:textId="4103D0F1" w:rsidR="00306535" w:rsidRDefault="00306535" w:rsidP="007D4FA1">
      <w:pPr>
        <w:spacing w:after="0"/>
        <w:jc w:val="both"/>
        <w:rPr>
          <w:rFonts w:ascii="Century Gothic" w:hAnsi="Century Gothic"/>
          <w:color w:val="000000"/>
        </w:rPr>
      </w:pPr>
      <w:r w:rsidRPr="00E94619">
        <w:rPr>
          <w:rFonts w:ascii="Century Gothic" w:hAnsi="Century Gothic"/>
          <w:color w:val="000000"/>
        </w:rPr>
        <w:t xml:space="preserve">Cifras del Dane (2016) muestran que el número de docentes de secundaria disminuyó de 210.841 en el 2010 a 192.836 en el 2015. Durante estos dos años el número de profesoras es un poco más alto que el de los profesores, en contraste a la educación primaria en el que el número de maestras es tres veces mayor que el de los maestros. En el año 2020 se registra una disminución en el número de docentes con respecto al 2010 y 2015 y, así mismo, la proporción entre hombres y mujeres muestra un cambio significativo, ya que el 66,3% eran mujeres y el 33,7% mujeres, en contraste con las cifras de los otros años, donde los porcentajes eran muy similares entre hombres y mujeres.   Con respecto al porcentaje de maestros capacitados en educación del nivel secundario, el DANE señala que para el 2015 el 48.5% de los docentes habían alcanzado una licenciatura, el 28.8% un posgrado, 7.5% eran normalistas y el 7.2% tenías un título profesional. El resto tenían formación técnica. Sólo el 0.7% no tenía ninguna titulación (Informe de seguimiento de los objetivos del milenio 2014). </w:t>
      </w:r>
    </w:p>
    <w:p w14:paraId="5847BF83" w14:textId="77777777" w:rsidR="00614296" w:rsidRPr="007D4FA1" w:rsidRDefault="00614296" w:rsidP="007D4FA1">
      <w:pPr>
        <w:spacing w:after="0"/>
        <w:jc w:val="both"/>
        <w:rPr>
          <w:rFonts w:ascii="Century Gothic" w:hAnsi="Century Gothic"/>
          <w:color w:val="000000"/>
        </w:rPr>
      </w:pPr>
    </w:p>
    <w:tbl>
      <w:tblPr>
        <w:tblW w:w="6369" w:type="dxa"/>
        <w:jc w:val="center"/>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CellMar>
          <w:left w:w="70" w:type="dxa"/>
          <w:right w:w="70" w:type="dxa"/>
        </w:tblCellMar>
        <w:tblLook w:val="04A0" w:firstRow="1" w:lastRow="0" w:firstColumn="1" w:lastColumn="0" w:noHBand="0" w:noVBand="1"/>
      </w:tblPr>
      <w:tblGrid>
        <w:gridCol w:w="1336"/>
        <w:gridCol w:w="824"/>
        <w:gridCol w:w="918"/>
        <w:gridCol w:w="824"/>
        <w:gridCol w:w="918"/>
        <w:gridCol w:w="824"/>
        <w:gridCol w:w="918"/>
      </w:tblGrid>
      <w:tr w:rsidR="00306535" w:rsidRPr="00E94619" w14:paraId="05D37802" w14:textId="77777777" w:rsidTr="00683C35">
        <w:trPr>
          <w:trHeight w:val="188"/>
          <w:jc w:val="center"/>
        </w:trPr>
        <w:tc>
          <w:tcPr>
            <w:tcW w:w="1300" w:type="dxa"/>
            <w:shd w:val="clear" w:color="auto" w:fill="auto"/>
            <w:vAlign w:val="center"/>
            <w:hideMark/>
          </w:tcPr>
          <w:p w14:paraId="066B092A"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 </w:t>
            </w:r>
          </w:p>
        </w:tc>
        <w:tc>
          <w:tcPr>
            <w:tcW w:w="1667" w:type="dxa"/>
            <w:gridSpan w:val="2"/>
            <w:shd w:val="clear" w:color="auto" w:fill="FF99CC"/>
            <w:vAlign w:val="center"/>
            <w:hideMark/>
          </w:tcPr>
          <w:p w14:paraId="534B4754" w14:textId="77777777" w:rsidR="00306535" w:rsidRPr="00E94619" w:rsidRDefault="00306535" w:rsidP="000E5AC0">
            <w:pPr>
              <w:spacing w:after="0" w:line="240" w:lineRule="auto"/>
              <w:jc w:val="center"/>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2010</w:t>
            </w:r>
          </w:p>
        </w:tc>
        <w:tc>
          <w:tcPr>
            <w:tcW w:w="1701" w:type="dxa"/>
            <w:gridSpan w:val="2"/>
            <w:shd w:val="clear" w:color="auto" w:fill="FF99CC"/>
            <w:vAlign w:val="center"/>
            <w:hideMark/>
          </w:tcPr>
          <w:p w14:paraId="09FC4EC4" w14:textId="77777777" w:rsidR="00306535" w:rsidRPr="00E94619" w:rsidRDefault="00306535" w:rsidP="000E5AC0">
            <w:pPr>
              <w:spacing w:after="0" w:line="240" w:lineRule="auto"/>
              <w:jc w:val="center"/>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2015</w:t>
            </w:r>
          </w:p>
        </w:tc>
        <w:tc>
          <w:tcPr>
            <w:tcW w:w="1701" w:type="dxa"/>
            <w:gridSpan w:val="2"/>
            <w:shd w:val="clear" w:color="auto" w:fill="FF99CC"/>
            <w:noWrap/>
            <w:vAlign w:val="bottom"/>
            <w:hideMark/>
          </w:tcPr>
          <w:p w14:paraId="2F66623D" w14:textId="77777777" w:rsidR="00306535" w:rsidRPr="00E94619" w:rsidRDefault="00306535" w:rsidP="000E5AC0">
            <w:pPr>
              <w:spacing w:after="0" w:line="240" w:lineRule="auto"/>
              <w:jc w:val="center"/>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2020</w:t>
            </w:r>
          </w:p>
        </w:tc>
      </w:tr>
      <w:tr w:rsidR="00306535" w:rsidRPr="00E94619" w14:paraId="43B07AA4" w14:textId="77777777" w:rsidTr="00683C35">
        <w:trPr>
          <w:trHeight w:val="730"/>
          <w:jc w:val="center"/>
        </w:trPr>
        <w:tc>
          <w:tcPr>
            <w:tcW w:w="1300" w:type="dxa"/>
            <w:shd w:val="clear" w:color="auto" w:fill="auto"/>
            <w:vAlign w:val="center"/>
            <w:hideMark/>
          </w:tcPr>
          <w:p w14:paraId="1CAFA0E5" w14:textId="77777777" w:rsidR="00306535" w:rsidRPr="00E94619" w:rsidRDefault="00306535" w:rsidP="000E5AC0">
            <w:pPr>
              <w:spacing w:after="0" w:line="240" w:lineRule="auto"/>
              <w:jc w:val="center"/>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Número de docentes desagregado por sexo</w:t>
            </w:r>
          </w:p>
        </w:tc>
        <w:tc>
          <w:tcPr>
            <w:tcW w:w="817" w:type="dxa"/>
            <w:shd w:val="clear" w:color="auto" w:fill="auto"/>
            <w:vAlign w:val="center"/>
            <w:hideMark/>
          </w:tcPr>
          <w:p w14:paraId="18BC4590"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Mujeres</w:t>
            </w:r>
          </w:p>
        </w:tc>
        <w:tc>
          <w:tcPr>
            <w:tcW w:w="850" w:type="dxa"/>
            <w:shd w:val="clear" w:color="auto" w:fill="auto"/>
            <w:vAlign w:val="center"/>
            <w:hideMark/>
          </w:tcPr>
          <w:p w14:paraId="09C56D06"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Hombres</w:t>
            </w:r>
          </w:p>
        </w:tc>
        <w:tc>
          <w:tcPr>
            <w:tcW w:w="851" w:type="dxa"/>
            <w:shd w:val="clear" w:color="auto" w:fill="auto"/>
            <w:vAlign w:val="center"/>
            <w:hideMark/>
          </w:tcPr>
          <w:p w14:paraId="75F42C22"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Mujeres</w:t>
            </w:r>
          </w:p>
        </w:tc>
        <w:tc>
          <w:tcPr>
            <w:tcW w:w="850" w:type="dxa"/>
            <w:shd w:val="clear" w:color="auto" w:fill="auto"/>
            <w:vAlign w:val="center"/>
            <w:hideMark/>
          </w:tcPr>
          <w:p w14:paraId="334E13F5"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Hombres</w:t>
            </w:r>
          </w:p>
        </w:tc>
        <w:tc>
          <w:tcPr>
            <w:tcW w:w="851" w:type="dxa"/>
            <w:shd w:val="clear" w:color="auto" w:fill="auto"/>
            <w:vAlign w:val="center"/>
            <w:hideMark/>
          </w:tcPr>
          <w:p w14:paraId="55605E5E"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Mujeres</w:t>
            </w:r>
          </w:p>
        </w:tc>
        <w:tc>
          <w:tcPr>
            <w:tcW w:w="850" w:type="dxa"/>
            <w:shd w:val="clear" w:color="auto" w:fill="auto"/>
            <w:vAlign w:val="center"/>
            <w:hideMark/>
          </w:tcPr>
          <w:p w14:paraId="6D11171C"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Hombres</w:t>
            </w:r>
          </w:p>
        </w:tc>
      </w:tr>
      <w:tr w:rsidR="00306535" w:rsidRPr="00E94619" w14:paraId="44B7A881" w14:textId="77777777" w:rsidTr="00683C35">
        <w:trPr>
          <w:trHeight w:val="232"/>
          <w:jc w:val="center"/>
        </w:trPr>
        <w:tc>
          <w:tcPr>
            <w:tcW w:w="1300" w:type="dxa"/>
            <w:shd w:val="clear" w:color="auto" w:fill="auto"/>
            <w:hideMark/>
          </w:tcPr>
          <w:p w14:paraId="645DCDF4" w14:textId="77777777" w:rsidR="00306535" w:rsidRPr="00E94619" w:rsidRDefault="00306535" w:rsidP="000E5AC0">
            <w:pPr>
              <w:spacing w:after="0" w:line="240" w:lineRule="auto"/>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 </w:t>
            </w:r>
          </w:p>
        </w:tc>
        <w:tc>
          <w:tcPr>
            <w:tcW w:w="817" w:type="dxa"/>
            <w:shd w:val="clear" w:color="auto" w:fill="auto"/>
            <w:vAlign w:val="center"/>
            <w:hideMark/>
          </w:tcPr>
          <w:p w14:paraId="7DB2E473"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106.418</w:t>
            </w:r>
          </w:p>
        </w:tc>
        <w:tc>
          <w:tcPr>
            <w:tcW w:w="850" w:type="dxa"/>
            <w:shd w:val="clear" w:color="auto" w:fill="auto"/>
            <w:vAlign w:val="center"/>
            <w:hideMark/>
          </w:tcPr>
          <w:p w14:paraId="52F315AC"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104.423</w:t>
            </w:r>
          </w:p>
        </w:tc>
        <w:tc>
          <w:tcPr>
            <w:tcW w:w="851" w:type="dxa"/>
            <w:shd w:val="clear" w:color="auto" w:fill="auto"/>
            <w:vAlign w:val="center"/>
            <w:hideMark/>
          </w:tcPr>
          <w:p w14:paraId="5293581A"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98.666</w:t>
            </w:r>
          </w:p>
        </w:tc>
        <w:tc>
          <w:tcPr>
            <w:tcW w:w="850" w:type="dxa"/>
            <w:shd w:val="clear" w:color="auto" w:fill="auto"/>
            <w:vAlign w:val="center"/>
            <w:hideMark/>
          </w:tcPr>
          <w:p w14:paraId="79A7B782"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94.170</w:t>
            </w:r>
          </w:p>
        </w:tc>
        <w:tc>
          <w:tcPr>
            <w:tcW w:w="851" w:type="dxa"/>
            <w:shd w:val="clear" w:color="auto" w:fill="auto"/>
            <w:vAlign w:val="center"/>
            <w:hideMark/>
          </w:tcPr>
          <w:p w14:paraId="3237DCCE"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95.442</w:t>
            </w:r>
          </w:p>
        </w:tc>
        <w:tc>
          <w:tcPr>
            <w:tcW w:w="850" w:type="dxa"/>
            <w:shd w:val="clear" w:color="auto" w:fill="auto"/>
            <w:vAlign w:val="center"/>
            <w:hideMark/>
          </w:tcPr>
          <w:p w14:paraId="241E97F0" w14:textId="77777777" w:rsidR="00306535" w:rsidRPr="00E94619" w:rsidRDefault="00306535" w:rsidP="000E5AC0">
            <w:pPr>
              <w:spacing w:after="0" w:line="240" w:lineRule="auto"/>
              <w:jc w:val="right"/>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48.513</w:t>
            </w:r>
          </w:p>
        </w:tc>
      </w:tr>
      <w:tr w:rsidR="00306535" w:rsidRPr="00E94619" w14:paraId="46B712E2" w14:textId="77777777" w:rsidTr="00683C35">
        <w:trPr>
          <w:trHeight w:val="207"/>
          <w:jc w:val="center"/>
        </w:trPr>
        <w:tc>
          <w:tcPr>
            <w:tcW w:w="1300" w:type="dxa"/>
            <w:shd w:val="clear" w:color="auto" w:fill="auto"/>
            <w:vAlign w:val="center"/>
            <w:hideMark/>
          </w:tcPr>
          <w:p w14:paraId="54C8404B" w14:textId="77777777" w:rsidR="00306535" w:rsidRPr="00E94619" w:rsidRDefault="00306535" w:rsidP="000E5AC0">
            <w:pPr>
              <w:spacing w:after="0" w:line="240" w:lineRule="auto"/>
              <w:rPr>
                <w:rFonts w:ascii="Century Gothic" w:eastAsia="Times New Roman" w:hAnsi="Century Gothic" w:cs="Calibri"/>
                <w:b/>
                <w:bCs/>
                <w:color w:val="000000"/>
                <w:sz w:val="18"/>
                <w:szCs w:val="18"/>
                <w:lang w:eastAsia="es-MX"/>
              </w:rPr>
            </w:pPr>
            <w:r w:rsidRPr="00E94619">
              <w:rPr>
                <w:rFonts w:ascii="Century Gothic" w:eastAsia="Times New Roman" w:hAnsi="Century Gothic" w:cs="Calibri"/>
                <w:b/>
                <w:bCs/>
                <w:color w:val="000000"/>
                <w:sz w:val="18"/>
                <w:szCs w:val="18"/>
                <w:lang w:eastAsia="es-MX"/>
              </w:rPr>
              <w:t xml:space="preserve">Total </w:t>
            </w:r>
          </w:p>
        </w:tc>
        <w:tc>
          <w:tcPr>
            <w:tcW w:w="1667" w:type="dxa"/>
            <w:gridSpan w:val="2"/>
            <w:shd w:val="clear" w:color="auto" w:fill="auto"/>
            <w:vAlign w:val="center"/>
            <w:hideMark/>
          </w:tcPr>
          <w:p w14:paraId="21575883" w14:textId="77777777" w:rsidR="00306535" w:rsidRPr="00E94619" w:rsidRDefault="00306535" w:rsidP="000E5AC0">
            <w:pPr>
              <w:spacing w:after="0" w:line="240" w:lineRule="auto"/>
              <w:jc w:val="center"/>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210.841</w:t>
            </w:r>
          </w:p>
        </w:tc>
        <w:tc>
          <w:tcPr>
            <w:tcW w:w="1701" w:type="dxa"/>
            <w:gridSpan w:val="2"/>
            <w:shd w:val="clear" w:color="auto" w:fill="auto"/>
            <w:vAlign w:val="center"/>
            <w:hideMark/>
          </w:tcPr>
          <w:p w14:paraId="2EEB5635" w14:textId="77777777" w:rsidR="00306535" w:rsidRPr="00E94619" w:rsidRDefault="00306535" w:rsidP="000E5AC0">
            <w:pPr>
              <w:spacing w:after="0" w:line="240" w:lineRule="auto"/>
              <w:jc w:val="center"/>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192.836</w:t>
            </w:r>
          </w:p>
        </w:tc>
        <w:tc>
          <w:tcPr>
            <w:tcW w:w="1701" w:type="dxa"/>
            <w:gridSpan w:val="2"/>
            <w:shd w:val="clear" w:color="auto" w:fill="auto"/>
            <w:vAlign w:val="center"/>
            <w:hideMark/>
          </w:tcPr>
          <w:p w14:paraId="15570713" w14:textId="77777777" w:rsidR="00306535" w:rsidRPr="00E94619" w:rsidRDefault="00306535" w:rsidP="000E5AC0">
            <w:pPr>
              <w:spacing w:after="0" w:line="240" w:lineRule="auto"/>
              <w:jc w:val="center"/>
              <w:rPr>
                <w:rFonts w:ascii="Century Gothic" w:eastAsia="Times New Roman" w:hAnsi="Century Gothic" w:cs="Calibri"/>
                <w:color w:val="000000"/>
                <w:sz w:val="18"/>
                <w:szCs w:val="18"/>
                <w:lang w:eastAsia="es-MX"/>
              </w:rPr>
            </w:pPr>
            <w:r w:rsidRPr="00E94619">
              <w:rPr>
                <w:rFonts w:ascii="Century Gothic" w:eastAsia="Times New Roman" w:hAnsi="Century Gothic" w:cs="Calibri"/>
                <w:color w:val="000000"/>
                <w:sz w:val="18"/>
                <w:szCs w:val="18"/>
                <w:lang w:eastAsia="es-MX"/>
              </w:rPr>
              <w:t>143.955</w:t>
            </w:r>
          </w:p>
        </w:tc>
      </w:tr>
    </w:tbl>
    <w:p w14:paraId="785C3DAB" w14:textId="77777777" w:rsidR="00306535" w:rsidRPr="00E94619" w:rsidRDefault="00306535" w:rsidP="00683C35">
      <w:pPr>
        <w:spacing w:after="0"/>
        <w:jc w:val="center"/>
        <w:rPr>
          <w:rFonts w:ascii="Century Gothic" w:hAnsi="Century Gothic"/>
          <w:color w:val="000000"/>
          <w:sz w:val="16"/>
          <w:szCs w:val="16"/>
          <w:lang w:val="fr-FR"/>
        </w:rPr>
      </w:pPr>
      <w:r w:rsidRPr="00E94619">
        <w:rPr>
          <w:rFonts w:ascii="Century Gothic" w:hAnsi="Century Gothic"/>
          <w:color w:val="000000"/>
          <w:sz w:val="16"/>
          <w:szCs w:val="16"/>
        </w:rPr>
        <w:t xml:space="preserve">Elaboración propia con base en estadísticas del DANE (2016). </w:t>
      </w:r>
      <w:hyperlink r:id="rId94" w:history="1">
        <w:r w:rsidRPr="00E94619">
          <w:rPr>
            <w:rStyle w:val="Hipervnculo"/>
            <w:rFonts w:ascii="Century Gothic" w:hAnsi="Century Gothic"/>
            <w:sz w:val="16"/>
            <w:szCs w:val="16"/>
            <w:lang w:val="fr-FR"/>
          </w:rPr>
          <w:t>https://www.dane.gov.co/index.php/estadisticas-por-tema/educacion/poblacion-escolarizada/educacion-formal/historico-educacion</w:t>
        </w:r>
      </w:hyperlink>
      <w:r w:rsidRPr="00E94619">
        <w:rPr>
          <w:rFonts w:ascii="Century Gothic" w:hAnsi="Century Gothic"/>
          <w:color w:val="000000"/>
          <w:sz w:val="16"/>
          <w:szCs w:val="16"/>
          <w:lang w:val="fr-FR"/>
        </w:rPr>
        <w:t xml:space="preserve"> DANE (2020) 2020 </w:t>
      </w:r>
      <w:hyperlink r:id="rId95" w:history="1">
        <w:r w:rsidRPr="00E94619">
          <w:rPr>
            <w:rStyle w:val="Hipervnculo"/>
            <w:rFonts w:ascii="Century Gothic" w:hAnsi="Century Gothic"/>
            <w:sz w:val="16"/>
            <w:szCs w:val="16"/>
            <w:lang w:val="fr-FR"/>
          </w:rPr>
          <w:t>https://www.dane.gov.co/files/investigaciones/boletines/educacion/bol_EDUC_20.pdf</w:t>
        </w:r>
      </w:hyperlink>
    </w:p>
    <w:p w14:paraId="4D14AC67" w14:textId="77777777" w:rsidR="00306535" w:rsidRPr="00683C35" w:rsidRDefault="00306535" w:rsidP="000E5AC0">
      <w:pPr>
        <w:pStyle w:val="Ttulo4"/>
        <w:rPr>
          <w:rFonts w:ascii="Century Gothic" w:eastAsia="Cambria" w:hAnsi="Century Gothic" w:cs="Cambria"/>
          <w:b w:val="0"/>
          <w:i w:val="0"/>
          <w:color w:val="CC3366"/>
          <w:u w:val="single"/>
        </w:rPr>
      </w:pPr>
      <w:bookmarkStart w:id="90" w:name="_Toc488624305"/>
      <w:r w:rsidRPr="00683C35">
        <w:rPr>
          <w:rFonts w:ascii="Century Gothic" w:eastAsia="Cambria" w:hAnsi="Century Gothic" w:cs="Cambria"/>
          <w:b w:val="0"/>
          <w:i w:val="0"/>
          <w:color w:val="CC3366"/>
          <w:u w:val="single"/>
        </w:rPr>
        <w:t>1.3.3 Tasa de finalización de enseñanza secundaria de niñas y niños (ODS 4.35)</w:t>
      </w:r>
      <w:bookmarkEnd w:id="90"/>
      <w:r w:rsidRPr="00683C35">
        <w:rPr>
          <w:rFonts w:ascii="Century Gothic" w:eastAsia="Cambria" w:hAnsi="Century Gothic" w:cs="Cambria"/>
          <w:b w:val="0"/>
          <w:i w:val="0"/>
          <w:color w:val="CC3366"/>
          <w:u w:val="single"/>
        </w:rPr>
        <w:t xml:space="preserve"> </w:t>
      </w:r>
    </w:p>
    <w:p w14:paraId="2D26D19F" w14:textId="77777777" w:rsidR="00306535" w:rsidRPr="00E94619" w:rsidRDefault="00306535" w:rsidP="000E5AC0">
      <w:pPr>
        <w:spacing w:after="0" w:line="240" w:lineRule="auto"/>
        <w:rPr>
          <w:rFonts w:ascii="Century Gothic" w:hAnsi="Century Gothic"/>
          <w:b/>
          <w:color w:val="000000"/>
        </w:rPr>
      </w:pPr>
    </w:p>
    <w:p w14:paraId="728767A7" w14:textId="57BE9673" w:rsidR="00306535" w:rsidRDefault="00306535" w:rsidP="00683C35">
      <w:pPr>
        <w:spacing w:after="0"/>
        <w:jc w:val="both"/>
        <w:rPr>
          <w:rFonts w:ascii="Century Gothic" w:hAnsi="Century Gothic"/>
        </w:rPr>
      </w:pPr>
      <w:r w:rsidRPr="00E94619">
        <w:rPr>
          <w:rFonts w:ascii="Century Gothic" w:hAnsi="Century Gothic"/>
        </w:rPr>
        <w:t xml:space="preserve">Datos de la ENDS (2015), muestran que el porcentaje de mujeres que completaron el nivel de educación secundaria en el 2015 fue de 56.5%, mientras el de los hombres fue menor con un 51.6%. </w:t>
      </w:r>
      <w:r w:rsidRPr="00E94619">
        <w:rPr>
          <w:rFonts w:ascii="Century Gothic" w:hAnsi="Century Gothic"/>
          <w:color w:val="000000"/>
        </w:rPr>
        <w:t xml:space="preserve"> En el año 2020, el DANE registra una tasa de finalización de 83% de los hombres y el 88% de las mujeres </w:t>
      </w:r>
      <w:r w:rsidRPr="00E94619">
        <w:rPr>
          <w:rFonts w:ascii="Century Gothic" w:hAnsi="Century Gothic"/>
          <w:noProof/>
          <w:color w:val="000000"/>
          <w:lang w:val="es-ES"/>
        </w:rPr>
        <w:t>(DANE, 2020)</w:t>
      </w:r>
      <w:r w:rsidR="00683C35">
        <w:rPr>
          <w:rFonts w:ascii="Century Gothic" w:hAnsi="Century Gothic"/>
        </w:rPr>
        <w:t>.</w:t>
      </w:r>
    </w:p>
    <w:p w14:paraId="490295E5" w14:textId="6EE90DAD" w:rsidR="00646447" w:rsidRPr="00683C35" w:rsidRDefault="00646447" w:rsidP="00683C35">
      <w:pPr>
        <w:spacing w:after="0"/>
        <w:jc w:val="both"/>
        <w:rPr>
          <w:rFonts w:ascii="Century Gothic" w:hAnsi="Century Gothic"/>
        </w:rPr>
      </w:pPr>
    </w:p>
    <w:p w14:paraId="4FA05758" w14:textId="72571E0F" w:rsidR="00306535" w:rsidRPr="00683C35" w:rsidRDefault="00BD41A8" w:rsidP="000E5AC0">
      <w:pPr>
        <w:pStyle w:val="Ttulo4"/>
        <w:rPr>
          <w:rFonts w:ascii="Century Gothic" w:eastAsia="Cambria" w:hAnsi="Century Gothic" w:cs="Cambria"/>
          <w:b w:val="0"/>
          <w:i w:val="0"/>
          <w:color w:val="CC3366"/>
          <w:u w:val="single"/>
        </w:rPr>
      </w:pPr>
      <w:bookmarkStart w:id="91" w:name="_Toc488624306"/>
      <w:r>
        <w:rPr>
          <w:rFonts w:ascii="Century Gothic" w:hAnsi="Century Gothic"/>
          <w:b w:val="0"/>
          <w:noProof/>
          <w:szCs w:val="24"/>
          <w:lang w:val="es-ES"/>
        </w:rPr>
        <w:lastRenderedPageBreak/>
        <w:drawing>
          <wp:anchor distT="0" distB="0" distL="114300" distR="114300" simplePos="0" relativeHeight="251894784" behindDoc="0" locked="0" layoutInCell="1" allowOverlap="1" wp14:anchorId="4E64F003" wp14:editId="3DE8A111">
            <wp:simplePos x="0" y="0"/>
            <wp:positionH relativeFrom="column">
              <wp:posOffset>-1080135</wp:posOffset>
            </wp:positionH>
            <wp:positionV relativeFrom="paragraph">
              <wp:posOffset>-800100</wp:posOffset>
            </wp:positionV>
            <wp:extent cx="965835" cy="708660"/>
            <wp:effectExtent l="0" t="0" r="0" b="0"/>
            <wp:wrapNone/>
            <wp:docPr id="417" name="Imagen 41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06535" w:rsidRPr="00683C35">
        <w:rPr>
          <w:rFonts w:ascii="Century Gothic" w:eastAsia="Cambria" w:hAnsi="Century Gothic" w:cs="Cambria"/>
          <w:b w:val="0"/>
          <w:i w:val="0"/>
          <w:color w:val="CC3366"/>
          <w:u w:val="single"/>
        </w:rPr>
        <w:t>1.3.4 Deserción escolar</w:t>
      </w:r>
      <w:bookmarkEnd w:id="91"/>
    </w:p>
    <w:p w14:paraId="5543B78A" w14:textId="77777777" w:rsidR="00306535" w:rsidRPr="00E94619" w:rsidRDefault="00306535" w:rsidP="000E5AC0">
      <w:pPr>
        <w:spacing w:after="0"/>
        <w:ind w:left="720"/>
        <w:rPr>
          <w:rFonts w:ascii="Century Gothic" w:hAnsi="Century Gothic"/>
          <w:b/>
          <w:color w:val="000000"/>
        </w:rPr>
      </w:pPr>
    </w:p>
    <w:p w14:paraId="6AD22F11" w14:textId="559B471C" w:rsidR="00306535" w:rsidRPr="00E94619" w:rsidRDefault="00A600EA" w:rsidP="007D4FA1">
      <w:pPr>
        <w:jc w:val="both"/>
        <w:rPr>
          <w:rFonts w:ascii="Century Gothic" w:hAnsi="Century Gothic"/>
        </w:rPr>
      </w:pPr>
      <w:r w:rsidRPr="00E94619">
        <w:rPr>
          <w:rFonts w:ascii="Century Gothic" w:hAnsi="Century Gothic"/>
        </w:rPr>
        <w:t xml:space="preserve">La tasa de deserción para 2018 fue del 3,2%. El mayor porcentaje de deserción escolar se reportó en el nivel de enseñanza de ciclos lectivos especiales integrados (CLEI) con el 10,3%. Los hombres registraron en todos los niveles educativos la mayor tasa de deserción con respecto a las mujeres. El nivel de enseñanza con la mayor diferencia fue ciclos lectivos especiales integrados (CLEI) en 1,5 pp, y los de menor diferencia de hombres frente a mujeres fueron los niveles de preescolar (0,4 pp) y media (0,4 pp). La tasa de deserción escolar </w:t>
      </w:r>
      <w:r w:rsidRPr="00E94619">
        <w:rPr>
          <w:rFonts w:ascii="Century Gothic" w:hAnsi="Century Gothic"/>
          <w:color w:val="000000"/>
        </w:rPr>
        <w:t xml:space="preserve">en el 2019 fue del 6,8% </w:t>
      </w:r>
      <w:r w:rsidRPr="00E94619">
        <w:rPr>
          <w:rFonts w:ascii="Century Gothic" w:hAnsi="Century Gothic"/>
          <w:noProof/>
          <w:color w:val="000000"/>
          <w:lang w:val="es-ES"/>
        </w:rPr>
        <w:t>(DANE, 2020)</w:t>
      </w:r>
      <w:r w:rsidRPr="00E94619">
        <w:rPr>
          <w:rFonts w:ascii="Century Gothic" w:hAnsi="Century Gothic"/>
          <w:color w:val="000000"/>
        </w:rPr>
        <w:t xml:space="preserve">. </w:t>
      </w:r>
      <w:r w:rsidRPr="00E94619">
        <w:rPr>
          <w:rFonts w:ascii="Century Gothic" w:hAnsi="Century Gothic"/>
        </w:rPr>
        <w:t>En el año 2019 se registró una tasa deserción de una13,3% en el caso de los hombres y un 9,1% en el caso de las mujeres.</w:t>
      </w:r>
      <w:r w:rsidRPr="00E94619">
        <w:rPr>
          <w:rFonts w:ascii="Century Gothic" w:hAnsi="Century Gothic"/>
          <w:noProof/>
          <w:lang w:val="es-ES"/>
        </w:rPr>
        <w:t xml:space="preserve"> (DANE, 2020).       </w:t>
      </w:r>
    </w:p>
    <w:p w14:paraId="4198A2FE" w14:textId="77777777" w:rsidR="00306535" w:rsidRPr="00683C35" w:rsidRDefault="00306535" w:rsidP="000E5AC0">
      <w:pPr>
        <w:pStyle w:val="Ttulo3"/>
        <w:rPr>
          <w:rFonts w:ascii="Century Gothic" w:hAnsi="Century Gothic"/>
          <w:b w:val="0"/>
          <w:color w:val="CC3366"/>
        </w:rPr>
      </w:pPr>
      <w:bookmarkStart w:id="92" w:name="_Toc488624307"/>
      <w:r w:rsidRPr="00683C35">
        <w:rPr>
          <w:rFonts w:ascii="Century Gothic" w:hAnsi="Century Gothic"/>
          <w:b w:val="0"/>
          <w:color w:val="CC3366"/>
        </w:rPr>
        <w:t>1.4 Educación superior</w:t>
      </w:r>
      <w:bookmarkEnd w:id="92"/>
    </w:p>
    <w:p w14:paraId="17B1CADC" w14:textId="77777777" w:rsidR="00306535" w:rsidRPr="00683C35" w:rsidRDefault="00306535" w:rsidP="000E5AC0">
      <w:pPr>
        <w:pStyle w:val="Ttulo4"/>
        <w:jc w:val="both"/>
        <w:rPr>
          <w:rFonts w:ascii="Century Gothic" w:eastAsia="Cambria" w:hAnsi="Century Gothic" w:cs="Cambria"/>
          <w:b w:val="0"/>
          <w:i w:val="0"/>
          <w:color w:val="CC3366"/>
          <w:u w:val="single"/>
        </w:rPr>
      </w:pPr>
      <w:bookmarkStart w:id="93" w:name="_Toc488624308"/>
      <w:r w:rsidRPr="00683C35">
        <w:rPr>
          <w:rFonts w:ascii="Century Gothic" w:eastAsia="Cambria" w:hAnsi="Century Gothic" w:cs="Cambria"/>
          <w:b w:val="0"/>
          <w:i w:val="0"/>
          <w:color w:val="CC3366"/>
          <w:u w:val="single"/>
        </w:rPr>
        <w:t>1.4.1 Tasas de matriculación en enseñanza superior de mujeres y hombres (ODS 4.37)</w:t>
      </w:r>
      <w:bookmarkEnd w:id="93"/>
    </w:p>
    <w:p w14:paraId="1AC01292" w14:textId="77777777" w:rsidR="00306535" w:rsidRPr="00E94619" w:rsidRDefault="00306535" w:rsidP="000E5AC0">
      <w:pPr>
        <w:tabs>
          <w:tab w:val="left" w:pos="720"/>
        </w:tabs>
        <w:spacing w:before="20" w:after="20"/>
        <w:rPr>
          <w:rFonts w:ascii="Century Gothic" w:hAnsi="Century Gothic"/>
          <w:color w:val="000000"/>
        </w:rPr>
      </w:pPr>
    </w:p>
    <w:p w14:paraId="55952ACD" w14:textId="77777777" w:rsidR="00306535" w:rsidRPr="00E94619" w:rsidRDefault="00306535" w:rsidP="000E5AC0">
      <w:pPr>
        <w:tabs>
          <w:tab w:val="left" w:pos="720"/>
        </w:tabs>
        <w:spacing w:before="20" w:after="20"/>
        <w:jc w:val="both"/>
        <w:rPr>
          <w:rFonts w:ascii="Century Gothic" w:hAnsi="Century Gothic"/>
          <w:color w:val="000000"/>
        </w:rPr>
      </w:pPr>
      <w:r w:rsidRPr="00E94619">
        <w:rPr>
          <w:rFonts w:ascii="Century Gothic" w:hAnsi="Century Gothic"/>
          <w:color w:val="000000"/>
        </w:rPr>
        <w:t>La tasa de cobertura en educación superior en Colombia aumentó del 37.1% en 2010 al 48.9% en el 2015 (SNIES). Analizando las cifras por género en el 2010, 2012 y 2013 el número de mujeres matriculadas fue mayor que el de los hombres. Para el 2015, según el Boletín de Educación Superior (mayo 2016), la participación de la matricula por sexo a nivel universitario continuó siendo más alta para alta para las mujeres con un 54.4% que la de los hombres (44.6%). En 2018 el 53% de las personas matriculadas fueron mujeres frente a un 47% de hombres y en el año 2019, la proporción se mantuvo estable con un 52,6% de mujeres y un 47,4% de hombres.</w:t>
      </w:r>
      <w:r w:rsidR="00CA3AAF" w:rsidRPr="00E94619">
        <w:rPr>
          <w:rFonts w:ascii="Century Gothic" w:hAnsi="Century Gothic"/>
          <w:color w:val="000000"/>
        </w:rPr>
        <w:t xml:space="preserve"> </w:t>
      </w:r>
      <w:r w:rsidRPr="00E94619">
        <w:rPr>
          <w:rFonts w:ascii="Century Gothic" w:hAnsi="Century Gothic"/>
          <w:color w:val="000000"/>
        </w:rPr>
        <w:t xml:space="preserve">Con respecto a las áreas de estudio, un informe de la Universidad de Antioquia señaló que las ingenierías siguen siendo mayoritariamente masculinas, mientras que a las ciencias administrativas, de salud, educación y sociales asisten más mujeres. </w:t>
      </w:r>
    </w:p>
    <w:p w14:paraId="5697EA6A" w14:textId="77777777" w:rsidR="00306535" w:rsidRPr="00E94619" w:rsidRDefault="00306535" w:rsidP="000E5AC0">
      <w:pPr>
        <w:tabs>
          <w:tab w:val="left" w:pos="720"/>
        </w:tabs>
        <w:spacing w:before="20" w:after="20"/>
        <w:ind w:left="360"/>
        <w:rPr>
          <w:rFonts w:ascii="Century Gothic" w:hAnsi="Century Gothic"/>
          <w:b/>
          <w:color w:val="000000"/>
        </w:rPr>
      </w:pPr>
    </w:p>
    <w:tbl>
      <w:tblPr>
        <w:tblW w:w="9502" w:type="dxa"/>
        <w:tblInd w:w="-400"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CellMar>
          <w:left w:w="70" w:type="dxa"/>
          <w:right w:w="70" w:type="dxa"/>
        </w:tblCellMar>
        <w:tblLook w:val="04A0" w:firstRow="1" w:lastRow="0" w:firstColumn="1" w:lastColumn="0" w:noHBand="0" w:noVBand="1"/>
      </w:tblPr>
      <w:tblGrid>
        <w:gridCol w:w="1158"/>
        <w:gridCol w:w="748"/>
        <w:gridCol w:w="832"/>
        <w:gridCol w:w="850"/>
        <w:gridCol w:w="832"/>
        <w:gridCol w:w="850"/>
        <w:gridCol w:w="832"/>
        <w:gridCol w:w="850"/>
        <w:gridCol w:w="850"/>
        <w:gridCol w:w="850"/>
        <w:gridCol w:w="850"/>
      </w:tblGrid>
      <w:tr w:rsidR="00306535" w:rsidRPr="00E94619" w14:paraId="4945DC7D" w14:textId="77777777" w:rsidTr="00683C35">
        <w:trPr>
          <w:trHeight w:val="340"/>
        </w:trPr>
        <w:tc>
          <w:tcPr>
            <w:tcW w:w="1158" w:type="dxa"/>
            <w:shd w:val="clear" w:color="auto" w:fill="auto"/>
            <w:vAlign w:val="center"/>
            <w:hideMark/>
          </w:tcPr>
          <w:p w14:paraId="1D08CC96"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 </w:t>
            </w:r>
          </w:p>
        </w:tc>
        <w:tc>
          <w:tcPr>
            <w:tcW w:w="1580" w:type="dxa"/>
            <w:gridSpan w:val="2"/>
            <w:shd w:val="clear" w:color="auto" w:fill="FF99CC"/>
            <w:vAlign w:val="center"/>
            <w:hideMark/>
          </w:tcPr>
          <w:p w14:paraId="759D556E"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2010</w:t>
            </w:r>
          </w:p>
        </w:tc>
        <w:tc>
          <w:tcPr>
            <w:tcW w:w="1682" w:type="dxa"/>
            <w:gridSpan w:val="2"/>
            <w:shd w:val="clear" w:color="auto" w:fill="FF99CC"/>
            <w:vAlign w:val="center"/>
            <w:hideMark/>
          </w:tcPr>
          <w:p w14:paraId="2FE34CFB"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2012</w:t>
            </w:r>
          </w:p>
        </w:tc>
        <w:tc>
          <w:tcPr>
            <w:tcW w:w="1682" w:type="dxa"/>
            <w:gridSpan w:val="2"/>
            <w:shd w:val="clear" w:color="auto" w:fill="FF99CC"/>
            <w:vAlign w:val="center"/>
            <w:hideMark/>
          </w:tcPr>
          <w:p w14:paraId="3E0D01F0"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2013</w:t>
            </w:r>
          </w:p>
        </w:tc>
        <w:tc>
          <w:tcPr>
            <w:tcW w:w="1700" w:type="dxa"/>
            <w:gridSpan w:val="2"/>
            <w:shd w:val="clear" w:color="auto" w:fill="FF99CC"/>
            <w:vAlign w:val="center"/>
            <w:hideMark/>
          </w:tcPr>
          <w:p w14:paraId="14103C57"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2018</w:t>
            </w:r>
          </w:p>
        </w:tc>
        <w:tc>
          <w:tcPr>
            <w:tcW w:w="1700" w:type="dxa"/>
            <w:gridSpan w:val="2"/>
            <w:shd w:val="clear" w:color="auto" w:fill="FF99CC"/>
            <w:vAlign w:val="center"/>
            <w:hideMark/>
          </w:tcPr>
          <w:p w14:paraId="4DE79B83"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2019</w:t>
            </w:r>
          </w:p>
        </w:tc>
      </w:tr>
      <w:tr w:rsidR="00306535" w:rsidRPr="00E94619" w14:paraId="137A1A89" w14:textId="77777777" w:rsidTr="00683C35">
        <w:trPr>
          <w:trHeight w:val="500"/>
        </w:trPr>
        <w:tc>
          <w:tcPr>
            <w:tcW w:w="1158" w:type="dxa"/>
            <w:shd w:val="clear" w:color="auto" w:fill="auto"/>
            <w:vAlign w:val="center"/>
            <w:hideMark/>
          </w:tcPr>
          <w:p w14:paraId="18287078" w14:textId="77777777" w:rsidR="00306535" w:rsidRPr="00E94619" w:rsidRDefault="00306535" w:rsidP="000E5AC0">
            <w:pPr>
              <w:spacing w:after="0" w:line="240" w:lineRule="auto"/>
              <w:jc w:val="center"/>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Personas matriculadas en educación superior por sexo</w:t>
            </w:r>
          </w:p>
        </w:tc>
        <w:tc>
          <w:tcPr>
            <w:tcW w:w="748" w:type="dxa"/>
            <w:shd w:val="clear" w:color="auto" w:fill="auto"/>
            <w:vAlign w:val="center"/>
            <w:hideMark/>
          </w:tcPr>
          <w:p w14:paraId="626F62E4"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32" w:type="dxa"/>
            <w:shd w:val="clear" w:color="auto" w:fill="auto"/>
            <w:vAlign w:val="center"/>
            <w:hideMark/>
          </w:tcPr>
          <w:p w14:paraId="6631A09D"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0" w:type="dxa"/>
            <w:shd w:val="clear" w:color="auto" w:fill="auto"/>
            <w:vAlign w:val="center"/>
            <w:hideMark/>
          </w:tcPr>
          <w:p w14:paraId="18EB946F"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32" w:type="dxa"/>
            <w:shd w:val="clear" w:color="auto" w:fill="auto"/>
            <w:vAlign w:val="center"/>
            <w:hideMark/>
          </w:tcPr>
          <w:p w14:paraId="20AA214C"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0" w:type="dxa"/>
            <w:shd w:val="clear" w:color="auto" w:fill="auto"/>
            <w:vAlign w:val="center"/>
            <w:hideMark/>
          </w:tcPr>
          <w:p w14:paraId="39CC1236"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32" w:type="dxa"/>
            <w:shd w:val="clear" w:color="auto" w:fill="auto"/>
            <w:vAlign w:val="center"/>
            <w:hideMark/>
          </w:tcPr>
          <w:p w14:paraId="64E384E5"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0" w:type="dxa"/>
            <w:shd w:val="clear" w:color="auto" w:fill="auto"/>
            <w:vAlign w:val="center"/>
            <w:hideMark/>
          </w:tcPr>
          <w:p w14:paraId="076E38E2"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2A88FAF6"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c>
          <w:tcPr>
            <w:tcW w:w="850" w:type="dxa"/>
            <w:shd w:val="clear" w:color="auto" w:fill="auto"/>
            <w:vAlign w:val="center"/>
            <w:hideMark/>
          </w:tcPr>
          <w:p w14:paraId="6410866F"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Mujeres</w:t>
            </w:r>
          </w:p>
        </w:tc>
        <w:tc>
          <w:tcPr>
            <w:tcW w:w="850" w:type="dxa"/>
            <w:shd w:val="clear" w:color="auto" w:fill="auto"/>
            <w:vAlign w:val="center"/>
            <w:hideMark/>
          </w:tcPr>
          <w:p w14:paraId="69022CB5" w14:textId="77777777" w:rsidR="00306535" w:rsidRPr="00E94619" w:rsidRDefault="00306535" w:rsidP="000E5AC0">
            <w:pPr>
              <w:spacing w:after="0" w:line="240" w:lineRule="auto"/>
              <w:rPr>
                <w:rFonts w:ascii="Century Gothic" w:eastAsia="Times New Roman" w:hAnsi="Century Gothic" w:cs="Calibri"/>
                <w:b/>
                <w:bCs/>
                <w:color w:val="000000"/>
                <w:sz w:val="16"/>
                <w:szCs w:val="16"/>
                <w:lang w:eastAsia="es-MX"/>
              </w:rPr>
            </w:pPr>
            <w:r w:rsidRPr="00E94619">
              <w:rPr>
                <w:rFonts w:ascii="Century Gothic" w:eastAsia="Times New Roman" w:hAnsi="Century Gothic" w:cs="Calibri"/>
                <w:b/>
                <w:bCs/>
                <w:color w:val="000000"/>
                <w:sz w:val="16"/>
                <w:szCs w:val="16"/>
                <w:lang w:eastAsia="es-MX"/>
              </w:rPr>
              <w:t>Hombres</w:t>
            </w:r>
          </w:p>
        </w:tc>
      </w:tr>
      <w:tr w:rsidR="00306535" w:rsidRPr="00E94619" w14:paraId="50FF3D07" w14:textId="77777777" w:rsidTr="00683C35">
        <w:trPr>
          <w:trHeight w:val="340"/>
        </w:trPr>
        <w:tc>
          <w:tcPr>
            <w:tcW w:w="1158" w:type="dxa"/>
            <w:shd w:val="clear" w:color="auto" w:fill="auto"/>
            <w:hideMark/>
          </w:tcPr>
          <w:p w14:paraId="4E58BA22" w14:textId="77777777" w:rsidR="00306535" w:rsidRPr="00E94619" w:rsidRDefault="00306535" w:rsidP="000E5AC0">
            <w:pPr>
              <w:spacing w:after="0" w:line="240" w:lineRule="auto"/>
              <w:rPr>
                <w:rFonts w:ascii="Century Gothic" w:eastAsia="Times New Roman" w:hAnsi="Century Gothic" w:cs="Calibri"/>
                <w:color w:val="000000"/>
                <w:sz w:val="24"/>
                <w:szCs w:val="24"/>
                <w:lang w:eastAsia="es-MX"/>
              </w:rPr>
            </w:pPr>
            <w:r w:rsidRPr="00E94619">
              <w:rPr>
                <w:rFonts w:ascii="Century Gothic" w:eastAsia="Times New Roman" w:hAnsi="Century Gothic" w:cs="Calibri"/>
                <w:color w:val="000000"/>
                <w:sz w:val="24"/>
                <w:szCs w:val="24"/>
                <w:lang w:eastAsia="es-MX"/>
              </w:rPr>
              <w:t> </w:t>
            </w:r>
          </w:p>
        </w:tc>
        <w:tc>
          <w:tcPr>
            <w:tcW w:w="748" w:type="dxa"/>
            <w:shd w:val="clear" w:color="auto" w:fill="auto"/>
            <w:vAlign w:val="center"/>
            <w:hideMark/>
          </w:tcPr>
          <w:p w14:paraId="3CE98551"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863.092</w:t>
            </w:r>
          </w:p>
        </w:tc>
        <w:tc>
          <w:tcPr>
            <w:tcW w:w="832" w:type="dxa"/>
            <w:shd w:val="clear" w:color="auto" w:fill="auto"/>
            <w:vAlign w:val="center"/>
            <w:hideMark/>
          </w:tcPr>
          <w:p w14:paraId="65AC3B88"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810.000</w:t>
            </w:r>
          </w:p>
        </w:tc>
        <w:tc>
          <w:tcPr>
            <w:tcW w:w="850" w:type="dxa"/>
            <w:shd w:val="clear" w:color="auto" w:fill="auto"/>
            <w:vAlign w:val="center"/>
            <w:hideMark/>
          </w:tcPr>
          <w:p w14:paraId="1B74B8B6"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1.023.178</w:t>
            </w:r>
          </w:p>
        </w:tc>
        <w:tc>
          <w:tcPr>
            <w:tcW w:w="832" w:type="dxa"/>
            <w:shd w:val="clear" w:color="auto" w:fill="auto"/>
            <w:vAlign w:val="center"/>
            <w:hideMark/>
          </w:tcPr>
          <w:p w14:paraId="67DECB99"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935.256</w:t>
            </w:r>
          </w:p>
        </w:tc>
        <w:tc>
          <w:tcPr>
            <w:tcW w:w="850" w:type="dxa"/>
            <w:shd w:val="clear" w:color="auto" w:fill="auto"/>
            <w:vAlign w:val="center"/>
            <w:hideMark/>
          </w:tcPr>
          <w:p w14:paraId="6935903C"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1.109.362</w:t>
            </w:r>
          </w:p>
        </w:tc>
        <w:tc>
          <w:tcPr>
            <w:tcW w:w="832" w:type="dxa"/>
            <w:shd w:val="clear" w:color="auto" w:fill="auto"/>
            <w:vAlign w:val="center"/>
            <w:hideMark/>
          </w:tcPr>
          <w:p w14:paraId="46EB3DF7"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999.862</w:t>
            </w:r>
          </w:p>
        </w:tc>
        <w:tc>
          <w:tcPr>
            <w:tcW w:w="850" w:type="dxa"/>
            <w:shd w:val="clear" w:color="auto" w:fill="auto"/>
            <w:vAlign w:val="center"/>
            <w:hideMark/>
          </w:tcPr>
          <w:p w14:paraId="49B50359"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1.292.480</w:t>
            </w:r>
          </w:p>
        </w:tc>
        <w:tc>
          <w:tcPr>
            <w:tcW w:w="850" w:type="dxa"/>
            <w:shd w:val="clear" w:color="auto" w:fill="auto"/>
            <w:vAlign w:val="center"/>
            <w:hideMark/>
          </w:tcPr>
          <w:p w14:paraId="404E4646"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1.147.887</w:t>
            </w:r>
          </w:p>
        </w:tc>
        <w:tc>
          <w:tcPr>
            <w:tcW w:w="850" w:type="dxa"/>
            <w:shd w:val="clear" w:color="auto" w:fill="auto"/>
            <w:vAlign w:val="center"/>
            <w:hideMark/>
          </w:tcPr>
          <w:p w14:paraId="15EAB636"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1.262.509</w:t>
            </w:r>
          </w:p>
        </w:tc>
        <w:tc>
          <w:tcPr>
            <w:tcW w:w="850" w:type="dxa"/>
            <w:shd w:val="clear" w:color="auto" w:fill="auto"/>
            <w:vAlign w:val="center"/>
            <w:hideMark/>
          </w:tcPr>
          <w:p w14:paraId="685CF3BB" w14:textId="77777777" w:rsidR="00306535" w:rsidRPr="00E94619" w:rsidRDefault="00306535" w:rsidP="000E5AC0">
            <w:pPr>
              <w:spacing w:after="0" w:line="240" w:lineRule="auto"/>
              <w:jc w:val="right"/>
              <w:rPr>
                <w:rFonts w:ascii="Century Gothic" w:eastAsia="Times New Roman" w:hAnsi="Century Gothic" w:cs="Calibri"/>
                <w:color w:val="000000"/>
                <w:sz w:val="16"/>
                <w:szCs w:val="16"/>
                <w:lang w:eastAsia="es-MX"/>
              </w:rPr>
            </w:pPr>
            <w:r w:rsidRPr="00E94619">
              <w:rPr>
                <w:rFonts w:ascii="Century Gothic" w:eastAsia="Times New Roman" w:hAnsi="Century Gothic" w:cs="Calibri"/>
                <w:color w:val="000000"/>
                <w:sz w:val="16"/>
                <w:szCs w:val="16"/>
                <w:lang w:eastAsia="es-MX"/>
              </w:rPr>
              <w:t>1.133.741</w:t>
            </w:r>
          </w:p>
        </w:tc>
      </w:tr>
    </w:tbl>
    <w:p w14:paraId="6AD50531" w14:textId="77777777" w:rsidR="00306535" w:rsidRPr="00E94619" w:rsidRDefault="00306535" w:rsidP="000E5AC0">
      <w:pPr>
        <w:tabs>
          <w:tab w:val="left" w:pos="720"/>
        </w:tabs>
        <w:spacing w:before="20" w:after="20"/>
        <w:rPr>
          <w:rFonts w:ascii="Century Gothic" w:hAnsi="Century Gothic"/>
          <w:color w:val="000000"/>
          <w:sz w:val="16"/>
          <w:szCs w:val="16"/>
        </w:rPr>
      </w:pPr>
    </w:p>
    <w:p w14:paraId="093505DE" w14:textId="77777777" w:rsidR="00306535" w:rsidRPr="00E94619" w:rsidRDefault="00306535" w:rsidP="000E5AC0">
      <w:pPr>
        <w:tabs>
          <w:tab w:val="left" w:pos="720"/>
        </w:tabs>
        <w:spacing w:before="20" w:after="20"/>
        <w:rPr>
          <w:rFonts w:ascii="Century Gothic" w:hAnsi="Century Gothic"/>
          <w:color w:val="000000"/>
          <w:sz w:val="16"/>
          <w:szCs w:val="16"/>
        </w:rPr>
      </w:pPr>
      <w:r w:rsidRPr="00E94619">
        <w:rPr>
          <w:rFonts w:ascii="Century Gothic" w:hAnsi="Century Gothic"/>
          <w:color w:val="000000"/>
          <w:sz w:val="16"/>
          <w:szCs w:val="16"/>
        </w:rPr>
        <w:t>Elaboración propia con base en el Sistema Nacional de Información de la Educación Superior SNIES 2020</w:t>
      </w:r>
    </w:p>
    <w:p w14:paraId="522EB9D7" w14:textId="77777777" w:rsidR="00306535" w:rsidRPr="00E94619" w:rsidRDefault="00306535" w:rsidP="000E5AC0">
      <w:pPr>
        <w:tabs>
          <w:tab w:val="left" w:pos="720"/>
        </w:tabs>
        <w:spacing w:before="20" w:after="20"/>
        <w:jc w:val="both"/>
        <w:rPr>
          <w:rFonts w:ascii="Century Gothic" w:hAnsi="Century Gothic"/>
          <w:color w:val="000000"/>
        </w:rPr>
      </w:pPr>
    </w:p>
    <w:p w14:paraId="622613CE" w14:textId="459E95A4" w:rsidR="00BD5E57" w:rsidRPr="00683C35" w:rsidRDefault="00306535" w:rsidP="00683C35">
      <w:pPr>
        <w:tabs>
          <w:tab w:val="left" w:pos="720"/>
        </w:tabs>
        <w:spacing w:before="20" w:after="20"/>
        <w:jc w:val="both"/>
        <w:rPr>
          <w:rFonts w:ascii="Century Gothic" w:hAnsi="Century Gothic"/>
          <w:color w:val="000000"/>
        </w:rPr>
      </w:pPr>
      <w:r w:rsidRPr="00E94619">
        <w:rPr>
          <w:rFonts w:ascii="Century Gothic" w:hAnsi="Century Gothic"/>
          <w:color w:val="000000"/>
        </w:rPr>
        <w:t>En Colombia, para el año 2013, la deserción en el nivel universitario alcanzó el 44.9%, lo que significa que uno de cada dos estudiantes que ingresa a educación superior no culmina sus estudios. Por sexo, la deserción fue mayor en la población masculina con un 50.9%, mientras que en las mujeres fue del 43%. Para el año 2018, la tasa de deserción anual para los programas universitarios se ubicó en 8,79%, para los tecnológicos en 10,75% y para los técnicos profesionales en 17,41%</w:t>
      </w:r>
      <w:r w:rsidRPr="00E94619">
        <w:rPr>
          <w:rFonts w:ascii="Century Gothic" w:hAnsi="Century Gothic"/>
          <w:noProof/>
          <w:color w:val="000000"/>
          <w:lang w:val="es-ES"/>
        </w:rPr>
        <w:t xml:space="preserve"> (SPADIES, 2020)</w:t>
      </w:r>
    </w:p>
    <w:p w14:paraId="69D2ACB6" w14:textId="77777777" w:rsidR="00BD5E57" w:rsidRPr="00E94619" w:rsidRDefault="00BD5E57" w:rsidP="000E5AC0">
      <w:pPr>
        <w:spacing w:after="0"/>
        <w:rPr>
          <w:rFonts w:ascii="Century Gothic" w:hAnsi="Century Gothic"/>
          <w:b/>
          <w:color w:val="000000"/>
        </w:rPr>
      </w:pPr>
    </w:p>
    <w:p w14:paraId="5238AB04" w14:textId="7F766507" w:rsidR="00306535" w:rsidRPr="00683C35" w:rsidRDefault="00BD41A8" w:rsidP="000E5AC0">
      <w:pPr>
        <w:pStyle w:val="Ttulo3"/>
        <w:jc w:val="both"/>
        <w:rPr>
          <w:rFonts w:ascii="Century Gothic" w:hAnsi="Century Gothic"/>
          <w:b w:val="0"/>
          <w:color w:val="CC3366"/>
        </w:rPr>
      </w:pPr>
      <w:bookmarkStart w:id="94" w:name="_Toc488624309"/>
      <w:r>
        <w:rPr>
          <w:rFonts w:ascii="Century Gothic" w:hAnsi="Century Gothic"/>
          <w:b w:val="0"/>
          <w:noProof/>
          <w:szCs w:val="24"/>
          <w:lang w:val="es-ES"/>
        </w:rPr>
        <w:lastRenderedPageBreak/>
        <w:drawing>
          <wp:anchor distT="0" distB="0" distL="114300" distR="114300" simplePos="0" relativeHeight="251896832" behindDoc="0" locked="0" layoutInCell="1" allowOverlap="1" wp14:anchorId="5B20F93B" wp14:editId="5B0B2BB8">
            <wp:simplePos x="0" y="0"/>
            <wp:positionH relativeFrom="column">
              <wp:posOffset>-1080135</wp:posOffset>
            </wp:positionH>
            <wp:positionV relativeFrom="paragraph">
              <wp:posOffset>-800100</wp:posOffset>
            </wp:positionV>
            <wp:extent cx="965835" cy="708660"/>
            <wp:effectExtent l="0" t="0" r="0" b="0"/>
            <wp:wrapNone/>
            <wp:docPr id="418" name="Imagen 41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tag w:val="goog_rdk_86"/>
          <w:id w:val="418444417"/>
        </w:sdtPr>
        <w:sdtContent/>
      </w:sdt>
      <w:r w:rsidR="00306535" w:rsidRPr="00683C35">
        <w:rPr>
          <w:rFonts w:ascii="Century Gothic" w:hAnsi="Century Gothic"/>
          <w:b w:val="0"/>
          <w:color w:val="CC3366"/>
        </w:rPr>
        <w:t>1.6 Proporción de mujeres con respecto a hombres que se han beneficiado del desarrollo de competencias/formación profesional y otros programas activos del mercado de trabajo</w:t>
      </w:r>
      <w:bookmarkEnd w:id="94"/>
    </w:p>
    <w:p w14:paraId="63059DAE" w14:textId="77777777" w:rsidR="00306535" w:rsidRPr="00E94619" w:rsidRDefault="00306535" w:rsidP="000E5AC0">
      <w:pPr>
        <w:spacing w:after="0"/>
        <w:rPr>
          <w:rFonts w:ascii="Century Gothic" w:hAnsi="Century Gothic"/>
          <w:b/>
          <w:color w:val="000000"/>
        </w:rPr>
      </w:pPr>
    </w:p>
    <w:p w14:paraId="697F0542" w14:textId="77777777" w:rsidR="00306535" w:rsidRPr="00E94619" w:rsidRDefault="00306535" w:rsidP="000E5AC0">
      <w:pPr>
        <w:spacing w:after="0"/>
        <w:jc w:val="both"/>
        <w:rPr>
          <w:rFonts w:ascii="Century Gothic" w:hAnsi="Century Gothic"/>
          <w:color w:val="000000"/>
        </w:rPr>
      </w:pPr>
      <w:r w:rsidRPr="00E94619">
        <w:rPr>
          <w:rFonts w:ascii="Century Gothic" w:hAnsi="Century Gothic"/>
          <w:color w:val="000000"/>
        </w:rPr>
        <w:t xml:space="preserve">La educación para el trabajo hace parte del servicio público educativo en Colombia. “Se ofrece con el objeto de complementar, actualizar, suplir conocimientos y formar, en aspectos académicos o laborales y conduce a la obtención de certificados de aptitud ocupacional” (Ministerio de educación 2016). El número de personas matriculadas en esta modalidad aumentó de 231.237en el 2010 a 1.146.305 en el 2015. Con respecto al sexo, para el 2015, del total de la población que asistió a cursos de formación para el trabajo, el 52.8% fueron hombres y el 47.2% mujeres (DANE 2015). En el trimestre abril - junio 2019, del total de la población que asistió́ a cursos de formación para el trabajo (3.734 miles de personas), el 51,4% fueron hombres y 48,6% mujeres. En el mismo periodo del año anterior, estas proporciones se ubicaron en 52,8% y 47,2%, respectivamente </w:t>
      </w:r>
      <w:r w:rsidRPr="00E94619">
        <w:rPr>
          <w:rFonts w:ascii="Century Gothic" w:hAnsi="Century Gothic"/>
          <w:noProof/>
          <w:color w:val="000000"/>
          <w:lang w:val="es-ES"/>
        </w:rPr>
        <w:t>(DANE, 2019)</w:t>
      </w:r>
      <w:r w:rsidRPr="00E94619">
        <w:rPr>
          <w:rFonts w:ascii="Century Gothic" w:hAnsi="Century Gothic"/>
          <w:color w:val="000000"/>
        </w:rPr>
        <w:t>.</w:t>
      </w:r>
    </w:p>
    <w:p w14:paraId="48F9A824" w14:textId="77777777" w:rsidR="00306535" w:rsidRPr="00E94619" w:rsidRDefault="00306535" w:rsidP="000E5AC0">
      <w:pPr>
        <w:spacing w:after="0"/>
        <w:rPr>
          <w:rFonts w:ascii="Century Gothic" w:hAnsi="Century Gothic"/>
          <w:b/>
          <w:color w:val="000000"/>
        </w:rPr>
      </w:pPr>
    </w:p>
    <w:bookmarkStart w:id="95" w:name="_Toc488624310"/>
    <w:p w14:paraId="2CB44DE3" w14:textId="77777777" w:rsidR="00306535" w:rsidRPr="00683C35" w:rsidRDefault="00830DBC" w:rsidP="000E5AC0">
      <w:pPr>
        <w:pStyle w:val="Ttulo3"/>
        <w:rPr>
          <w:rFonts w:ascii="Century Gothic" w:hAnsi="Century Gothic"/>
          <w:b w:val="0"/>
          <w:color w:val="CC3366"/>
        </w:rPr>
      </w:pPr>
      <w:sdt>
        <w:sdtPr>
          <w:rPr>
            <w:rFonts w:ascii="Century Gothic" w:hAnsi="Century Gothic"/>
          </w:rPr>
          <w:tag w:val="goog_rdk_87"/>
          <w:id w:val="-89549516"/>
        </w:sdtPr>
        <w:sdtContent/>
      </w:sdt>
      <w:r w:rsidR="00306535" w:rsidRPr="00683C35">
        <w:rPr>
          <w:rFonts w:ascii="Century Gothic" w:hAnsi="Century Gothic"/>
          <w:b w:val="0"/>
          <w:color w:val="CC3366"/>
        </w:rPr>
        <w:t>1.7 Acceso de las mujeres a las TIC.</w:t>
      </w:r>
      <w:bookmarkEnd w:id="95"/>
    </w:p>
    <w:p w14:paraId="1C1CCB05" w14:textId="77777777" w:rsidR="00306535" w:rsidRPr="00E94619" w:rsidRDefault="00306535" w:rsidP="000E5AC0">
      <w:pPr>
        <w:spacing w:after="0"/>
        <w:rPr>
          <w:rFonts w:ascii="Century Gothic" w:hAnsi="Century Gothic"/>
          <w:b/>
          <w:color w:val="000000"/>
        </w:rPr>
      </w:pPr>
    </w:p>
    <w:p w14:paraId="17A53238" w14:textId="77777777" w:rsidR="00306535" w:rsidRPr="00E94619" w:rsidRDefault="00306535" w:rsidP="000E5AC0">
      <w:pPr>
        <w:spacing w:after="0"/>
        <w:jc w:val="both"/>
        <w:rPr>
          <w:rFonts w:ascii="Century Gothic" w:hAnsi="Century Gothic"/>
          <w:color w:val="000000"/>
        </w:rPr>
      </w:pPr>
      <w:r w:rsidRPr="00E94619">
        <w:rPr>
          <w:rFonts w:ascii="Century Gothic" w:hAnsi="Century Gothic"/>
          <w:color w:val="000000"/>
        </w:rPr>
        <w:t xml:space="preserve">Según cifras del DANE (2015a), no hay diferencias significativas en el número de mujeres y hombres que usan computador e internet. Con respecto al sitio de uso, se encontró que en los hogares y los centros educativos el número de mujeres y hombres que acceden a internet es similar; sin embargo, en el entorno laborar el número de hombres (3.500) fue mayor al de las mujeres (2.993). En el uso de internet para acceder a la banca electrónica fue mayor el número de los hombres (1.016) que en las mujeres (843). </w:t>
      </w:r>
    </w:p>
    <w:p w14:paraId="3784590C" w14:textId="77777777" w:rsidR="00306535" w:rsidRPr="00E94619" w:rsidRDefault="00306535" w:rsidP="000E5AC0">
      <w:pPr>
        <w:spacing w:after="0"/>
        <w:jc w:val="both"/>
        <w:rPr>
          <w:rFonts w:ascii="Century Gothic" w:hAnsi="Century Gothic"/>
          <w:color w:val="000000"/>
        </w:rPr>
      </w:pPr>
    </w:p>
    <w:p w14:paraId="6B58FEDE" w14:textId="77777777" w:rsidR="00306535" w:rsidRPr="00E94619" w:rsidRDefault="00306535" w:rsidP="000E5AC0">
      <w:pPr>
        <w:spacing w:after="0"/>
        <w:jc w:val="both"/>
        <w:rPr>
          <w:rFonts w:ascii="Century Gothic" w:hAnsi="Century Gothic"/>
          <w:color w:val="000000"/>
        </w:rPr>
      </w:pPr>
      <w:r w:rsidRPr="00E94619">
        <w:rPr>
          <w:rFonts w:ascii="Century Gothic" w:hAnsi="Century Gothic"/>
          <w:color w:val="000000"/>
        </w:rPr>
        <w:t xml:space="preserve">En 2018 se llevó a cabo la encuesta de acceso, uso y apropiación de las TIC por parte de las mujeres en Colombia </w:t>
      </w:r>
      <w:r w:rsidRPr="00E94619">
        <w:rPr>
          <w:rFonts w:ascii="Century Gothic" w:hAnsi="Century Gothic"/>
          <w:noProof/>
          <w:color w:val="000000"/>
          <w:lang w:val="es-ES"/>
        </w:rPr>
        <w:t>(MinTIC, 2018)</w:t>
      </w:r>
      <w:r w:rsidRPr="00E94619">
        <w:rPr>
          <w:rFonts w:ascii="Century Gothic" w:hAnsi="Century Gothic"/>
          <w:color w:val="000000"/>
        </w:rPr>
        <w:t>, la cual arrojó importantes hallazgos. Dentro de los datos, se destaca que el 90% de las mujeres tiene un celular propio, el 72% tienen un celular inteligente y el 58% tiene un computador de escritorio o portátil. La Encuesta también demuestra que 7 de cada 1.000 mujeres ya empiezan a participar en el desarrollo de tecnologías porque manifiestan que han creado aplicaciones, software, películas o videojuegos.  En cuanto a imaginario sociales por p</w:t>
      </w:r>
      <w:r w:rsidR="00CA3AAF" w:rsidRPr="00E94619">
        <w:rPr>
          <w:rFonts w:ascii="Century Gothic" w:hAnsi="Century Gothic"/>
          <w:color w:val="000000"/>
        </w:rPr>
        <w:t>a</w:t>
      </w:r>
      <w:r w:rsidRPr="00E94619">
        <w:rPr>
          <w:rFonts w:ascii="Century Gothic" w:hAnsi="Century Gothic"/>
          <w:color w:val="000000"/>
        </w:rPr>
        <w:t xml:space="preserve">rte de las mujeres frente al uso de las TIC, se destacó que </w:t>
      </w:r>
      <w:r w:rsidR="00CA3AAF" w:rsidRPr="00E94619">
        <w:rPr>
          <w:rFonts w:ascii="Century Gothic" w:hAnsi="Century Gothic"/>
          <w:color w:val="000000"/>
        </w:rPr>
        <w:t>e</w:t>
      </w:r>
      <w:r w:rsidRPr="00E94619">
        <w:rPr>
          <w:rFonts w:ascii="Century Gothic" w:hAnsi="Century Gothic"/>
          <w:color w:val="000000"/>
        </w:rPr>
        <w:t>l  76% de las mujeres está de acuerdo con que las personas jóvenes aprenden más fácil a usar las tecnologías, mientras que a las personas de mayor edad les cuesta más trabajo y aprenden más lento. El 19% está de acuerdo con que los hombres tienen más habilidades para la tecnología que las mujeres y que las mujeres expertas en el manejo de los equipos tecnológicos parecen poco interesadas en verse muy femeninas y en su apariencia física.</w:t>
      </w:r>
    </w:p>
    <w:p w14:paraId="50367EDD" w14:textId="77777777" w:rsidR="00306535" w:rsidRDefault="00306535" w:rsidP="000E5AC0">
      <w:pPr>
        <w:spacing w:before="20" w:after="20"/>
        <w:jc w:val="both"/>
        <w:rPr>
          <w:rFonts w:ascii="Century Gothic" w:hAnsi="Century Gothic"/>
        </w:rPr>
      </w:pPr>
    </w:p>
    <w:p w14:paraId="033D4A3C" w14:textId="77777777" w:rsidR="00646447" w:rsidRPr="00E94619" w:rsidRDefault="00646447" w:rsidP="000E5AC0">
      <w:pPr>
        <w:spacing w:before="20" w:after="20"/>
        <w:jc w:val="both"/>
        <w:rPr>
          <w:rFonts w:ascii="Century Gothic" w:hAnsi="Century Gothic"/>
        </w:rPr>
      </w:pPr>
    </w:p>
    <w:p w14:paraId="05A5B87E" w14:textId="2C631244" w:rsidR="00490F50" w:rsidRDefault="00306535" w:rsidP="000E5AC0">
      <w:pPr>
        <w:spacing w:before="20" w:after="20"/>
        <w:jc w:val="both"/>
        <w:rPr>
          <w:rFonts w:ascii="Century Gothic" w:hAnsi="Century Gothic"/>
          <w:b/>
          <w:color w:val="000000"/>
        </w:rPr>
      </w:pPr>
      <w:r w:rsidRPr="00E94619">
        <w:rPr>
          <w:rFonts w:ascii="Century Gothic" w:hAnsi="Century Gothic"/>
          <w:b/>
        </w:rPr>
        <w:t xml:space="preserve">Avances y retos para garantizar el </w:t>
      </w:r>
      <w:r w:rsidRPr="00E94619">
        <w:rPr>
          <w:rFonts w:ascii="Century Gothic" w:hAnsi="Century Gothic"/>
          <w:b/>
          <w:color w:val="000000"/>
        </w:rPr>
        <w:t>acceso de las mujeres y las niñas a la educación</w:t>
      </w:r>
    </w:p>
    <w:p w14:paraId="1BD14916" w14:textId="77777777" w:rsidR="00683C35" w:rsidRPr="00E94619" w:rsidRDefault="00683C35" w:rsidP="000E5AC0">
      <w:pPr>
        <w:spacing w:before="20" w:after="20"/>
        <w:jc w:val="both"/>
        <w:rPr>
          <w:rFonts w:ascii="Century Gothic" w:hAnsi="Century Gothic"/>
          <w:b/>
          <w:color w:val="000000"/>
        </w:rPr>
      </w:pPr>
    </w:p>
    <w:tbl>
      <w:tblPr>
        <w:tblStyle w:val="afffff3"/>
        <w:tblW w:w="9046"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3517"/>
        <w:gridCol w:w="2694"/>
        <w:gridCol w:w="2835"/>
      </w:tblGrid>
      <w:tr w:rsidR="00306535" w:rsidRPr="00E94619" w14:paraId="2EB59F2A" w14:textId="77777777" w:rsidTr="00683C35">
        <w:tc>
          <w:tcPr>
            <w:tcW w:w="3517" w:type="dxa"/>
            <w:shd w:val="clear" w:color="auto" w:fill="FF99CC"/>
          </w:tcPr>
          <w:p w14:paraId="03D13568" w14:textId="101A208E" w:rsidR="00306535" w:rsidRPr="00E94619" w:rsidRDefault="00306535" w:rsidP="000E5AC0">
            <w:pPr>
              <w:spacing w:after="0"/>
              <w:rPr>
                <w:rFonts w:ascii="Century Gothic" w:hAnsi="Century Gothic"/>
                <w:b/>
                <w:sz w:val="16"/>
                <w:szCs w:val="16"/>
              </w:rPr>
            </w:pPr>
            <w:r w:rsidRPr="00E94619">
              <w:rPr>
                <w:rFonts w:ascii="Century Gothic" w:hAnsi="Century Gothic"/>
                <w:b/>
                <w:sz w:val="16"/>
                <w:szCs w:val="16"/>
              </w:rPr>
              <w:lastRenderedPageBreak/>
              <w:t>Avances del Estado</w:t>
            </w:r>
          </w:p>
        </w:tc>
        <w:tc>
          <w:tcPr>
            <w:tcW w:w="2694" w:type="dxa"/>
            <w:shd w:val="clear" w:color="auto" w:fill="FF99CC"/>
          </w:tcPr>
          <w:p w14:paraId="0BFA8B4F" w14:textId="77777777" w:rsidR="00306535" w:rsidRPr="00E94619" w:rsidRDefault="00306535" w:rsidP="000E5AC0">
            <w:pPr>
              <w:spacing w:after="0"/>
              <w:rPr>
                <w:rFonts w:ascii="Century Gothic" w:hAnsi="Century Gothic"/>
                <w:b/>
                <w:sz w:val="16"/>
                <w:szCs w:val="16"/>
              </w:rPr>
            </w:pPr>
            <w:r w:rsidRPr="00E94619">
              <w:rPr>
                <w:rFonts w:ascii="Century Gothic" w:hAnsi="Century Gothic"/>
                <w:b/>
                <w:sz w:val="16"/>
                <w:szCs w:val="16"/>
              </w:rPr>
              <w:t>Respuesta de la sociedad civil</w:t>
            </w:r>
          </w:p>
        </w:tc>
        <w:tc>
          <w:tcPr>
            <w:tcW w:w="2835" w:type="dxa"/>
            <w:shd w:val="clear" w:color="auto" w:fill="FF99CC"/>
          </w:tcPr>
          <w:p w14:paraId="25BF15D7" w14:textId="77777777" w:rsidR="00306535" w:rsidRPr="00E94619" w:rsidRDefault="00306535" w:rsidP="000E5AC0">
            <w:pPr>
              <w:spacing w:after="0"/>
              <w:rPr>
                <w:rFonts w:ascii="Century Gothic" w:hAnsi="Century Gothic"/>
                <w:b/>
                <w:sz w:val="16"/>
                <w:szCs w:val="16"/>
              </w:rPr>
            </w:pPr>
            <w:r w:rsidRPr="00E94619">
              <w:rPr>
                <w:rFonts w:ascii="Century Gothic" w:hAnsi="Century Gothic"/>
                <w:b/>
                <w:sz w:val="16"/>
                <w:szCs w:val="16"/>
              </w:rPr>
              <w:t>Retos</w:t>
            </w:r>
          </w:p>
        </w:tc>
      </w:tr>
      <w:tr w:rsidR="00306535" w:rsidRPr="00E94619" w14:paraId="293C90ED" w14:textId="77777777" w:rsidTr="00683C35">
        <w:tc>
          <w:tcPr>
            <w:tcW w:w="3517" w:type="dxa"/>
          </w:tcPr>
          <w:p w14:paraId="08A7E1BB" w14:textId="555F9BF6" w:rsidR="00306535" w:rsidRPr="00E94619" w:rsidRDefault="00BD41A8" w:rsidP="000E5AC0">
            <w:pPr>
              <w:pBdr>
                <w:top w:val="nil"/>
                <w:left w:val="nil"/>
                <w:bottom w:val="nil"/>
                <w:right w:val="nil"/>
                <w:between w:val="nil"/>
              </w:pBdr>
              <w:spacing w:after="0" w:line="240" w:lineRule="auto"/>
              <w:jc w:val="both"/>
              <w:rPr>
                <w:rFonts w:ascii="Century Gothic" w:hAnsi="Century Gothic"/>
                <w:color w:val="000000"/>
                <w:sz w:val="16"/>
                <w:szCs w:val="16"/>
              </w:rPr>
            </w:pPr>
            <w:r>
              <w:rPr>
                <w:rFonts w:ascii="Century Gothic" w:hAnsi="Century Gothic"/>
                <w:b/>
                <w:noProof/>
                <w:szCs w:val="24"/>
                <w:lang w:val="es-ES"/>
              </w:rPr>
              <w:drawing>
                <wp:anchor distT="0" distB="0" distL="114300" distR="114300" simplePos="0" relativeHeight="251900928" behindDoc="0" locked="0" layoutInCell="1" allowOverlap="1" wp14:anchorId="5F6BB827" wp14:editId="67F38558">
                  <wp:simplePos x="0" y="0"/>
                  <wp:positionH relativeFrom="column">
                    <wp:posOffset>-1028700</wp:posOffset>
                  </wp:positionH>
                  <wp:positionV relativeFrom="paragraph">
                    <wp:posOffset>-982980</wp:posOffset>
                  </wp:positionV>
                  <wp:extent cx="965835" cy="708660"/>
                  <wp:effectExtent l="0" t="0" r="0" b="0"/>
                  <wp:wrapNone/>
                  <wp:docPr id="420" name="Imagen 42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06535" w:rsidRPr="00E94619">
              <w:rPr>
                <w:rFonts w:ascii="Century Gothic" w:hAnsi="Century Gothic"/>
                <w:color w:val="000000"/>
                <w:sz w:val="16"/>
                <w:szCs w:val="16"/>
              </w:rPr>
              <w:t xml:space="preserve">-El país avanzó en el acceso de las mujeres a la educación. Hoy son más las mujeres que asisten a la escuela primaria, secundaria y superior. </w:t>
            </w:r>
          </w:p>
          <w:p w14:paraId="2B8B83C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-Plan Nacional de desarrollo 2014-2018, todos por un nuevo país: entre sus pilares están la equidad y la educación. </w:t>
            </w:r>
          </w:p>
          <w:p w14:paraId="224A14C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-De cero a siempre: establece la garantía del primer ciclo del sistema educativo de los 0 a los 5 años. </w:t>
            </w:r>
          </w:p>
          <w:p w14:paraId="0F0CAAD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-Lineamientos de política Pública Nacional de Equidad de Género para las Mujeres 2012: incluye en su estrategia las garantías a las mujeres del derecho a la educación con enfoque diferencial y el acceso de las mujeres a las Tecnologías de la Información y las Comunicaciones. </w:t>
            </w:r>
          </w:p>
          <w:p w14:paraId="740357B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-Programa Familias en acción: el programa incluye subsidio de educación. </w:t>
            </w:r>
          </w:p>
          <w:p w14:paraId="3F49F91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1257 de 2008: se estipula que el Ministerio de Educación tendrá como funciones “velar para que las instituciones educativas incorporen la formación en el respeto de los derechos, libertades, autonomía e igualdad entre hombres y mujeres como parte de la cátedra en Derechos Humanos”.</w:t>
            </w:r>
          </w:p>
          <w:p w14:paraId="13E635A3"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-Auto 092 de 2008: ordena crear el Programa de Apoyo Educativo para las Mujeres Desplazadas Mayores de 15 años.</w:t>
            </w:r>
          </w:p>
          <w:p w14:paraId="01A463D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823 de 2003: se dictan normas sobre igualdad de oportunidades para las mujeres en el sector educativo.</w:t>
            </w:r>
          </w:p>
          <w:p w14:paraId="1A97F13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-Ley 115 de 1994: Ley General de Educación. Consagra el principio de respeto a la equidad como fin de la educación, al igual que sanciona el acoso sexual de los docentes a sus alumnas e alumnos. </w:t>
            </w:r>
          </w:p>
          <w:p w14:paraId="520DECAD"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Alfabetismo</w:t>
            </w:r>
          </w:p>
          <w:p w14:paraId="7B3D8D7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-Programa Nacional de Alfabetización (2009)</w:t>
            </w:r>
          </w:p>
          <w:p w14:paraId="0367E918"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Básica y media</w:t>
            </w:r>
          </w:p>
          <w:p w14:paraId="4465E44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-Ministerio de educación Nacional cuenta con programas para cobertura.</w:t>
            </w:r>
          </w:p>
          <w:p w14:paraId="13F47315"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-Ministerio de educación Nacional cuenta con programas para calidad:</w:t>
            </w:r>
          </w:p>
          <w:p w14:paraId="23EFB1F1"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3D8A1EB4"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Superior</w:t>
            </w:r>
          </w:p>
          <w:p w14:paraId="76C8A30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-Ley 1084 de 2006: por medio de la cual el estado fortalece la educación superior en zonas apartadas y difíciles. </w:t>
            </w:r>
          </w:p>
          <w:p w14:paraId="0A240464"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para el trabajo</w:t>
            </w:r>
          </w:p>
          <w:p w14:paraId="22C91BB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1064 de 2006: fortalecimiento de la educación para el trabajo</w:t>
            </w:r>
          </w:p>
          <w:p w14:paraId="1838F57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Acceso a la recreación y el deporte </w:t>
            </w:r>
          </w:p>
          <w:p w14:paraId="5C2E136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-Ley 181 de 1995: consagra el principio de democratización sin discriminación, del deporte, la recreación y el aprovechamiento del tiempo libre. </w:t>
            </w:r>
          </w:p>
          <w:p w14:paraId="6EAC08B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58D79006"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Diversidad sexual</w:t>
            </w:r>
          </w:p>
          <w:p w14:paraId="60BD28E5" w14:textId="36BB0C8D"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-Sentencia T-478 de 2015: sobre la protección de los derechos fundamentales de un estudiante a la intimidad y al buen nombre, a la igualdad y no discriminación, al libre desarrollo de la personalidad, a la educación y al debido proceso.</w:t>
            </w:r>
          </w:p>
          <w:p w14:paraId="53D6B68D" w14:textId="7C0EB38D" w:rsidR="00306535" w:rsidRPr="00E94619" w:rsidRDefault="00BD41A8" w:rsidP="000E5AC0">
            <w:pPr>
              <w:pBdr>
                <w:top w:val="nil"/>
                <w:left w:val="nil"/>
                <w:bottom w:val="nil"/>
                <w:right w:val="nil"/>
                <w:between w:val="nil"/>
              </w:pBdr>
              <w:spacing w:after="0" w:line="240" w:lineRule="auto"/>
              <w:jc w:val="both"/>
              <w:rPr>
                <w:rFonts w:ascii="Century Gothic" w:hAnsi="Century Gothic"/>
                <w:color w:val="000000"/>
                <w:sz w:val="16"/>
                <w:szCs w:val="16"/>
              </w:rPr>
            </w:pPr>
            <w:r>
              <w:rPr>
                <w:rFonts w:ascii="Century Gothic" w:hAnsi="Century Gothic"/>
                <w:b/>
                <w:noProof/>
                <w:szCs w:val="24"/>
                <w:lang w:val="es-ES"/>
              </w:rPr>
              <w:lastRenderedPageBreak/>
              <w:drawing>
                <wp:anchor distT="0" distB="0" distL="114300" distR="114300" simplePos="0" relativeHeight="251898880" behindDoc="0" locked="0" layoutInCell="1" allowOverlap="1" wp14:anchorId="58748BD6" wp14:editId="6C2FF650">
                  <wp:simplePos x="0" y="0"/>
                  <wp:positionH relativeFrom="column">
                    <wp:posOffset>-1142365</wp:posOffset>
                  </wp:positionH>
                  <wp:positionV relativeFrom="paragraph">
                    <wp:posOffset>-912495</wp:posOffset>
                  </wp:positionV>
                  <wp:extent cx="965835" cy="708660"/>
                  <wp:effectExtent l="0" t="0" r="0" b="0"/>
                  <wp:wrapNone/>
                  <wp:docPr id="419" name="Imagen 41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06535" w:rsidRPr="00E94619">
              <w:rPr>
                <w:rFonts w:ascii="Century Gothic" w:hAnsi="Century Gothic"/>
                <w:color w:val="000000"/>
                <w:sz w:val="16"/>
                <w:szCs w:val="16"/>
              </w:rPr>
              <w:t xml:space="preserve">-Plan de desarrollo 2014-2018: estipula la definición e implementación de una política LGBTI, la cual debe tener como propósito contribuir a la superación de la exclusión económica, social, política y cultural de las personas LGBTI en Colombia. </w:t>
            </w:r>
          </w:p>
          <w:p w14:paraId="6F26257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-Plan Nacional Decenal de educación: incorporar personal idóneo para apoyar el trabajo de educación para la sexualidad, que oriente la formulación de proyectos encaminados al ejercicio respetuoso de las diferencias. </w:t>
            </w:r>
          </w:p>
          <w:p w14:paraId="25797705"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3FD7B44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Etnoedudación </w:t>
            </w:r>
          </w:p>
          <w:p w14:paraId="512C3A92"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-Programa Nacional de Etnoeducación.</w:t>
            </w:r>
          </w:p>
          <w:p w14:paraId="28CFDC04"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-Constitución de 1991: los grupos étnicos tendrán derecho a una formación que respete y desarrolle su identidad cultural (Artículo 68). </w:t>
            </w:r>
          </w:p>
          <w:p w14:paraId="49384B4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70 de 1993: "el Estado colombiano reconoce y garantiza a las comunidades negras el derecho a un proceso educativo acorde con sus necesidades y aspiraciones etnoculturales. (Artículo 32).</w:t>
            </w:r>
          </w:p>
        </w:tc>
        <w:tc>
          <w:tcPr>
            <w:tcW w:w="2694" w:type="dxa"/>
          </w:tcPr>
          <w:p w14:paraId="0FAD1474"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lastRenderedPageBreak/>
              <w:t>-UNICEF: Revisión de la estrategia de Género con el objetivo de equilibrar el ámbito de actuación de las niñas y las mujeres asegurándose de que todos, niños y niñas, tengan las mismas oportunidades para desarrollar sus talentos.</w:t>
            </w:r>
          </w:p>
          <w:p w14:paraId="7DF64CF3"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-UNFPA: cooperación en temas de educación para la sexualidad, la construcción ciudadana y los derechos humanos.</w:t>
            </w:r>
          </w:p>
          <w:p w14:paraId="6CF309ED"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-UNESCO: apoyo técnico a la ejecución de proyectos educativos. Cuenta con observatorio y sistemas de información desagregados por sexo.</w:t>
            </w:r>
          </w:p>
          <w:p w14:paraId="42D0A87B"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-OIM: ampliación y el mejoramiento de la prestación del servicio educativo para la población infantil y juvenil en situación de desplazamiento por el conflicto armado.</w:t>
            </w:r>
          </w:p>
          <w:p w14:paraId="59DC595D"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 xml:space="preserve">-OEI Organización de Estados Iberoamericanos: Alfabetización y educación básica para </w:t>
            </w:r>
            <w:r w:rsidRPr="00E94619">
              <w:rPr>
                <w:rFonts w:ascii="Century Gothic" w:hAnsi="Century Gothic"/>
                <w:b/>
                <w:sz w:val="16"/>
                <w:szCs w:val="16"/>
              </w:rPr>
              <w:t>mujeres</w:t>
            </w:r>
            <w:r w:rsidRPr="00E94619">
              <w:rPr>
                <w:rFonts w:ascii="Century Gothic" w:hAnsi="Century Gothic"/>
                <w:sz w:val="16"/>
                <w:szCs w:val="16"/>
              </w:rPr>
              <w:t xml:space="preserve"> desplazadas iletradas en Nariño, Cauca, Córdoba. </w:t>
            </w:r>
          </w:p>
          <w:p w14:paraId="755D2717" w14:textId="77777777" w:rsidR="00306535" w:rsidRPr="00E94619" w:rsidRDefault="00306535" w:rsidP="000E5AC0">
            <w:pPr>
              <w:spacing w:after="0"/>
              <w:jc w:val="both"/>
              <w:rPr>
                <w:rFonts w:ascii="Century Gothic" w:hAnsi="Century Gothic"/>
                <w:sz w:val="16"/>
                <w:szCs w:val="16"/>
              </w:rPr>
            </w:pPr>
          </w:p>
          <w:p w14:paraId="11B18330"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 xml:space="preserve">-Save the Children: Trabaja para que niños-as excluidos accedan a educación de calidad. Promueven la integración de la equidad de </w:t>
            </w:r>
            <w:r w:rsidRPr="00E94619">
              <w:rPr>
                <w:rFonts w:ascii="Century Gothic" w:hAnsi="Century Gothic"/>
                <w:b/>
                <w:sz w:val="16"/>
                <w:szCs w:val="16"/>
              </w:rPr>
              <w:t>género</w:t>
            </w:r>
            <w:r w:rsidRPr="00E94619">
              <w:rPr>
                <w:rFonts w:ascii="Century Gothic" w:hAnsi="Century Gothic"/>
                <w:sz w:val="16"/>
                <w:szCs w:val="16"/>
              </w:rPr>
              <w:t xml:space="preserve"> en los ámbitos de trabajo con estudiantes, docentes, rectores, funcionarios, padres y comunidades. </w:t>
            </w:r>
          </w:p>
          <w:p w14:paraId="62027638" w14:textId="77777777" w:rsidR="00306535" w:rsidRPr="00E94619" w:rsidRDefault="00306535" w:rsidP="000E5AC0">
            <w:pPr>
              <w:spacing w:after="0"/>
              <w:jc w:val="both"/>
              <w:rPr>
                <w:rFonts w:ascii="Century Gothic" w:hAnsi="Century Gothic"/>
                <w:sz w:val="16"/>
                <w:szCs w:val="16"/>
              </w:rPr>
            </w:pPr>
            <w:r w:rsidRPr="00E94619">
              <w:rPr>
                <w:rFonts w:ascii="Century Gothic" w:hAnsi="Century Gothic"/>
                <w:sz w:val="16"/>
                <w:szCs w:val="16"/>
              </w:rPr>
              <w:t>-Colombia Diversa: promueve y defiende los derechos humanos y legales de las personas LGBT en Colombia, incluyendo los del ámbito educativo.</w:t>
            </w:r>
          </w:p>
        </w:tc>
        <w:tc>
          <w:tcPr>
            <w:tcW w:w="2835" w:type="dxa"/>
          </w:tcPr>
          <w:p w14:paraId="137E1B83"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-Incluir criterios de igualdad de género en la educación en Colombia, que permitan que las niñas y mujeres desarrollen sus habilidades y potencialidades libres de estereotipos que limitan sus áreas de estudio y oportunidades.</w:t>
            </w:r>
          </w:p>
          <w:p w14:paraId="67F229E8"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-Eliminar la discriminación hacia estudiantes LGBT en el sistema educativo.</w:t>
            </w:r>
          </w:p>
          <w:p w14:paraId="503EA7C2"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-Creación de fondos de becas y subsidios departamentales y municipales para población de escasos recursos económicos y pertenecientes a grupos étnicos indígenas, afro descendientes, raizales y rom. También en zonas caracterizadas por la presencia de conflicto armado.  </w:t>
            </w:r>
          </w:p>
          <w:p w14:paraId="0EB6AEB2"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la calidad de la educación.</w:t>
            </w:r>
          </w:p>
          <w:p w14:paraId="1158A7C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1128365D"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b/>
                <w:color w:val="000000"/>
                <w:sz w:val="16"/>
                <w:szCs w:val="16"/>
              </w:rPr>
              <w:t>Según la Organización para la Cooperación y el Desarrollo Económicos OCDE (2016).</w:t>
            </w:r>
            <w:r w:rsidRPr="00E94619">
              <w:rPr>
                <w:rFonts w:ascii="Century Gothic" w:hAnsi="Century Gothic"/>
                <w:color w:val="000000"/>
                <w:sz w:val="16"/>
                <w:szCs w:val="16"/>
              </w:rPr>
              <w:t xml:space="preserve"> </w:t>
            </w:r>
          </w:p>
          <w:p w14:paraId="4EBA3772"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-Garantizar el acceso universal a la educación. </w:t>
            </w:r>
          </w:p>
          <w:p w14:paraId="58EDE9F4"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-Garantizar el transporte y alimentación de los-as alumnos de bajos recursos. </w:t>
            </w:r>
          </w:p>
          <w:p w14:paraId="3A3511C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-Reducir las marcadas desigualdades geográficas y socioeconómicas en el sistema educativo. </w:t>
            </w:r>
          </w:p>
          <w:p w14:paraId="20F8CF5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-Fortalecer el Programa de Etnoeducación. </w:t>
            </w:r>
          </w:p>
          <w:p w14:paraId="0437561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-Mejorar la calidad de los docentes de las instituciones de zonas rurales y de estratos socioeconómicos bajos. </w:t>
            </w:r>
          </w:p>
          <w:p w14:paraId="59ED574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-Fortalecer el sistema de seguimiento y evaluación de la calidad de la educación a nivel nacional. </w:t>
            </w:r>
          </w:p>
          <w:p w14:paraId="013A838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-Mejorar la capacidad para recopilar y usar datos para documentar las políticas y programas de educación. </w:t>
            </w:r>
          </w:p>
          <w:p w14:paraId="3CD5B7F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Básica</w:t>
            </w:r>
          </w:p>
          <w:p w14:paraId="6DFFC00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-Aumentar la jornada para los estudiantes menos favorecidos.</w:t>
            </w:r>
          </w:p>
          <w:p w14:paraId="07776394"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Media</w:t>
            </w:r>
          </w:p>
          <w:p w14:paraId="0A33E8B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-Programas focalizados de nivelación para los estudiantes menos favorecidos.</w:t>
            </w:r>
          </w:p>
          <w:p w14:paraId="0473F7B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-Fortalecer los sistemas de información de educación superior y del mercado laboral.</w:t>
            </w:r>
          </w:p>
          <w:p w14:paraId="6FF41B7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Programas para eliminar las barreras para la finalización de la educación media: apoyo económico, psicológico y vocacional. </w:t>
            </w:r>
          </w:p>
          <w:p w14:paraId="02CFD16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-Prevenir el embarazo adolescente.</w:t>
            </w:r>
          </w:p>
          <w:p w14:paraId="79A1E07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Formación Técnica: </w:t>
            </w:r>
          </w:p>
          <w:p w14:paraId="522E2DD2"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color w:val="000000"/>
                <w:sz w:val="16"/>
                <w:szCs w:val="16"/>
              </w:rPr>
              <w:t xml:space="preserve">proporcionar oferta de educación de calidad y </w:t>
            </w:r>
            <w:r w:rsidRPr="00E94619">
              <w:rPr>
                <w:rFonts w:ascii="Century Gothic" w:hAnsi="Century Gothic"/>
                <w:color w:val="000000"/>
                <w:sz w:val="16"/>
                <w:szCs w:val="16"/>
              </w:rPr>
              <w:lastRenderedPageBreak/>
              <w:t>estimular a las mujeres a ingresar a áreas históricamente masculinas.</w:t>
            </w:r>
            <w:r w:rsidRPr="00E94619">
              <w:rPr>
                <w:rFonts w:ascii="Century Gothic" w:hAnsi="Century Gothic"/>
                <w:b/>
                <w:color w:val="000000"/>
                <w:sz w:val="16"/>
                <w:szCs w:val="16"/>
              </w:rPr>
              <w:t xml:space="preserve"> </w:t>
            </w:r>
          </w:p>
          <w:p w14:paraId="50A0BF5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Educación Superior</w:t>
            </w:r>
          </w:p>
          <w:p w14:paraId="41D9FFB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-Mayor orientación a los estudiantes sobre programas e instituciones disponibles, el proceso de solicitud de cupos, las opciones de financiación y los posibles resultados en el mercado laboral. </w:t>
            </w:r>
          </w:p>
          <w:p w14:paraId="6334F543"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que las mujeres accedan a carreras que siguen caracterizándose por ser masculinas (ingenierías, tecnología).</w:t>
            </w:r>
          </w:p>
          <w:p w14:paraId="01B1F1F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Investigación: </w:t>
            </w:r>
          </w:p>
          <w:p w14:paraId="229D7145"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los doctorados para mujeres en ciencias, tecnología e ingeniería.</w:t>
            </w:r>
          </w:p>
          <w:p w14:paraId="0D0F2F4D"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-Promover la participación de las mujeres en investigaciones relacionadas con ciencia, tecnología e ingeniería. </w:t>
            </w:r>
          </w:p>
          <w:p w14:paraId="1A964F2D"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-Promover el liderazgo de las mujeres en los grupos de investigación. </w:t>
            </w:r>
          </w:p>
          <w:p w14:paraId="13683FA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Recreación y deporte</w:t>
            </w:r>
          </w:p>
          <w:p w14:paraId="215E960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la participación de las mujeres en el ámbito de la recreación y deporte.</w:t>
            </w:r>
          </w:p>
          <w:p w14:paraId="44AE5266"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p>
          <w:p w14:paraId="6E9BF44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6FF8720F" w14:textId="77777777" w:rsidR="00306535" w:rsidRPr="00E94619" w:rsidRDefault="00306535" w:rsidP="000E5AC0">
            <w:pPr>
              <w:spacing w:after="0"/>
              <w:jc w:val="both"/>
              <w:rPr>
                <w:rFonts w:ascii="Century Gothic" w:hAnsi="Century Gothic"/>
                <w:sz w:val="16"/>
                <w:szCs w:val="16"/>
              </w:rPr>
            </w:pPr>
          </w:p>
        </w:tc>
      </w:tr>
    </w:tbl>
    <w:p w14:paraId="1390A818" w14:textId="77777777" w:rsidR="00306535" w:rsidRPr="00E94619" w:rsidRDefault="00306535" w:rsidP="000E5AC0">
      <w:pPr>
        <w:jc w:val="both"/>
        <w:rPr>
          <w:rFonts w:ascii="Century Gothic" w:hAnsi="Century Gothic"/>
        </w:rPr>
      </w:pPr>
    </w:p>
    <w:bookmarkStart w:id="96" w:name="_Toc488624311"/>
    <w:p w14:paraId="5F730AD7" w14:textId="4CEA7B1F" w:rsidR="00306535" w:rsidRPr="00683C35" w:rsidRDefault="00830DBC" w:rsidP="00683C35">
      <w:pPr>
        <w:pStyle w:val="Ttulo2"/>
        <w:rPr>
          <w:rFonts w:ascii="Century Gothic" w:hAnsi="Century Gothic"/>
          <w:color w:val="CC3366"/>
        </w:rPr>
      </w:pPr>
      <w:sdt>
        <w:sdtPr>
          <w:rPr>
            <w:rFonts w:ascii="Century Gothic" w:hAnsi="Century Gothic"/>
          </w:rPr>
          <w:tag w:val="goog_rdk_88"/>
          <w:id w:val="-1943994647"/>
        </w:sdtPr>
        <w:sdtContent/>
      </w:sdt>
      <w:r w:rsidR="00306535" w:rsidRPr="00683C35">
        <w:rPr>
          <w:rFonts w:ascii="Century Gothic" w:hAnsi="Century Gothic"/>
          <w:color w:val="CC3366"/>
        </w:rPr>
        <w:t>2. A</w:t>
      </w:r>
      <w:r w:rsidR="00683C35" w:rsidRPr="00683C35">
        <w:rPr>
          <w:rFonts w:ascii="Century Gothic" w:hAnsi="Century Gothic"/>
          <w:color w:val="CC3366"/>
        </w:rPr>
        <w:t>cceso de las mujeres a la generación de ingresos</w:t>
      </w:r>
      <w:bookmarkEnd w:id="96"/>
      <w:r w:rsidR="00683C35" w:rsidRPr="00683C35">
        <w:rPr>
          <w:rFonts w:ascii="Century Gothic" w:hAnsi="Century Gothic"/>
          <w:color w:val="CC3366"/>
        </w:rPr>
        <w:t xml:space="preserve"> </w:t>
      </w:r>
    </w:p>
    <w:p w14:paraId="5A823152" w14:textId="77777777" w:rsidR="00683C35" w:rsidRPr="00683C35" w:rsidRDefault="00683C35" w:rsidP="00683C35"/>
    <w:p w14:paraId="5B73B178" w14:textId="77777777" w:rsidR="00306535" w:rsidRPr="00E94619" w:rsidRDefault="00306535" w:rsidP="000E5AC0">
      <w:pPr>
        <w:spacing w:after="0" w:line="240" w:lineRule="auto"/>
        <w:jc w:val="both"/>
        <w:rPr>
          <w:rFonts w:ascii="Century Gothic" w:hAnsi="Century Gothic"/>
          <w:b/>
        </w:rPr>
      </w:pPr>
      <w:r w:rsidRPr="00E94619">
        <w:rPr>
          <w:rFonts w:ascii="Century Gothic" w:hAnsi="Century Gothic"/>
        </w:rPr>
        <w:t xml:space="preserve">En el ámbito laboral se presentan brechas de género, dejando a las mujeres en una situación de desventaja. Lo anterior debido a variables de tipo sociocultural en la que se percibe que las mujeres no deben acceder al mercado laboral o si lo hacen es en empleos menos valorados social y económicamente, y muchas veces en actividades asignadas tradicionalmente al sexo femenino.  De igual forma, muchas mujeres siguen dedicando la mayor parte de su tiempo a actividades domésticas o agrícolas no remuneradas, lo que incrementa sus niveles de dependencia y vulnerabilidad. Aunque Colombia ha avanzado normativamente para reconocer el valor social y económico del trabajo doméstico y mejorar el acceso de las mujeres al trabajo formal, el reto de su implementación sigue estando vigente. </w:t>
      </w:r>
    </w:p>
    <w:p w14:paraId="006C40DC" w14:textId="77777777" w:rsidR="00306535" w:rsidRPr="00E94619" w:rsidRDefault="00306535" w:rsidP="000E5AC0">
      <w:pPr>
        <w:spacing w:after="0" w:line="240" w:lineRule="auto"/>
        <w:rPr>
          <w:rFonts w:ascii="Century Gothic" w:hAnsi="Century Gothic"/>
          <w:b/>
        </w:rPr>
      </w:pPr>
    </w:p>
    <w:p w14:paraId="5400D97D" w14:textId="77777777" w:rsidR="00306535" w:rsidRPr="00683C35" w:rsidRDefault="00306535" w:rsidP="000E5AC0">
      <w:pPr>
        <w:pStyle w:val="Ttulo3"/>
        <w:rPr>
          <w:rFonts w:ascii="Century Gothic" w:hAnsi="Century Gothic"/>
          <w:b w:val="0"/>
          <w:color w:val="CC3366"/>
        </w:rPr>
      </w:pPr>
      <w:bookmarkStart w:id="97" w:name="_Toc488624312"/>
      <w:r w:rsidRPr="00683C35">
        <w:rPr>
          <w:rFonts w:ascii="Century Gothic" w:hAnsi="Century Gothic"/>
          <w:b w:val="0"/>
          <w:color w:val="CC3366"/>
        </w:rPr>
        <w:t>2.1 Participación de las mujeres en los ingresos nacionales de Colombia</w:t>
      </w:r>
      <w:bookmarkEnd w:id="97"/>
    </w:p>
    <w:p w14:paraId="3FA478A3" w14:textId="77777777" w:rsidR="00306535" w:rsidRPr="00E94619" w:rsidRDefault="00306535" w:rsidP="000E5AC0">
      <w:pPr>
        <w:spacing w:after="0" w:line="240" w:lineRule="auto"/>
        <w:rPr>
          <w:rFonts w:ascii="Century Gothic" w:hAnsi="Century Gothic"/>
          <w:b/>
        </w:rPr>
      </w:pPr>
    </w:p>
    <w:p w14:paraId="23B4DD8F" w14:textId="44228B15"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rPr>
      </w:pPr>
      <w:r w:rsidRPr="00E94619">
        <w:rPr>
          <w:rFonts w:ascii="Century Gothic" w:hAnsi="Century Gothic"/>
          <w:color w:val="000000"/>
        </w:rPr>
        <w:t xml:space="preserve">En el informe de 2020 de la Comisión Legal para la Equidad de la Mujer, la Tasa Global de Participación (PEA/PET) para el año 2019 indica una participación del 73,9% de hombres y de un 53,1% de las mujeres, lo cual implica un brecha de 20,8 puntos porcentuales. Así mismo, se señala que El 42,9% de la población económicamente activa son mujeres y que De los 22,3 millones de personas ocupadas, el 41,4% son mujeres. Así mismo, se ha establecido que la diferencia del ingreso promedio de hombres y mujeres es de 12,1%, es decir que por </w:t>
      </w:r>
      <w:r w:rsidRPr="00E94619">
        <w:rPr>
          <w:rFonts w:ascii="Century Gothic" w:hAnsi="Century Gothic"/>
          <w:color w:val="000000"/>
        </w:rPr>
        <w:lastRenderedPageBreak/>
        <w:t xml:space="preserve">cada 100 pesos que gana un hombre, una mujer gana 87,9 pesos. </w:t>
      </w:r>
      <w:r w:rsidRPr="00E94619">
        <w:rPr>
          <w:rFonts w:ascii="Century Gothic" w:hAnsi="Century Gothic"/>
          <w:noProof/>
          <w:color w:val="000000"/>
          <w:lang w:val="es-ES"/>
        </w:rPr>
        <w:t>(DANE, 2020b)</w:t>
      </w:r>
      <w:r w:rsidRPr="00E94619">
        <w:rPr>
          <w:rFonts w:ascii="Century Gothic" w:hAnsi="Century Gothic"/>
          <w:color w:val="000000"/>
        </w:rPr>
        <w:t>.</w:t>
      </w:r>
    </w:p>
    <w:p w14:paraId="6CA47058" w14:textId="49FDAC54" w:rsidR="00306535" w:rsidRPr="00E94619" w:rsidRDefault="00BD41A8" w:rsidP="000E5AC0">
      <w:pPr>
        <w:spacing w:after="0" w:line="240" w:lineRule="auto"/>
        <w:rPr>
          <w:rFonts w:ascii="Century Gothic" w:hAnsi="Century Gothic"/>
          <w:b/>
          <w:sz w:val="24"/>
          <w:szCs w:val="24"/>
        </w:rPr>
      </w:pPr>
      <w:r>
        <w:rPr>
          <w:rFonts w:ascii="Century Gothic" w:hAnsi="Century Gothic"/>
          <w:b/>
          <w:noProof/>
          <w:szCs w:val="24"/>
          <w:lang w:val="es-ES"/>
        </w:rPr>
        <w:drawing>
          <wp:anchor distT="0" distB="0" distL="114300" distR="114300" simplePos="0" relativeHeight="251902976" behindDoc="0" locked="0" layoutInCell="1" allowOverlap="1" wp14:anchorId="766965B1" wp14:editId="705C36FE">
            <wp:simplePos x="0" y="0"/>
            <wp:positionH relativeFrom="column">
              <wp:posOffset>-1143000</wp:posOffset>
            </wp:positionH>
            <wp:positionV relativeFrom="paragraph">
              <wp:posOffset>-1256665</wp:posOffset>
            </wp:positionV>
            <wp:extent cx="965835" cy="708660"/>
            <wp:effectExtent l="0" t="0" r="0" b="0"/>
            <wp:wrapNone/>
            <wp:docPr id="421" name="Imagen 42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7B76BF0D" w14:textId="77777777" w:rsidR="00306535" w:rsidRPr="00683C35" w:rsidRDefault="00306535" w:rsidP="00683C35">
      <w:pPr>
        <w:pStyle w:val="Ttulo3"/>
        <w:jc w:val="both"/>
        <w:rPr>
          <w:rFonts w:ascii="Century Gothic" w:hAnsi="Century Gothic"/>
          <w:b w:val="0"/>
          <w:color w:val="CC3366"/>
        </w:rPr>
      </w:pPr>
      <w:bookmarkStart w:id="98" w:name="_Toc488624313"/>
      <w:r w:rsidRPr="00683C35">
        <w:rPr>
          <w:rFonts w:ascii="Century Gothic" w:hAnsi="Century Gothic"/>
          <w:b w:val="0"/>
          <w:color w:val="CC3366"/>
        </w:rPr>
        <w:t>2.2 Número medio de horas empleadas en trabajos remunerados y no remunerados combinados (carga laboral total) por sexo (ODS 5.42)</w:t>
      </w:r>
      <w:bookmarkEnd w:id="98"/>
      <w:r w:rsidRPr="00683C35">
        <w:rPr>
          <w:rFonts w:ascii="Century Gothic" w:hAnsi="Century Gothic"/>
          <w:b w:val="0"/>
          <w:color w:val="CC3366"/>
        </w:rPr>
        <w:t xml:space="preserve"> </w:t>
      </w:r>
    </w:p>
    <w:p w14:paraId="158C42E5" w14:textId="77777777" w:rsidR="00306535" w:rsidRPr="00E94619" w:rsidRDefault="00306535" w:rsidP="000E5AC0">
      <w:pPr>
        <w:spacing w:after="0" w:line="240" w:lineRule="auto"/>
        <w:rPr>
          <w:rFonts w:ascii="Century Gothic" w:hAnsi="Century Gothic"/>
          <w:b/>
        </w:rPr>
      </w:pPr>
    </w:p>
    <w:p w14:paraId="40EF17B2"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rPr>
        <w:t xml:space="preserve">La carga total de trabajo de las mujeres, de acuerdo de trabajo de las mujeres es de 14 horas con 49 minutos diarios, de las cuales destinan el 49% al trabajo no remunerado, que incluye el trabajo doméstico y de cuidados. Los hombres presentan un carga toral de trabajo de 12 horas con 39 minutos, destinando solo el 27% al trabajo no remunerado, el cual incluye el trabajo doméstico y de cuidados. La carga total de trabajo  de las mujeres es mayor que la de los hombres. Además, la mayor parte de ese trabajo es no remunerado, lo que restringe su autonomía económica. Las mujeres trabajan en promedio 2 horas con 10 minutos mas que los hombres al día </w:t>
      </w:r>
      <w:r w:rsidRPr="00E94619">
        <w:rPr>
          <w:rFonts w:ascii="Century Gothic" w:hAnsi="Century Gothic"/>
          <w:noProof/>
          <w:lang w:val="es-ES"/>
        </w:rPr>
        <w:t>(DANE, 2017)</w:t>
      </w:r>
    </w:p>
    <w:p w14:paraId="2F6CCC99" w14:textId="77777777" w:rsidR="00306535" w:rsidRPr="00E94619" w:rsidRDefault="00306535" w:rsidP="000E5AC0">
      <w:pPr>
        <w:spacing w:after="0" w:line="240" w:lineRule="auto"/>
        <w:rPr>
          <w:rFonts w:ascii="Century Gothic" w:hAnsi="Century Gothic"/>
          <w:b/>
          <w:sz w:val="24"/>
          <w:szCs w:val="24"/>
        </w:rPr>
      </w:pPr>
    </w:p>
    <w:p w14:paraId="7BF1E79D" w14:textId="5A97D7EC" w:rsidR="00306535" w:rsidRPr="00683C35" w:rsidRDefault="00306535" w:rsidP="000E5AC0">
      <w:pPr>
        <w:pStyle w:val="Ttulo3"/>
        <w:rPr>
          <w:rFonts w:ascii="Century Gothic" w:hAnsi="Century Gothic"/>
          <w:b w:val="0"/>
          <w:color w:val="CC3366"/>
        </w:rPr>
      </w:pPr>
      <w:bookmarkStart w:id="99" w:name="_Toc488624314"/>
      <w:r w:rsidRPr="00683C35">
        <w:rPr>
          <w:rFonts w:ascii="Century Gothic" w:hAnsi="Century Gothic"/>
          <w:b w:val="0"/>
          <w:color w:val="CC3366"/>
        </w:rPr>
        <w:t>2.3</w:t>
      </w:r>
      <w:r w:rsidR="00683C35">
        <w:rPr>
          <w:rFonts w:ascii="Century Gothic" w:hAnsi="Century Gothic"/>
          <w:b w:val="0"/>
          <w:color w:val="CC3366"/>
        </w:rPr>
        <w:t>.</w:t>
      </w:r>
      <w:r w:rsidRPr="00683C35">
        <w:rPr>
          <w:rFonts w:ascii="Century Gothic" w:hAnsi="Century Gothic"/>
          <w:b w:val="0"/>
          <w:color w:val="CC3366"/>
        </w:rPr>
        <w:t xml:space="preserve"> Proporción de mujeres ocupadas en los sectores más vulnerables en la coyuntura generada por el COVID-19</w:t>
      </w:r>
      <w:bookmarkEnd w:id="99"/>
      <w:r w:rsidRPr="00683C35">
        <w:rPr>
          <w:rFonts w:ascii="Century Gothic" w:hAnsi="Century Gothic"/>
          <w:b w:val="0"/>
          <w:color w:val="CC3366"/>
        </w:rPr>
        <w:tab/>
      </w:r>
      <w:r w:rsidRPr="00683C35">
        <w:rPr>
          <w:rFonts w:ascii="Century Gothic" w:hAnsi="Century Gothic"/>
          <w:b w:val="0"/>
          <w:color w:val="CC3366"/>
        </w:rPr>
        <w:tab/>
      </w:r>
    </w:p>
    <w:p w14:paraId="0A4F70AB" w14:textId="77777777" w:rsidR="00306535" w:rsidRPr="00E94619" w:rsidRDefault="00306535" w:rsidP="000E5AC0">
      <w:pPr>
        <w:spacing w:after="0" w:line="240" w:lineRule="auto"/>
        <w:jc w:val="both"/>
        <w:rPr>
          <w:rFonts w:ascii="Century Gothic" w:hAnsi="Century Gothic"/>
        </w:rPr>
      </w:pPr>
    </w:p>
    <w:p w14:paraId="24A202B3" w14:textId="77777777" w:rsidR="00306535" w:rsidRPr="00E94619" w:rsidRDefault="00306535" w:rsidP="000E5AC0">
      <w:pPr>
        <w:spacing w:after="0" w:line="240" w:lineRule="auto"/>
        <w:jc w:val="both"/>
        <w:rPr>
          <w:rFonts w:ascii="Century Gothic" w:hAnsi="Century Gothic"/>
        </w:rPr>
      </w:pPr>
      <w:r w:rsidRPr="00E94619">
        <w:rPr>
          <w:rFonts w:ascii="Century Gothic" w:hAnsi="Century Gothic"/>
        </w:rPr>
        <w:t xml:space="preserve">A partir de un análisis de los sectores vulnerables a la coyuntura, de acuerdo con características propias del sector (interrupción de oferta y demanda, dificultad de teletrabajo), el DANE ha establecido que aproximadamente 5,2 millones de mujeres trabajaban en 2019 en sectores vulnerables en la coyuntura actual, frente a 5,9 hombres. En esta cuenta el sector construcción había sido incluido como vulnerable. Aunque esto implica, en términos absolutos, un número mayor de hombres que de mujeres en sectores vulnerables, este número de mujeres corresponde a un 56,3% del total de ocupadas mujeres, frente a un 45% del total de los hombres ocupados en 2019. Partiendo de ese análisis y descontando el sector de la construcción como sector vulnerable, se tiene que, en 2019, 5,1 millones de mujeres estaban ocupadas en sectores vulnerables en la coyuntura actual, frente a 4,5 millones de hombres. Esto equivale al 56% de ocupación femenina, frente a 34% de la ocupación masculina </w:t>
      </w:r>
      <w:sdt>
        <w:sdtPr>
          <w:rPr>
            <w:rFonts w:ascii="Century Gothic" w:hAnsi="Century Gothic"/>
          </w:rPr>
          <w:id w:val="-507063928"/>
          <w:citation/>
        </w:sdtPr>
        <w:sdtContent>
          <w:r w:rsidRPr="00E94619">
            <w:rPr>
              <w:rFonts w:ascii="Century Gothic" w:hAnsi="Century Gothic"/>
            </w:rPr>
            <w:fldChar w:fldCharType="begin"/>
          </w:r>
          <w:r w:rsidRPr="00E94619">
            <w:rPr>
              <w:rFonts w:ascii="Century Gothic" w:hAnsi="Century Gothic"/>
              <w:lang w:val="es-ES"/>
            </w:rPr>
            <w:instrText xml:space="preserve">CITATION DAN191 \l 3082 </w:instrText>
          </w:r>
          <w:r w:rsidRPr="00E94619">
            <w:rPr>
              <w:rFonts w:ascii="Century Gothic" w:hAnsi="Century Gothic"/>
            </w:rPr>
            <w:fldChar w:fldCharType="separate"/>
          </w:r>
          <w:r w:rsidRPr="00E94619">
            <w:rPr>
              <w:rFonts w:ascii="Century Gothic" w:hAnsi="Century Gothic"/>
              <w:noProof/>
              <w:lang w:val="es-ES"/>
            </w:rPr>
            <w:t>(Herrera- Idarraga, Tribin, &amp; DANE, 2019)</w:t>
          </w:r>
          <w:r w:rsidRPr="00E94619">
            <w:rPr>
              <w:rFonts w:ascii="Century Gothic" w:hAnsi="Century Gothic"/>
            </w:rPr>
            <w:fldChar w:fldCharType="end"/>
          </w:r>
        </w:sdtContent>
      </w:sdt>
      <w:r w:rsidRPr="00E94619">
        <w:rPr>
          <w:rFonts w:ascii="Century Gothic" w:hAnsi="Century Gothic"/>
        </w:rPr>
        <w:t xml:space="preserve"> .</w:t>
      </w:r>
    </w:p>
    <w:p w14:paraId="368B5E51" w14:textId="77777777" w:rsidR="00306535" w:rsidRPr="00E94619" w:rsidRDefault="00306535" w:rsidP="000E5AC0">
      <w:pPr>
        <w:spacing w:after="0" w:line="240" w:lineRule="auto"/>
        <w:rPr>
          <w:rFonts w:ascii="Century Gothic" w:hAnsi="Century Gothic"/>
          <w:b/>
          <w:sz w:val="24"/>
          <w:szCs w:val="24"/>
        </w:rPr>
      </w:pPr>
    </w:p>
    <w:p w14:paraId="1BAE133C" w14:textId="0E435952" w:rsidR="00306535" w:rsidRPr="00683C35" w:rsidRDefault="00306535" w:rsidP="000E5AC0">
      <w:pPr>
        <w:pStyle w:val="Ttulo3"/>
        <w:rPr>
          <w:rFonts w:ascii="Century Gothic" w:hAnsi="Century Gothic"/>
          <w:b w:val="0"/>
          <w:color w:val="CC3366"/>
        </w:rPr>
      </w:pPr>
      <w:bookmarkStart w:id="100" w:name="_Toc488624315"/>
      <w:r w:rsidRPr="00683C35">
        <w:rPr>
          <w:rFonts w:ascii="Century Gothic" w:hAnsi="Century Gothic"/>
          <w:b w:val="0"/>
          <w:color w:val="CC3366"/>
        </w:rPr>
        <w:t>2.4</w:t>
      </w:r>
      <w:r w:rsidR="00683C35">
        <w:rPr>
          <w:rFonts w:ascii="Century Gothic" w:hAnsi="Century Gothic"/>
          <w:b w:val="0"/>
          <w:color w:val="CC3366"/>
        </w:rPr>
        <w:t>.</w:t>
      </w:r>
      <w:r w:rsidRPr="00683C35">
        <w:rPr>
          <w:rFonts w:ascii="Century Gothic" w:hAnsi="Century Gothic"/>
          <w:b w:val="0"/>
          <w:color w:val="CC3366"/>
        </w:rPr>
        <w:t xml:space="preserve"> Mujeres y desempleo</w:t>
      </w:r>
      <w:bookmarkEnd w:id="100"/>
    </w:p>
    <w:p w14:paraId="0024950E" w14:textId="77777777" w:rsidR="00306535" w:rsidRPr="00E94619" w:rsidRDefault="00306535" w:rsidP="000E5AC0">
      <w:pPr>
        <w:spacing w:after="0" w:line="240" w:lineRule="auto"/>
        <w:rPr>
          <w:rFonts w:ascii="Century Gothic" w:hAnsi="Century Gothic"/>
          <w:b/>
        </w:rPr>
      </w:pPr>
    </w:p>
    <w:p w14:paraId="1676ECAA" w14:textId="77777777" w:rsidR="00306535" w:rsidRPr="00E94619" w:rsidRDefault="00306535" w:rsidP="000E5AC0">
      <w:pPr>
        <w:spacing w:after="0" w:line="240" w:lineRule="auto"/>
        <w:jc w:val="both"/>
        <w:rPr>
          <w:rFonts w:ascii="Century Gothic" w:hAnsi="Century Gothic"/>
          <w:bCs/>
        </w:rPr>
      </w:pPr>
      <w:r w:rsidRPr="00E94619">
        <w:rPr>
          <w:rFonts w:ascii="Century Gothic" w:hAnsi="Century Gothic"/>
          <w:bCs/>
        </w:rPr>
        <w:t xml:space="preserve">De acuerdo con reportes por parte del DANE (2019), en la ultima década, la tasa de desempleo de las mujeres ha sido superior a la de los hombres, en por lo menos 4,9 puntos porcentuales. En el trimestre móvil diciembre 2019 – febrero 2020 la tasa de desempleo para las mujeres fue 15,4% y para los hombres 8,8%. En cuanto al desempleo por nivel educativo, la tasa de desempleo más alta para las mujeres se ubica en la población cuyo máximo nivel educativo alcanzado es educación secundaria (16,7%), donde a su vez se encuentra la mayor brecha entre hombres y mujeres (6,9 puntos porcentuales). Las mujeres jóvenes son las más afectadas por el desempleo en comparación con los hombres. Las brechas más altas se encuentran para los grupos de edad de 18 a 24 años y menores de 18 años, respectivamente </w:t>
      </w:r>
      <w:r w:rsidRPr="00E94619">
        <w:rPr>
          <w:rFonts w:ascii="Century Gothic" w:hAnsi="Century Gothic"/>
          <w:noProof/>
          <w:lang w:val="es-ES"/>
        </w:rPr>
        <w:t>(DANE, 2020b)</w:t>
      </w:r>
      <w:r w:rsidRPr="00E94619">
        <w:rPr>
          <w:rFonts w:ascii="Century Gothic" w:hAnsi="Century Gothic"/>
          <w:bCs/>
        </w:rPr>
        <w:t>.</w:t>
      </w:r>
    </w:p>
    <w:p w14:paraId="6B620089" w14:textId="77777777" w:rsidR="00306535" w:rsidRPr="00E94619" w:rsidRDefault="00306535" w:rsidP="000E5AC0">
      <w:pPr>
        <w:spacing w:after="0" w:line="240" w:lineRule="auto"/>
        <w:jc w:val="both"/>
        <w:rPr>
          <w:rFonts w:ascii="Century Gothic" w:hAnsi="Century Gothic"/>
          <w:bCs/>
        </w:rPr>
      </w:pPr>
    </w:p>
    <w:p w14:paraId="29BB7A9E" w14:textId="4ED6CE53" w:rsidR="00306535" w:rsidRPr="00E94619" w:rsidRDefault="00306535" w:rsidP="000E5AC0">
      <w:pPr>
        <w:spacing w:after="0" w:line="240" w:lineRule="auto"/>
        <w:jc w:val="both"/>
        <w:rPr>
          <w:rFonts w:ascii="Century Gothic" w:hAnsi="Century Gothic"/>
          <w:bCs/>
        </w:rPr>
      </w:pPr>
      <w:r w:rsidRPr="00E94619">
        <w:rPr>
          <w:rFonts w:ascii="Century Gothic" w:hAnsi="Century Gothic"/>
          <w:bCs/>
        </w:rPr>
        <w:t xml:space="preserve">En cuanto a la tasa de desempleo por ciudades, el DANE reporta que para las 23 ciudades y áreas metropolitanas del país, la tasa de desempleo de las </w:t>
      </w:r>
      <w:r w:rsidRPr="00E94619">
        <w:rPr>
          <w:rFonts w:ascii="Century Gothic" w:hAnsi="Century Gothic"/>
          <w:bCs/>
        </w:rPr>
        <w:lastRenderedPageBreak/>
        <w:t>mujeres es significativamente mayor que la de los hombres, así mismo, señala que las mayores brechas de genero en tasa de desempleo se encuentran en Chocó, Sucre, Cesar y Cauca, y las mayores tasas de desempleo para las mujeres se observan en Tolima, Chocó y Cesar</w:t>
      </w:r>
      <w:sdt>
        <w:sdtPr>
          <w:rPr>
            <w:rFonts w:ascii="Century Gothic" w:hAnsi="Century Gothic"/>
            <w:bCs/>
          </w:rPr>
          <w:id w:val="-1806308566"/>
          <w:citation/>
        </w:sdtPr>
        <w:sdtContent>
          <w:r w:rsidRPr="00E94619">
            <w:rPr>
              <w:rFonts w:ascii="Century Gothic" w:hAnsi="Century Gothic"/>
              <w:bCs/>
            </w:rPr>
            <w:fldChar w:fldCharType="begin"/>
          </w:r>
          <w:r w:rsidRPr="00E94619">
            <w:rPr>
              <w:rFonts w:ascii="Century Gothic" w:hAnsi="Century Gothic"/>
              <w:bCs/>
              <w:lang w:val="es-ES"/>
            </w:rPr>
            <w:instrText xml:space="preserve"> CITATION DAN201 \l 3082 </w:instrText>
          </w:r>
          <w:r w:rsidRPr="00E94619">
            <w:rPr>
              <w:rFonts w:ascii="Century Gothic" w:hAnsi="Century Gothic"/>
              <w:bCs/>
            </w:rPr>
            <w:fldChar w:fldCharType="separate"/>
          </w:r>
          <w:r w:rsidRPr="00E94619">
            <w:rPr>
              <w:rFonts w:ascii="Century Gothic" w:hAnsi="Century Gothic"/>
              <w:bCs/>
              <w:noProof/>
              <w:lang w:val="es-ES"/>
            </w:rPr>
            <w:t xml:space="preserve"> </w:t>
          </w:r>
          <w:r w:rsidRPr="00E94619">
            <w:rPr>
              <w:rFonts w:ascii="Century Gothic" w:hAnsi="Century Gothic"/>
              <w:noProof/>
              <w:lang w:val="es-ES"/>
            </w:rPr>
            <w:t>(DANE, 2020b)</w:t>
          </w:r>
          <w:r w:rsidRPr="00E94619">
            <w:rPr>
              <w:rFonts w:ascii="Century Gothic" w:hAnsi="Century Gothic"/>
              <w:bCs/>
            </w:rPr>
            <w:fldChar w:fldCharType="end"/>
          </w:r>
        </w:sdtContent>
      </w:sdt>
      <w:r w:rsidRPr="00E94619">
        <w:rPr>
          <w:rFonts w:ascii="Century Gothic" w:hAnsi="Century Gothic"/>
          <w:bCs/>
        </w:rPr>
        <w:t>.</w:t>
      </w:r>
    </w:p>
    <w:p w14:paraId="185BCC34" w14:textId="26B207B6" w:rsidR="00306535" w:rsidRPr="00E94619" w:rsidRDefault="00306535" w:rsidP="000E5AC0">
      <w:pPr>
        <w:spacing w:after="0" w:line="240" w:lineRule="auto"/>
        <w:rPr>
          <w:rFonts w:ascii="Century Gothic" w:hAnsi="Century Gothic"/>
          <w:b/>
          <w:sz w:val="24"/>
          <w:szCs w:val="24"/>
        </w:rPr>
      </w:pPr>
    </w:p>
    <w:p w14:paraId="14B5A156" w14:textId="48C6576F" w:rsidR="00306535" w:rsidRPr="00683C35" w:rsidRDefault="00306535" w:rsidP="000E5AC0">
      <w:pPr>
        <w:pStyle w:val="Ttulo3"/>
        <w:jc w:val="both"/>
        <w:rPr>
          <w:rFonts w:ascii="Century Gothic" w:hAnsi="Century Gothic"/>
          <w:b w:val="0"/>
          <w:color w:val="CC3366"/>
        </w:rPr>
      </w:pPr>
      <w:bookmarkStart w:id="101" w:name="_Toc488624316"/>
      <w:r w:rsidRPr="00683C35">
        <w:rPr>
          <w:rFonts w:ascii="Century Gothic" w:hAnsi="Century Gothic"/>
          <w:b w:val="0"/>
          <w:color w:val="CC3366"/>
        </w:rPr>
        <w:t>2.5</w:t>
      </w:r>
      <w:r w:rsidR="00683C35" w:rsidRPr="00683C35">
        <w:rPr>
          <w:rFonts w:ascii="Century Gothic" w:hAnsi="Century Gothic"/>
          <w:b w:val="0"/>
          <w:color w:val="CC3366"/>
        </w:rPr>
        <w:t>.</w:t>
      </w:r>
      <w:r w:rsidRPr="00683C35">
        <w:rPr>
          <w:rFonts w:ascii="Century Gothic" w:hAnsi="Century Gothic"/>
          <w:b w:val="0"/>
          <w:color w:val="CC3366"/>
        </w:rPr>
        <w:t xml:space="preserve"> Empleo informal como porcentaje del empleo no agrícola total, por sexo (Ecosoc, conjunto mínimo de indicadores de género, por dominio I.9; medida realizada por la OIT).</w:t>
      </w:r>
      <w:bookmarkEnd w:id="101"/>
    </w:p>
    <w:p w14:paraId="16FB2DCC" w14:textId="77777777" w:rsidR="00306535" w:rsidRPr="00E94619" w:rsidRDefault="00306535" w:rsidP="000E5AC0">
      <w:pPr>
        <w:spacing w:after="0" w:line="240" w:lineRule="auto"/>
        <w:jc w:val="both"/>
        <w:rPr>
          <w:rFonts w:ascii="Century Gothic" w:hAnsi="Century Gothic"/>
        </w:rPr>
      </w:pPr>
    </w:p>
    <w:p w14:paraId="3D189E83" w14:textId="77777777" w:rsidR="00306535" w:rsidRPr="00E94619" w:rsidRDefault="00306535" w:rsidP="000E5AC0">
      <w:pPr>
        <w:spacing w:after="0" w:line="240" w:lineRule="auto"/>
        <w:jc w:val="both"/>
        <w:rPr>
          <w:rFonts w:ascii="Century Gothic" w:hAnsi="Century Gothic"/>
        </w:rPr>
      </w:pPr>
      <w:r w:rsidRPr="00E94619">
        <w:rPr>
          <w:rFonts w:ascii="Century Gothic" w:hAnsi="Century Gothic"/>
        </w:rPr>
        <w:t xml:space="preserve">Para el trimestre de agosto a octubre de 2016, el número de ocupados informales, de las 23 ciudades y áreas metropolitanas encuestadas por el DANE, fue de 5.822 De estos 3.005 fueron hombres y 2.817 mujeres. </w:t>
      </w:r>
    </w:p>
    <w:p w14:paraId="7485D24A" w14:textId="77777777" w:rsidR="00306535" w:rsidRPr="00E94619" w:rsidRDefault="00306535" w:rsidP="000E5AC0">
      <w:pPr>
        <w:spacing w:after="0" w:line="240" w:lineRule="auto"/>
        <w:rPr>
          <w:rFonts w:ascii="Century Gothic" w:hAnsi="Century Gothic"/>
          <w:b/>
        </w:rPr>
      </w:pPr>
    </w:p>
    <w:p w14:paraId="4CE164C2" w14:textId="7C152373" w:rsidR="00306535" w:rsidRPr="00683C35" w:rsidRDefault="00306535" w:rsidP="000E5AC0">
      <w:pPr>
        <w:pStyle w:val="Ttulo3"/>
        <w:rPr>
          <w:rFonts w:ascii="Century Gothic" w:hAnsi="Century Gothic"/>
          <w:b w:val="0"/>
          <w:color w:val="CC3366"/>
        </w:rPr>
      </w:pPr>
      <w:bookmarkStart w:id="102" w:name="_Toc488624317"/>
      <w:r w:rsidRPr="00683C35">
        <w:rPr>
          <w:rFonts w:ascii="Century Gothic" w:hAnsi="Century Gothic"/>
          <w:b w:val="0"/>
          <w:color w:val="CC3366"/>
        </w:rPr>
        <w:t>2.6</w:t>
      </w:r>
      <w:r w:rsidR="00683C35">
        <w:rPr>
          <w:rFonts w:ascii="Century Gothic" w:hAnsi="Century Gothic"/>
          <w:b w:val="0"/>
          <w:color w:val="CC3366"/>
        </w:rPr>
        <w:t>.</w:t>
      </w:r>
      <w:r w:rsidRPr="00683C35">
        <w:rPr>
          <w:rFonts w:ascii="Century Gothic" w:hAnsi="Century Gothic"/>
          <w:b w:val="0"/>
          <w:color w:val="CC3366"/>
        </w:rPr>
        <w:t xml:space="preserve"> Trabajo doméstico</w:t>
      </w:r>
      <w:bookmarkEnd w:id="102"/>
    </w:p>
    <w:p w14:paraId="7DE33453" w14:textId="77777777" w:rsidR="00306535" w:rsidRPr="00E94619" w:rsidRDefault="00306535" w:rsidP="000E5AC0">
      <w:pPr>
        <w:spacing w:after="0" w:line="240" w:lineRule="auto"/>
        <w:rPr>
          <w:rFonts w:ascii="Century Gothic" w:hAnsi="Century Gothic"/>
          <w:b/>
        </w:rPr>
      </w:pPr>
    </w:p>
    <w:p w14:paraId="105B49CB" w14:textId="77777777" w:rsidR="00306535" w:rsidRDefault="00306535" w:rsidP="000E5AC0">
      <w:pPr>
        <w:spacing w:after="0" w:line="240" w:lineRule="auto"/>
        <w:jc w:val="both"/>
        <w:rPr>
          <w:rFonts w:ascii="Century Gothic" w:hAnsi="Century Gothic"/>
        </w:rPr>
      </w:pPr>
      <w:r w:rsidRPr="00E94619">
        <w:rPr>
          <w:rFonts w:ascii="Century Gothic" w:hAnsi="Century Gothic"/>
        </w:rPr>
        <w:t>Para 2019, de acuerdo con el DANE, el valor de Trabajo Domestico y de Cuidado no Remunerado (TDCnR) correspondía al 20% del PIB. Si este trabajo tuviera remuneración monetaria, sería el sector más importante de la economía, por encima del sector de comercio (17,5% del PIB), el sector de administración publica (14,6% del PIB) y el de industria manufacturera (11,9% del PIB). Las mujeres aportan el 78,4% de las 36,5 millones de horas anuales dedicadas a TDCnR, y aportan el 76% de su valor económico</w:t>
      </w:r>
      <w:sdt>
        <w:sdtPr>
          <w:rPr>
            <w:rFonts w:ascii="Century Gothic" w:hAnsi="Century Gothic"/>
          </w:rPr>
          <w:id w:val="-364216345"/>
          <w:citation/>
        </w:sdtPr>
        <w:sdtContent>
          <w:r w:rsidRPr="00E94619">
            <w:rPr>
              <w:rFonts w:ascii="Century Gothic" w:hAnsi="Century Gothic"/>
            </w:rPr>
            <w:fldChar w:fldCharType="begin"/>
          </w:r>
          <w:r w:rsidRPr="00E94619">
            <w:rPr>
              <w:rFonts w:ascii="Century Gothic" w:hAnsi="Century Gothic"/>
              <w:lang w:val="es-ES"/>
            </w:rPr>
            <w:instrText xml:space="preserve"> CITATION DAN201 \l 3082 </w:instrText>
          </w:r>
          <w:r w:rsidRPr="00E94619">
            <w:rPr>
              <w:rFonts w:ascii="Century Gothic" w:hAnsi="Century Gothic"/>
            </w:rPr>
            <w:fldChar w:fldCharType="separate"/>
          </w:r>
          <w:r w:rsidRPr="00E94619">
            <w:rPr>
              <w:rFonts w:ascii="Century Gothic" w:hAnsi="Century Gothic"/>
              <w:noProof/>
              <w:lang w:val="es-ES"/>
            </w:rPr>
            <w:t xml:space="preserve"> (DANE, 2020b)</w:t>
          </w:r>
          <w:r w:rsidRPr="00E94619">
            <w:rPr>
              <w:rFonts w:ascii="Century Gothic" w:hAnsi="Century Gothic"/>
            </w:rPr>
            <w:fldChar w:fldCharType="end"/>
          </w:r>
        </w:sdtContent>
      </w:sdt>
      <w:r w:rsidRPr="00E94619">
        <w:rPr>
          <w:rFonts w:ascii="Century Gothic" w:hAnsi="Century Gothic"/>
        </w:rPr>
        <w:t>.</w:t>
      </w:r>
    </w:p>
    <w:p w14:paraId="13EF9512" w14:textId="77777777" w:rsidR="00683C35" w:rsidRPr="00E94619" w:rsidRDefault="00683C35" w:rsidP="000E5AC0">
      <w:pPr>
        <w:spacing w:after="0" w:line="240" w:lineRule="auto"/>
        <w:jc w:val="both"/>
        <w:rPr>
          <w:rFonts w:ascii="Century Gothic" w:hAnsi="Century Gothic"/>
        </w:rPr>
      </w:pPr>
    </w:p>
    <w:p w14:paraId="192AAB1E" w14:textId="51FDE2B8" w:rsidR="00306535" w:rsidRPr="00683C35" w:rsidRDefault="00306535" w:rsidP="000E5AC0">
      <w:pPr>
        <w:pStyle w:val="Ttulo3"/>
        <w:jc w:val="both"/>
        <w:rPr>
          <w:rFonts w:ascii="Century Gothic" w:hAnsi="Century Gothic"/>
          <w:b w:val="0"/>
          <w:color w:val="CC3366"/>
        </w:rPr>
      </w:pPr>
      <w:bookmarkStart w:id="103" w:name="_Toc488624318"/>
      <w:r w:rsidRPr="00683C35">
        <w:rPr>
          <w:rFonts w:ascii="Century Gothic" w:hAnsi="Century Gothic"/>
          <w:b w:val="0"/>
          <w:color w:val="CC3366"/>
        </w:rPr>
        <w:t>2.7</w:t>
      </w:r>
      <w:r w:rsidR="00683C35" w:rsidRPr="00683C35">
        <w:rPr>
          <w:rFonts w:ascii="Century Gothic" w:hAnsi="Century Gothic"/>
          <w:b w:val="0"/>
          <w:color w:val="CC3366"/>
        </w:rPr>
        <w:t>.</w:t>
      </w:r>
      <w:r w:rsidRPr="00683C35">
        <w:rPr>
          <w:rFonts w:ascii="Century Gothic" w:hAnsi="Century Gothic"/>
          <w:b w:val="0"/>
          <w:color w:val="CC3366"/>
        </w:rPr>
        <w:t xml:space="preserve"> Brecha salarial entre hombres y mujeres, por sectores, en la actividad económica (ODS 5) RNB per cápita (PPA, método Atlas en dólares estadounidenses) (ODS 8.54).</w:t>
      </w:r>
      <w:bookmarkEnd w:id="103"/>
    </w:p>
    <w:p w14:paraId="14F3647C" w14:textId="77777777" w:rsidR="00306535" w:rsidRPr="00E94619" w:rsidRDefault="00306535" w:rsidP="000E5AC0">
      <w:pPr>
        <w:spacing w:after="0" w:line="240" w:lineRule="auto"/>
        <w:rPr>
          <w:rFonts w:ascii="Century Gothic" w:hAnsi="Century Gothic"/>
          <w:b/>
        </w:rPr>
      </w:pPr>
    </w:p>
    <w:p w14:paraId="5862A091" w14:textId="77777777" w:rsidR="00306535" w:rsidRPr="00E94619" w:rsidRDefault="00306535" w:rsidP="00614296">
      <w:pPr>
        <w:spacing w:after="0" w:line="240" w:lineRule="auto"/>
        <w:jc w:val="both"/>
        <w:rPr>
          <w:rFonts w:ascii="Century Gothic" w:hAnsi="Century Gothic"/>
        </w:rPr>
      </w:pPr>
      <w:r w:rsidRPr="00E94619">
        <w:rPr>
          <w:rFonts w:ascii="Century Gothic" w:hAnsi="Century Gothic"/>
        </w:rPr>
        <w:t>En total, durante 2019 estos grandes sectores emplearon al 34% de los hombres ocupados y al 17,7% de las mujeres ocupadas. En cuanto a la población ocipada en sectores en reactivación económica, la Gran Encuesta Integrada de Hogares de 2019 (GEIH,2019), muestra la siguiente distribución</w:t>
      </w:r>
    </w:p>
    <w:p w14:paraId="5AB6CB5E" w14:textId="77777777" w:rsidR="00306535" w:rsidRPr="00E94619" w:rsidRDefault="00306535" w:rsidP="000E5AC0">
      <w:pPr>
        <w:spacing w:after="0" w:line="240" w:lineRule="auto"/>
        <w:rPr>
          <w:rFonts w:ascii="Century Gothic" w:hAnsi="Century Gothic"/>
        </w:rPr>
      </w:pPr>
    </w:p>
    <w:p w14:paraId="31A4B62F" w14:textId="77777777" w:rsidR="00306535" w:rsidRPr="00E94619" w:rsidRDefault="00306535" w:rsidP="000E5AC0">
      <w:pPr>
        <w:spacing w:after="0" w:line="240" w:lineRule="auto"/>
        <w:rPr>
          <w:rFonts w:ascii="Century Gothic" w:hAnsi="Century Gothic"/>
        </w:rPr>
      </w:pPr>
      <w:r w:rsidRPr="00E94619">
        <w:rPr>
          <w:rFonts w:ascii="Century Gothic" w:hAnsi="Century Gothic"/>
          <w:noProof/>
          <w:lang w:val="es-ES" w:eastAsia="es-ES"/>
        </w:rPr>
        <w:drawing>
          <wp:anchor distT="0" distB="0" distL="114300" distR="114300" simplePos="0" relativeHeight="251742208" behindDoc="0" locked="0" layoutInCell="1" allowOverlap="1" wp14:anchorId="521599BB" wp14:editId="65673B6F">
            <wp:simplePos x="0" y="0"/>
            <wp:positionH relativeFrom="column">
              <wp:posOffset>685800</wp:posOffset>
            </wp:positionH>
            <wp:positionV relativeFrom="paragraph">
              <wp:posOffset>0</wp:posOffset>
            </wp:positionV>
            <wp:extent cx="4160520" cy="2210435"/>
            <wp:effectExtent l="0" t="0" r="5080" b="0"/>
            <wp:wrapSquare wrapText="bothSides"/>
            <wp:docPr id="46" name="Imagen 4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Tabla&#10;&#10;Descripción generada automáticamente"/>
                    <pic:cNvPicPr/>
                  </pic:nvPicPr>
                  <pic:blipFill>
                    <a:blip r:embed="rId96">
                      <a:extLst>
                        <a:ext uri="{28A0092B-C50C-407E-A947-70E740481C1C}">
                          <a14:useLocalDpi xmlns:a14="http://schemas.microsoft.com/office/drawing/2010/main" val="0"/>
                        </a:ext>
                      </a:extLst>
                    </a:blip>
                    <a:stretch>
                      <a:fillRect/>
                    </a:stretch>
                  </pic:blipFill>
                  <pic:spPr>
                    <a:xfrm>
                      <a:off x="0" y="0"/>
                      <a:ext cx="4160520" cy="2210435"/>
                    </a:xfrm>
                    <a:prstGeom prst="rect">
                      <a:avLst/>
                    </a:prstGeom>
                  </pic:spPr>
                </pic:pic>
              </a:graphicData>
            </a:graphic>
            <wp14:sizeRelH relativeFrom="page">
              <wp14:pctWidth>0</wp14:pctWidth>
            </wp14:sizeRelH>
            <wp14:sizeRelV relativeFrom="page">
              <wp14:pctHeight>0</wp14:pctHeight>
            </wp14:sizeRelV>
          </wp:anchor>
        </w:drawing>
      </w:r>
    </w:p>
    <w:p w14:paraId="16EDE52B" w14:textId="77777777" w:rsidR="00306535" w:rsidRPr="00E94619" w:rsidRDefault="00306535" w:rsidP="000E5AC0">
      <w:pPr>
        <w:spacing w:after="0" w:line="240" w:lineRule="auto"/>
        <w:rPr>
          <w:rFonts w:ascii="Century Gothic" w:hAnsi="Century Gothic"/>
        </w:rPr>
      </w:pPr>
    </w:p>
    <w:p w14:paraId="4460023E" w14:textId="77777777" w:rsidR="00646447" w:rsidRDefault="00646447" w:rsidP="000E5AC0">
      <w:pPr>
        <w:spacing w:after="0" w:line="240" w:lineRule="auto"/>
        <w:rPr>
          <w:rFonts w:ascii="Century Gothic" w:hAnsi="Century Gothic"/>
        </w:rPr>
      </w:pPr>
    </w:p>
    <w:p w14:paraId="3242D419" w14:textId="77777777" w:rsidR="00646447" w:rsidRDefault="00646447" w:rsidP="000E5AC0">
      <w:pPr>
        <w:spacing w:after="0" w:line="240" w:lineRule="auto"/>
        <w:rPr>
          <w:rFonts w:ascii="Century Gothic" w:hAnsi="Century Gothic"/>
        </w:rPr>
      </w:pPr>
    </w:p>
    <w:p w14:paraId="48CF992D" w14:textId="77777777" w:rsidR="00646447" w:rsidRDefault="00646447" w:rsidP="000E5AC0">
      <w:pPr>
        <w:spacing w:after="0" w:line="240" w:lineRule="auto"/>
        <w:rPr>
          <w:rFonts w:ascii="Century Gothic" w:hAnsi="Century Gothic"/>
        </w:rPr>
      </w:pPr>
    </w:p>
    <w:p w14:paraId="5F3421DF" w14:textId="77777777" w:rsidR="00646447" w:rsidRDefault="00646447" w:rsidP="000E5AC0">
      <w:pPr>
        <w:spacing w:after="0" w:line="240" w:lineRule="auto"/>
        <w:rPr>
          <w:rFonts w:ascii="Century Gothic" w:hAnsi="Century Gothic"/>
        </w:rPr>
      </w:pPr>
    </w:p>
    <w:p w14:paraId="6E044FA3" w14:textId="77777777" w:rsidR="00646447" w:rsidRDefault="00646447" w:rsidP="000E5AC0">
      <w:pPr>
        <w:spacing w:after="0" w:line="240" w:lineRule="auto"/>
        <w:rPr>
          <w:rFonts w:ascii="Century Gothic" w:hAnsi="Century Gothic"/>
        </w:rPr>
      </w:pPr>
    </w:p>
    <w:p w14:paraId="36700212" w14:textId="77777777" w:rsidR="00646447" w:rsidRDefault="00646447" w:rsidP="000E5AC0">
      <w:pPr>
        <w:spacing w:after="0" w:line="240" w:lineRule="auto"/>
        <w:rPr>
          <w:rFonts w:ascii="Century Gothic" w:hAnsi="Century Gothic"/>
        </w:rPr>
      </w:pPr>
    </w:p>
    <w:p w14:paraId="020C4F13" w14:textId="77777777" w:rsidR="00646447" w:rsidRDefault="00646447" w:rsidP="000E5AC0">
      <w:pPr>
        <w:spacing w:after="0" w:line="240" w:lineRule="auto"/>
        <w:rPr>
          <w:rFonts w:ascii="Century Gothic" w:hAnsi="Century Gothic"/>
        </w:rPr>
      </w:pPr>
    </w:p>
    <w:p w14:paraId="2D4239E9" w14:textId="77777777" w:rsidR="00646447" w:rsidRDefault="00646447" w:rsidP="000E5AC0">
      <w:pPr>
        <w:spacing w:after="0" w:line="240" w:lineRule="auto"/>
        <w:rPr>
          <w:rFonts w:ascii="Century Gothic" w:hAnsi="Century Gothic"/>
        </w:rPr>
      </w:pPr>
    </w:p>
    <w:p w14:paraId="60B4675A" w14:textId="77777777" w:rsidR="00646447" w:rsidRDefault="00646447" w:rsidP="000E5AC0">
      <w:pPr>
        <w:spacing w:after="0" w:line="240" w:lineRule="auto"/>
        <w:rPr>
          <w:rFonts w:ascii="Century Gothic" w:hAnsi="Century Gothic"/>
        </w:rPr>
      </w:pPr>
    </w:p>
    <w:p w14:paraId="03EDD206" w14:textId="77777777" w:rsidR="00646447" w:rsidRDefault="00646447" w:rsidP="000E5AC0">
      <w:pPr>
        <w:spacing w:after="0" w:line="240" w:lineRule="auto"/>
        <w:rPr>
          <w:rFonts w:ascii="Century Gothic" w:hAnsi="Century Gothic"/>
        </w:rPr>
      </w:pPr>
    </w:p>
    <w:p w14:paraId="559ED9FD" w14:textId="77777777" w:rsidR="00646447" w:rsidRDefault="00646447" w:rsidP="000E5AC0">
      <w:pPr>
        <w:spacing w:after="0" w:line="240" w:lineRule="auto"/>
        <w:rPr>
          <w:rFonts w:ascii="Century Gothic" w:hAnsi="Century Gothic"/>
        </w:rPr>
      </w:pPr>
    </w:p>
    <w:p w14:paraId="4A1DA663" w14:textId="77777777" w:rsidR="00646447" w:rsidRDefault="00646447" w:rsidP="000E5AC0">
      <w:pPr>
        <w:spacing w:after="0" w:line="240" w:lineRule="auto"/>
        <w:rPr>
          <w:rFonts w:ascii="Century Gothic" w:hAnsi="Century Gothic"/>
        </w:rPr>
      </w:pPr>
    </w:p>
    <w:p w14:paraId="3F7D7006" w14:textId="77777777" w:rsidR="00306535" w:rsidRPr="00E94619" w:rsidRDefault="00306535" w:rsidP="000E5AC0">
      <w:pPr>
        <w:spacing w:after="0" w:line="240" w:lineRule="auto"/>
        <w:rPr>
          <w:rFonts w:ascii="Century Gothic" w:hAnsi="Century Gothic"/>
        </w:rPr>
      </w:pPr>
      <w:r w:rsidRPr="00E94619">
        <w:rPr>
          <w:rFonts w:ascii="Century Gothic" w:hAnsi="Century Gothic"/>
        </w:rPr>
        <w:t>De las personas empleadas en estos grandes sectores en 2019, el 25.3% fueron mujeres y el 74.7% hombres..</w:t>
      </w:r>
    </w:p>
    <w:p w14:paraId="4A3F6202" w14:textId="23C8FB44" w:rsidR="00306535" w:rsidRPr="00E94619" w:rsidRDefault="00BD41A8" w:rsidP="000E5AC0">
      <w:pPr>
        <w:spacing w:after="0" w:line="240" w:lineRule="auto"/>
        <w:rPr>
          <w:rFonts w:ascii="Century Gothic" w:hAnsi="Century Gothic"/>
        </w:rPr>
      </w:pPr>
      <w:r>
        <w:rPr>
          <w:rFonts w:ascii="Century Gothic" w:hAnsi="Century Gothic"/>
          <w:b/>
          <w:noProof/>
          <w:szCs w:val="24"/>
          <w:lang w:val="es-ES"/>
        </w:rPr>
        <w:drawing>
          <wp:anchor distT="0" distB="0" distL="114300" distR="114300" simplePos="0" relativeHeight="251905024" behindDoc="0" locked="0" layoutInCell="1" allowOverlap="1" wp14:anchorId="33197815" wp14:editId="1CB69F91">
            <wp:simplePos x="0" y="0"/>
            <wp:positionH relativeFrom="column">
              <wp:posOffset>-1142365</wp:posOffset>
            </wp:positionH>
            <wp:positionV relativeFrom="paragraph">
              <wp:posOffset>-9213215</wp:posOffset>
            </wp:positionV>
            <wp:extent cx="965835" cy="708660"/>
            <wp:effectExtent l="0" t="0" r="0" b="0"/>
            <wp:wrapNone/>
            <wp:docPr id="422" name="Imagen 42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0DF7D0A8" w14:textId="0D74EEAA" w:rsidR="00614296" w:rsidRDefault="00BD41A8" w:rsidP="000E5AC0">
      <w:pPr>
        <w:spacing w:after="0" w:line="240" w:lineRule="auto"/>
        <w:rPr>
          <w:rFonts w:ascii="Century Gothic" w:hAnsi="Century Gothic"/>
        </w:rPr>
      </w:pPr>
      <w:r>
        <w:rPr>
          <w:rFonts w:ascii="Century Gothic" w:hAnsi="Century Gothic"/>
          <w:b/>
          <w:noProof/>
          <w:szCs w:val="24"/>
          <w:lang w:val="es-ES"/>
        </w:rPr>
        <w:lastRenderedPageBreak/>
        <w:drawing>
          <wp:anchor distT="0" distB="0" distL="114300" distR="114300" simplePos="0" relativeHeight="251907072" behindDoc="0" locked="0" layoutInCell="1" allowOverlap="1" wp14:anchorId="17ADD36D" wp14:editId="18B12BC6">
            <wp:simplePos x="0" y="0"/>
            <wp:positionH relativeFrom="column">
              <wp:posOffset>-1080135</wp:posOffset>
            </wp:positionH>
            <wp:positionV relativeFrom="paragraph">
              <wp:posOffset>-822960</wp:posOffset>
            </wp:positionV>
            <wp:extent cx="965835" cy="708660"/>
            <wp:effectExtent l="0" t="0" r="0" b="0"/>
            <wp:wrapNone/>
            <wp:docPr id="423" name="Imagen 42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06535" w:rsidRPr="00E94619">
        <w:rPr>
          <w:rFonts w:ascii="Century Gothic" w:hAnsi="Century Gothic"/>
        </w:rPr>
        <w:t>En cuanto a población ocupada en sectores a reactivar como porcentaje de la población ocupada de cada sexo en grandes sectores la GEIH de 2019 señala siguiente distribución:</w:t>
      </w:r>
    </w:p>
    <w:p w14:paraId="16A2D840" w14:textId="77777777" w:rsidR="00306535" w:rsidRPr="00E94619" w:rsidRDefault="00306535" w:rsidP="000E5AC0">
      <w:pPr>
        <w:spacing w:after="0" w:line="240" w:lineRule="auto"/>
        <w:rPr>
          <w:rFonts w:ascii="Century Gothic" w:hAnsi="Century Gothic"/>
        </w:rPr>
      </w:pPr>
    </w:p>
    <w:p w14:paraId="004EBDEF" w14:textId="1927EBC3" w:rsidR="00306535" w:rsidRDefault="00683C35" w:rsidP="00683C35">
      <w:pPr>
        <w:spacing w:after="0" w:line="240" w:lineRule="auto"/>
        <w:jc w:val="center"/>
        <w:rPr>
          <w:rFonts w:ascii="Century Gothic" w:hAnsi="Century Gothic"/>
          <w:b/>
          <w:sz w:val="16"/>
          <w:szCs w:val="16"/>
        </w:rPr>
      </w:pPr>
      <w:r w:rsidRPr="00683C35">
        <w:rPr>
          <w:rFonts w:ascii="Century Gothic" w:hAnsi="Century Gothic"/>
          <w:b/>
          <w:sz w:val="16"/>
          <w:szCs w:val="16"/>
        </w:rPr>
        <w:t>Gráfica 52. Ocupación por género en grandes sectores</w:t>
      </w:r>
    </w:p>
    <w:p w14:paraId="2B8C4F4A" w14:textId="48C0074A" w:rsidR="00683C35" w:rsidRPr="00683C35" w:rsidRDefault="00683C35" w:rsidP="00683C35">
      <w:pPr>
        <w:spacing w:after="0" w:line="240" w:lineRule="auto"/>
        <w:jc w:val="center"/>
        <w:rPr>
          <w:rFonts w:ascii="Century Gothic" w:hAnsi="Century Gothic"/>
          <w:b/>
          <w:sz w:val="16"/>
          <w:szCs w:val="16"/>
        </w:rPr>
      </w:pPr>
      <w:r w:rsidRPr="00E94619">
        <w:rPr>
          <w:rFonts w:ascii="Century Gothic" w:hAnsi="Century Gothic"/>
          <w:noProof/>
          <w:lang w:val="es-ES" w:eastAsia="es-ES"/>
        </w:rPr>
        <w:drawing>
          <wp:anchor distT="0" distB="0" distL="114300" distR="114300" simplePos="0" relativeHeight="251718656" behindDoc="0" locked="0" layoutInCell="1" allowOverlap="1" wp14:anchorId="40CA8D3E" wp14:editId="09E47F66">
            <wp:simplePos x="0" y="0"/>
            <wp:positionH relativeFrom="column">
              <wp:posOffset>1028700</wp:posOffset>
            </wp:positionH>
            <wp:positionV relativeFrom="paragraph">
              <wp:posOffset>123825</wp:posOffset>
            </wp:positionV>
            <wp:extent cx="3378835" cy="2378710"/>
            <wp:effectExtent l="0" t="0" r="0" b="8890"/>
            <wp:wrapSquare wrapText="bothSides"/>
            <wp:docPr id="47" name="Imagen 4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Gráfico, Gráfico de barras&#10;&#10;Descripción generada automáticamente"/>
                    <pic:cNvPicPr/>
                  </pic:nvPicPr>
                  <pic:blipFill>
                    <a:blip r:embed="rId97">
                      <a:extLst>
                        <a:ext uri="{28A0092B-C50C-407E-A947-70E740481C1C}">
                          <a14:useLocalDpi xmlns:a14="http://schemas.microsoft.com/office/drawing/2010/main" val="0"/>
                        </a:ext>
                      </a:extLst>
                    </a:blip>
                    <a:stretch>
                      <a:fillRect/>
                    </a:stretch>
                  </pic:blipFill>
                  <pic:spPr>
                    <a:xfrm>
                      <a:off x="0" y="0"/>
                      <a:ext cx="3378835" cy="2378710"/>
                    </a:xfrm>
                    <a:prstGeom prst="rect">
                      <a:avLst/>
                    </a:prstGeom>
                  </pic:spPr>
                </pic:pic>
              </a:graphicData>
            </a:graphic>
            <wp14:sizeRelH relativeFrom="page">
              <wp14:pctWidth>0</wp14:pctWidth>
            </wp14:sizeRelH>
            <wp14:sizeRelV relativeFrom="page">
              <wp14:pctHeight>0</wp14:pctHeight>
            </wp14:sizeRelV>
          </wp:anchor>
        </w:drawing>
      </w:r>
    </w:p>
    <w:p w14:paraId="67D93384" w14:textId="59AC798D" w:rsidR="00306535" w:rsidRPr="00E94619" w:rsidRDefault="00306535" w:rsidP="000E5AC0">
      <w:pPr>
        <w:spacing w:after="0" w:line="240" w:lineRule="auto"/>
        <w:rPr>
          <w:rFonts w:ascii="Century Gothic" w:hAnsi="Century Gothic"/>
          <w:b/>
        </w:rPr>
      </w:pPr>
    </w:p>
    <w:p w14:paraId="129A49EA" w14:textId="77777777" w:rsidR="00306535" w:rsidRPr="00E94619" w:rsidRDefault="00306535" w:rsidP="000E5AC0">
      <w:pPr>
        <w:spacing w:after="0" w:line="240" w:lineRule="auto"/>
        <w:rPr>
          <w:rFonts w:ascii="Century Gothic" w:hAnsi="Century Gothic"/>
          <w:b/>
        </w:rPr>
      </w:pPr>
    </w:p>
    <w:p w14:paraId="44125AA4" w14:textId="77777777" w:rsidR="00306535" w:rsidRPr="00E94619" w:rsidRDefault="00306535" w:rsidP="000E5AC0">
      <w:pPr>
        <w:spacing w:after="0" w:line="240" w:lineRule="auto"/>
        <w:rPr>
          <w:rFonts w:ascii="Century Gothic" w:hAnsi="Century Gothic"/>
          <w:b/>
        </w:rPr>
      </w:pPr>
    </w:p>
    <w:p w14:paraId="1DF8138B" w14:textId="77777777" w:rsidR="00683C35" w:rsidRDefault="00683C35" w:rsidP="000E5AC0">
      <w:pPr>
        <w:spacing w:after="0" w:line="240" w:lineRule="auto"/>
        <w:rPr>
          <w:rFonts w:ascii="Century Gothic" w:hAnsi="Century Gothic"/>
          <w:bCs/>
        </w:rPr>
      </w:pPr>
    </w:p>
    <w:p w14:paraId="51128AC5" w14:textId="77777777" w:rsidR="00683C35" w:rsidRDefault="00683C35" w:rsidP="000E5AC0">
      <w:pPr>
        <w:spacing w:after="0" w:line="240" w:lineRule="auto"/>
        <w:rPr>
          <w:rFonts w:ascii="Century Gothic" w:hAnsi="Century Gothic"/>
          <w:bCs/>
        </w:rPr>
      </w:pPr>
    </w:p>
    <w:p w14:paraId="4F628826" w14:textId="77777777" w:rsidR="00683C35" w:rsidRDefault="00683C35" w:rsidP="000E5AC0">
      <w:pPr>
        <w:spacing w:after="0" w:line="240" w:lineRule="auto"/>
        <w:rPr>
          <w:rFonts w:ascii="Century Gothic" w:hAnsi="Century Gothic"/>
          <w:bCs/>
        </w:rPr>
      </w:pPr>
    </w:p>
    <w:p w14:paraId="120DF8D1" w14:textId="77777777" w:rsidR="00683C35" w:rsidRDefault="00683C35" w:rsidP="000E5AC0">
      <w:pPr>
        <w:spacing w:after="0" w:line="240" w:lineRule="auto"/>
        <w:rPr>
          <w:rFonts w:ascii="Century Gothic" w:hAnsi="Century Gothic"/>
          <w:bCs/>
        </w:rPr>
      </w:pPr>
    </w:p>
    <w:p w14:paraId="3D0F29B1" w14:textId="77777777" w:rsidR="00683C35" w:rsidRDefault="00683C35" w:rsidP="000E5AC0">
      <w:pPr>
        <w:spacing w:after="0" w:line="240" w:lineRule="auto"/>
        <w:rPr>
          <w:rFonts w:ascii="Century Gothic" w:hAnsi="Century Gothic"/>
          <w:bCs/>
        </w:rPr>
      </w:pPr>
    </w:p>
    <w:p w14:paraId="09BF34E2" w14:textId="77777777" w:rsidR="00683C35" w:rsidRDefault="00683C35" w:rsidP="000E5AC0">
      <w:pPr>
        <w:spacing w:after="0" w:line="240" w:lineRule="auto"/>
        <w:rPr>
          <w:rFonts w:ascii="Century Gothic" w:hAnsi="Century Gothic"/>
          <w:bCs/>
        </w:rPr>
      </w:pPr>
    </w:p>
    <w:p w14:paraId="075C83D1" w14:textId="77777777" w:rsidR="00683C35" w:rsidRDefault="00683C35" w:rsidP="000E5AC0">
      <w:pPr>
        <w:spacing w:after="0" w:line="240" w:lineRule="auto"/>
        <w:rPr>
          <w:rFonts w:ascii="Century Gothic" w:hAnsi="Century Gothic"/>
          <w:bCs/>
        </w:rPr>
      </w:pPr>
    </w:p>
    <w:p w14:paraId="0339A7DF" w14:textId="77777777" w:rsidR="00683C35" w:rsidRDefault="00683C35" w:rsidP="000E5AC0">
      <w:pPr>
        <w:spacing w:after="0" w:line="240" w:lineRule="auto"/>
        <w:rPr>
          <w:rFonts w:ascii="Century Gothic" w:hAnsi="Century Gothic"/>
          <w:bCs/>
        </w:rPr>
      </w:pPr>
    </w:p>
    <w:p w14:paraId="55E9B94D" w14:textId="77777777" w:rsidR="00683C35" w:rsidRDefault="00683C35" w:rsidP="000E5AC0">
      <w:pPr>
        <w:spacing w:after="0" w:line="240" w:lineRule="auto"/>
        <w:rPr>
          <w:rFonts w:ascii="Century Gothic" w:hAnsi="Century Gothic"/>
          <w:bCs/>
        </w:rPr>
      </w:pPr>
    </w:p>
    <w:p w14:paraId="0276AE06" w14:textId="77777777" w:rsidR="00683C35" w:rsidRDefault="00683C35" w:rsidP="000E5AC0">
      <w:pPr>
        <w:spacing w:after="0" w:line="240" w:lineRule="auto"/>
        <w:rPr>
          <w:rFonts w:ascii="Century Gothic" w:hAnsi="Century Gothic"/>
          <w:bCs/>
        </w:rPr>
      </w:pPr>
    </w:p>
    <w:p w14:paraId="1DFEC7A4" w14:textId="77777777" w:rsidR="00683C35" w:rsidRDefault="00683C35" w:rsidP="000E5AC0">
      <w:pPr>
        <w:spacing w:after="0" w:line="240" w:lineRule="auto"/>
        <w:rPr>
          <w:rFonts w:ascii="Century Gothic" w:hAnsi="Century Gothic"/>
          <w:bCs/>
        </w:rPr>
      </w:pPr>
    </w:p>
    <w:p w14:paraId="523D9F8B" w14:textId="77777777" w:rsidR="00683C35" w:rsidRDefault="00683C35" w:rsidP="000E5AC0">
      <w:pPr>
        <w:spacing w:after="0" w:line="240" w:lineRule="auto"/>
        <w:rPr>
          <w:rFonts w:ascii="Century Gothic" w:hAnsi="Century Gothic"/>
          <w:bCs/>
        </w:rPr>
      </w:pPr>
    </w:p>
    <w:p w14:paraId="0F2C2E1B" w14:textId="77777777" w:rsidR="00306535" w:rsidRPr="00E94619" w:rsidRDefault="00306535" w:rsidP="000E5AC0">
      <w:pPr>
        <w:spacing w:after="0" w:line="240" w:lineRule="auto"/>
        <w:rPr>
          <w:rFonts w:ascii="Century Gothic" w:hAnsi="Century Gothic"/>
          <w:bCs/>
        </w:rPr>
      </w:pPr>
      <w:r w:rsidRPr="00E94619">
        <w:rPr>
          <w:rFonts w:ascii="Century Gothic" w:hAnsi="Century Gothic"/>
          <w:bCs/>
        </w:rPr>
        <w:t>En total, durante 2019 estos grandes sectores emplearon al 34% de los hombres ocupados y al 17,7% de las mujeres ocupadas.</w:t>
      </w:r>
    </w:p>
    <w:p w14:paraId="2CF18432" w14:textId="77777777" w:rsidR="00306535" w:rsidRPr="00E94619" w:rsidRDefault="00306535" w:rsidP="000E5AC0">
      <w:pPr>
        <w:spacing w:after="0" w:line="240" w:lineRule="auto"/>
        <w:rPr>
          <w:rFonts w:ascii="Century Gothic" w:hAnsi="Century Gothic"/>
          <w:bCs/>
        </w:rPr>
      </w:pPr>
    </w:p>
    <w:p w14:paraId="48694975" w14:textId="0A8CBBF4" w:rsidR="00306535" w:rsidRPr="00683C35" w:rsidRDefault="00306535" w:rsidP="000E5AC0">
      <w:pPr>
        <w:pStyle w:val="Ttulo3"/>
        <w:jc w:val="both"/>
        <w:rPr>
          <w:rFonts w:ascii="Century Gothic" w:hAnsi="Century Gothic"/>
          <w:b w:val="0"/>
          <w:color w:val="CC3366"/>
        </w:rPr>
      </w:pPr>
      <w:bookmarkStart w:id="104" w:name="_Toc488624319"/>
      <w:r w:rsidRPr="00683C35">
        <w:rPr>
          <w:rFonts w:ascii="Century Gothic" w:hAnsi="Century Gothic"/>
          <w:b w:val="0"/>
          <w:color w:val="CC3366"/>
        </w:rPr>
        <w:t>2.8</w:t>
      </w:r>
      <w:r w:rsidR="00683C35">
        <w:rPr>
          <w:rFonts w:ascii="Century Gothic" w:hAnsi="Century Gothic"/>
          <w:b w:val="0"/>
          <w:color w:val="CC3366"/>
        </w:rPr>
        <w:t>.</w:t>
      </w:r>
      <w:r w:rsidRPr="00683C35">
        <w:rPr>
          <w:rFonts w:ascii="Century Gothic" w:hAnsi="Century Gothic"/>
          <w:b w:val="0"/>
          <w:color w:val="CC3366"/>
        </w:rPr>
        <w:t xml:space="preserve"> Número de mujeres que acceden a servicios (micro) financieros a nivel comunitario</w:t>
      </w:r>
      <w:bookmarkEnd w:id="104"/>
      <w:r w:rsidRPr="00683C35">
        <w:rPr>
          <w:rFonts w:ascii="Century Gothic" w:hAnsi="Century Gothic"/>
          <w:b w:val="0"/>
          <w:color w:val="CC3366"/>
        </w:rPr>
        <w:t xml:space="preserve"> </w:t>
      </w:r>
    </w:p>
    <w:p w14:paraId="0A33D870" w14:textId="77777777" w:rsidR="00306535" w:rsidRPr="00E94619" w:rsidRDefault="00306535" w:rsidP="000E5AC0">
      <w:pPr>
        <w:spacing w:after="0" w:line="240" w:lineRule="auto"/>
        <w:jc w:val="both"/>
        <w:rPr>
          <w:rFonts w:ascii="Century Gothic" w:hAnsi="Century Gothic"/>
          <w:color w:val="000000"/>
        </w:rPr>
      </w:pPr>
    </w:p>
    <w:p w14:paraId="42E64933" w14:textId="6155A3AE" w:rsidR="00646447" w:rsidRPr="00E94619" w:rsidRDefault="00306535" w:rsidP="000E5AC0">
      <w:pPr>
        <w:spacing w:after="0" w:line="240" w:lineRule="auto"/>
        <w:jc w:val="both"/>
        <w:rPr>
          <w:rFonts w:ascii="Century Gothic" w:hAnsi="Century Gothic"/>
          <w:color w:val="000000"/>
        </w:rPr>
      </w:pPr>
      <w:r w:rsidRPr="00E94619">
        <w:rPr>
          <w:rFonts w:ascii="Century Gothic" w:hAnsi="Century Gothic"/>
          <w:color w:val="000000"/>
        </w:rPr>
        <w:t>En Colombia en 2019 el 62,7% de los propietarios de los micronegocios fueron hombres, mientras que el 38% fueron propietarias mujeres:</w:t>
      </w:r>
    </w:p>
    <w:p w14:paraId="65EBC568" w14:textId="77777777" w:rsidR="00683C35" w:rsidRDefault="00683C35" w:rsidP="000E5AC0">
      <w:pPr>
        <w:spacing w:after="0" w:line="240" w:lineRule="auto"/>
        <w:rPr>
          <w:rFonts w:ascii="Century Gothic" w:hAnsi="Century Gothic"/>
          <w:b/>
          <w:sz w:val="16"/>
          <w:szCs w:val="16"/>
        </w:rPr>
      </w:pPr>
    </w:p>
    <w:p w14:paraId="210103B2" w14:textId="77777777" w:rsidR="00683C35" w:rsidRDefault="00683C35" w:rsidP="000E5AC0">
      <w:pPr>
        <w:spacing w:after="0" w:line="240" w:lineRule="auto"/>
        <w:rPr>
          <w:rFonts w:ascii="Century Gothic" w:hAnsi="Century Gothic"/>
          <w:b/>
          <w:sz w:val="16"/>
          <w:szCs w:val="16"/>
        </w:rPr>
      </w:pPr>
    </w:p>
    <w:p w14:paraId="770C6BEF" w14:textId="3295A4CA" w:rsidR="00614296" w:rsidRDefault="00683C35" w:rsidP="00614296">
      <w:pPr>
        <w:spacing w:after="0" w:line="240" w:lineRule="auto"/>
        <w:jc w:val="center"/>
        <w:rPr>
          <w:rFonts w:ascii="Century Gothic" w:hAnsi="Century Gothic"/>
          <w:b/>
          <w:sz w:val="16"/>
          <w:szCs w:val="16"/>
        </w:rPr>
      </w:pPr>
      <w:r>
        <w:rPr>
          <w:rFonts w:ascii="Century Gothic" w:hAnsi="Century Gothic"/>
          <w:b/>
          <w:sz w:val="16"/>
          <w:szCs w:val="16"/>
        </w:rPr>
        <w:t>Gráfica 53. Propietarios/as de micronegocios según sexo (cifras en miles)</w:t>
      </w:r>
    </w:p>
    <w:p w14:paraId="2A38FD4C" w14:textId="7E58B7BB" w:rsidR="00683C35" w:rsidRPr="00E94619" w:rsidRDefault="00683C35" w:rsidP="00683C35">
      <w:pPr>
        <w:spacing w:after="0" w:line="240" w:lineRule="auto"/>
        <w:jc w:val="center"/>
        <w:rPr>
          <w:rFonts w:ascii="Century Gothic" w:hAnsi="Century Gothic"/>
          <w:b/>
          <w:sz w:val="16"/>
          <w:szCs w:val="16"/>
        </w:rPr>
      </w:pPr>
      <w:r w:rsidRPr="00E94619">
        <w:rPr>
          <w:rFonts w:ascii="Century Gothic" w:hAnsi="Century Gothic"/>
          <w:b/>
          <w:noProof/>
          <w:sz w:val="16"/>
          <w:szCs w:val="16"/>
          <w:lang w:val="es-ES" w:eastAsia="es-ES"/>
        </w:rPr>
        <w:drawing>
          <wp:anchor distT="0" distB="0" distL="114300" distR="114300" simplePos="0" relativeHeight="251719680" behindDoc="0" locked="0" layoutInCell="1" allowOverlap="1" wp14:anchorId="675A1E34" wp14:editId="2C8D6E41">
            <wp:simplePos x="0" y="0"/>
            <wp:positionH relativeFrom="column">
              <wp:posOffset>1143000</wp:posOffset>
            </wp:positionH>
            <wp:positionV relativeFrom="paragraph">
              <wp:posOffset>104140</wp:posOffset>
            </wp:positionV>
            <wp:extent cx="3323590" cy="2665730"/>
            <wp:effectExtent l="0" t="0" r="3810" b="1270"/>
            <wp:wrapSquare wrapText="bothSides"/>
            <wp:docPr id="48" name="Imagen 4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Gráfico, Gráfico circular&#10;&#10;Descripción generada automáticamente"/>
                    <pic:cNvPicPr/>
                  </pic:nvPicPr>
                  <pic:blipFill>
                    <a:blip r:embed="rId98">
                      <a:extLst>
                        <a:ext uri="{28A0092B-C50C-407E-A947-70E740481C1C}">
                          <a14:useLocalDpi xmlns:a14="http://schemas.microsoft.com/office/drawing/2010/main" val="0"/>
                        </a:ext>
                      </a:extLst>
                    </a:blip>
                    <a:stretch>
                      <a:fillRect/>
                    </a:stretch>
                  </pic:blipFill>
                  <pic:spPr>
                    <a:xfrm>
                      <a:off x="0" y="0"/>
                      <a:ext cx="3323590" cy="2665730"/>
                    </a:xfrm>
                    <a:prstGeom prst="rect">
                      <a:avLst/>
                    </a:prstGeom>
                  </pic:spPr>
                </pic:pic>
              </a:graphicData>
            </a:graphic>
            <wp14:sizeRelH relativeFrom="page">
              <wp14:pctWidth>0</wp14:pctWidth>
            </wp14:sizeRelH>
            <wp14:sizeRelV relativeFrom="page">
              <wp14:pctHeight>0</wp14:pctHeight>
            </wp14:sizeRelV>
          </wp:anchor>
        </w:drawing>
      </w:r>
    </w:p>
    <w:p w14:paraId="532327F8" w14:textId="270177AC" w:rsidR="00306535" w:rsidRPr="00E94619" w:rsidRDefault="00306535" w:rsidP="000E5AC0">
      <w:pPr>
        <w:spacing w:after="0" w:line="240" w:lineRule="auto"/>
        <w:rPr>
          <w:rFonts w:ascii="Century Gothic" w:hAnsi="Century Gothic"/>
          <w:b/>
          <w:sz w:val="16"/>
          <w:szCs w:val="16"/>
        </w:rPr>
      </w:pPr>
    </w:p>
    <w:p w14:paraId="06C1421E" w14:textId="77777777" w:rsidR="00306535" w:rsidRPr="00E94619" w:rsidRDefault="00306535" w:rsidP="000E5AC0">
      <w:pPr>
        <w:spacing w:after="0" w:line="240" w:lineRule="auto"/>
        <w:rPr>
          <w:rFonts w:ascii="Century Gothic" w:hAnsi="Century Gothic"/>
          <w:b/>
          <w:sz w:val="24"/>
          <w:szCs w:val="24"/>
        </w:rPr>
      </w:pPr>
    </w:p>
    <w:p w14:paraId="48CB8E0D" w14:textId="77777777" w:rsidR="00683C35" w:rsidRDefault="00683C35" w:rsidP="000E5AC0">
      <w:pPr>
        <w:spacing w:after="0" w:line="240" w:lineRule="auto"/>
        <w:jc w:val="both"/>
        <w:rPr>
          <w:rFonts w:ascii="Century Gothic" w:hAnsi="Century Gothic"/>
          <w:b/>
        </w:rPr>
      </w:pPr>
    </w:p>
    <w:p w14:paraId="44156BC7" w14:textId="77777777" w:rsidR="00683C35" w:rsidRDefault="00683C35" w:rsidP="000E5AC0">
      <w:pPr>
        <w:spacing w:after="0" w:line="240" w:lineRule="auto"/>
        <w:jc w:val="both"/>
        <w:rPr>
          <w:rFonts w:ascii="Century Gothic" w:hAnsi="Century Gothic"/>
          <w:b/>
        </w:rPr>
      </w:pPr>
    </w:p>
    <w:p w14:paraId="04D49015" w14:textId="77777777" w:rsidR="00683C35" w:rsidRDefault="00683C35" w:rsidP="000E5AC0">
      <w:pPr>
        <w:spacing w:after="0" w:line="240" w:lineRule="auto"/>
        <w:jc w:val="both"/>
        <w:rPr>
          <w:rFonts w:ascii="Century Gothic" w:hAnsi="Century Gothic"/>
          <w:b/>
        </w:rPr>
      </w:pPr>
    </w:p>
    <w:p w14:paraId="69A8207C" w14:textId="77777777" w:rsidR="00683C35" w:rsidRDefault="00683C35" w:rsidP="000E5AC0">
      <w:pPr>
        <w:spacing w:after="0" w:line="240" w:lineRule="auto"/>
        <w:jc w:val="both"/>
        <w:rPr>
          <w:rFonts w:ascii="Century Gothic" w:hAnsi="Century Gothic"/>
          <w:b/>
        </w:rPr>
      </w:pPr>
    </w:p>
    <w:p w14:paraId="71F3315A" w14:textId="77777777" w:rsidR="00683C35" w:rsidRDefault="00683C35" w:rsidP="000E5AC0">
      <w:pPr>
        <w:spacing w:after="0" w:line="240" w:lineRule="auto"/>
        <w:jc w:val="both"/>
        <w:rPr>
          <w:rFonts w:ascii="Century Gothic" w:hAnsi="Century Gothic"/>
          <w:b/>
        </w:rPr>
      </w:pPr>
    </w:p>
    <w:p w14:paraId="19B930A6" w14:textId="77777777" w:rsidR="00683C35" w:rsidRDefault="00683C35" w:rsidP="000E5AC0">
      <w:pPr>
        <w:spacing w:after="0" w:line="240" w:lineRule="auto"/>
        <w:jc w:val="both"/>
        <w:rPr>
          <w:rFonts w:ascii="Century Gothic" w:hAnsi="Century Gothic"/>
          <w:b/>
        </w:rPr>
      </w:pPr>
    </w:p>
    <w:p w14:paraId="708C19F5" w14:textId="77777777" w:rsidR="00683C35" w:rsidRDefault="00683C35" w:rsidP="000E5AC0">
      <w:pPr>
        <w:spacing w:after="0" w:line="240" w:lineRule="auto"/>
        <w:jc w:val="both"/>
        <w:rPr>
          <w:rFonts w:ascii="Century Gothic" w:hAnsi="Century Gothic"/>
          <w:b/>
        </w:rPr>
      </w:pPr>
    </w:p>
    <w:p w14:paraId="49CCBB0C" w14:textId="77777777" w:rsidR="00683C35" w:rsidRDefault="00683C35" w:rsidP="000E5AC0">
      <w:pPr>
        <w:spacing w:after="0" w:line="240" w:lineRule="auto"/>
        <w:jc w:val="both"/>
        <w:rPr>
          <w:rFonts w:ascii="Century Gothic" w:hAnsi="Century Gothic"/>
          <w:b/>
        </w:rPr>
      </w:pPr>
    </w:p>
    <w:p w14:paraId="4E309CB1" w14:textId="77777777" w:rsidR="00683C35" w:rsidRDefault="00683C35" w:rsidP="000E5AC0">
      <w:pPr>
        <w:spacing w:after="0" w:line="240" w:lineRule="auto"/>
        <w:jc w:val="both"/>
        <w:rPr>
          <w:rFonts w:ascii="Century Gothic" w:hAnsi="Century Gothic"/>
          <w:b/>
        </w:rPr>
      </w:pPr>
    </w:p>
    <w:p w14:paraId="39F80A44" w14:textId="77777777" w:rsidR="00683C35" w:rsidRDefault="00683C35" w:rsidP="000E5AC0">
      <w:pPr>
        <w:spacing w:after="0" w:line="240" w:lineRule="auto"/>
        <w:jc w:val="both"/>
        <w:rPr>
          <w:rFonts w:ascii="Century Gothic" w:hAnsi="Century Gothic"/>
          <w:b/>
        </w:rPr>
      </w:pPr>
    </w:p>
    <w:p w14:paraId="7BAEB5FB" w14:textId="77777777" w:rsidR="00683C35" w:rsidRDefault="00683C35" w:rsidP="000E5AC0">
      <w:pPr>
        <w:spacing w:after="0" w:line="240" w:lineRule="auto"/>
        <w:jc w:val="both"/>
        <w:rPr>
          <w:rFonts w:ascii="Century Gothic" w:hAnsi="Century Gothic"/>
          <w:b/>
        </w:rPr>
      </w:pPr>
    </w:p>
    <w:p w14:paraId="788851DF" w14:textId="77777777" w:rsidR="00683C35" w:rsidRDefault="00683C35" w:rsidP="000E5AC0">
      <w:pPr>
        <w:spacing w:after="0" w:line="240" w:lineRule="auto"/>
        <w:jc w:val="both"/>
        <w:rPr>
          <w:rFonts w:ascii="Century Gothic" w:hAnsi="Century Gothic"/>
          <w:b/>
        </w:rPr>
      </w:pPr>
    </w:p>
    <w:p w14:paraId="20B9C33D" w14:textId="77777777" w:rsidR="00683C35" w:rsidRDefault="00683C35" w:rsidP="000E5AC0">
      <w:pPr>
        <w:spacing w:after="0" w:line="240" w:lineRule="auto"/>
        <w:jc w:val="both"/>
        <w:rPr>
          <w:rFonts w:ascii="Century Gothic" w:hAnsi="Century Gothic"/>
          <w:b/>
        </w:rPr>
      </w:pPr>
    </w:p>
    <w:p w14:paraId="2D7539C8" w14:textId="77777777" w:rsidR="00646447" w:rsidRDefault="00646447" w:rsidP="000E5AC0">
      <w:pPr>
        <w:spacing w:after="0" w:line="240" w:lineRule="auto"/>
        <w:jc w:val="both"/>
        <w:rPr>
          <w:rFonts w:ascii="Century Gothic" w:hAnsi="Century Gothic"/>
          <w:b/>
        </w:rPr>
      </w:pPr>
    </w:p>
    <w:p w14:paraId="053689E6" w14:textId="77777777" w:rsidR="00646447" w:rsidRDefault="00646447" w:rsidP="000E5AC0">
      <w:pPr>
        <w:spacing w:after="0" w:line="240" w:lineRule="auto"/>
        <w:jc w:val="both"/>
        <w:rPr>
          <w:rFonts w:ascii="Century Gothic" w:hAnsi="Century Gothic"/>
          <w:b/>
        </w:rPr>
      </w:pPr>
    </w:p>
    <w:p w14:paraId="1854E0AC" w14:textId="77777777" w:rsidR="00646447" w:rsidRDefault="00646447" w:rsidP="000E5AC0">
      <w:pPr>
        <w:spacing w:after="0" w:line="240" w:lineRule="auto"/>
        <w:jc w:val="both"/>
        <w:rPr>
          <w:rFonts w:ascii="Century Gothic" w:hAnsi="Century Gothic"/>
          <w:b/>
        </w:rPr>
      </w:pPr>
    </w:p>
    <w:p w14:paraId="1183ABF1" w14:textId="77777777" w:rsidR="00683C35" w:rsidRDefault="00683C35" w:rsidP="000E5AC0">
      <w:pPr>
        <w:spacing w:after="0" w:line="240" w:lineRule="auto"/>
        <w:jc w:val="both"/>
        <w:rPr>
          <w:rFonts w:ascii="Century Gothic" w:hAnsi="Century Gothic"/>
          <w:b/>
        </w:rPr>
      </w:pPr>
    </w:p>
    <w:p w14:paraId="0367F98C" w14:textId="3944A636" w:rsidR="00683C35" w:rsidRDefault="00683C35" w:rsidP="000E5AC0">
      <w:pPr>
        <w:spacing w:after="0" w:line="240" w:lineRule="auto"/>
        <w:jc w:val="both"/>
        <w:rPr>
          <w:rFonts w:ascii="Century Gothic" w:hAnsi="Century Gothic"/>
          <w:b/>
        </w:rPr>
      </w:pPr>
    </w:p>
    <w:p w14:paraId="3F123764" w14:textId="0715ABD2" w:rsidR="00306535" w:rsidRDefault="00306535" w:rsidP="000E5AC0">
      <w:pPr>
        <w:spacing w:after="0" w:line="240" w:lineRule="auto"/>
        <w:jc w:val="both"/>
        <w:rPr>
          <w:rFonts w:ascii="Century Gothic" w:hAnsi="Century Gothic"/>
          <w:b/>
          <w:color w:val="000000"/>
        </w:rPr>
      </w:pPr>
      <w:r w:rsidRPr="00E94619">
        <w:rPr>
          <w:rFonts w:ascii="Century Gothic" w:hAnsi="Century Gothic"/>
          <w:b/>
        </w:rPr>
        <w:lastRenderedPageBreak/>
        <w:t xml:space="preserve">Avances y retos para garantizar el </w:t>
      </w:r>
      <w:r w:rsidRPr="00E94619">
        <w:rPr>
          <w:rFonts w:ascii="Century Gothic" w:hAnsi="Century Gothic"/>
          <w:b/>
          <w:color w:val="000000"/>
        </w:rPr>
        <w:t>acceso equitativo de las mujeres a la generación de ingresos</w:t>
      </w:r>
    </w:p>
    <w:p w14:paraId="46DD1DCA" w14:textId="77777777" w:rsidR="00683C35" w:rsidRPr="00E94619" w:rsidRDefault="00683C35" w:rsidP="000E5AC0">
      <w:pPr>
        <w:spacing w:after="0" w:line="240" w:lineRule="auto"/>
        <w:jc w:val="both"/>
        <w:rPr>
          <w:rFonts w:ascii="Century Gothic" w:hAnsi="Century Gothic"/>
          <w:b/>
          <w:color w:val="000000"/>
        </w:rPr>
      </w:pPr>
    </w:p>
    <w:tbl>
      <w:tblPr>
        <w:tblStyle w:val="afffff7"/>
        <w:tblW w:w="9046"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3376"/>
        <w:gridCol w:w="2835"/>
        <w:gridCol w:w="2835"/>
      </w:tblGrid>
      <w:tr w:rsidR="00306535" w:rsidRPr="00E94619" w14:paraId="7860D450" w14:textId="77777777" w:rsidTr="00683C35">
        <w:tc>
          <w:tcPr>
            <w:tcW w:w="3376" w:type="dxa"/>
            <w:shd w:val="clear" w:color="auto" w:fill="FF99CC"/>
          </w:tcPr>
          <w:p w14:paraId="38E3BD89" w14:textId="77777777" w:rsidR="00306535" w:rsidRPr="00E94619" w:rsidRDefault="00306535" w:rsidP="000E5AC0">
            <w:pPr>
              <w:spacing w:after="0" w:line="240" w:lineRule="auto"/>
              <w:rPr>
                <w:rFonts w:ascii="Century Gothic" w:hAnsi="Century Gothic"/>
                <w:b/>
                <w:sz w:val="16"/>
                <w:szCs w:val="16"/>
              </w:rPr>
            </w:pPr>
            <w:r w:rsidRPr="00E94619">
              <w:rPr>
                <w:rFonts w:ascii="Century Gothic" w:hAnsi="Century Gothic"/>
                <w:b/>
                <w:sz w:val="16"/>
                <w:szCs w:val="16"/>
              </w:rPr>
              <w:t>Avances del Estado</w:t>
            </w:r>
          </w:p>
        </w:tc>
        <w:tc>
          <w:tcPr>
            <w:tcW w:w="2835" w:type="dxa"/>
            <w:shd w:val="clear" w:color="auto" w:fill="FF99CC"/>
          </w:tcPr>
          <w:p w14:paraId="13EB122E" w14:textId="77777777" w:rsidR="00306535" w:rsidRPr="00E94619" w:rsidRDefault="00306535" w:rsidP="000E5AC0">
            <w:pPr>
              <w:spacing w:after="0" w:line="240" w:lineRule="auto"/>
              <w:rPr>
                <w:rFonts w:ascii="Century Gothic" w:hAnsi="Century Gothic"/>
                <w:b/>
                <w:sz w:val="16"/>
                <w:szCs w:val="16"/>
              </w:rPr>
            </w:pPr>
            <w:r w:rsidRPr="00E94619">
              <w:rPr>
                <w:rFonts w:ascii="Century Gothic" w:hAnsi="Century Gothic"/>
                <w:b/>
                <w:sz w:val="16"/>
                <w:szCs w:val="16"/>
              </w:rPr>
              <w:t>Respuesta de la sociedad civil</w:t>
            </w:r>
          </w:p>
        </w:tc>
        <w:tc>
          <w:tcPr>
            <w:tcW w:w="2835" w:type="dxa"/>
            <w:shd w:val="clear" w:color="auto" w:fill="FF99CC"/>
          </w:tcPr>
          <w:p w14:paraId="3C252748" w14:textId="77777777" w:rsidR="00306535" w:rsidRPr="00E94619" w:rsidRDefault="00306535"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306535" w:rsidRPr="00E94619" w14:paraId="6791CF29" w14:textId="77777777" w:rsidTr="00683C35">
        <w:tc>
          <w:tcPr>
            <w:tcW w:w="3376" w:type="dxa"/>
          </w:tcPr>
          <w:p w14:paraId="35BDF521"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-CONPES 161 de 2012: cconstituye el plan central de acción del Ministerio respecto a la prevención y erradicación de todas las formas de discriminación, inequidad y violencia contra las mujeres en el ámbito laboral. </w:t>
            </w:r>
          </w:p>
          <w:p w14:paraId="5371B466"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-Banca de las Oportunidades: créditos y asistencia técnica para familias pobres, incluyendo mujeres. </w:t>
            </w:r>
          </w:p>
          <w:p w14:paraId="4C229CD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-Red Juntos: apoyo a familias para superar la pobreza extrema. Apoyo a mujeres. </w:t>
            </w:r>
          </w:p>
          <w:p w14:paraId="66E80AF8"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1496 de 2011: por medio de la cual se garantiza la igualdad salarial y de retribución laboral entre mujeres y hombres.</w:t>
            </w:r>
          </w:p>
          <w:p w14:paraId="6EF9B9A3"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-Artículo 10 Código Sustantivo del Trabajo – Igualdad de los trabajadores y las trabajadoras. </w:t>
            </w:r>
            <w:r w:rsidRPr="00E94619">
              <w:rPr>
                <w:rFonts w:ascii="Century Gothic" w:hAnsi="Century Gothic" w:cs="Times New Roman"/>
                <w:color w:val="000000"/>
                <w:sz w:val="16"/>
                <w:szCs w:val="16"/>
              </w:rPr>
              <w:t> </w:t>
            </w:r>
          </w:p>
          <w:p w14:paraId="7D53917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-Convenio 111 de la OIT: convenio relativo a la discriminación en materia de empleo y ocupación.</w:t>
            </w:r>
            <w:r w:rsidRPr="00E94619">
              <w:rPr>
                <w:rFonts w:ascii="Century Gothic" w:hAnsi="Century Gothic" w:cs="Times New Roman"/>
                <w:color w:val="000000"/>
                <w:sz w:val="16"/>
                <w:szCs w:val="16"/>
              </w:rPr>
              <w:t> </w:t>
            </w:r>
          </w:p>
          <w:p w14:paraId="0A0111D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-Convenio 100 de la OIT: convenio relativo a la igualdad de remuneración entre la mano de obra masculina y la mano de obra femenina por un trabajo de igual valor. </w:t>
            </w:r>
          </w:p>
          <w:p w14:paraId="6616768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-Programa Nacional de Equidad Laboral con Enfoque Diferencial de Género: certifica las empresas que logran generar transformaciones culturales y cierres de brechas de género en su interior. </w:t>
            </w:r>
          </w:p>
          <w:p w14:paraId="06CE7BA1"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-Convenio 189 de la OIT: sobre trabajo doméstico.</w:t>
            </w:r>
          </w:p>
          <w:p w14:paraId="3A698DC1"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7E6FFCC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-Programa de Rutas Integrales de Empleo Rural y Urbano para Víctimas del Conflicto Armado</w:t>
            </w:r>
          </w:p>
          <w:p w14:paraId="29414C11"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1448 de 2011: se insta al Ministerio del Trabajo a desarrollar una política pública que restituya las capacidades de las víctimas, para que puedan entrar a competir en igualdad de condiciones al mercado laboral formal.</w:t>
            </w:r>
          </w:p>
          <w:p w14:paraId="490FDFB3"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-Programa de Mujer Rural del Ministerio de Agricultura:  créditos y asistencia técnica para mujeres rurales. </w:t>
            </w:r>
          </w:p>
          <w:p w14:paraId="0105A05C"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p>
          <w:p w14:paraId="4FE5A41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Trabajo doméstico:</w:t>
            </w:r>
          </w:p>
          <w:p w14:paraId="37D4E8D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-Decreto 1788 de 2016: otorga prima de servicios al servicio doméstico. </w:t>
            </w:r>
          </w:p>
          <w:p w14:paraId="7DF44C6D" w14:textId="77777777" w:rsidR="00306535" w:rsidRPr="00E94619" w:rsidRDefault="00306535" w:rsidP="000E5AC0">
            <w:pPr>
              <w:pBdr>
                <w:top w:val="nil"/>
                <w:left w:val="nil"/>
                <w:bottom w:val="nil"/>
                <w:right w:val="nil"/>
                <w:between w:val="nil"/>
              </w:pBdr>
              <w:spacing w:after="0" w:line="240" w:lineRule="auto"/>
              <w:rPr>
                <w:rFonts w:ascii="Century Gothic" w:hAnsi="Century Gothic"/>
                <w:color w:val="000000"/>
                <w:sz w:val="16"/>
                <w:szCs w:val="16"/>
              </w:rPr>
            </w:pPr>
            <w:r w:rsidRPr="00E94619">
              <w:rPr>
                <w:rFonts w:ascii="Century Gothic" w:hAnsi="Century Gothic"/>
                <w:color w:val="000000"/>
                <w:sz w:val="16"/>
                <w:szCs w:val="16"/>
              </w:rPr>
              <w:t>-Decreto 2616 de 2013: Afiliación de trabajadores dependientes por semana a seguridad social.</w:t>
            </w:r>
          </w:p>
          <w:p w14:paraId="2024DBC6"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-Decreto 721 de 2013: acceso a subsidio familiar.</w:t>
            </w:r>
          </w:p>
          <w:p w14:paraId="410FFD3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1595 de 2012: por la cual se aprueba el convenio sobre el trabajo decente para las trabajadoras-es domésticos.</w:t>
            </w:r>
          </w:p>
          <w:p w14:paraId="1D7303D9" w14:textId="59F4A029" w:rsidR="00306535" w:rsidRPr="00E94619" w:rsidRDefault="00BD41A8" w:rsidP="000E5AC0">
            <w:pPr>
              <w:pBdr>
                <w:top w:val="nil"/>
                <w:left w:val="nil"/>
                <w:bottom w:val="nil"/>
                <w:right w:val="nil"/>
                <w:between w:val="nil"/>
              </w:pBdr>
              <w:spacing w:after="0" w:line="240" w:lineRule="auto"/>
              <w:jc w:val="both"/>
              <w:rPr>
                <w:rFonts w:ascii="Century Gothic" w:hAnsi="Century Gothic"/>
                <w:color w:val="000000"/>
                <w:sz w:val="16"/>
                <w:szCs w:val="16"/>
              </w:rPr>
            </w:pPr>
            <w:r>
              <w:rPr>
                <w:rFonts w:ascii="Century Gothic" w:hAnsi="Century Gothic"/>
                <w:b/>
                <w:noProof/>
                <w:szCs w:val="24"/>
                <w:lang w:val="es-ES"/>
              </w:rPr>
              <w:drawing>
                <wp:anchor distT="0" distB="0" distL="114300" distR="114300" simplePos="0" relativeHeight="251909120" behindDoc="0" locked="0" layoutInCell="1" allowOverlap="1" wp14:anchorId="52F511DE" wp14:editId="5FE90D77">
                  <wp:simplePos x="0" y="0"/>
                  <wp:positionH relativeFrom="column">
                    <wp:posOffset>-1080135</wp:posOffset>
                  </wp:positionH>
                  <wp:positionV relativeFrom="paragraph">
                    <wp:posOffset>-9161780</wp:posOffset>
                  </wp:positionV>
                  <wp:extent cx="965835" cy="708660"/>
                  <wp:effectExtent l="0" t="0" r="0" b="0"/>
                  <wp:wrapNone/>
                  <wp:docPr id="424" name="Imagen 4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06535" w:rsidRPr="00E94619">
              <w:rPr>
                <w:rFonts w:ascii="Century Gothic" w:hAnsi="Century Gothic"/>
                <w:color w:val="000000"/>
                <w:sz w:val="16"/>
                <w:szCs w:val="16"/>
              </w:rPr>
              <w:t>-Sentencia 185 de 2016 de la Corte Constitucional: las empleadas domésticas son sujetos de especial protección.</w:t>
            </w:r>
          </w:p>
          <w:p w14:paraId="60676AE1" w14:textId="6C9073AA"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 xml:space="preserve">-Sentencia 586 de 2016 de la Corte Constitucional: las mujeres sin distinción de edad no pueden ser empleadas en trabajos subterráneos en minas, ni trabajar en labores peligrosas o que requieren grandes esfuerzos. </w:t>
            </w:r>
          </w:p>
          <w:p w14:paraId="7A7C2BC7"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08A85CA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Economía doméstica: </w:t>
            </w:r>
          </w:p>
          <w:p w14:paraId="3DF7CAD6"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-Ley 1413 de 2007: “por medio de la cual se regula la inclusión de la economía doméstica en el sistema de cuentas nacionales con el objetivo de medir la contribución de la mujer al desarrollo económico y social del país…”</w:t>
            </w:r>
          </w:p>
        </w:tc>
        <w:tc>
          <w:tcPr>
            <w:tcW w:w="2835" w:type="dxa"/>
          </w:tcPr>
          <w:p w14:paraId="662D4EDA" w14:textId="77777777" w:rsidR="00306535" w:rsidRPr="00E94619" w:rsidRDefault="00306535"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 xml:space="preserve">Sociedad civil: </w:t>
            </w:r>
          </w:p>
          <w:p w14:paraId="7336FC99"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-Banco de la Mujer: facilita créditos para mujeres.</w:t>
            </w:r>
          </w:p>
          <w:p w14:paraId="1F858001"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-Aldeas Infantiles SOS: estrategias para generación de ingresos para familias.</w:t>
            </w:r>
          </w:p>
          <w:p w14:paraId="5F8C7B1B"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-Vamos Mujer: mejoramiento de condiciones materiales de vida de las mujeres.</w:t>
            </w:r>
          </w:p>
          <w:p w14:paraId="2B5BA55C"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-Central Unitaria de Trabajadores CUT: informes sobre derechos laborales de las mujeres. </w:t>
            </w:r>
          </w:p>
          <w:p w14:paraId="75E37922" w14:textId="77777777" w:rsidR="00306535" w:rsidRPr="00E94619" w:rsidRDefault="00306535" w:rsidP="000E5AC0">
            <w:pPr>
              <w:spacing w:after="0" w:line="240" w:lineRule="auto"/>
              <w:jc w:val="both"/>
              <w:rPr>
                <w:rFonts w:ascii="Century Gothic" w:hAnsi="Century Gothic"/>
                <w:b/>
                <w:sz w:val="16"/>
                <w:szCs w:val="16"/>
              </w:rPr>
            </w:pPr>
          </w:p>
          <w:p w14:paraId="32AB0ED4" w14:textId="77777777" w:rsidR="00306535" w:rsidRPr="00E94619" w:rsidRDefault="00306535" w:rsidP="000E5AC0">
            <w:pPr>
              <w:spacing w:after="0" w:line="240" w:lineRule="auto"/>
              <w:jc w:val="both"/>
              <w:rPr>
                <w:rFonts w:ascii="Century Gothic" w:hAnsi="Century Gothic"/>
                <w:b/>
                <w:sz w:val="16"/>
                <w:szCs w:val="16"/>
              </w:rPr>
            </w:pPr>
            <w:r w:rsidRPr="00E94619">
              <w:rPr>
                <w:rFonts w:ascii="Century Gothic" w:hAnsi="Century Gothic"/>
                <w:b/>
                <w:sz w:val="16"/>
                <w:szCs w:val="16"/>
              </w:rPr>
              <w:t>Organizaciones Internacionales</w:t>
            </w:r>
          </w:p>
          <w:p w14:paraId="6764B00F"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-ONUMUJERES: trabaja por el empoderamiento económico de las mujeres.</w:t>
            </w:r>
          </w:p>
          <w:p w14:paraId="1CC30F82"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-PNUD:  trabaja en la certificación de igualdad de género de empresas y empoderamiento económico de las mujeres</w:t>
            </w:r>
          </w:p>
          <w:p w14:paraId="0236C2D3"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-OXFAM: empoderamiento económico de las mujeres.</w:t>
            </w:r>
          </w:p>
          <w:p w14:paraId="09DCCEE7"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-Cooperación Canadiense: apoya programas de empoderamiento económico de mujeres. </w:t>
            </w:r>
          </w:p>
        </w:tc>
        <w:tc>
          <w:tcPr>
            <w:tcW w:w="2835" w:type="dxa"/>
          </w:tcPr>
          <w:p w14:paraId="76FA3AE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-Eliminar las brechas laborales y salariales entre las mujeres y hombres. </w:t>
            </w:r>
          </w:p>
          <w:p w14:paraId="78B194B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-Crear estrategias sostenibles para eliminar la pobreza femenina, la cual sigue siendo más alta que la de los hombres. </w:t>
            </w:r>
          </w:p>
          <w:p w14:paraId="4FA3B41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-Crear estrategias para mejorar el acceso al trabajo de las mujeres cabeza de familia, así como garantizar sus derechos en éste. </w:t>
            </w:r>
          </w:p>
          <w:p w14:paraId="5641587B"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-Disminuir la informalidad laboral de las mujeres, ya que ésta lleva a una mayor desprotección social, inestabilidad económica y vulnerabilidad.</w:t>
            </w:r>
          </w:p>
          <w:p w14:paraId="23EC5D5F"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-Tomar medidas para mejorar la situación laboral de las mujeres rurales. </w:t>
            </w:r>
          </w:p>
          <w:p w14:paraId="3DC6D490"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-Trabajar con hombres y mujeres el tema de redistribución de roles dentro del hogar, buscando que sean más equitativos. </w:t>
            </w:r>
          </w:p>
          <w:p w14:paraId="0FD563FE"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-Tomar medidas para reconocer y atender el acoso sexual laboral, ya que según la Encuesta de Percepción de Acoso Sexual (2014) el 13% de la población estudiada afirmó haber experimentado este tipo de violencia. Dentro de esta población el 63% eran mujeres y 37% hombres, sobre todo en el rango de edad de 18 a 29 años. </w:t>
            </w:r>
          </w:p>
          <w:p w14:paraId="0869CC49"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-Incluir en el Programa Nacional de Equidad Laboral con Enfoque Diferencial de Género estrategias contra el acoso sexual.</w:t>
            </w:r>
          </w:p>
          <w:p w14:paraId="5DCECB28"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 -Mejorar el acceso de las mujeres a los sistemas financieros.</w:t>
            </w:r>
          </w:p>
          <w:p w14:paraId="6154B80A"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-Promover el liderazgo de las mujeres en las diferentes áreas laborales. </w:t>
            </w:r>
          </w:p>
          <w:p w14:paraId="0A2530CD" w14:textId="77777777" w:rsidR="00306535" w:rsidRPr="00E94619" w:rsidRDefault="00306535"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-Según el PNUD que se creen centros de atención para niños y adultos; que se ponga en práctica una licencia parental y que ésta sea compartida entre ambos padres.</w:t>
            </w:r>
          </w:p>
          <w:p w14:paraId="4FCDE1CB"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-Vincular al sector público y privado en estrategias para facilitar el acceso de las mujeres al trabajo: mayor participación de las mujeres, lactancia materna, trabajo flexible, licencia materna. </w:t>
            </w:r>
          </w:p>
          <w:p w14:paraId="285C00DD"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-Fortalecer el Programa Nacional de Equidad Laboral con Enfoque Diferencial de Género. </w:t>
            </w:r>
          </w:p>
          <w:p w14:paraId="6C99E923" w14:textId="77777777" w:rsidR="00306535" w:rsidRPr="00E94619" w:rsidRDefault="00306535"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-Garantizar a las mujeres que desarrollan labores domésticas y de cuidado derechos como la seguridad social y una mejor </w:t>
            </w:r>
            <w:r w:rsidRPr="00E94619">
              <w:rPr>
                <w:rFonts w:ascii="Century Gothic" w:hAnsi="Century Gothic"/>
                <w:sz w:val="16"/>
                <w:szCs w:val="16"/>
              </w:rPr>
              <w:lastRenderedPageBreak/>
              <w:t>calidad de vida.</w:t>
            </w:r>
          </w:p>
        </w:tc>
      </w:tr>
    </w:tbl>
    <w:p w14:paraId="2DCF2B6A" w14:textId="77777777" w:rsidR="001238D7" w:rsidRPr="00E94619" w:rsidRDefault="001238D7" w:rsidP="000E5AC0">
      <w:pPr>
        <w:spacing w:after="0" w:line="240" w:lineRule="auto"/>
        <w:rPr>
          <w:rFonts w:ascii="Century Gothic" w:hAnsi="Century Gothic"/>
          <w:b/>
          <w:sz w:val="24"/>
          <w:szCs w:val="24"/>
        </w:rPr>
      </w:pPr>
    </w:p>
    <w:p w14:paraId="7FC152CD" w14:textId="675B2D7C" w:rsidR="001238D7" w:rsidRPr="00683C35" w:rsidRDefault="0036411F" w:rsidP="000E5AC0">
      <w:pPr>
        <w:pStyle w:val="Ttulo2"/>
        <w:rPr>
          <w:rFonts w:ascii="Century Gothic" w:hAnsi="Century Gothic"/>
          <w:color w:val="CC3366"/>
        </w:rPr>
      </w:pPr>
      <w:bookmarkStart w:id="105" w:name="_Toc488624320"/>
      <w:r w:rsidRPr="00683C35">
        <w:rPr>
          <w:rFonts w:ascii="Century Gothic" w:hAnsi="Century Gothic"/>
          <w:color w:val="CC3366"/>
        </w:rPr>
        <w:t>3. A</w:t>
      </w:r>
      <w:r w:rsidR="00683C35" w:rsidRPr="00683C35">
        <w:rPr>
          <w:rFonts w:ascii="Century Gothic" w:hAnsi="Century Gothic"/>
          <w:color w:val="CC3366"/>
        </w:rPr>
        <w:t>cceso de las mujeres a la tierra</w:t>
      </w:r>
      <w:bookmarkEnd w:id="105"/>
      <w:r w:rsidR="00683C35" w:rsidRPr="00683C35">
        <w:rPr>
          <w:rFonts w:ascii="Century Gothic" w:hAnsi="Century Gothic"/>
          <w:color w:val="CC3366"/>
        </w:rPr>
        <w:t xml:space="preserve"> </w:t>
      </w:r>
    </w:p>
    <w:p w14:paraId="369285BF" w14:textId="77777777" w:rsidR="001238D7" w:rsidRPr="00E94619" w:rsidRDefault="001238D7" w:rsidP="000E5AC0">
      <w:pPr>
        <w:spacing w:after="0" w:line="240" w:lineRule="auto"/>
        <w:jc w:val="both"/>
        <w:rPr>
          <w:rFonts w:ascii="Century Gothic" w:hAnsi="Century Gothic"/>
          <w:b/>
        </w:rPr>
      </w:pPr>
    </w:p>
    <w:p w14:paraId="2E21D338" w14:textId="77777777" w:rsidR="001238D7" w:rsidRPr="00E94619" w:rsidRDefault="003D0E66" w:rsidP="000E5AC0">
      <w:pPr>
        <w:spacing w:after="0" w:line="240" w:lineRule="auto"/>
        <w:jc w:val="both"/>
        <w:rPr>
          <w:rFonts w:ascii="Century Gothic" w:hAnsi="Century Gothic"/>
        </w:rPr>
      </w:pPr>
      <w:r w:rsidRPr="00E94619">
        <w:rPr>
          <w:rFonts w:ascii="Century Gothic" w:hAnsi="Century Gothic"/>
        </w:rPr>
        <w:t>Las mujeres representan el 47,2% de la población que habita en las zonas rurales del país. A pesar de ello, su rol en la economía rural y familiar y, por ende, sus condiciones sociales y económicas han sido históricamente invisibilizadas. Esto se debe, en parte, a la falta de información estadística confiable para las zonas rurales del país: en general, son pocas las variables que se encuentran desagregadas por sexo y el número de observaciones suele no ser suficiente para indagar de manera específica en las características de las mujeres. A ello se suma la poca disponibilidad de información rural a nivel territorial, lo que lleva a que se caracterice a las mujeres rurales como un grupo homogéneo, desconociendo su diversidad étnica y territorial, entre otras.</w:t>
      </w:r>
      <w:sdt>
        <w:sdtPr>
          <w:rPr>
            <w:rFonts w:ascii="Century Gothic" w:hAnsi="Century Gothic"/>
          </w:rPr>
          <w:id w:val="1881211768"/>
          <w:citation/>
        </w:sdtPr>
        <w:sdtContent>
          <w:r w:rsidR="005A448D" w:rsidRPr="00E94619">
            <w:rPr>
              <w:rFonts w:ascii="Century Gothic" w:hAnsi="Century Gothic"/>
            </w:rPr>
            <w:fldChar w:fldCharType="begin"/>
          </w:r>
          <w:r w:rsidR="005A448D" w:rsidRPr="00E94619">
            <w:rPr>
              <w:rFonts w:ascii="Century Gothic" w:hAnsi="Century Gothic"/>
            </w:rPr>
            <w:instrText xml:space="preserve"> CITATION Dir18 \l 9226 </w:instrText>
          </w:r>
          <w:r w:rsidR="005A448D" w:rsidRPr="00E94619">
            <w:rPr>
              <w:rFonts w:ascii="Century Gothic" w:hAnsi="Century Gothic"/>
            </w:rPr>
            <w:fldChar w:fldCharType="separate"/>
          </w:r>
          <w:r w:rsidR="005A448D" w:rsidRPr="00E94619">
            <w:rPr>
              <w:rFonts w:ascii="Century Gothic" w:hAnsi="Century Gothic"/>
              <w:noProof/>
            </w:rPr>
            <w:t xml:space="preserve"> (Dirección de Mujer Rural, Ministerio de Agricultura de Colombia, 2018)</w:t>
          </w:r>
          <w:r w:rsidR="005A448D" w:rsidRPr="00E94619">
            <w:rPr>
              <w:rFonts w:ascii="Century Gothic" w:hAnsi="Century Gothic"/>
            </w:rPr>
            <w:fldChar w:fldCharType="end"/>
          </w:r>
        </w:sdtContent>
      </w:sdt>
    </w:p>
    <w:p w14:paraId="62B0D539" w14:textId="77777777" w:rsidR="005A448D" w:rsidRPr="00E94619" w:rsidRDefault="005A448D" w:rsidP="000E5AC0">
      <w:pPr>
        <w:spacing w:after="0" w:line="240" w:lineRule="auto"/>
        <w:jc w:val="both"/>
        <w:rPr>
          <w:rFonts w:ascii="Century Gothic" w:hAnsi="Century Gothic"/>
          <w:i/>
        </w:rPr>
      </w:pPr>
    </w:p>
    <w:bookmarkStart w:id="106" w:name="_Toc488624321"/>
    <w:p w14:paraId="34F0C94B" w14:textId="77777777" w:rsidR="001238D7" w:rsidRPr="00683C35" w:rsidRDefault="00830DBC" w:rsidP="000E5AC0">
      <w:pPr>
        <w:pStyle w:val="Ttulo3"/>
        <w:jc w:val="both"/>
        <w:rPr>
          <w:rFonts w:ascii="Century Gothic" w:hAnsi="Century Gothic"/>
          <w:b w:val="0"/>
          <w:color w:val="CC3366"/>
        </w:rPr>
      </w:pPr>
      <w:sdt>
        <w:sdtPr>
          <w:rPr>
            <w:rFonts w:ascii="Century Gothic" w:hAnsi="Century Gothic"/>
          </w:rPr>
          <w:tag w:val="goog_rdk_89"/>
          <w:id w:val="-273086241"/>
        </w:sdtPr>
        <w:sdtContent/>
      </w:sdt>
      <w:r w:rsidR="0036411F" w:rsidRPr="00683C35">
        <w:rPr>
          <w:rFonts w:ascii="Century Gothic" w:hAnsi="Century Gothic"/>
          <w:b w:val="0"/>
          <w:color w:val="CC3366"/>
        </w:rPr>
        <w:t>3.1 Mujeres, hombres e indígenas, afro y campesinas con pruebas de titularidad de la tierra documentadas o reconocidas (ODS 1.5)</w:t>
      </w:r>
      <w:bookmarkEnd w:id="106"/>
    </w:p>
    <w:p w14:paraId="14671711" w14:textId="77777777" w:rsidR="001238D7" w:rsidRPr="00E94619" w:rsidRDefault="001238D7" w:rsidP="000E5AC0">
      <w:pPr>
        <w:spacing w:after="0" w:line="240" w:lineRule="auto"/>
        <w:jc w:val="both"/>
        <w:rPr>
          <w:rFonts w:ascii="Century Gothic" w:hAnsi="Century Gothic"/>
          <w:b/>
        </w:rPr>
      </w:pPr>
    </w:p>
    <w:p w14:paraId="51ECB254" w14:textId="77777777" w:rsidR="00407181" w:rsidRPr="00E94619" w:rsidRDefault="00C04CD9" w:rsidP="000E5AC0">
      <w:pPr>
        <w:spacing w:after="0" w:line="240" w:lineRule="auto"/>
        <w:jc w:val="both"/>
        <w:rPr>
          <w:rFonts w:ascii="Century Gothic" w:hAnsi="Century Gothic"/>
        </w:rPr>
      </w:pPr>
      <w:r w:rsidRPr="00E94619">
        <w:rPr>
          <w:rFonts w:ascii="Century Gothic" w:hAnsi="Century Gothic"/>
        </w:rPr>
        <w:t>Colombia es un país pluriétnico y multilingüe en el que hay cinco grupos étnicos reconocidos: (i) indígenas; (ii) raizales del Archipiélago de San Andrés, Providencia y Santa Catalina; (iii) población negra o afrocolombiana; (iv) Palenqueros de San Basilio; y (v) población Rrom o gitana. Entre 2010 y 2018, el número de personas en el país que se reconocen como pertenecientes a algún grupo étnico aumentó de 4,8 a 6,8 millones. La distribución de esta población entre el campo y la ciudad cambió en los 8 años de referencia: la proporción en la zona rural aumentó de 32,7% a 39,7%, mientras que en la zona urbana disminuyó de 67,3% a 60,3%. Esto se debe, principalmente, a cambios demográficos y migratorios5 en el grupo de personas que se autorreconocen como indígenas</w:t>
      </w:r>
      <w:sdt>
        <w:sdtPr>
          <w:rPr>
            <w:rFonts w:ascii="Century Gothic" w:hAnsi="Century Gothic"/>
          </w:rPr>
          <w:id w:val="-903223489"/>
          <w:citation/>
        </w:sdtPr>
        <w:sdtContent>
          <w:r w:rsidR="00407181" w:rsidRPr="00E94619">
            <w:rPr>
              <w:rFonts w:ascii="Century Gothic" w:hAnsi="Century Gothic"/>
            </w:rPr>
            <w:fldChar w:fldCharType="begin"/>
          </w:r>
          <w:r w:rsidR="00407181" w:rsidRPr="00E94619">
            <w:rPr>
              <w:rFonts w:ascii="Century Gothic" w:hAnsi="Century Gothic"/>
            </w:rPr>
            <w:instrText xml:space="preserve"> CITATION Dir18 \l 9226 </w:instrText>
          </w:r>
          <w:r w:rsidR="00407181" w:rsidRPr="00E94619">
            <w:rPr>
              <w:rFonts w:ascii="Century Gothic" w:hAnsi="Century Gothic"/>
            </w:rPr>
            <w:fldChar w:fldCharType="separate"/>
          </w:r>
          <w:r w:rsidR="00407181" w:rsidRPr="00E94619">
            <w:rPr>
              <w:rFonts w:ascii="Century Gothic" w:hAnsi="Century Gothic"/>
              <w:noProof/>
            </w:rPr>
            <w:t xml:space="preserve"> (Dirección de Mujer Rural, Ministerio de Agricultura de Colombia, 2018)</w:t>
          </w:r>
          <w:r w:rsidR="00407181" w:rsidRPr="00E94619">
            <w:rPr>
              <w:rFonts w:ascii="Century Gothic" w:hAnsi="Century Gothic"/>
            </w:rPr>
            <w:fldChar w:fldCharType="end"/>
          </w:r>
        </w:sdtContent>
      </w:sdt>
      <w:r w:rsidRPr="00E94619">
        <w:rPr>
          <w:rFonts w:ascii="Century Gothic" w:hAnsi="Century Gothic"/>
        </w:rPr>
        <w:t xml:space="preserve">. </w:t>
      </w:r>
    </w:p>
    <w:p w14:paraId="0082217A" w14:textId="77777777" w:rsidR="00407181" w:rsidRPr="00E94619" w:rsidRDefault="00407181" w:rsidP="000E5AC0">
      <w:pPr>
        <w:spacing w:after="0" w:line="240" w:lineRule="auto"/>
        <w:jc w:val="both"/>
        <w:rPr>
          <w:rFonts w:ascii="Century Gothic" w:hAnsi="Century Gothic"/>
        </w:rPr>
      </w:pPr>
    </w:p>
    <w:p w14:paraId="1B4AFA72" w14:textId="40A4D1D3" w:rsidR="001238D7" w:rsidRPr="00E94619" w:rsidRDefault="00BD41A8"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911168" behindDoc="0" locked="0" layoutInCell="1" allowOverlap="1" wp14:anchorId="079B3F74" wp14:editId="2CC0340A">
            <wp:simplePos x="0" y="0"/>
            <wp:positionH relativeFrom="column">
              <wp:posOffset>-1080135</wp:posOffset>
            </wp:positionH>
            <wp:positionV relativeFrom="paragraph">
              <wp:posOffset>-8341360</wp:posOffset>
            </wp:positionV>
            <wp:extent cx="965835" cy="708660"/>
            <wp:effectExtent l="0" t="0" r="0" b="0"/>
            <wp:wrapNone/>
            <wp:docPr id="425" name="Imagen 42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C04CD9" w:rsidRPr="00E94619">
        <w:rPr>
          <w:rFonts w:ascii="Century Gothic" w:hAnsi="Century Gothic"/>
        </w:rPr>
        <w:t>En total, el número de personas que se reconocen como pertenecientes a alguna etnia aumentó de 1,6 a 2,7 millones en zonas rurales. Además, mientras que en 2010 el 15,0% de las mujeres y el 14,8% de los hombres se identificaron como tales; para 2018, esta proporción creció 9,0 y 8,3 puntos porcentuales, respectivamente</w:t>
      </w:r>
      <w:r w:rsidR="00407181" w:rsidRPr="00E94619">
        <w:rPr>
          <w:rFonts w:ascii="Century Gothic" w:hAnsi="Century Gothic"/>
        </w:rPr>
        <w:t xml:space="preserve">. </w:t>
      </w:r>
      <w:r w:rsidR="008B0A5F" w:rsidRPr="00E94619">
        <w:rPr>
          <w:rFonts w:ascii="Century Gothic" w:hAnsi="Century Gothic"/>
        </w:rPr>
        <w:t xml:space="preserve">En 2018, del total de mujeres rurales pertenecientes a algún grupo étnico, el 59,0% se reconocieron como indígenas y el 41,0% como afrodescendientes. Comparativamente, es menor la proporción de mujeres que de hombres indígenas, así como de mujeres que de hombres </w:t>
      </w:r>
      <w:r w:rsidR="008B0A5F" w:rsidRPr="00E94619">
        <w:rPr>
          <w:rFonts w:ascii="Century Gothic" w:hAnsi="Century Gothic"/>
        </w:rPr>
        <w:lastRenderedPageBreak/>
        <w:t>afrodescendientes. Por cada 100 mujeres indígenas hay 104 hombres indígenas, y por cada 100 mujeres afrocolombianas hay 112 hombres afrocolombianos.</w:t>
      </w:r>
      <w:sdt>
        <w:sdtPr>
          <w:rPr>
            <w:rFonts w:ascii="Century Gothic" w:hAnsi="Century Gothic"/>
          </w:rPr>
          <w:id w:val="1576089273"/>
          <w:citation/>
        </w:sdtPr>
        <w:sdtContent>
          <w:r w:rsidR="00407181" w:rsidRPr="00E94619">
            <w:rPr>
              <w:rFonts w:ascii="Century Gothic" w:hAnsi="Century Gothic"/>
            </w:rPr>
            <w:fldChar w:fldCharType="begin"/>
          </w:r>
          <w:r w:rsidR="00407181" w:rsidRPr="00E94619">
            <w:rPr>
              <w:rFonts w:ascii="Century Gothic" w:hAnsi="Century Gothic"/>
            </w:rPr>
            <w:instrText xml:space="preserve"> CITATION Dir18 \l 9226 </w:instrText>
          </w:r>
          <w:r w:rsidR="00407181" w:rsidRPr="00E94619">
            <w:rPr>
              <w:rFonts w:ascii="Century Gothic" w:hAnsi="Century Gothic"/>
            </w:rPr>
            <w:fldChar w:fldCharType="separate"/>
          </w:r>
          <w:r w:rsidR="00407181" w:rsidRPr="00E94619">
            <w:rPr>
              <w:rFonts w:ascii="Century Gothic" w:hAnsi="Century Gothic"/>
              <w:noProof/>
            </w:rPr>
            <w:t xml:space="preserve"> (Dirección de Mujer Rural, Ministerio de Agricultura de Colombia, 2018)</w:t>
          </w:r>
          <w:r w:rsidR="00407181" w:rsidRPr="00E94619">
            <w:rPr>
              <w:rFonts w:ascii="Century Gothic" w:hAnsi="Century Gothic"/>
            </w:rPr>
            <w:fldChar w:fldCharType="end"/>
          </w:r>
        </w:sdtContent>
      </w:sdt>
      <w:r w:rsidR="0036411F" w:rsidRPr="00E94619">
        <w:rPr>
          <w:rFonts w:ascii="Century Gothic" w:hAnsi="Century Gothic"/>
        </w:rPr>
        <w:t xml:space="preserve"> </w:t>
      </w:r>
    </w:p>
    <w:p w14:paraId="2676B8F0" w14:textId="6BDE8BF7" w:rsidR="008B0A5F" w:rsidRPr="00E94619" w:rsidRDefault="00BD41A8"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913216" behindDoc="0" locked="0" layoutInCell="1" allowOverlap="1" wp14:anchorId="086CB72E" wp14:editId="1A1CB41C">
            <wp:simplePos x="0" y="0"/>
            <wp:positionH relativeFrom="column">
              <wp:posOffset>-1080135</wp:posOffset>
            </wp:positionH>
            <wp:positionV relativeFrom="paragraph">
              <wp:posOffset>-1508125</wp:posOffset>
            </wp:positionV>
            <wp:extent cx="965835" cy="708660"/>
            <wp:effectExtent l="0" t="0" r="0" b="0"/>
            <wp:wrapNone/>
            <wp:docPr id="426" name="Imagen 42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33A1A625" w14:textId="2673A127" w:rsidR="001238D7" w:rsidRPr="00683C35" w:rsidRDefault="0036411F" w:rsidP="000E5AC0">
      <w:pPr>
        <w:pStyle w:val="Ttulo3"/>
        <w:rPr>
          <w:rFonts w:ascii="Century Gothic" w:hAnsi="Century Gothic"/>
          <w:b w:val="0"/>
          <w:color w:val="CC3366"/>
        </w:rPr>
      </w:pPr>
      <w:bookmarkStart w:id="107" w:name="_Toc488624322"/>
      <w:r w:rsidRPr="00683C35">
        <w:rPr>
          <w:rFonts w:ascii="Century Gothic" w:hAnsi="Century Gothic"/>
          <w:b w:val="0"/>
          <w:color w:val="CC3366"/>
        </w:rPr>
        <w:t>3.2</w:t>
      </w:r>
      <w:r w:rsidR="00683C35">
        <w:rPr>
          <w:rFonts w:ascii="Century Gothic" w:hAnsi="Century Gothic"/>
          <w:b w:val="0"/>
          <w:color w:val="CC3366"/>
        </w:rPr>
        <w:t>.</w:t>
      </w:r>
      <w:r w:rsidRPr="00683C35">
        <w:rPr>
          <w:rFonts w:ascii="Century Gothic" w:hAnsi="Century Gothic"/>
          <w:b w:val="0"/>
          <w:color w:val="CC3366"/>
        </w:rPr>
        <w:t xml:space="preserve"> Tenencia de la tierra</w:t>
      </w:r>
      <w:bookmarkEnd w:id="107"/>
    </w:p>
    <w:p w14:paraId="5B6F9831" w14:textId="77777777" w:rsidR="001238D7" w:rsidRPr="00E94619" w:rsidRDefault="001238D7" w:rsidP="000E5AC0">
      <w:pPr>
        <w:spacing w:after="0" w:line="240" w:lineRule="auto"/>
        <w:jc w:val="both"/>
        <w:rPr>
          <w:rFonts w:ascii="Century Gothic" w:hAnsi="Century Gothic"/>
          <w:b/>
        </w:rPr>
      </w:pPr>
    </w:p>
    <w:p w14:paraId="632E8194"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El Tercer Censo Nacional Agropecuario también indagó por la propiedad de la tierra, presentando información sobre los tipos de relación jurídica que se pueden dar entre el productor agropecuario y la tierra donde desarrolla la actividad agropecuaria. El tipo de relaciones pueden ser: propiedad, arriendo, usufructo, comodato, ocupación de hecho, propiedad colectiva y adjudicatario o comunero.</w:t>
      </w:r>
    </w:p>
    <w:p w14:paraId="0A2DF0F9" w14:textId="77777777" w:rsidR="001238D7" w:rsidRPr="00E94619" w:rsidRDefault="001238D7" w:rsidP="000E5AC0">
      <w:pPr>
        <w:spacing w:after="0" w:line="240" w:lineRule="auto"/>
        <w:jc w:val="both"/>
        <w:rPr>
          <w:rFonts w:ascii="Century Gothic" w:hAnsi="Century Gothic"/>
        </w:rPr>
      </w:pPr>
    </w:p>
    <w:p w14:paraId="1F822AA5" w14:textId="77777777" w:rsidR="00525087" w:rsidRPr="00E94619" w:rsidRDefault="0036411F" w:rsidP="000E5AC0">
      <w:pPr>
        <w:spacing w:after="0" w:line="240" w:lineRule="auto"/>
        <w:jc w:val="both"/>
        <w:rPr>
          <w:rFonts w:ascii="Century Gothic" w:hAnsi="Century Gothic"/>
        </w:rPr>
      </w:pPr>
      <w:r w:rsidRPr="00E94619">
        <w:rPr>
          <w:rFonts w:ascii="Century Gothic" w:hAnsi="Century Gothic"/>
        </w:rPr>
        <w:t xml:space="preserve">Para lograr información sobre la propiedad de la tierra en lo referente a las mujeres, en el Censo en mención se consideró la Unidad de Producción Agropecuaria (UPA) y se tuvo como parámetro a las mujeres tomadoras de decisiones de producción, por lo tanto, solo registraron datos de las mujeres productoras de la UPA y se consideraron los tipos de relación jurídica frente a la tierra ya mencionados. </w:t>
      </w:r>
      <w:sdt>
        <w:sdtPr>
          <w:rPr>
            <w:rFonts w:ascii="Century Gothic" w:hAnsi="Century Gothic"/>
          </w:rPr>
          <w:id w:val="1820538108"/>
          <w:citation/>
        </w:sdtPr>
        <w:sdtContent>
          <w:r w:rsidR="00DA0FA9" w:rsidRPr="00E94619">
            <w:rPr>
              <w:rFonts w:ascii="Century Gothic" w:hAnsi="Century Gothic"/>
            </w:rPr>
            <w:fldChar w:fldCharType="begin"/>
          </w:r>
          <w:r w:rsidR="00DA0FA9" w:rsidRPr="00E94619">
            <w:rPr>
              <w:rFonts w:ascii="Century Gothic" w:hAnsi="Century Gothic"/>
            </w:rPr>
            <w:instrText xml:space="preserve"> CITATION Dir18 \l 9226 </w:instrText>
          </w:r>
          <w:r w:rsidR="00DA0FA9" w:rsidRPr="00E94619">
            <w:rPr>
              <w:rFonts w:ascii="Century Gothic" w:hAnsi="Century Gothic"/>
            </w:rPr>
            <w:fldChar w:fldCharType="separate"/>
          </w:r>
          <w:r w:rsidR="00DA0FA9" w:rsidRPr="00E94619">
            <w:rPr>
              <w:rFonts w:ascii="Century Gothic" w:hAnsi="Century Gothic"/>
              <w:noProof/>
            </w:rPr>
            <w:t>(Dirección de Mujer Rural, Ministerio de Agricultura de Colombia, 2018)</w:t>
          </w:r>
          <w:r w:rsidR="00DA0FA9" w:rsidRPr="00E94619">
            <w:rPr>
              <w:rFonts w:ascii="Century Gothic" w:hAnsi="Century Gothic"/>
            </w:rPr>
            <w:fldChar w:fldCharType="end"/>
          </w:r>
        </w:sdtContent>
      </w:sdt>
    </w:p>
    <w:p w14:paraId="5FAAB988" w14:textId="77777777" w:rsidR="00525087" w:rsidRPr="00E94619" w:rsidRDefault="00525087" w:rsidP="000E5AC0">
      <w:pPr>
        <w:spacing w:after="0" w:line="240" w:lineRule="auto"/>
        <w:jc w:val="both"/>
        <w:rPr>
          <w:rFonts w:ascii="Century Gothic" w:hAnsi="Century Gothic"/>
        </w:rPr>
      </w:pPr>
    </w:p>
    <w:p w14:paraId="339C7C16" w14:textId="77777777" w:rsidR="00717840" w:rsidRPr="00E94619" w:rsidRDefault="00717840" w:rsidP="000E5AC0">
      <w:pPr>
        <w:spacing w:after="0" w:line="240" w:lineRule="auto"/>
        <w:jc w:val="both"/>
        <w:rPr>
          <w:rFonts w:ascii="Century Gothic" w:hAnsi="Century Gothic"/>
        </w:rPr>
      </w:pPr>
      <w:r w:rsidRPr="00E94619">
        <w:rPr>
          <w:rFonts w:ascii="Century Gothic" w:hAnsi="Century Gothic"/>
        </w:rPr>
        <w:t>De las UPA de personas naturales, alrededor del 72,1% de los productores declaran tenencia propia, mientras que las UPA restantes son arrendadas o se tienen en condición de aparcería, usufructo, comodato y ocupación de hecho, entre otras. Se observa que no existe una brecha significativa entre hombres y mujeres en relación con el régimen de tenencia de la tierra.</w:t>
      </w:r>
      <w:sdt>
        <w:sdtPr>
          <w:rPr>
            <w:rFonts w:ascii="Century Gothic" w:hAnsi="Century Gothic"/>
          </w:rPr>
          <w:id w:val="13661546"/>
          <w:citation/>
        </w:sdtPr>
        <w:sdtContent>
          <w:r w:rsidRPr="00E94619">
            <w:rPr>
              <w:rFonts w:ascii="Century Gothic" w:hAnsi="Century Gothic"/>
            </w:rPr>
            <w:fldChar w:fldCharType="begin"/>
          </w:r>
          <w:r w:rsidRPr="00E94619">
            <w:rPr>
              <w:rFonts w:ascii="Century Gothic" w:hAnsi="Century Gothic"/>
            </w:rPr>
            <w:instrText xml:space="preserve"> CITATION Dir18 \l 9226 </w:instrText>
          </w:r>
          <w:r w:rsidRPr="00E94619">
            <w:rPr>
              <w:rFonts w:ascii="Century Gothic" w:hAnsi="Century Gothic"/>
            </w:rPr>
            <w:fldChar w:fldCharType="separate"/>
          </w:r>
          <w:r w:rsidRPr="00E94619">
            <w:rPr>
              <w:rFonts w:ascii="Century Gothic" w:hAnsi="Century Gothic"/>
              <w:noProof/>
            </w:rPr>
            <w:t xml:space="preserve"> (Dirección de Mujer Rural, Ministerio de Agricultura de Colombia, 2018)</w:t>
          </w:r>
          <w:r w:rsidRPr="00E94619">
            <w:rPr>
              <w:rFonts w:ascii="Century Gothic" w:hAnsi="Century Gothic"/>
            </w:rPr>
            <w:fldChar w:fldCharType="end"/>
          </w:r>
        </w:sdtContent>
      </w:sdt>
    </w:p>
    <w:p w14:paraId="15511E21" w14:textId="77777777" w:rsidR="006A3DAA" w:rsidRPr="00E94619" w:rsidRDefault="006A3DAA" w:rsidP="000E5AC0">
      <w:pPr>
        <w:spacing w:after="0" w:line="240" w:lineRule="auto"/>
        <w:jc w:val="both"/>
        <w:rPr>
          <w:rFonts w:ascii="Century Gothic" w:hAnsi="Century Gothic"/>
        </w:rPr>
      </w:pPr>
    </w:p>
    <w:p w14:paraId="63FD8C10" w14:textId="77777777" w:rsidR="006A3DAA" w:rsidRPr="00E94619" w:rsidRDefault="006A3DAA" w:rsidP="000E5AC0">
      <w:pPr>
        <w:spacing w:after="0" w:line="240" w:lineRule="auto"/>
        <w:jc w:val="both"/>
        <w:rPr>
          <w:rFonts w:ascii="Century Gothic" w:hAnsi="Century Gothic"/>
        </w:rPr>
      </w:pPr>
      <w:r w:rsidRPr="00E94619">
        <w:rPr>
          <w:rFonts w:ascii="Century Gothic" w:hAnsi="Century Gothic"/>
        </w:rPr>
        <w:t>Para facilitar el acceso a la tierra, el M</w:t>
      </w:r>
      <w:r w:rsidR="00C734D4" w:rsidRPr="00E94619">
        <w:rPr>
          <w:rFonts w:ascii="Century Gothic" w:hAnsi="Century Gothic"/>
        </w:rPr>
        <w:t>inisterio de Desarrollo Rural,</w:t>
      </w:r>
      <w:r w:rsidRPr="00E94619">
        <w:rPr>
          <w:rFonts w:ascii="Century Gothic" w:hAnsi="Century Gothic"/>
        </w:rPr>
        <w:t xml:space="preserve"> a través de la Agencia Nacional de Tierras (ANT), cuenta con programas de adjudicación y formalización de la propiedad rural para personas naturales, colectivas y asociaciones e instituciones. En particular, la ANT ha implementado medidas para facilitar el acceso y tenencia de la tierra por parte de las mujeres, de la mano de un marco legislativo más incluyente. La mayoría de las mujeres se benefician a través de los programas que brindan acceso a tierras a personas naturales. Así, entre 2016 y 2018, el número de mujeres beneficiarias de los diferentes procesos de acceso y formalización incrementó de 3.722 mujeres (el 40,8% del total de beneficiarios) a 8.486 mujeres (el 38,8% del total de beneficiarios) –un incremento de 127,9%– . Además, mientras que en 2017 por cada ocho beneficiarios de titulación había tres mujeres, en 2018 por cada cinco beneficiarios de titulación había dos mujeres</w:t>
      </w:r>
    </w:p>
    <w:p w14:paraId="10F324DF" w14:textId="77777777" w:rsidR="00A47BC7" w:rsidRPr="00E94619" w:rsidRDefault="00A47BC7" w:rsidP="000E5AC0">
      <w:pPr>
        <w:spacing w:after="0" w:line="240" w:lineRule="auto"/>
        <w:jc w:val="both"/>
        <w:rPr>
          <w:rFonts w:ascii="Century Gothic" w:hAnsi="Century Gothic"/>
        </w:rPr>
      </w:pPr>
    </w:p>
    <w:p w14:paraId="5ADA376E" w14:textId="3CFA2079" w:rsidR="001238D7" w:rsidRPr="00683C35" w:rsidRDefault="0036411F" w:rsidP="000E5AC0">
      <w:pPr>
        <w:pStyle w:val="Ttulo3"/>
        <w:jc w:val="both"/>
        <w:rPr>
          <w:rFonts w:ascii="Century Gothic" w:hAnsi="Century Gothic"/>
          <w:b w:val="0"/>
          <w:color w:val="CC3366"/>
        </w:rPr>
      </w:pPr>
      <w:bookmarkStart w:id="108" w:name="_Toc488624323"/>
      <w:r w:rsidRPr="00683C35">
        <w:rPr>
          <w:rFonts w:ascii="Century Gothic" w:hAnsi="Century Gothic"/>
          <w:b w:val="0"/>
          <w:color w:val="CC3366"/>
        </w:rPr>
        <w:t>3.3</w:t>
      </w:r>
      <w:r w:rsidR="00683C35" w:rsidRPr="00683C35">
        <w:rPr>
          <w:rFonts w:ascii="Century Gothic" w:hAnsi="Century Gothic"/>
          <w:b w:val="0"/>
          <w:color w:val="CC3366"/>
        </w:rPr>
        <w:t>.</w:t>
      </w:r>
      <w:r w:rsidRPr="00683C35">
        <w:rPr>
          <w:rFonts w:ascii="Century Gothic" w:hAnsi="Century Gothic"/>
          <w:b w:val="0"/>
          <w:color w:val="CC3366"/>
        </w:rPr>
        <w:t xml:space="preserve"> Acceso a asistencia técnica, créditos y maquinaria en las UPA de mujeres productoras</w:t>
      </w:r>
      <w:bookmarkEnd w:id="108"/>
    </w:p>
    <w:p w14:paraId="008D6E8D" w14:textId="77777777" w:rsidR="001238D7" w:rsidRPr="00E94619" w:rsidRDefault="001238D7" w:rsidP="000E5AC0">
      <w:pPr>
        <w:spacing w:after="0" w:line="240" w:lineRule="auto"/>
        <w:jc w:val="both"/>
        <w:rPr>
          <w:rFonts w:ascii="Century Gothic" w:hAnsi="Century Gothic"/>
          <w:b/>
        </w:rPr>
      </w:pPr>
    </w:p>
    <w:p w14:paraId="4CD6C6CD" w14:textId="7939C675"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El Tercer Censo Nacional Agropecuario presenta información sobre el tipo de soporte técnico y financiero recibido por las mujeres productoras. Con relación al uso de maquinaria, crédito y asistencia técnica, las unidades de los hombres presentan mayor proporción (27.8%) con respecto a las de las mujeres productoras (10,4%).  En todos los departamentos del país, en las UPA de </w:t>
      </w:r>
      <w:r w:rsidRPr="00E94619">
        <w:rPr>
          <w:rFonts w:ascii="Century Gothic" w:hAnsi="Century Gothic"/>
        </w:rPr>
        <w:lastRenderedPageBreak/>
        <w:t>personas naturales de mujeres productoras tienen menor proporción de maquinaria, con respecto al total.</w:t>
      </w:r>
    </w:p>
    <w:p w14:paraId="66958D6C" w14:textId="6ECFAE67" w:rsidR="001238D7" w:rsidRPr="00E94619" w:rsidRDefault="00BD41A8"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915264" behindDoc="0" locked="0" layoutInCell="1" allowOverlap="1" wp14:anchorId="5C32128E" wp14:editId="54222EF4">
            <wp:simplePos x="0" y="0"/>
            <wp:positionH relativeFrom="column">
              <wp:posOffset>-1080135</wp:posOffset>
            </wp:positionH>
            <wp:positionV relativeFrom="paragraph">
              <wp:posOffset>-1165225</wp:posOffset>
            </wp:positionV>
            <wp:extent cx="965835" cy="708660"/>
            <wp:effectExtent l="0" t="0" r="0" b="0"/>
            <wp:wrapNone/>
            <wp:docPr id="427" name="Imagen 42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125F6392"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Las UPA que fueron registradas en el Censo bajo la responsabilidad de mujeres y hombres productores tuvieron mayor asistencia técnica (24.8%), que las de mujeres productoras solas (13%) y de hombres productores solos (18.4%).  En relación al financiamiento, también es mayor la proporción de UPA con mujeres y hombres productores (19%) que solicitaron crédito, frente a las UPA de las mujeres productoras solas(8.4%). </w:t>
      </w:r>
    </w:p>
    <w:p w14:paraId="707B8AC3" w14:textId="77777777" w:rsidR="00176410" w:rsidRPr="00E94619" w:rsidRDefault="00176410" w:rsidP="000E5AC0">
      <w:pPr>
        <w:spacing w:after="0" w:line="240" w:lineRule="auto"/>
        <w:jc w:val="both"/>
        <w:rPr>
          <w:rFonts w:ascii="Century Gothic" w:hAnsi="Century Gothic"/>
        </w:rPr>
      </w:pPr>
    </w:p>
    <w:p w14:paraId="4E8759EB" w14:textId="77777777" w:rsidR="00176410" w:rsidRPr="00E94619" w:rsidRDefault="00176410" w:rsidP="000E5AC0">
      <w:pPr>
        <w:spacing w:after="0" w:line="240" w:lineRule="auto"/>
        <w:jc w:val="both"/>
        <w:rPr>
          <w:rFonts w:ascii="Century Gothic" w:hAnsi="Century Gothic"/>
        </w:rPr>
      </w:pPr>
      <w:r w:rsidRPr="00E94619">
        <w:rPr>
          <w:rFonts w:ascii="Century Gothic" w:hAnsi="Century Gothic"/>
        </w:rPr>
        <w:t>En lo que concierne el apoyo para aumentar la productividad y la generación de ingresos, se estima que solo el 7,3% de las mujeres productoras han recibido asistencia técnica (hoy, servicios de extensión agropecuaria), en comparación con un 10,3% para hombres y un 17,3% para grupos mixtos de productores. Las bajas tasas de cobertura están asociadas a tres aspectos: i) las deficiencias en la provisión del servicio que será significativamente fortalecido con la reglamentación del Sistema Nacional de Innovación Agropecuario (Ley 1876 de 2017) –, ii) un énfasis en la provisión del servicio a esquemas asociativos de productores, quienes tienden a tener una actividad más consolidada y pueden aprovechar de una mejor manera la asistencia, y iii) factores culturales que privilegian la figura del hombre como cabeza del grupo productivo al momento de establecer los convenios de asistencia técnica.</w:t>
      </w:r>
      <w:sdt>
        <w:sdtPr>
          <w:rPr>
            <w:rFonts w:ascii="Century Gothic" w:hAnsi="Century Gothic"/>
          </w:rPr>
          <w:id w:val="-1335211851"/>
          <w:citation/>
        </w:sdtPr>
        <w:sdtContent>
          <w:r w:rsidR="00EB1D4A" w:rsidRPr="00E94619">
            <w:rPr>
              <w:rFonts w:ascii="Century Gothic" w:hAnsi="Century Gothic"/>
            </w:rPr>
            <w:fldChar w:fldCharType="begin"/>
          </w:r>
          <w:r w:rsidR="00EB1D4A" w:rsidRPr="00E94619">
            <w:rPr>
              <w:rFonts w:ascii="Century Gothic" w:hAnsi="Century Gothic"/>
            </w:rPr>
            <w:instrText xml:space="preserve"> CITATION Dir18 \l 9226 </w:instrText>
          </w:r>
          <w:r w:rsidR="00EB1D4A" w:rsidRPr="00E94619">
            <w:rPr>
              <w:rFonts w:ascii="Century Gothic" w:hAnsi="Century Gothic"/>
            </w:rPr>
            <w:fldChar w:fldCharType="separate"/>
          </w:r>
          <w:r w:rsidR="00EB1D4A" w:rsidRPr="00E94619">
            <w:rPr>
              <w:rFonts w:ascii="Century Gothic" w:hAnsi="Century Gothic"/>
              <w:noProof/>
            </w:rPr>
            <w:t xml:space="preserve"> (Dirección de Mujer Rural, Ministerio de Agricultura de Colombia, 2018)</w:t>
          </w:r>
          <w:r w:rsidR="00EB1D4A" w:rsidRPr="00E94619">
            <w:rPr>
              <w:rFonts w:ascii="Century Gothic" w:hAnsi="Century Gothic"/>
            </w:rPr>
            <w:fldChar w:fldCharType="end"/>
          </w:r>
        </w:sdtContent>
      </w:sdt>
    </w:p>
    <w:p w14:paraId="3991689C" w14:textId="77777777" w:rsidR="006B0FCA" w:rsidRPr="00E94619" w:rsidRDefault="006B0FCA" w:rsidP="000E5AC0">
      <w:pPr>
        <w:spacing w:after="0" w:line="240" w:lineRule="auto"/>
        <w:jc w:val="both"/>
        <w:rPr>
          <w:rFonts w:ascii="Century Gothic" w:hAnsi="Century Gothic"/>
        </w:rPr>
      </w:pPr>
    </w:p>
    <w:p w14:paraId="72B7E875" w14:textId="7619B0A7" w:rsidR="00700052" w:rsidRPr="00E94619" w:rsidRDefault="006B0FCA" w:rsidP="000E5AC0">
      <w:pPr>
        <w:spacing w:after="0" w:line="240" w:lineRule="auto"/>
        <w:jc w:val="both"/>
        <w:rPr>
          <w:rFonts w:ascii="Century Gothic" w:hAnsi="Century Gothic"/>
        </w:rPr>
      </w:pPr>
      <w:r w:rsidRPr="00E94619">
        <w:rPr>
          <w:rFonts w:ascii="Century Gothic" w:hAnsi="Century Gothic"/>
        </w:rPr>
        <w:t>En cuanto a la Línea de Crédito para la Mujer Rural de Bajos Ingresos, se observa que entre 2010 y 2017 se tuvieron, en promedio, 139 créditos colocados y desembolsos por valor de $1.062 millones anuales. Sin embargo, en 2018 la Línea tuvo una variación significativa (de 1.152 créditos) respecto al 2017 (Gráfico 44). Este aumento está relacionado con las distintas campañas de sensibilización en las oficinas y sucursales del Banco Agrario, con las capacitaciones al personal comercial, con la promoción de la línea y con un cambio en la reglamentación que modifica las condiciones de acceso para beneficiar a las mujeres que no son cabeza de hogar.</w:t>
      </w:r>
      <w:sdt>
        <w:sdtPr>
          <w:rPr>
            <w:rFonts w:ascii="Century Gothic" w:hAnsi="Century Gothic"/>
          </w:rPr>
          <w:id w:val="824168244"/>
          <w:citation/>
        </w:sdtPr>
        <w:sdtContent>
          <w:r w:rsidR="00700052" w:rsidRPr="00E94619">
            <w:rPr>
              <w:rFonts w:ascii="Century Gothic" w:hAnsi="Century Gothic"/>
            </w:rPr>
            <w:fldChar w:fldCharType="begin"/>
          </w:r>
          <w:r w:rsidR="00700052" w:rsidRPr="00E94619">
            <w:rPr>
              <w:rFonts w:ascii="Century Gothic" w:hAnsi="Century Gothic"/>
            </w:rPr>
            <w:instrText xml:space="preserve"> CITATION Dir18 \l 9226 </w:instrText>
          </w:r>
          <w:r w:rsidR="00700052" w:rsidRPr="00E94619">
            <w:rPr>
              <w:rFonts w:ascii="Century Gothic" w:hAnsi="Century Gothic"/>
            </w:rPr>
            <w:fldChar w:fldCharType="separate"/>
          </w:r>
          <w:r w:rsidR="00700052" w:rsidRPr="00E94619">
            <w:rPr>
              <w:rFonts w:ascii="Century Gothic" w:hAnsi="Century Gothic"/>
              <w:noProof/>
            </w:rPr>
            <w:t xml:space="preserve"> (Dirección de Mujer Rural, Ministerio de Agricultura de Colombia, 2018)</w:t>
          </w:r>
          <w:r w:rsidR="00700052" w:rsidRPr="00E94619">
            <w:rPr>
              <w:rFonts w:ascii="Century Gothic" w:hAnsi="Century Gothic"/>
            </w:rPr>
            <w:fldChar w:fldCharType="end"/>
          </w:r>
        </w:sdtContent>
      </w:sdt>
      <w:r w:rsidR="00683C35">
        <w:rPr>
          <w:rFonts w:ascii="Century Gothic" w:hAnsi="Century Gothic"/>
        </w:rPr>
        <w:t>.</w:t>
      </w:r>
    </w:p>
    <w:p w14:paraId="145DD761" w14:textId="77777777" w:rsidR="001238D7" w:rsidRPr="00E94619" w:rsidRDefault="001238D7" w:rsidP="000E5AC0">
      <w:pPr>
        <w:pStyle w:val="Ttulo3"/>
        <w:rPr>
          <w:rFonts w:ascii="Century Gothic" w:hAnsi="Century Gothic"/>
        </w:rPr>
      </w:pPr>
    </w:p>
    <w:p w14:paraId="6F1C55EA" w14:textId="529AEF4D" w:rsidR="001238D7" w:rsidRPr="00683C35" w:rsidRDefault="0036411F" w:rsidP="000E5AC0">
      <w:pPr>
        <w:pStyle w:val="Ttulo3"/>
        <w:rPr>
          <w:rFonts w:ascii="Century Gothic" w:hAnsi="Century Gothic"/>
          <w:b w:val="0"/>
          <w:color w:val="CC3366"/>
        </w:rPr>
      </w:pPr>
      <w:bookmarkStart w:id="109" w:name="_Toc488624324"/>
      <w:r w:rsidRPr="00683C35">
        <w:rPr>
          <w:rFonts w:ascii="Century Gothic" w:hAnsi="Century Gothic"/>
          <w:b w:val="0"/>
          <w:color w:val="CC3366"/>
        </w:rPr>
        <w:t>3.4</w:t>
      </w:r>
      <w:r w:rsidR="00683C35">
        <w:rPr>
          <w:rFonts w:ascii="Century Gothic" w:hAnsi="Century Gothic"/>
          <w:b w:val="0"/>
          <w:color w:val="CC3366"/>
        </w:rPr>
        <w:t>.</w:t>
      </w:r>
      <w:r w:rsidRPr="00683C35">
        <w:rPr>
          <w:rFonts w:ascii="Century Gothic" w:hAnsi="Century Gothic"/>
          <w:b w:val="0"/>
          <w:color w:val="CC3366"/>
        </w:rPr>
        <w:t xml:space="preserve"> Características de unidades productivas en las manos de las mujeres</w:t>
      </w:r>
      <w:bookmarkEnd w:id="109"/>
    </w:p>
    <w:p w14:paraId="2D18DC42" w14:textId="77777777" w:rsidR="001238D7" w:rsidRPr="00E94619" w:rsidRDefault="001238D7" w:rsidP="000E5AC0">
      <w:pPr>
        <w:spacing w:after="0" w:line="240" w:lineRule="auto"/>
        <w:jc w:val="both"/>
        <w:rPr>
          <w:rFonts w:ascii="Century Gothic" w:hAnsi="Century Gothic"/>
          <w:b/>
        </w:rPr>
      </w:pPr>
    </w:p>
    <w:p w14:paraId="5886E758" w14:textId="15501F92" w:rsidR="00490F50" w:rsidRDefault="00D81538" w:rsidP="000E5AC0">
      <w:pPr>
        <w:spacing w:after="0" w:line="240" w:lineRule="auto"/>
        <w:jc w:val="both"/>
        <w:rPr>
          <w:rFonts w:ascii="Century Gothic" w:hAnsi="Century Gothic"/>
        </w:rPr>
      </w:pPr>
      <w:r w:rsidRPr="00E94619">
        <w:rPr>
          <w:rFonts w:ascii="Century Gothic" w:hAnsi="Century Gothic"/>
        </w:rPr>
        <w:t>Al analizar las prácticas agropecuarias en las UPA por sexo del productor, es decir, contemplando las personas que participan en la toma de decisiones de producción, se encuentra que, por lo general, las mujeres tienen menor participación en las actividades agropecuarias que los hombres. Mientras que en el 25,1% de las UPA donde toman las decisiones las mujeres se trabaja con ganado bovino, en el caso de las UPA de los hombres la participación es del 31,4%. Así mismo, en el 36,8% de las UPA de las mujeres hay cultivos sembrados, en comparación con un 44,1% para las UPA de los hombres.</w:t>
      </w:r>
      <w:sdt>
        <w:sdtPr>
          <w:rPr>
            <w:rFonts w:ascii="Century Gothic" w:hAnsi="Century Gothic"/>
          </w:rPr>
          <w:id w:val="259344588"/>
          <w:citation/>
        </w:sdtPr>
        <w:sdtContent>
          <w:r w:rsidRPr="00E94619">
            <w:rPr>
              <w:rFonts w:ascii="Century Gothic" w:hAnsi="Century Gothic"/>
            </w:rPr>
            <w:fldChar w:fldCharType="begin"/>
          </w:r>
          <w:r w:rsidRPr="00E94619">
            <w:rPr>
              <w:rFonts w:ascii="Century Gothic" w:hAnsi="Century Gothic"/>
            </w:rPr>
            <w:instrText xml:space="preserve"> CITATION Dir18 \l 9226 </w:instrText>
          </w:r>
          <w:r w:rsidRPr="00E94619">
            <w:rPr>
              <w:rFonts w:ascii="Century Gothic" w:hAnsi="Century Gothic"/>
            </w:rPr>
            <w:fldChar w:fldCharType="separate"/>
          </w:r>
          <w:r w:rsidRPr="00E94619">
            <w:rPr>
              <w:rFonts w:ascii="Century Gothic" w:hAnsi="Century Gothic"/>
              <w:noProof/>
            </w:rPr>
            <w:t xml:space="preserve"> (Dirección de Mujer Rural, Ministerio de Agricultura de Colombia, 2018)</w:t>
          </w:r>
          <w:r w:rsidRPr="00E94619">
            <w:rPr>
              <w:rFonts w:ascii="Century Gothic" w:hAnsi="Century Gothic"/>
            </w:rPr>
            <w:fldChar w:fldCharType="end"/>
          </w:r>
        </w:sdtContent>
      </w:sdt>
      <w:r w:rsidR="00646447">
        <w:rPr>
          <w:rFonts w:ascii="Century Gothic" w:hAnsi="Century Gothic"/>
        </w:rPr>
        <w:t>.</w:t>
      </w:r>
    </w:p>
    <w:p w14:paraId="0B3BEF18" w14:textId="77777777" w:rsidR="00646447" w:rsidRDefault="00646447" w:rsidP="000E5AC0">
      <w:pPr>
        <w:spacing w:after="0" w:line="240" w:lineRule="auto"/>
        <w:jc w:val="both"/>
        <w:rPr>
          <w:rFonts w:ascii="Century Gothic" w:hAnsi="Century Gothic"/>
        </w:rPr>
      </w:pPr>
    </w:p>
    <w:p w14:paraId="3DD7F231" w14:textId="77777777" w:rsidR="00646447" w:rsidRDefault="00646447" w:rsidP="000E5AC0">
      <w:pPr>
        <w:spacing w:after="0" w:line="240" w:lineRule="auto"/>
        <w:jc w:val="both"/>
        <w:rPr>
          <w:rFonts w:ascii="Century Gothic" w:hAnsi="Century Gothic"/>
        </w:rPr>
      </w:pPr>
    </w:p>
    <w:p w14:paraId="20730696" w14:textId="77777777" w:rsidR="00646447" w:rsidRDefault="00646447" w:rsidP="000E5AC0">
      <w:pPr>
        <w:spacing w:after="0" w:line="240" w:lineRule="auto"/>
        <w:jc w:val="both"/>
        <w:rPr>
          <w:rFonts w:ascii="Century Gothic" w:hAnsi="Century Gothic"/>
        </w:rPr>
      </w:pPr>
    </w:p>
    <w:p w14:paraId="77D07896" w14:textId="77777777" w:rsidR="00646447" w:rsidRPr="00E94619" w:rsidRDefault="00646447" w:rsidP="000E5AC0">
      <w:pPr>
        <w:spacing w:after="0" w:line="240" w:lineRule="auto"/>
        <w:jc w:val="both"/>
        <w:rPr>
          <w:rFonts w:ascii="Century Gothic" w:hAnsi="Century Gothic"/>
        </w:rPr>
      </w:pPr>
    </w:p>
    <w:p w14:paraId="36F5250D" w14:textId="046C57EC" w:rsidR="00176410" w:rsidRPr="00E94619" w:rsidRDefault="00176410" w:rsidP="000E5AC0">
      <w:pPr>
        <w:spacing w:after="0" w:line="240" w:lineRule="auto"/>
        <w:jc w:val="both"/>
        <w:rPr>
          <w:rFonts w:ascii="Century Gothic" w:hAnsi="Century Gothic"/>
        </w:rPr>
      </w:pPr>
    </w:p>
    <w:p w14:paraId="759B2F06" w14:textId="1931A669" w:rsidR="001238D7" w:rsidRDefault="00BD41A8" w:rsidP="000E5AC0">
      <w:pPr>
        <w:spacing w:after="0"/>
        <w:jc w:val="both"/>
        <w:rPr>
          <w:rFonts w:ascii="Century Gothic" w:hAnsi="Century Gothic"/>
          <w:b/>
        </w:rPr>
      </w:pPr>
      <w:r>
        <w:rPr>
          <w:rFonts w:ascii="Century Gothic" w:hAnsi="Century Gothic"/>
          <w:b/>
          <w:noProof/>
          <w:szCs w:val="24"/>
          <w:lang w:val="es-ES"/>
        </w:rPr>
        <w:lastRenderedPageBreak/>
        <w:drawing>
          <wp:anchor distT="0" distB="0" distL="114300" distR="114300" simplePos="0" relativeHeight="251917312" behindDoc="0" locked="0" layoutInCell="1" allowOverlap="1" wp14:anchorId="50060363" wp14:editId="75BD2708">
            <wp:simplePos x="0" y="0"/>
            <wp:positionH relativeFrom="column">
              <wp:posOffset>-1080135</wp:posOffset>
            </wp:positionH>
            <wp:positionV relativeFrom="paragraph">
              <wp:posOffset>-822960</wp:posOffset>
            </wp:positionV>
            <wp:extent cx="965835" cy="708660"/>
            <wp:effectExtent l="0" t="0" r="0" b="0"/>
            <wp:wrapNone/>
            <wp:docPr id="428" name="Imagen 42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rPr>
        <w:t>Avances y retos para garantizar el acceso de las mujeres a la tierra</w:t>
      </w:r>
    </w:p>
    <w:p w14:paraId="1CDB47E6" w14:textId="77777777" w:rsidR="00683C35" w:rsidRPr="00E94619" w:rsidRDefault="00683C35" w:rsidP="000E5AC0">
      <w:pPr>
        <w:spacing w:after="0"/>
        <w:jc w:val="both"/>
        <w:rPr>
          <w:rFonts w:ascii="Century Gothic" w:hAnsi="Century Gothic"/>
          <w:b/>
        </w:rPr>
      </w:pPr>
    </w:p>
    <w:tbl>
      <w:tblPr>
        <w:tblStyle w:val="afffff8"/>
        <w:tblW w:w="8638"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2879"/>
        <w:gridCol w:w="2879"/>
        <w:gridCol w:w="2880"/>
      </w:tblGrid>
      <w:tr w:rsidR="001238D7" w:rsidRPr="00E94619" w14:paraId="0DF34BD4" w14:textId="77777777" w:rsidTr="00683C35">
        <w:tc>
          <w:tcPr>
            <w:tcW w:w="2879" w:type="dxa"/>
            <w:shd w:val="clear" w:color="auto" w:fill="FF99CC"/>
          </w:tcPr>
          <w:p w14:paraId="5D67E812"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b/>
                <w:sz w:val="16"/>
                <w:szCs w:val="16"/>
              </w:rPr>
              <w:t>Avances del estado</w:t>
            </w:r>
          </w:p>
        </w:tc>
        <w:tc>
          <w:tcPr>
            <w:tcW w:w="2879" w:type="dxa"/>
            <w:shd w:val="clear" w:color="auto" w:fill="FF99CC"/>
          </w:tcPr>
          <w:p w14:paraId="763EF425"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b/>
                <w:sz w:val="16"/>
                <w:szCs w:val="16"/>
              </w:rPr>
              <w:t xml:space="preserve">Sociedad civil </w:t>
            </w:r>
          </w:p>
        </w:tc>
        <w:tc>
          <w:tcPr>
            <w:tcW w:w="2880" w:type="dxa"/>
            <w:shd w:val="clear" w:color="auto" w:fill="FF99CC"/>
          </w:tcPr>
          <w:p w14:paraId="68292813"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b/>
                <w:sz w:val="16"/>
                <w:szCs w:val="16"/>
              </w:rPr>
              <w:t>Retos</w:t>
            </w:r>
          </w:p>
        </w:tc>
      </w:tr>
      <w:tr w:rsidR="001238D7" w:rsidRPr="00E94619" w14:paraId="7B3A1344" w14:textId="77777777" w:rsidTr="00683C35">
        <w:tc>
          <w:tcPr>
            <w:tcW w:w="2879" w:type="dxa"/>
          </w:tcPr>
          <w:p w14:paraId="49B0BF35"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-Política Pública Nacional de Equidad de Género para las Mujeres (2012): entre sus líneas está el fomento del acceso y uso a la propiedad y recursos productivos para las mujeres desde su diversidad.</w:t>
            </w:r>
          </w:p>
          <w:p w14:paraId="1CA44121"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-Ley 1448 de 2011: determina la atención a víctimas por el despojo de tierras.</w:t>
            </w:r>
          </w:p>
          <w:p w14:paraId="64633F8A"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-Acuerdo de Paz con la FARC-EP, 2016: incluye el tema de la tierra y tiene enfoque de género.</w:t>
            </w:r>
          </w:p>
          <w:p w14:paraId="4E8985F2"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 xml:space="preserve">-Departamento Nacional de Planeación- Misión del Campo, Saldar la deuda histórica con el campo: respuesta al paro campesino adelantado por diferentes agremiaciones campesinas en el año 2013 que establece que es necesario desarrollar una estrategia de derechos sociales que incluyan la seguridad alimentaria y nutricional, la vivienda, la educación y la salud para los campesinos-as.  Estipuló incluir dimensiones de género y enfoque diferencial. </w:t>
            </w:r>
          </w:p>
          <w:p w14:paraId="0CE47593" w14:textId="77777777" w:rsidR="001238D7" w:rsidRPr="00E94619" w:rsidRDefault="0036411F" w:rsidP="000E5AC0">
            <w:pPr>
              <w:spacing w:after="0"/>
              <w:jc w:val="both"/>
              <w:rPr>
                <w:rFonts w:ascii="Century Gothic" w:hAnsi="Century Gothic"/>
                <w:i/>
                <w:sz w:val="16"/>
                <w:szCs w:val="16"/>
              </w:rPr>
            </w:pPr>
            <w:r w:rsidRPr="00E94619">
              <w:rPr>
                <w:rFonts w:ascii="Century Gothic" w:hAnsi="Century Gothic"/>
                <w:i/>
                <w:sz w:val="16"/>
                <w:szCs w:val="16"/>
              </w:rPr>
              <w:t>-</w:t>
            </w:r>
            <w:r w:rsidRPr="00E94619">
              <w:rPr>
                <w:rFonts w:ascii="Century Gothic" w:hAnsi="Century Gothic"/>
                <w:sz w:val="16"/>
                <w:szCs w:val="16"/>
              </w:rPr>
              <w:t xml:space="preserve">El DANE y el Ministerio de Agricultura en el año 2013 adelantaron el Tercer Censo Nacional Agropecuario, el cual permitió que el país tuviera información sobre el uso del suelo en el país. </w:t>
            </w:r>
          </w:p>
          <w:p w14:paraId="337F4804"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-Viceministerio de Agricultura, tiene en una de sus funciones el tema de las mujeres rurales: “</w:t>
            </w:r>
            <w:r w:rsidRPr="00E94619">
              <w:rPr>
                <w:rFonts w:ascii="Century Gothic" w:hAnsi="Century Gothic"/>
                <w:i/>
                <w:sz w:val="16"/>
                <w:szCs w:val="16"/>
              </w:rPr>
              <w:t>Proponer políticas, planes y programas dirigidos a la atención de la población rural, teniendo en cuenta las particularidades de la mujer y joven rural, los grupos étnicos y en general de la población rural vulnerable, en coordinación con las demás entidades competentes del Estado”.</w:t>
            </w:r>
            <w:r w:rsidRPr="00E94619">
              <w:rPr>
                <w:rFonts w:ascii="Century Gothic" w:hAnsi="Century Gothic"/>
                <w:sz w:val="16"/>
                <w:szCs w:val="16"/>
              </w:rPr>
              <w:t xml:space="preserve"> ​</w:t>
            </w:r>
          </w:p>
          <w:p w14:paraId="34FAA376"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sz w:val="16"/>
                <w:szCs w:val="16"/>
              </w:rPr>
              <w:t>-Ley 731 de 2002: por la cual se dictan normas para favorecer a las mujeres rurales.</w:t>
            </w:r>
          </w:p>
        </w:tc>
        <w:tc>
          <w:tcPr>
            <w:tcW w:w="2879" w:type="dxa"/>
          </w:tcPr>
          <w:p w14:paraId="0E5DAFD3"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 xml:space="preserve">-Cooperación canadiense: tiene entre sus líneas de acción el apoyo al desarrollo económico rural orientado a que pequeños agricultores, mujeres, minorías étnicas y jóvenes tengan una vida digna y contribuyan a su economía local. </w:t>
            </w:r>
          </w:p>
          <w:p w14:paraId="3B2EEFD8"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-Oxfam Latinoamérica: tiene entre sus áreas de intervención en Colombia el trabajo con mujeres rurales, buscando el reconocimiento, la redistribución y la representación de las mujeres que dedican su vida al agro. El aporte de Oxfam al trabajo con mujeres rurales lo hace desde la Economía del Cuidado.</w:t>
            </w:r>
          </w:p>
          <w:p w14:paraId="12B4022B"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b/>
                <w:sz w:val="16"/>
                <w:szCs w:val="16"/>
              </w:rPr>
              <w:br/>
            </w:r>
            <w:r w:rsidRPr="00E94619">
              <w:rPr>
                <w:rFonts w:ascii="Century Gothic" w:hAnsi="Century Gothic"/>
                <w:sz w:val="16"/>
                <w:szCs w:val="16"/>
              </w:rPr>
              <w:t>Asociación Nacional de Mujeres Campesinas, Indígenas y Negras de Colombia (ANMUCIC): es una organización gremial de género, que trabaja en la defensa de los intereses específicos de las mujeres campesinas. Actualmente está constituida por 27 asociaciones departamentales de mujeres campesinas, indígenas y negras, que aglutinan asociaciones primarias de carácter municipal y corregimental, de la misma naturaleza, cuyas asociadas están vinculadas al área rural o han sido desplazadas por la violencia. Su mayor presencia se encuentra en Boyacá, Huila, Cundinamarca, Chocó, Quindío, Arauca y Atlántico.</w:t>
            </w:r>
          </w:p>
        </w:tc>
        <w:tc>
          <w:tcPr>
            <w:tcW w:w="2880" w:type="dxa"/>
          </w:tcPr>
          <w:p w14:paraId="1EC3F727"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b/>
                <w:sz w:val="16"/>
                <w:szCs w:val="16"/>
              </w:rPr>
              <w:t>De acuerdo con el informe de Desarrollo Humano del PNUD para el año 2011</w:t>
            </w:r>
            <w:r w:rsidRPr="00E94619">
              <w:rPr>
                <w:rFonts w:ascii="Century Gothic" w:hAnsi="Century Gothic"/>
                <w:sz w:val="16"/>
                <w:szCs w:val="16"/>
              </w:rPr>
              <w:t xml:space="preserve">, </w:t>
            </w:r>
            <w:r w:rsidRPr="00E94619">
              <w:rPr>
                <w:rFonts w:ascii="Century Gothic" w:hAnsi="Century Gothic"/>
                <w:b/>
                <w:sz w:val="16"/>
                <w:szCs w:val="16"/>
              </w:rPr>
              <w:t>Mujeres Rurales Gestoras de Esperanza</w:t>
            </w:r>
          </w:p>
          <w:p w14:paraId="5EED4A3D"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-En Colombia hay una deuda con las mujeres rurales y la propiedad de la tierra, no existe ni siquiera información precisa con datos diferenciados por sexo que permitan tener claridad sobre la titularidad de las mujeres frente a la tierra, así como a la participación de ellas en la agricultura.</w:t>
            </w:r>
          </w:p>
          <w:p w14:paraId="5045F368" w14:textId="77777777" w:rsidR="001238D7" w:rsidRPr="00E94619" w:rsidRDefault="0036411F" w:rsidP="000E5AC0">
            <w:pPr>
              <w:spacing w:after="0"/>
              <w:jc w:val="both"/>
              <w:rPr>
                <w:rFonts w:ascii="Century Gothic" w:hAnsi="Century Gothic"/>
                <w:b/>
                <w:i/>
                <w:sz w:val="16"/>
                <w:szCs w:val="16"/>
              </w:rPr>
            </w:pPr>
            <w:r w:rsidRPr="00E94619">
              <w:rPr>
                <w:rFonts w:ascii="Century Gothic" w:hAnsi="Century Gothic"/>
                <w:b/>
                <w:sz w:val="16"/>
                <w:szCs w:val="16"/>
              </w:rPr>
              <w:t xml:space="preserve">El Secretariado Nacional de Pastoral Social, en el análisis presentado en febrero de 2016 sobre el panorama rural de Colombia  </w:t>
            </w:r>
          </w:p>
          <w:p w14:paraId="2697B02E"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 xml:space="preserve">-Mejorar la asignación de recursos en pro de optimizar el uso y explotación de la tierra. </w:t>
            </w:r>
          </w:p>
          <w:p w14:paraId="244E8E8F" w14:textId="77777777" w:rsidR="001238D7" w:rsidRPr="00E94619" w:rsidRDefault="0036411F" w:rsidP="000E5AC0">
            <w:pPr>
              <w:spacing w:after="0"/>
              <w:jc w:val="both"/>
              <w:rPr>
                <w:rFonts w:ascii="Century Gothic" w:hAnsi="Century Gothic"/>
                <w:sz w:val="16"/>
                <w:szCs w:val="16"/>
              </w:rPr>
            </w:pPr>
            <w:r w:rsidRPr="00E94619">
              <w:rPr>
                <w:rFonts w:ascii="Century Gothic" w:hAnsi="Century Gothic"/>
                <w:sz w:val="16"/>
                <w:szCs w:val="16"/>
              </w:rPr>
              <w:t xml:space="preserve">-Disminuir la sobreexplotación de la tierra debida a actividades como el parosteo. </w:t>
            </w:r>
          </w:p>
          <w:p w14:paraId="74BFC01D" w14:textId="77777777" w:rsidR="001238D7" w:rsidRPr="00E94619" w:rsidRDefault="0036411F" w:rsidP="000E5AC0">
            <w:pPr>
              <w:spacing w:after="0"/>
              <w:jc w:val="both"/>
              <w:rPr>
                <w:rFonts w:ascii="Century Gothic" w:hAnsi="Century Gothic"/>
                <w:b/>
                <w:sz w:val="16"/>
                <w:szCs w:val="16"/>
              </w:rPr>
            </w:pPr>
            <w:r w:rsidRPr="00E94619">
              <w:rPr>
                <w:rFonts w:ascii="Century Gothic" w:hAnsi="Century Gothic"/>
                <w:sz w:val="16"/>
                <w:szCs w:val="16"/>
              </w:rPr>
              <w:t>-Tomar medidas para garantizar que la minería se realice de forma tanto social como ambientalmente.</w:t>
            </w:r>
          </w:p>
        </w:tc>
      </w:tr>
    </w:tbl>
    <w:p w14:paraId="32871FA2" w14:textId="77777777" w:rsidR="00490F50" w:rsidRPr="00E94619" w:rsidRDefault="00490F50" w:rsidP="000E5AC0">
      <w:pPr>
        <w:rPr>
          <w:rFonts w:ascii="Century Gothic" w:hAnsi="Century Gothic"/>
        </w:rPr>
      </w:pPr>
    </w:p>
    <w:p w14:paraId="4D373437" w14:textId="35767E4E" w:rsidR="001238D7" w:rsidRPr="00683C35" w:rsidRDefault="0036411F" w:rsidP="000E5AC0">
      <w:pPr>
        <w:pStyle w:val="Ttulo2"/>
        <w:rPr>
          <w:rFonts w:ascii="Century Gothic" w:hAnsi="Century Gothic"/>
          <w:color w:val="CC3366"/>
        </w:rPr>
      </w:pPr>
      <w:bookmarkStart w:id="110" w:name="_Toc488624325"/>
      <w:r w:rsidRPr="00683C35">
        <w:rPr>
          <w:rFonts w:ascii="Century Gothic" w:hAnsi="Century Gothic"/>
          <w:color w:val="CC3366"/>
        </w:rPr>
        <w:t>4. A</w:t>
      </w:r>
      <w:r w:rsidR="00683C35" w:rsidRPr="00683C35">
        <w:rPr>
          <w:rFonts w:ascii="Century Gothic" w:hAnsi="Century Gothic"/>
          <w:color w:val="CC3366"/>
        </w:rPr>
        <w:t>cceso a servicios pú</w:t>
      </w:r>
      <w:r w:rsidR="00683C35">
        <w:rPr>
          <w:rFonts w:ascii="Century Gothic" w:hAnsi="Century Gothic"/>
          <w:color w:val="CC3366"/>
        </w:rPr>
        <w:t>blicos y domicilia</w:t>
      </w:r>
      <w:r w:rsidR="00683C35" w:rsidRPr="00683C35">
        <w:rPr>
          <w:rFonts w:ascii="Century Gothic" w:hAnsi="Century Gothic"/>
          <w:color w:val="CC3366"/>
        </w:rPr>
        <w:t>r</w:t>
      </w:r>
      <w:r w:rsidR="00683C35">
        <w:rPr>
          <w:rFonts w:ascii="Century Gothic" w:hAnsi="Century Gothic"/>
          <w:color w:val="CC3366"/>
        </w:rPr>
        <w:t>i</w:t>
      </w:r>
      <w:r w:rsidR="00683C35" w:rsidRPr="00683C35">
        <w:rPr>
          <w:rFonts w:ascii="Century Gothic" w:hAnsi="Century Gothic"/>
          <w:color w:val="CC3366"/>
        </w:rPr>
        <w:t>os</w:t>
      </w:r>
      <w:bookmarkEnd w:id="110"/>
      <w:r w:rsidR="00683C35" w:rsidRPr="00683C35">
        <w:rPr>
          <w:rFonts w:ascii="Century Gothic" w:hAnsi="Century Gothic"/>
          <w:color w:val="CC3366"/>
        </w:rPr>
        <w:t xml:space="preserve"> </w:t>
      </w:r>
    </w:p>
    <w:p w14:paraId="59DB0C3A" w14:textId="77777777" w:rsidR="001238D7" w:rsidRPr="00E94619" w:rsidRDefault="001238D7" w:rsidP="000E5AC0">
      <w:pPr>
        <w:spacing w:after="0" w:line="240" w:lineRule="auto"/>
        <w:rPr>
          <w:rFonts w:ascii="Century Gothic" w:hAnsi="Century Gothic"/>
          <w:b/>
        </w:rPr>
      </w:pPr>
    </w:p>
    <w:p w14:paraId="4370FCA3" w14:textId="1D0215BD" w:rsidR="001238D7" w:rsidRPr="00683C35" w:rsidRDefault="0036411F" w:rsidP="000E5AC0">
      <w:pPr>
        <w:pStyle w:val="Ttulo3"/>
        <w:rPr>
          <w:rFonts w:ascii="Century Gothic" w:hAnsi="Century Gothic"/>
          <w:b w:val="0"/>
          <w:color w:val="CC3366"/>
        </w:rPr>
      </w:pPr>
      <w:bookmarkStart w:id="111" w:name="_Toc488624326"/>
      <w:r w:rsidRPr="00683C35">
        <w:rPr>
          <w:rFonts w:ascii="Century Gothic" w:hAnsi="Century Gothic"/>
          <w:b w:val="0"/>
          <w:color w:val="CC3366"/>
        </w:rPr>
        <w:t>4.1</w:t>
      </w:r>
      <w:r w:rsidR="00683C35">
        <w:rPr>
          <w:rFonts w:ascii="Century Gothic" w:hAnsi="Century Gothic"/>
          <w:b w:val="0"/>
          <w:color w:val="CC3366"/>
        </w:rPr>
        <w:t>.</w:t>
      </w:r>
      <w:r w:rsidRPr="00683C35">
        <w:rPr>
          <w:rFonts w:ascii="Century Gothic" w:hAnsi="Century Gothic"/>
          <w:b w:val="0"/>
          <w:color w:val="CC3366"/>
        </w:rPr>
        <w:t xml:space="preserve"> Proporción de la población que utiliza una fuente de agua potable de mayor calidad</w:t>
      </w:r>
      <w:bookmarkEnd w:id="111"/>
    </w:p>
    <w:p w14:paraId="6098E4CF" w14:textId="111686F6" w:rsidR="001238D7" w:rsidRPr="00E94619" w:rsidRDefault="001238D7" w:rsidP="000E5AC0">
      <w:pPr>
        <w:spacing w:after="0" w:line="240" w:lineRule="auto"/>
        <w:rPr>
          <w:rFonts w:ascii="Century Gothic" w:hAnsi="Century Gothic"/>
          <w:b/>
        </w:rPr>
      </w:pPr>
    </w:p>
    <w:p w14:paraId="648ED31B" w14:textId="28DD587D" w:rsidR="001238D7" w:rsidRPr="00E94619" w:rsidRDefault="00BD41A8" w:rsidP="000E5AC0">
      <w:pPr>
        <w:spacing w:after="0" w:line="240" w:lineRule="auto"/>
        <w:jc w:val="both"/>
        <w:rPr>
          <w:rFonts w:ascii="Century Gothic" w:hAnsi="Century Gothic"/>
          <w:b/>
        </w:rPr>
      </w:pPr>
      <w:r>
        <w:rPr>
          <w:rFonts w:ascii="Century Gothic" w:hAnsi="Century Gothic"/>
          <w:b/>
          <w:noProof/>
          <w:szCs w:val="24"/>
          <w:lang w:val="es-ES"/>
        </w:rPr>
        <w:lastRenderedPageBreak/>
        <w:drawing>
          <wp:anchor distT="0" distB="0" distL="114300" distR="114300" simplePos="0" relativeHeight="251919360" behindDoc="0" locked="0" layoutInCell="1" allowOverlap="1" wp14:anchorId="5F5B904A" wp14:editId="4AEE9EC3">
            <wp:simplePos x="0" y="0"/>
            <wp:positionH relativeFrom="column">
              <wp:posOffset>-1080135</wp:posOffset>
            </wp:positionH>
            <wp:positionV relativeFrom="paragraph">
              <wp:posOffset>-822960</wp:posOffset>
            </wp:positionV>
            <wp:extent cx="965835" cy="708660"/>
            <wp:effectExtent l="0" t="0" r="0" b="0"/>
            <wp:wrapNone/>
            <wp:docPr id="429" name="Imagen 42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AA7DE1" w:rsidRPr="00E94619">
        <w:rPr>
          <w:rFonts w:ascii="Century Gothic" w:hAnsi="Century Gothic"/>
        </w:rPr>
        <w:t>Los lineamientos de política sectorial establecidos en la Ley 1955 de 2019, Plan Nacional de Desarrollo 2018 -2022 “Pacto por Colombia, pacto por la equidad”, busca la  universalización de los servicios públicos, propendiendo por el aumento sostenido de coberturas y disminución de las brechas urbano rural de acceso al abastecimiento de agua y saneamiento básico, con la implementación de mecanismos dirigidos a la conformación de esquemas regionales, focalización de recursos, programas para el acceso a los servicios en área rural y uso eficiente de tecnologías de tratamiento de aguas residuales.</w:t>
      </w:r>
      <w:r w:rsidR="00AA7DE1" w:rsidRPr="00E94619">
        <w:rPr>
          <w:rFonts w:ascii="Century Gothic" w:hAnsi="Century Gothic"/>
        </w:rPr>
        <w:cr/>
      </w:r>
    </w:p>
    <w:p w14:paraId="5645A0F4" w14:textId="77777777" w:rsidR="001238D7" w:rsidRPr="00E94619" w:rsidRDefault="00414A6A" w:rsidP="000E5AC0">
      <w:pPr>
        <w:spacing w:after="0" w:line="240" w:lineRule="auto"/>
        <w:jc w:val="both"/>
        <w:rPr>
          <w:rFonts w:ascii="Century Gothic" w:hAnsi="Century Gothic"/>
        </w:rPr>
      </w:pPr>
      <w:r w:rsidRPr="00E94619">
        <w:rPr>
          <w:rFonts w:ascii="Century Gothic" w:hAnsi="Century Gothic"/>
        </w:rPr>
        <w:t>En los análisis discriminados a nivel regional o departamental se muestra que, en cobertura de los servicios, se mantienen marcadas brechas y sesgos para la zona urbana y rural.</w:t>
      </w:r>
      <w:r w:rsidR="005E7580" w:rsidRPr="00E94619">
        <w:rPr>
          <w:rFonts w:ascii="Century Gothic" w:hAnsi="Century Gothic"/>
        </w:rPr>
        <w:t xml:space="preserve"> El sector muestra igualmente gran atraso frente al conocimiento en la operación y manejo de la infraestructura, baja cobertura, el monitoreo y reporte de datos e incertidumbre en la generación de información técnica o científica, lo cual genera condiciones que contribuyen a disminuir la eficiencia, efectividad y calidad en la prestación de los servicios públicos de acueducto y alcantarillado. Estos condicionamientos se incorporan como retos a superar dentro del actual </w:t>
      </w:r>
      <w:r w:rsidR="00E71CC5" w:rsidRPr="00E94619">
        <w:rPr>
          <w:rFonts w:ascii="Century Gothic" w:hAnsi="Century Gothic"/>
        </w:rPr>
        <w:t>PND</w:t>
      </w:r>
      <w:r w:rsidR="005E7580" w:rsidRPr="00E94619">
        <w:rPr>
          <w:rFonts w:ascii="Century Gothic" w:hAnsi="Century Gothic"/>
        </w:rPr>
        <w:t xml:space="preserve">, donde se busca mejorar la eficiencia en la prestación de los servicios y disminución de brechas urbano – rural en los indicadores de cobertura y calidad. </w:t>
      </w:r>
    </w:p>
    <w:p w14:paraId="483C8AEE" w14:textId="77777777" w:rsidR="00556D40" w:rsidRPr="00E94619" w:rsidRDefault="00556D40" w:rsidP="000E5AC0">
      <w:pPr>
        <w:spacing w:after="0" w:line="240" w:lineRule="auto"/>
        <w:jc w:val="both"/>
        <w:rPr>
          <w:rFonts w:ascii="Century Gothic" w:hAnsi="Century Gothic"/>
        </w:rPr>
      </w:pPr>
    </w:p>
    <w:p w14:paraId="55AAA194" w14:textId="77777777" w:rsidR="00556D40" w:rsidRPr="00E94619" w:rsidRDefault="00556D40" w:rsidP="000E5AC0">
      <w:pPr>
        <w:spacing w:after="0" w:line="240" w:lineRule="auto"/>
        <w:jc w:val="both"/>
        <w:rPr>
          <w:rFonts w:ascii="Century Gothic" w:hAnsi="Century Gothic"/>
        </w:rPr>
      </w:pPr>
      <w:r w:rsidRPr="00E94619">
        <w:rPr>
          <w:rFonts w:ascii="Century Gothic" w:hAnsi="Century Gothic"/>
        </w:rPr>
        <w:t>A nivel nacional, el 76,1% de los hogares tuvo al acueducto público como la principal fuente de aprovisionamiento de agua para preparar los alimentos en 2019. En los centros poblados y rural disperso, el 30,2% de los hogares sostuvo que su principal fuente de agua para este mismo objetivo fue el acueducto comunal o veredal, seguido del río, quebrada, manantial o nacimiento (20,2%).</w:t>
      </w:r>
    </w:p>
    <w:p w14:paraId="0E0591CC" w14:textId="77777777" w:rsidR="005E7580" w:rsidRPr="00E94619" w:rsidRDefault="005E7580" w:rsidP="000E5AC0">
      <w:pPr>
        <w:spacing w:after="0" w:line="240" w:lineRule="auto"/>
        <w:jc w:val="both"/>
        <w:rPr>
          <w:rFonts w:ascii="Century Gothic" w:hAnsi="Century Gothic"/>
          <w:sz w:val="16"/>
          <w:szCs w:val="16"/>
        </w:rPr>
      </w:pPr>
    </w:p>
    <w:p w14:paraId="06B6E939" w14:textId="1DD847B6" w:rsidR="001238D7" w:rsidRPr="00683C35" w:rsidRDefault="0036411F" w:rsidP="000E5AC0">
      <w:pPr>
        <w:pStyle w:val="Ttulo3"/>
        <w:rPr>
          <w:rFonts w:ascii="Century Gothic" w:hAnsi="Century Gothic"/>
          <w:b w:val="0"/>
          <w:color w:val="CC3366"/>
        </w:rPr>
      </w:pPr>
      <w:bookmarkStart w:id="112" w:name="_Toc488624327"/>
      <w:r w:rsidRPr="00683C35">
        <w:rPr>
          <w:rFonts w:ascii="Century Gothic" w:hAnsi="Century Gothic"/>
          <w:b w:val="0"/>
          <w:color w:val="CC3366"/>
        </w:rPr>
        <w:t>4.2</w:t>
      </w:r>
      <w:r w:rsidR="00683C35" w:rsidRPr="00683C35">
        <w:rPr>
          <w:rFonts w:ascii="Century Gothic" w:hAnsi="Century Gothic"/>
          <w:b w:val="0"/>
          <w:color w:val="CC3366"/>
        </w:rPr>
        <w:t>.</w:t>
      </w:r>
      <w:r w:rsidRPr="00683C35">
        <w:rPr>
          <w:rFonts w:ascii="Century Gothic" w:hAnsi="Century Gothic"/>
          <w:b w:val="0"/>
          <w:color w:val="CC3366"/>
        </w:rPr>
        <w:t xml:space="preserve"> Población que usa servicios hídricos gestionados de manera segura, por zona urbana/rural (ODS 6.45)</w:t>
      </w:r>
      <w:bookmarkEnd w:id="112"/>
    </w:p>
    <w:p w14:paraId="321DE655" w14:textId="77777777" w:rsidR="006D055D" w:rsidRPr="00E94619" w:rsidRDefault="006D055D" w:rsidP="000E5AC0">
      <w:pPr>
        <w:spacing w:after="0" w:line="240" w:lineRule="auto"/>
        <w:jc w:val="both"/>
        <w:rPr>
          <w:rFonts w:ascii="Century Gothic" w:hAnsi="Century Gothic"/>
        </w:rPr>
      </w:pPr>
    </w:p>
    <w:p w14:paraId="401A0E51" w14:textId="77777777" w:rsidR="001238D7" w:rsidRPr="00E94619" w:rsidRDefault="006D055D" w:rsidP="000E5AC0">
      <w:pPr>
        <w:spacing w:after="0" w:line="240" w:lineRule="auto"/>
        <w:jc w:val="both"/>
        <w:rPr>
          <w:rFonts w:ascii="Century Gothic" w:hAnsi="Century Gothic"/>
        </w:rPr>
      </w:pPr>
      <w:r w:rsidRPr="00E94619">
        <w:rPr>
          <w:rFonts w:ascii="Century Gothic" w:hAnsi="Century Gothic"/>
        </w:rPr>
        <w:t>A diciembre de 2018, el Registro Único de Prestadores de Servicios Públicos Domiciliarios (RUPS) del Sistema Único de Información (SUI), que administra esta Superintendencia de Servicios Públicos Domiciliarios (SSPD) halló el registro de 3.113 prestadores de los servicios públicos de acueducto, alcantarillado y aseo, incluyendo prestadores que atienden centros urbanos y zonas rurales, de los cuales el 83% del registro total, corresponden a prestadores menores o iguales a 2.500 suscriptores, denominados por la regulación económica como pequeños prestadores. No obstante, el universo de prestadores de acueducto y alcantarillado en zonas rurales nucleadas o dispersas no inscritos en el RUPS, puede superar ampliamente el valor contabilizado en el mencionado sistema de información.</w:t>
      </w:r>
    </w:p>
    <w:p w14:paraId="42A3FF2F" w14:textId="77777777" w:rsidR="006D055D" w:rsidRPr="00E94619" w:rsidRDefault="006D055D" w:rsidP="000E5AC0">
      <w:pPr>
        <w:spacing w:after="0" w:line="240" w:lineRule="auto"/>
        <w:jc w:val="both"/>
        <w:rPr>
          <w:rFonts w:ascii="Century Gothic" w:hAnsi="Century Gothic"/>
          <w:b/>
        </w:rPr>
      </w:pPr>
    </w:p>
    <w:p w14:paraId="28818C09" w14:textId="0D43CEA3" w:rsidR="001238D7" w:rsidRPr="00683C35" w:rsidRDefault="0036411F" w:rsidP="000E5AC0">
      <w:pPr>
        <w:pStyle w:val="Ttulo3"/>
        <w:rPr>
          <w:rFonts w:ascii="Century Gothic" w:hAnsi="Century Gothic"/>
          <w:b w:val="0"/>
          <w:color w:val="CC3366"/>
        </w:rPr>
      </w:pPr>
      <w:bookmarkStart w:id="113" w:name="_Toc488624328"/>
      <w:r w:rsidRPr="00683C35">
        <w:rPr>
          <w:rFonts w:ascii="Century Gothic" w:hAnsi="Century Gothic"/>
          <w:b w:val="0"/>
          <w:color w:val="CC3366"/>
        </w:rPr>
        <w:t>4.3</w:t>
      </w:r>
      <w:r w:rsidR="00683C35" w:rsidRPr="00683C35">
        <w:rPr>
          <w:rFonts w:ascii="Century Gothic" w:hAnsi="Century Gothic"/>
          <w:b w:val="0"/>
          <w:color w:val="CC3366"/>
        </w:rPr>
        <w:t>.</w:t>
      </w:r>
      <w:r w:rsidRPr="00683C35">
        <w:rPr>
          <w:rFonts w:ascii="Century Gothic" w:hAnsi="Century Gothic"/>
          <w:b w:val="0"/>
          <w:color w:val="CC3366"/>
        </w:rPr>
        <w:t xml:space="preserve"> Población que usa servicios de saneamiento gestionados de manera segura, por zona urbana/rural (ODS 6.46)</w:t>
      </w:r>
      <w:bookmarkEnd w:id="113"/>
    </w:p>
    <w:p w14:paraId="0CE60692" w14:textId="77777777" w:rsidR="001238D7" w:rsidRPr="00E94619" w:rsidRDefault="001238D7" w:rsidP="000E5AC0">
      <w:pPr>
        <w:spacing w:after="0" w:line="240" w:lineRule="auto"/>
        <w:jc w:val="both"/>
        <w:rPr>
          <w:rFonts w:ascii="Century Gothic" w:hAnsi="Century Gothic"/>
        </w:rPr>
      </w:pPr>
    </w:p>
    <w:p w14:paraId="6F96C596" w14:textId="4B18434E" w:rsidR="0036583E" w:rsidRPr="00E94619" w:rsidRDefault="0036583E" w:rsidP="000E5AC0">
      <w:pPr>
        <w:spacing w:line="240" w:lineRule="auto"/>
        <w:jc w:val="both"/>
        <w:rPr>
          <w:rFonts w:ascii="Century Gothic" w:hAnsi="Century Gothic"/>
        </w:rPr>
      </w:pPr>
      <w:r w:rsidRPr="00E94619">
        <w:rPr>
          <w:rFonts w:ascii="Century Gothic" w:hAnsi="Century Gothic"/>
        </w:rPr>
        <w:t xml:space="preserve">Respecto a la cobertura del servicio público de acueducto, se tiene que, de acuerdo con la información reportada por los municipios para el año 2018, la cobertura nacional para el servicio público de alcantarillado es del 82,84% para el área urbana y de 14,36% para el área rural, con lo cual se puede </w:t>
      </w:r>
      <w:r w:rsidRPr="00E94619">
        <w:rPr>
          <w:rFonts w:ascii="Century Gothic" w:hAnsi="Century Gothic"/>
        </w:rPr>
        <w:lastRenderedPageBreak/>
        <w:t>evidenciar que para el servicio de alcantarillado existe una brecha mucho mayor. Es necesario precisar que, para la generalidad del área rural dispersa, la prestación del servicio no se realiza mediante sistema de tuberías y conductos convencionales, sino que se acude a las denominadas soluciones alternativas individuales, que no se enmarcan en las acciones de vigilancia de la SSPD, distorsionando el comportamiento de los indicadores, si se comparan con los del servicio público de acueducto u otros servicios públicos que utilizan redes y ductos (gas domiciliario combustible, energía eléctrica). Sin embargo, la falta de cobertura de alcantarillado no quiere indicar que la población no cubierta carezca de soluciones alternativas para la disposición de residuos líquidos, representadas principalmente en pozos sépticos, letrinas, soluciones individuales, entre otros, con lo cual podría indicar una subvaloración del saneamiento básico en Colombia al incorporar dichas alternativas.</w:t>
      </w:r>
    </w:p>
    <w:p w14:paraId="1E91B01C" w14:textId="14148392" w:rsidR="002C6469" w:rsidRDefault="00BD41A8" w:rsidP="00614296">
      <w:pPr>
        <w:pStyle w:val="Ttulo3"/>
        <w:jc w:val="both"/>
        <w:rPr>
          <w:rFonts w:ascii="Century Gothic" w:hAnsi="Century Gothic"/>
          <w:b w:val="0"/>
          <w:color w:val="CC3366"/>
        </w:rPr>
      </w:pPr>
      <w:bookmarkStart w:id="114" w:name="_Toc488624329"/>
      <w:r>
        <w:rPr>
          <w:rFonts w:ascii="Century Gothic" w:hAnsi="Century Gothic"/>
          <w:b w:val="0"/>
          <w:noProof/>
          <w:szCs w:val="24"/>
          <w:lang w:val="es-ES"/>
        </w:rPr>
        <w:drawing>
          <wp:anchor distT="0" distB="0" distL="114300" distR="114300" simplePos="0" relativeHeight="251921408" behindDoc="0" locked="0" layoutInCell="1" allowOverlap="1" wp14:anchorId="2850D18F" wp14:editId="42544345">
            <wp:simplePos x="0" y="0"/>
            <wp:positionH relativeFrom="column">
              <wp:posOffset>-1080135</wp:posOffset>
            </wp:positionH>
            <wp:positionV relativeFrom="paragraph">
              <wp:posOffset>-3151505</wp:posOffset>
            </wp:positionV>
            <wp:extent cx="965835" cy="708660"/>
            <wp:effectExtent l="0" t="0" r="0" b="0"/>
            <wp:wrapNone/>
            <wp:docPr id="430" name="Imagen 43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683C35">
        <w:rPr>
          <w:rFonts w:ascii="Century Gothic" w:hAnsi="Century Gothic"/>
          <w:b w:val="0"/>
          <w:color w:val="CC3366"/>
        </w:rPr>
        <w:t>4.4</w:t>
      </w:r>
      <w:r w:rsidR="00683C35">
        <w:rPr>
          <w:rFonts w:ascii="Century Gothic" w:hAnsi="Century Gothic"/>
          <w:b w:val="0"/>
          <w:color w:val="CC3366"/>
        </w:rPr>
        <w:t>.</w:t>
      </w:r>
      <w:r w:rsidR="00645A86" w:rsidRPr="00683C35">
        <w:rPr>
          <w:rFonts w:ascii="Century Gothic" w:hAnsi="Century Gothic"/>
          <w:b w:val="0"/>
          <w:color w:val="CC3366"/>
        </w:rPr>
        <w:t xml:space="preserve"> Acceso de los hogares a servicios públicos, privados o comunales</w:t>
      </w:r>
      <w:bookmarkEnd w:id="114"/>
    </w:p>
    <w:p w14:paraId="2DF38F37" w14:textId="77777777" w:rsidR="00614296" w:rsidRPr="00614296" w:rsidRDefault="00614296" w:rsidP="00614296"/>
    <w:p w14:paraId="561DE05D" w14:textId="77777777" w:rsidR="005F113E" w:rsidRPr="00E94619" w:rsidRDefault="000D0526" w:rsidP="000E5AC0">
      <w:pPr>
        <w:jc w:val="both"/>
        <w:rPr>
          <w:rFonts w:ascii="Century Gothic" w:hAnsi="Century Gothic"/>
        </w:rPr>
      </w:pPr>
      <w:r w:rsidRPr="00E94619">
        <w:rPr>
          <w:rFonts w:ascii="Century Gothic" w:hAnsi="Century Gothic"/>
          <w:lang w:val="es-ES_tradnl"/>
        </w:rPr>
        <w:t>Según la encue</w:t>
      </w:r>
      <w:r w:rsidR="001C1776" w:rsidRPr="00E94619">
        <w:rPr>
          <w:rFonts w:ascii="Century Gothic" w:hAnsi="Century Gothic"/>
          <w:lang w:val="es-ES_tradnl"/>
        </w:rPr>
        <w:t>s</w:t>
      </w:r>
      <w:r w:rsidRPr="00E94619">
        <w:rPr>
          <w:rFonts w:ascii="Century Gothic" w:hAnsi="Century Gothic"/>
          <w:lang w:val="es-ES_tradnl"/>
        </w:rPr>
        <w:t xml:space="preserve">ta de calidad de vida realizada por el </w:t>
      </w:r>
      <w:r w:rsidR="00E71CC5" w:rsidRPr="00E94619">
        <w:rPr>
          <w:rFonts w:ascii="Century Gothic" w:hAnsi="Century Gothic"/>
          <w:lang w:val="es-ES_tradnl"/>
        </w:rPr>
        <w:t xml:space="preserve">DANE </w:t>
      </w:r>
      <w:r w:rsidRPr="00E94619">
        <w:rPr>
          <w:rFonts w:ascii="Century Gothic" w:hAnsi="Century Gothic"/>
          <w:lang w:val="es-ES_tradnl"/>
        </w:rPr>
        <w:t xml:space="preserve">en </w:t>
      </w:r>
      <w:r w:rsidR="005F113E" w:rsidRPr="00E94619">
        <w:rPr>
          <w:rFonts w:ascii="Century Gothic" w:hAnsi="Century Gothic"/>
        </w:rPr>
        <w:t xml:space="preserve"> 2019</w:t>
      </w:r>
      <w:r w:rsidR="00E71CC5" w:rsidRPr="00E94619">
        <w:rPr>
          <w:rFonts w:ascii="Century Gothic" w:hAnsi="Century Gothic"/>
        </w:rPr>
        <w:t>,</w:t>
      </w:r>
      <w:r w:rsidR="005F113E" w:rsidRPr="00E94619">
        <w:rPr>
          <w:rFonts w:ascii="Century Gothic" w:hAnsi="Century Gothic"/>
        </w:rPr>
        <w:t xml:space="preserve"> el 98,1% de los hogares en Colombia tenía acceso a energía eléctrica; el 87,0% a acueducto; el 81,8% a recolección de basuras; el 74,4% a alcantarillado; y el 64,5% a gas natural. En las cabeceras, el 92,8% de los hogares tenía acceso a alcantarillado, mientras que en los centros poblados y rural disperso el 14,8% lo tenía. En cuanto al gas natural, el 80,6% de los hogares en las cabeceras y el 12,3% en los centros poblados y rural disperso contaban con acceso a este servicio</w:t>
      </w:r>
      <w:r w:rsidR="001C1776" w:rsidRPr="00E94619">
        <w:rPr>
          <w:rFonts w:ascii="Century Gothic" w:hAnsi="Century Gothic"/>
        </w:rPr>
        <w:t>.</w:t>
      </w:r>
    </w:p>
    <w:p w14:paraId="5335207B" w14:textId="77777777" w:rsidR="001C1776" w:rsidRPr="00E94619" w:rsidRDefault="001C1776" w:rsidP="000E5AC0">
      <w:pPr>
        <w:jc w:val="both"/>
        <w:rPr>
          <w:rFonts w:ascii="Century Gothic" w:hAnsi="Century Gothic"/>
        </w:rPr>
      </w:pPr>
      <w:r w:rsidRPr="00E94619">
        <w:rPr>
          <w:rFonts w:ascii="Century Gothic" w:hAnsi="Century Gothic"/>
        </w:rPr>
        <w:t>En la misma encuesta se reporta que, a nivel nacional, la principal fuente de aprovisionamiento de agua para preparar los alimentos  para el 76,1% de los hogares fue el acueducto público. En los centros poblados y rural disperso, el 30,2% de los hogares sostuvo que su principal fuente de agua para este mismo objetivo fue el acueducto comunal o veredal, seguido del río, quebrada, manantial o nacimiento (20,2%).</w:t>
      </w:r>
    </w:p>
    <w:p w14:paraId="0B1EE4D7" w14:textId="73C9F457" w:rsidR="001238D7" w:rsidRPr="00614296" w:rsidRDefault="00A924E2" w:rsidP="00614296">
      <w:pPr>
        <w:jc w:val="both"/>
        <w:rPr>
          <w:rFonts w:ascii="Century Gothic" w:hAnsi="Century Gothic"/>
          <w:lang w:val="es-ES_tradnl" w:eastAsia="es-ES"/>
        </w:rPr>
      </w:pPr>
      <w:r w:rsidRPr="00E94619">
        <w:rPr>
          <w:rFonts w:ascii="Century Gothic" w:hAnsi="Century Gothic"/>
        </w:rPr>
        <w:t>Así mismo, según datos del D</w:t>
      </w:r>
      <w:r w:rsidR="002C6469" w:rsidRPr="00E94619">
        <w:rPr>
          <w:rFonts w:ascii="Century Gothic" w:hAnsi="Century Gothic"/>
        </w:rPr>
        <w:t>ANE se</w:t>
      </w:r>
      <w:r w:rsidRPr="00E94619">
        <w:rPr>
          <w:rFonts w:ascii="Century Gothic" w:hAnsi="Century Gothic"/>
        </w:rPr>
        <w:t xml:space="preserve"> reporta que, Por otra parte, a nivel nacional el 51,9% de los hogares tenían acceso a internet en 2019, porcentaje que se incrementa al 61,6% en las cabeceras, pero que disminuye al 20,7% en los centros poblados y rural disperso. Bogotá y Valle del Cauca, con 74,9% y 69,4%, registraron los mayores porcentajes de hogares con acceso a internet; mientras que Vaupés (con 1,6%) y Vichada (con 5,2%) fueron los departamentos con menores porcentajes de hogares con esta conexión.</w:t>
      </w:r>
    </w:p>
    <w:p w14:paraId="04D55C20" w14:textId="77777777" w:rsidR="00490F50" w:rsidRPr="00E94619" w:rsidRDefault="00490F50" w:rsidP="000E5AC0">
      <w:pPr>
        <w:spacing w:after="0" w:line="240" w:lineRule="auto"/>
        <w:rPr>
          <w:rFonts w:ascii="Century Gothic" w:hAnsi="Century Gothic"/>
          <w:b/>
        </w:rPr>
      </w:pPr>
    </w:p>
    <w:p w14:paraId="3B3DD2FD" w14:textId="77777777" w:rsidR="001238D7" w:rsidRDefault="0036411F" w:rsidP="000E5AC0">
      <w:pPr>
        <w:spacing w:after="0"/>
        <w:jc w:val="both"/>
        <w:rPr>
          <w:rFonts w:ascii="Century Gothic" w:hAnsi="Century Gothic"/>
          <w:b/>
          <w:sz w:val="24"/>
          <w:szCs w:val="24"/>
        </w:rPr>
      </w:pPr>
      <w:r w:rsidRPr="00E94619">
        <w:rPr>
          <w:rFonts w:ascii="Century Gothic" w:hAnsi="Century Gothic"/>
          <w:b/>
          <w:sz w:val="24"/>
          <w:szCs w:val="24"/>
        </w:rPr>
        <w:t>Avances y retos para garantizar el acceso a servicios públicos y domiciliarios</w:t>
      </w:r>
    </w:p>
    <w:p w14:paraId="26718D91" w14:textId="77777777" w:rsidR="00683C35" w:rsidRPr="00E94619" w:rsidRDefault="00683C35" w:rsidP="000E5AC0">
      <w:pPr>
        <w:spacing w:after="0"/>
        <w:jc w:val="both"/>
        <w:rPr>
          <w:rFonts w:ascii="Century Gothic" w:hAnsi="Century Gothic"/>
          <w:b/>
          <w:sz w:val="24"/>
          <w:szCs w:val="24"/>
        </w:rPr>
      </w:pPr>
    </w:p>
    <w:tbl>
      <w:tblPr>
        <w:tblStyle w:val="afffffc"/>
        <w:tblW w:w="8904"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2383"/>
        <w:gridCol w:w="2403"/>
        <w:gridCol w:w="4118"/>
      </w:tblGrid>
      <w:tr w:rsidR="001238D7" w:rsidRPr="00E94619" w14:paraId="3FAC8EEA" w14:textId="77777777" w:rsidTr="00F37495">
        <w:tc>
          <w:tcPr>
            <w:tcW w:w="2383" w:type="dxa"/>
            <w:shd w:val="clear" w:color="auto" w:fill="FF99CC"/>
          </w:tcPr>
          <w:p w14:paraId="4DD4074E" w14:textId="77777777" w:rsidR="001238D7" w:rsidRPr="00E94619" w:rsidRDefault="0036411F" w:rsidP="00F37495">
            <w:pPr>
              <w:pBdr>
                <w:top w:val="nil"/>
                <w:left w:val="nil"/>
                <w:bottom w:val="nil"/>
                <w:right w:val="nil"/>
                <w:between w:val="nil"/>
              </w:pBdr>
              <w:spacing w:after="0" w:line="240" w:lineRule="auto"/>
              <w:rPr>
                <w:rFonts w:ascii="Century Gothic" w:hAnsi="Century Gothic"/>
                <w:b/>
                <w:color w:val="000000"/>
                <w:sz w:val="16"/>
                <w:szCs w:val="16"/>
              </w:rPr>
            </w:pPr>
            <w:r w:rsidRPr="00E94619">
              <w:rPr>
                <w:rFonts w:ascii="Century Gothic" w:hAnsi="Century Gothic"/>
                <w:b/>
                <w:color w:val="000000"/>
                <w:sz w:val="16"/>
                <w:szCs w:val="16"/>
              </w:rPr>
              <w:t>Avances del Estado</w:t>
            </w:r>
          </w:p>
        </w:tc>
        <w:tc>
          <w:tcPr>
            <w:tcW w:w="2403" w:type="dxa"/>
            <w:shd w:val="clear" w:color="auto" w:fill="FF99CC"/>
          </w:tcPr>
          <w:p w14:paraId="5A291B8B"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Respuesta de la sociedad civil</w:t>
            </w:r>
          </w:p>
        </w:tc>
        <w:tc>
          <w:tcPr>
            <w:tcW w:w="4118" w:type="dxa"/>
            <w:shd w:val="clear" w:color="auto" w:fill="FF99CC"/>
          </w:tcPr>
          <w:p w14:paraId="76128606"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1238D7" w:rsidRPr="00E94619" w14:paraId="0207D669" w14:textId="77777777" w:rsidTr="00F37495">
        <w:tc>
          <w:tcPr>
            <w:tcW w:w="2383" w:type="dxa"/>
          </w:tcPr>
          <w:p w14:paraId="59F36EDD" w14:textId="27C50EC8"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Política Pública Nacional de Equidad de Género para las Mujeres (2012): incluye línea sobre acceso a recursos naturales, agua y saneamiento básico.</w:t>
            </w:r>
          </w:p>
          <w:p w14:paraId="6AF0F58A" w14:textId="0DA0A122" w:rsidR="001238D7" w:rsidRPr="00E94619" w:rsidRDefault="00BD41A8" w:rsidP="000E5AC0">
            <w:pPr>
              <w:pBdr>
                <w:top w:val="nil"/>
                <w:left w:val="nil"/>
                <w:bottom w:val="nil"/>
                <w:right w:val="nil"/>
                <w:between w:val="nil"/>
              </w:pBdr>
              <w:spacing w:after="0" w:line="240" w:lineRule="auto"/>
              <w:jc w:val="both"/>
              <w:rPr>
                <w:rFonts w:ascii="Century Gothic" w:hAnsi="Century Gothic"/>
                <w:color w:val="000000"/>
                <w:sz w:val="16"/>
                <w:szCs w:val="16"/>
              </w:rPr>
            </w:pPr>
            <w:r>
              <w:rPr>
                <w:rFonts w:ascii="Century Gothic" w:hAnsi="Century Gothic"/>
                <w:b/>
                <w:noProof/>
                <w:szCs w:val="24"/>
                <w:lang w:val="es-ES"/>
              </w:rPr>
              <w:lastRenderedPageBreak/>
              <w:drawing>
                <wp:anchor distT="0" distB="0" distL="114300" distR="114300" simplePos="0" relativeHeight="251923456" behindDoc="0" locked="0" layoutInCell="1" allowOverlap="1" wp14:anchorId="220B69A0" wp14:editId="665241B5">
                  <wp:simplePos x="0" y="0"/>
                  <wp:positionH relativeFrom="column">
                    <wp:posOffset>-1080135</wp:posOffset>
                  </wp:positionH>
                  <wp:positionV relativeFrom="paragraph">
                    <wp:posOffset>-835660</wp:posOffset>
                  </wp:positionV>
                  <wp:extent cx="965835" cy="708660"/>
                  <wp:effectExtent l="0" t="0" r="0" b="0"/>
                  <wp:wrapNone/>
                  <wp:docPr id="431" name="Imagen 43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color w:val="000000"/>
                <w:sz w:val="16"/>
                <w:szCs w:val="16"/>
              </w:rPr>
              <w:t xml:space="preserve">-CONPES 3810 de 2014: Política para el suministro de agua potable y saneamiento básico en la zona rural. </w:t>
            </w:r>
          </w:p>
          <w:p w14:paraId="3908A67F"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-Plan Nacional de Desarrollo 2010-2014: estipuló la creación del CONPES 3810. </w:t>
            </w:r>
          </w:p>
          <w:p w14:paraId="1BE81740"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-Plan Nacional de Desarrollo 2014-2018: entre sus objetivos está mejorar el acceso al agua y saneamiento básico. </w:t>
            </w:r>
          </w:p>
          <w:p w14:paraId="31D0C62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-Programas del Ministerio de Vivienda, Ciudad y Territorio: planes departamentales de agua, todos por el pacífico, proyectos rurales, saneamiento y manejo de vertimientos.</w:t>
            </w:r>
          </w:p>
          <w:p w14:paraId="314F4A3F"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-Resolución 1615 de 2015, Ministerio de Salud y Protección Social:  por la cual se autorizan laboratorios para la realización de análisis físicos, químicos y microbiológicos al agua para consumo humano.</w:t>
            </w:r>
          </w:p>
          <w:p w14:paraId="49E01892"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-Decreto 1900 de 2006: protección y manejo de cuencas.</w:t>
            </w:r>
          </w:p>
          <w:p w14:paraId="351B7008"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-Decreto 1575 de 2007: protección y control de la calidad del agua para consumo humano.</w:t>
            </w:r>
          </w:p>
        </w:tc>
        <w:tc>
          <w:tcPr>
            <w:tcW w:w="2403" w:type="dxa"/>
          </w:tcPr>
          <w:p w14:paraId="78A5B852"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 xml:space="preserve">Sociedad civil: </w:t>
            </w:r>
          </w:p>
          <w:p w14:paraId="089D24B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-ONGs: Aguayuda, Acción contra el Hambre, Fundación Plan, Oxfam, Fundación Avinas.</w:t>
            </w:r>
          </w:p>
          <w:p w14:paraId="0F955A5E" w14:textId="77777777" w:rsidR="001238D7" w:rsidRPr="00E94619" w:rsidRDefault="001238D7" w:rsidP="000E5AC0">
            <w:pPr>
              <w:spacing w:after="0" w:line="240" w:lineRule="auto"/>
              <w:jc w:val="both"/>
              <w:rPr>
                <w:rFonts w:ascii="Century Gothic" w:hAnsi="Century Gothic"/>
                <w:sz w:val="16"/>
                <w:szCs w:val="16"/>
              </w:rPr>
            </w:pPr>
          </w:p>
          <w:p w14:paraId="6FB8873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Organizaciones Internacionales</w:t>
            </w:r>
          </w:p>
          <w:p w14:paraId="152906C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-PNUD: proyectos de agua potable en la Guajira.</w:t>
            </w:r>
          </w:p>
          <w:p w14:paraId="61F4DAA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-BID: Proyectos de agua y saneamiento en zonas rurales.</w:t>
            </w:r>
          </w:p>
          <w:p w14:paraId="0974150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-Organización Panamericana de la Salud: programa de monitoreo para el abastecimiento de agua. </w:t>
            </w:r>
          </w:p>
          <w:p w14:paraId="45576C68" w14:textId="77777777" w:rsidR="001238D7" w:rsidRPr="00E94619" w:rsidRDefault="001238D7" w:rsidP="000E5AC0">
            <w:pPr>
              <w:spacing w:after="0" w:line="240" w:lineRule="auto"/>
              <w:jc w:val="both"/>
              <w:rPr>
                <w:rFonts w:ascii="Century Gothic" w:hAnsi="Century Gothic"/>
                <w:sz w:val="16"/>
                <w:szCs w:val="16"/>
              </w:rPr>
            </w:pPr>
          </w:p>
          <w:p w14:paraId="45E6BAD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-Cooperación Española:  tiene como una de sus líneas de actuación acceso al agua y saneamiento.</w:t>
            </w:r>
          </w:p>
          <w:p w14:paraId="3F9A4A2E" w14:textId="77777777" w:rsidR="001238D7" w:rsidRPr="00E94619" w:rsidRDefault="001238D7" w:rsidP="000E5AC0">
            <w:pPr>
              <w:spacing w:after="0" w:line="240" w:lineRule="auto"/>
              <w:jc w:val="both"/>
              <w:rPr>
                <w:rFonts w:ascii="Century Gothic" w:hAnsi="Century Gothic"/>
                <w:sz w:val="16"/>
                <w:szCs w:val="16"/>
              </w:rPr>
            </w:pPr>
          </w:p>
          <w:p w14:paraId="1D1CA785" w14:textId="77777777" w:rsidR="001238D7" w:rsidRPr="00E94619" w:rsidRDefault="001238D7" w:rsidP="000E5AC0">
            <w:pPr>
              <w:spacing w:after="0" w:line="240" w:lineRule="auto"/>
              <w:jc w:val="both"/>
              <w:rPr>
                <w:rFonts w:ascii="Century Gothic" w:hAnsi="Century Gothic"/>
                <w:sz w:val="16"/>
                <w:szCs w:val="16"/>
              </w:rPr>
            </w:pPr>
          </w:p>
        </w:tc>
        <w:tc>
          <w:tcPr>
            <w:tcW w:w="4118" w:type="dxa"/>
          </w:tcPr>
          <w:p w14:paraId="6F5366D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lastRenderedPageBreak/>
              <w:t>Zonas rurales:</w:t>
            </w:r>
          </w:p>
          <w:p w14:paraId="6D9E2C69"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-Articular acciones institucionales para garantizar el acceso a servicios públicos, ya que existen programas y proyectos de diferentes entidades, publicas y privadas, trabajando en zonas comunes sin comunicación alguna.</w:t>
            </w:r>
          </w:p>
          <w:p w14:paraId="681AA95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-Mejorar la gestión de recursos y la capacidad técnica en estas zonas.</w:t>
            </w:r>
          </w:p>
          <w:p w14:paraId="61E019F1"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-Fortalecer la vigilancia a los prestadores de servicios públicos. </w:t>
            </w:r>
          </w:p>
          <w:p w14:paraId="6D50257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-Mejorar la disponibilidad de información sobre el acceso y calidad de los servicios púbicos en zonas rurales. </w:t>
            </w:r>
          </w:p>
          <w:p w14:paraId="36BB1EA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-Implementar tecnologías adecuadas y sostenibles. </w:t>
            </w:r>
          </w:p>
          <w:p w14:paraId="4394ACD6"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-Garantizar el acceso de las mujeres rurales a soluciones modernas para cocinar, pues casi el 50% lo sigue haciendo con leña, la cual es perjudicial. </w:t>
            </w:r>
          </w:p>
          <w:p w14:paraId="39B76D5A"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-Fortalecer el trabajo comunitario y asistencia técnica para desarrollar recursos hídricos y energéticos de manera sostenible.</w:t>
            </w:r>
          </w:p>
          <w:p w14:paraId="4CEAE6D8"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6AA6BB71"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Agua: </w:t>
            </w:r>
          </w:p>
          <w:p w14:paraId="1971C920"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-Garantizar el acceso al agua de las mujeres en las zonas rurales. </w:t>
            </w:r>
          </w:p>
          <w:p w14:paraId="3D3D99C1"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b/>
                <w:color w:val="000000"/>
                <w:sz w:val="16"/>
                <w:szCs w:val="16"/>
              </w:rPr>
            </w:pPr>
          </w:p>
          <w:p w14:paraId="7F4065B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Según el CONPES 3010 de 2014</w:t>
            </w:r>
          </w:p>
          <w:p w14:paraId="648C01B0"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la vigilancia de la salud pública y suministro de agua potable a nivel territorial.</w:t>
            </w:r>
          </w:p>
          <w:p w14:paraId="6A29AADB"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-Controlar la sobreutilización de los recursos hídricos y la deforestación.</w:t>
            </w:r>
          </w:p>
          <w:p w14:paraId="5B8C7F4E"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la conservación de cuencas.</w:t>
            </w:r>
          </w:p>
          <w:p w14:paraId="37FCB4D2"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-Controlar el adecuado manejo de aguas residuales de actividades domésticas, agrícolas, pecuarias, agroindustriales, minería, entre otras.</w:t>
            </w:r>
          </w:p>
          <w:p w14:paraId="74B19BD3"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el almacenamiento de agua.</w:t>
            </w:r>
          </w:p>
          <w:p w14:paraId="5CB3EF0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-Mejorar los estudios de riesgo de la infraestructura para el suministro de agua potable frente a la ocurrencia de fenómenos de origen natural.</w:t>
            </w:r>
          </w:p>
          <w:p w14:paraId="7DE6BA3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-Fortalecer el trabajo comunitario para conservar las fuentes hídricas. </w:t>
            </w:r>
          </w:p>
          <w:p w14:paraId="17837AF2"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2A10662A"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 xml:space="preserve">Internet: </w:t>
            </w:r>
          </w:p>
          <w:p w14:paraId="522C2157"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-Garantizar y promover el uso de internet en las zonas rurales, así como el uso de las nuevas herramientas informáticas y digitales especialmente en las mujeres.</w:t>
            </w:r>
          </w:p>
        </w:tc>
      </w:tr>
    </w:tbl>
    <w:p w14:paraId="467CC7E1" w14:textId="77777777" w:rsidR="00614296" w:rsidRDefault="00614296" w:rsidP="000E5AC0">
      <w:pPr>
        <w:rPr>
          <w:rFonts w:ascii="Century Gothic" w:hAnsi="Century Gothic"/>
        </w:rPr>
      </w:pPr>
    </w:p>
    <w:p w14:paraId="3FAB154A" w14:textId="688B5497" w:rsidR="00676A9F" w:rsidRPr="00E94619" w:rsidRDefault="00676A9F" w:rsidP="000E5AC0">
      <w:pPr>
        <w:rPr>
          <w:rFonts w:ascii="Century Gothic" w:hAnsi="Century Gothic"/>
        </w:rPr>
      </w:pPr>
    </w:p>
    <w:p w14:paraId="215C7CAB" w14:textId="26BA06C8" w:rsidR="00676A9F" w:rsidRPr="00DD058B" w:rsidRDefault="00614296" w:rsidP="00DD058B">
      <w:pPr>
        <w:pStyle w:val="Ttulo1"/>
        <w:rPr>
          <w:rFonts w:ascii="Century Gothic" w:hAnsi="Century Gothic"/>
          <w:b/>
        </w:rPr>
      </w:pPr>
      <w:bookmarkStart w:id="115" w:name="_Toc488624330"/>
      <w:r w:rsidRPr="000130CA">
        <w:rPr>
          <w:rFonts w:ascii="Century Gothic" w:eastAsia="Cambria" w:hAnsi="Century Gothic"/>
          <w:b/>
          <w:noProof/>
          <w:lang w:val="es-ES"/>
        </w:rPr>
        <w:drawing>
          <wp:anchor distT="0" distB="0" distL="114300" distR="114300" simplePos="0" relativeHeight="251741184" behindDoc="1" locked="0" layoutInCell="1" allowOverlap="1" wp14:anchorId="5CB4A020" wp14:editId="3F6CDCD4">
            <wp:simplePos x="0" y="0"/>
            <wp:positionH relativeFrom="column">
              <wp:posOffset>-114300</wp:posOffset>
            </wp:positionH>
            <wp:positionV relativeFrom="paragraph">
              <wp:posOffset>-6985</wp:posOffset>
            </wp:positionV>
            <wp:extent cx="5396230" cy="567055"/>
            <wp:effectExtent l="0" t="0" r="0" b="0"/>
            <wp:wrapNone/>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r w:rsidR="0036411F" w:rsidRPr="00DD058B">
        <w:rPr>
          <w:rFonts w:ascii="Century Gothic" w:hAnsi="Century Gothic"/>
          <w:b/>
        </w:rPr>
        <w:t>V</w:t>
      </w:r>
      <w:r w:rsidR="00BD5E57" w:rsidRPr="00DD058B">
        <w:rPr>
          <w:rFonts w:ascii="Century Gothic" w:hAnsi="Century Gothic"/>
          <w:b/>
        </w:rPr>
        <w:t>II</w:t>
      </w:r>
      <w:r w:rsidR="0036411F" w:rsidRPr="00DD058B">
        <w:rPr>
          <w:rFonts w:ascii="Century Gothic" w:hAnsi="Century Gothic"/>
          <w:b/>
        </w:rPr>
        <w:t xml:space="preserve">. </w:t>
      </w:r>
      <w:r w:rsidR="00D6113F" w:rsidRPr="00DD058B">
        <w:rPr>
          <w:rFonts w:ascii="Century Gothic" w:hAnsi="Century Gothic"/>
          <w:b/>
        </w:rPr>
        <w:t>F</w:t>
      </w:r>
      <w:r w:rsidR="00676A9F" w:rsidRPr="00DD058B">
        <w:rPr>
          <w:rFonts w:ascii="Century Gothic" w:hAnsi="Century Gothic"/>
          <w:b/>
        </w:rPr>
        <w:t>omentar la participación y el liderazgo</w:t>
      </w:r>
      <w:bookmarkEnd w:id="115"/>
      <w:r w:rsidR="00676A9F" w:rsidRPr="00DD058B">
        <w:rPr>
          <w:rFonts w:ascii="Century Gothic" w:hAnsi="Century Gothic"/>
          <w:b/>
        </w:rPr>
        <w:t xml:space="preserve"> </w:t>
      </w:r>
    </w:p>
    <w:p w14:paraId="34EA8309" w14:textId="2C4679C3" w:rsidR="001238D7" w:rsidRPr="00DD058B" w:rsidRDefault="00676A9F" w:rsidP="00DD058B">
      <w:pPr>
        <w:pStyle w:val="Ttulo1"/>
        <w:rPr>
          <w:rFonts w:ascii="Century Gothic" w:hAnsi="Century Gothic"/>
          <w:b/>
        </w:rPr>
      </w:pPr>
      <w:bookmarkStart w:id="116" w:name="_Toc488624331"/>
      <w:r w:rsidRPr="00DD058B">
        <w:rPr>
          <w:rFonts w:ascii="Century Gothic" w:hAnsi="Century Gothic"/>
          <w:b/>
        </w:rPr>
        <w:t>en igualdad de condiciones</w:t>
      </w:r>
      <w:bookmarkEnd w:id="116"/>
      <w:r w:rsidRPr="00DD058B">
        <w:rPr>
          <w:rFonts w:ascii="Century Gothic" w:hAnsi="Century Gothic"/>
          <w:b/>
        </w:rPr>
        <w:t xml:space="preserve"> </w:t>
      </w:r>
    </w:p>
    <w:p w14:paraId="23B1C9A8" w14:textId="77777777" w:rsidR="00D6113F" w:rsidRPr="00E94619" w:rsidRDefault="00D6113F" w:rsidP="000E5AC0">
      <w:pPr>
        <w:rPr>
          <w:rFonts w:ascii="Century Gothic" w:hAnsi="Century Gothic"/>
          <w:lang w:val="es-ES_tradnl" w:eastAsia="es-ES"/>
        </w:rPr>
      </w:pPr>
    </w:p>
    <w:p w14:paraId="7691F89C" w14:textId="1D583CF9" w:rsidR="001238D7" w:rsidRPr="00676A9F" w:rsidRDefault="0036411F" w:rsidP="000E5AC0">
      <w:pPr>
        <w:pStyle w:val="Ttulo2"/>
        <w:rPr>
          <w:rFonts w:ascii="Century Gothic" w:hAnsi="Century Gothic"/>
          <w:color w:val="CC3366"/>
        </w:rPr>
      </w:pPr>
      <w:bookmarkStart w:id="117" w:name="_Toc488624332"/>
      <w:r w:rsidRPr="00676A9F">
        <w:rPr>
          <w:rFonts w:ascii="Century Gothic" w:hAnsi="Century Gothic"/>
          <w:color w:val="CC3366"/>
        </w:rPr>
        <w:t>1. A</w:t>
      </w:r>
      <w:r w:rsidR="00676A9F" w:rsidRPr="00676A9F">
        <w:rPr>
          <w:rFonts w:ascii="Century Gothic" w:hAnsi="Century Gothic"/>
          <w:color w:val="CC3366"/>
        </w:rPr>
        <w:t>cceso a la participación política de las mujeres y las niñas</w:t>
      </w:r>
      <w:bookmarkEnd w:id="117"/>
      <w:r w:rsidR="00676A9F" w:rsidRPr="00676A9F">
        <w:rPr>
          <w:rFonts w:ascii="Century Gothic" w:hAnsi="Century Gothic"/>
          <w:color w:val="CC3366"/>
        </w:rPr>
        <w:t xml:space="preserve"> </w:t>
      </w:r>
    </w:p>
    <w:p w14:paraId="58FB7CEB" w14:textId="77777777" w:rsidR="001238D7" w:rsidRPr="00E94619" w:rsidRDefault="001238D7" w:rsidP="000E5AC0">
      <w:pPr>
        <w:spacing w:after="0" w:line="240" w:lineRule="auto"/>
        <w:jc w:val="both"/>
        <w:rPr>
          <w:rFonts w:ascii="Century Gothic" w:hAnsi="Century Gothic"/>
          <w:b/>
        </w:rPr>
      </w:pPr>
    </w:p>
    <w:p w14:paraId="42F43423" w14:textId="3E8A7835"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A pesar de que en Colombia las mujeres representan el 52% del censo electoral (en edad de votar), la participación política de ellas está inmersa en las mismas dificultades que en los demás países de la región. En este contexto, en Colombia, a pesar de que existe una normatividad para garantizar la participación política por lo menos en un 30% de mujeres en los niveles decisorios de las diferentes ramas y órganos del poder público, como en los partidos, esta meta está lejos de alcanzar, sobre todo en los cargos de elección popular. La participación de las mujeres es afectada por razones de edad, étnicas, de pobreza y por condiciones relacionadas con menos redes y menos tiempo debido a la carga del cuidado. De igual forma, prevalecen </w:t>
      </w:r>
      <w:r w:rsidRPr="00E94619">
        <w:rPr>
          <w:rFonts w:ascii="Century Gothic" w:hAnsi="Century Gothic"/>
        </w:rPr>
        <w:lastRenderedPageBreak/>
        <w:t>estereotipos que siguen considerando el ámbito político como masculino, lo cual es promovido por instituciones como las iglesias, quienes además tienen posturas reaccionarias frente a temas relacionados con las identidades de género y los derechos sexuales y reproductivos.</w:t>
      </w:r>
    </w:p>
    <w:p w14:paraId="2D810AB7" w14:textId="466826CF" w:rsidR="001238D7" w:rsidRPr="00E94619" w:rsidRDefault="00BD41A8" w:rsidP="000E5AC0">
      <w:pPr>
        <w:spacing w:after="0" w:line="240" w:lineRule="auto"/>
        <w:jc w:val="both"/>
        <w:rPr>
          <w:rFonts w:ascii="Century Gothic" w:hAnsi="Century Gothic"/>
        </w:rPr>
      </w:pPr>
      <w:r>
        <w:rPr>
          <w:rFonts w:ascii="Century Gothic" w:hAnsi="Century Gothic"/>
          <w:b/>
          <w:noProof/>
          <w:szCs w:val="24"/>
          <w:lang w:val="es-ES"/>
        </w:rPr>
        <w:drawing>
          <wp:anchor distT="0" distB="0" distL="114300" distR="114300" simplePos="0" relativeHeight="251925504" behindDoc="0" locked="0" layoutInCell="1" allowOverlap="1" wp14:anchorId="13582093" wp14:editId="019BD971">
            <wp:simplePos x="0" y="0"/>
            <wp:positionH relativeFrom="column">
              <wp:posOffset>-1080135</wp:posOffset>
            </wp:positionH>
            <wp:positionV relativeFrom="paragraph">
              <wp:posOffset>-1508125</wp:posOffset>
            </wp:positionV>
            <wp:extent cx="965835" cy="708660"/>
            <wp:effectExtent l="0" t="0" r="0" b="0"/>
            <wp:wrapNone/>
            <wp:docPr id="432" name="Imagen 43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4A84ECD1"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Estas dificultades de las mujeres para poder acceder a los cargos de poder se les denomina el ‘techo de cristal’, frente a las cuales acciones afirmativas como las leyes de cuotas no han sido efectivas para garantizar la participación política de éstas. En las últimas conferencias de la mujer adelantadas por la CEPAL se ha propuesto impulsar la paridad, es decir promover normas que garanticen la participación en un 50% para las mujeres. </w:t>
      </w:r>
    </w:p>
    <w:p w14:paraId="687DDBB3" w14:textId="77777777" w:rsidR="001238D7" w:rsidRPr="00E94619" w:rsidRDefault="001238D7" w:rsidP="000E5AC0">
      <w:pPr>
        <w:spacing w:after="0" w:line="240" w:lineRule="auto"/>
        <w:jc w:val="both"/>
        <w:rPr>
          <w:rFonts w:ascii="Century Gothic" w:hAnsi="Century Gothic"/>
        </w:rPr>
      </w:pPr>
    </w:p>
    <w:p w14:paraId="3F6250B2" w14:textId="0B2794EA" w:rsidR="001238D7" w:rsidRDefault="0036411F" w:rsidP="00676A9F">
      <w:pPr>
        <w:pStyle w:val="Ttulo3"/>
        <w:numPr>
          <w:ilvl w:val="1"/>
          <w:numId w:val="10"/>
        </w:numPr>
        <w:rPr>
          <w:rFonts w:ascii="Century Gothic" w:hAnsi="Century Gothic"/>
          <w:b w:val="0"/>
          <w:color w:val="CC3366"/>
        </w:rPr>
      </w:pPr>
      <w:bookmarkStart w:id="118" w:name="_Toc488624333"/>
      <w:r w:rsidRPr="00676A9F">
        <w:rPr>
          <w:rFonts w:ascii="Century Gothic" w:hAnsi="Century Gothic"/>
          <w:b w:val="0"/>
          <w:color w:val="CC3366"/>
        </w:rPr>
        <w:t>Participación en cargos de elección popular</w:t>
      </w:r>
      <w:r w:rsidR="002D3891" w:rsidRPr="00676A9F">
        <w:rPr>
          <w:rFonts w:ascii="Century Gothic" w:hAnsi="Century Gothic"/>
          <w:b w:val="0"/>
          <w:color w:val="CC3366"/>
        </w:rPr>
        <w:t>:</w:t>
      </w:r>
      <w:r w:rsidR="00BD5E57" w:rsidRPr="00676A9F">
        <w:rPr>
          <w:rFonts w:ascii="Century Gothic" w:hAnsi="Century Gothic"/>
          <w:b w:val="0"/>
          <w:color w:val="CC3366"/>
        </w:rPr>
        <w:t xml:space="preserve"> </w:t>
      </w:r>
      <w:r w:rsidR="002D3891" w:rsidRPr="00676A9F">
        <w:rPr>
          <w:rFonts w:ascii="Century Gothic" w:hAnsi="Century Gothic"/>
          <w:b w:val="0"/>
          <w:color w:val="CC3366"/>
        </w:rPr>
        <w:t>m</w:t>
      </w:r>
      <w:r w:rsidRPr="00676A9F">
        <w:rPr>
          <w:rFonts w:ascii="Century Gothic" w:hAnsi="Century Gothic"/>
          <w:b w:val="0"/>
          <w:color w:val="CC3366"/>
        </w:rPr>
        <w:t>ujeres candidatas a la presidencia de la república</w:t>
      </w:r>
      <w:bookmarkEnd w:id="118"/>
    </w:p>
    <w:p w14:paraId="0E41BE20" w14:textId="77777777" w:rsidR="00676A9F" w:rsidRPr="00676A9F" w:rsidRDefault="00676A9F" w:rsidP="00676A9F"/>
    <w:p w14:paraId="39BEA15E" w14:textId="77777777" w:rsidR="001238D7" w:rsidRPr="00E94619" w:rsidRDefault="00E71CC5" w:rsidP="000E5AC0">
      <w:pPr>
        <w:spacing w:after="0" w:line="240" w:lineRule="auto"/>
        <w:jc w:val="both"/>
        <w:rPr>
          <w:rFonts w:ascii="Century Gothic" w:hAnsi="Century Gothic"/>
        </w:rPr>
      </w:pPr>
      <w:r w:rsidRPr="00E94619">
        <w:rPr>
          <w:rFonts w:ascii="Century Gothic" w:hAnsi="Century Gothic"/>
        </w:rPr>
        <w:t xml:space="preserve">Con  la elección de Iván Duque como Presidente del país para el periodo 2018 – 2022 fue elegida </w:t>
      </w:r>
      <w:r w:rsidR="004C23F4" w:rsidRPr="00E94619">
        <w:rPr>
          <w:rFonts w:ascii="Century Gothic" w:hAnsi="Century Gothic"/>
        </w:rPr>
        <w:t xml:space="preserve">como </w:t>
      </w:r>
      <w:r w:rsidRPr="00E94619">
        <w:rPr>
          <w:rFonts w:ascii="Century Gothic" w:hAnsi="Century Gothic"/>
        </w:rPr>
        <w:t>V</w:t>
      </w:r>
      <w:r w:rsidR="004C23F4" w:rsidRPr="00E94619">
        <w:rPr>
          <w:rFonts w:ascii="Century Gothic" w:hAnsi="Century Gothic"/>
        </w:rPr>
        <w:t>icepresidenta</w:t>
      </w:r>
      <w:r w:rsidRPr="00E94619">
        <w:rPr>
          <w:rFonts w:ascii="Century Gothic" w:hAnsi="Century Gothic"/>
        </w:rPr>
        <w:t xml:space="preserve"> a</w:t>
      </w:r>
      <w:r w:rsidR="004C23F4" w:rsidRPr="00E94619">
        <w:rPr>
          <w:rFonts w:ascii="Century Gothic" w:hAnsi="Century Gothic"/>
        </w:rPr>
        <w:t xml:space="preserve"> </w:t>
      </w:r>
      <w:r w:rsidR="0036411F" w:rsidRPr="00E94619">
        <w:rPr>
          <w:rFonts w:ascii="Century Gothic" w:hAnsi="Century Gothic"/>
        </w:rPr>
        <w:t>Martha Lucia Ramírez</w:t>
      </w:r>
      <w:r w:rsidRPr="00E94619">
        <w:rPr>
          <w:rFonts w:ascii="Century Gothic" w:hAnsi="Century Gothic"/>
        </w:rPr>
        <w:t>, lo que</w:t>
      </w:r>
      <w:r w:rsidR="0036411F" w:rsidRPr="00E94619">
        <w:rPr>
          <w:rFonts w:ascii="Century Gothic" w:hAnsi="Century Gothic"/>
        </w:rPr>
        <w:t xml:space="preserve"> representa un avance en la participación política de las mujeres</w:t>
      </w:r>
      <w:r w:rsidRPr="00E94619">
        <w:rPr>
          <w:rFonts w:ascii="Century Gothic" w:hAnsi="Century Gothic"/>
        </w:rPr>
        <w:t>.</w:t>
      </w:r>
      <w:r w:rsidR="00210F96" w:rsidRPr="00E94619">
        <w:rPr>
          <w:rFonts w:ascii="Century Gothic" w:hAnsi="Century Gothic"/>
        </w:rPr>
        <w:t xml:space="preserve"> La señora Ramírez fue a candidata presidencial del Partido Conservador para las elecciones presidenciales de 2014, obteniendo la tercera mayor parte de la votación. </w:t>
      </w:r>
    </w:p>
    <w:p w14:paraId="614171C8" w14:textId="77777777" w:rsidR="001238D7" w:rsidRPr="00E94619" w:rsidRDefault="001238D7" w:rsidP="000E5AC0">
      <w:pPr>
        <w:spacing w:after="0" w:line="240" w:lineRule="auto"/>
        <w:jc w:val="both"/>
        <w:rPr>
          <w:rFonts w:ascii="Century Gothic" w:hAnsi="Century Gothic"/>
        </w:rPr>
      </w:pPr>
    </w:p>
    <w:p w14:paraId="26B6EF4F" w14:textId="77777777" w:rsidR="001238D7" w:rsidRPr="00676A9F" w:rsidRDefault="0036411F" w:rsidP="000E5AC0">
      <w:pPr>
        <w:pStyle w:val="Ttulo3"/>
        <w:rPr>
          <w:rFonts w:ascii="Century Gothic" w:hAnsi="Century Gothic"/>
          <w:b w:val="0"/>
          <w:color w:val="CC3366"/>
        </w:rPr>
      </w:pPr>
      <w:bookmarkStart w:id="119" w:name="_Toc488624334"/>
      <w:r w:rsidRPr="00676A9F">
        <w:rPr>
          <w:rFonts w:ascii="Century Gothic" w:hAnsi="Century Gothic"/>
          <w:b w:val="0"/>
          <w:color w:val="CC3366"/>
        </w:rPr>
        <w:t>1.2 Proporción de escaños ocupados por mujeres en el Congreso.</w:t>
      </w:r>
      <w:bookmarkEnd w:id="119"/>
    </w:p>
    <w:p w14:paraId="53076185" w14:textId="77777777" w:rsidR="001238D7" w:rsidRPr="00E94619" w:rsidRDefault="001238D7" w:rsidP="000E5AC0">
      <w:pPr>
        <w:pStyle w:val="Ttulo3"/>
        <w:rPr>
          <w:rFonts w:ascii="Century Gothic" w:hAnsi="Century Gothic"/>
        </w:rPr>
      </w:pPr>
    </w:p>
    <w:p w14:paraId="5D351184" w14:textId="77777777" w:rsidR="00B40D4C" w:rsidRPr="00E94619" w:rsidRDefault="00B40D4C" w:rsidP="000E5AC0">
      <w:pPr>
        <w:spacing w:after="0" w:line="240" w:lineRule="auto"/>
        <w:jc w:val="both"/>
        <w:rPr>
          <w:rFonts w:ascii="Century Gothic" w:hAnsi="Century Gothic" w:cs="Tahoma"/>
          <w:color w:val="0A0A0A"/>
          <w:spacing w:val="4"/>
        </w:rPr>
      </w:pPr>
      <w:r w:rsidRPr="00E94619">
        <w:rPr>
          <w:rFonts w:ascii="Century Gothic" w:hAnsi="Century Gothic" w:cs="Tahoma"/>
          <w:color w:val="0A0A0A"/>
          <w:spacing w:val="4"/>
        </w:rPr>
        <w:t>El informe </w:t>
      </w:r>
      <w:r w:rsidRPr="00E94619">
        <w:rPr>
          <w:rFonts w:ascii="Century Gothic" w:hAnsi="Century Gothic" w:cs="Tahoma"/>
          <w:i/>
          <w:iCs/>
          <w:color w:val="0A0A0A"/>
          <w:spacing w:val="4"/>
        </w:rPr>
        <w:t>Balance de la Participación Política de las Mujeres en las Elecciones 2018 </w:t>
      </w:r>
      <w:r w:rsidRPr="00E94619">
        <w:rPr>
          <w:rFonts w:ascii="Century Gothic" w:hAnsi="Century Gothic" w:cs="Tahoma"/>
          <w:color w:val="0A0A0A"/>
          <w:spacing w:val="4"/>
        </w:rPr>
        <w:t>destaca que, en la segunda oportunidad en que se realizan elecciones legislativas con aplicación de la Cuota de Género, el nivel de participación de las mujeres se mantuvo en un rango similar al registrado en la composición del Congreso en 2014. El nuevo Senado quedó integrado por 25 mujeres (23,4%), mientras que en la Cámara de Representantes el 18% de las sillas fueron para candidatas (31). En 2014, el Congreso quedó compuesto por 22,5% de mujeres en Senado (23 senadoras) y 20% en Cámara (33 representantes). En Colombia, la Cuota de Género establece que listas de los partidos y agrupaciones políticas al Senado, y a 14 de 36 circunscripciones en Cámara de Representantes, deben estar integradas en al menos un 30% por hombres o mujeres, según la Ley 1475 de 2011.</w:t>
      </w:r>
      <w:sdt>
        <w:sdtPr>
          <w:rPr>
            <w:rFonts w:ascii="Century Gothic" w:hAnsi="Century Gothic" w:cs="Tahoma"/>
            <w:color w:val="0A0A0A"/>
            <w:spacing w:val="4"/>
          </w:rPr>
          <w:id w:val="-661155583"/>
          <w:citation/>
        </w:sdtPr>
        <w:sdtContent>
          <w:r w:rsidRPr="00E94619">
            <w:rPr>
              <w:rFonts w:ascii="Century Gothic" w:hAnsi="Century Gothic" w:cs="Tahoma"/>
              <w:color w:val="0A0A0A"/>
              <w:spacing w:val="4"/>
            </w:rPr>
            <w:fldChar w:fldCharType="begin"/>
          </w:r>
          <w:r w:rsidRPr="00E94619">
            <w:rPr>
              <w:rFonts w:ascii="Century Gothic" w:hAnsi="Century Gothic" w:cs="Tahoma"/>
              <w:color w:val="0A0A0A"/>
              <w:spacing w:val="4"/>
            </w:rPr>
            <w:instrText xml:space="preserve"> CITATION PNU18 \l 9226 </w:instrText>
          </w:r>
          <w:r w:rsidRPr="00E94619">
            <w:rPr>
              <w:rFonts w:ascii="Century Gothic" w:hAnsi="Century Gothic" w:cs="Tahoma"/>
              <w:color w:val="0A0A0A"/>
              <w:spacing w:val="4"/>
            </w:rPr>
            <w:fldChar w:fldCharType="separate"/>
          </w:r>
          <w:r w:rsidRPr="00E94619">
            <w:rPr>
              <w:rFonts w:ascii="Century Gothic" w:hAnsi="Century Gothic" w:cs="Tahoma"/>
              <w:noProof/>
              <w:color w:val="0A0A0A"/>
              <w:spacing w:val="4"/>
            </w:rPr>
            <w:t xml:space="preserve"> (PNUD, 2018)</w:t>
          </w:r>
          <w:r w:rsidRPr="00E94619">
            <w:rPr>
              <w:rFonts w:ascii="Century Gothic" w:hAnsi="Century Gothic" w:cs="Tahoma"/>
              <w:color w:val="0A0A0A"/>
              <w:spacing w:val="4"/>
            </w:rPr>
            <w:fldChar w:fldCharType="end"/>
          </w:r>
        </w:sdtContent>
      </w:sdt>
      <w:r w:rsidRPr="00E94619">
        <w:rPr>
          <w:rFonts w:ascii="Century Gothic" w:hAnsi="Century Gothic"/>
        </w:rPr>
        <w:t>.</w:t>
      </w:r>
      <w:r w:rsidRPr="00E94619">
        <w:rPr>
          <w:rFonts w:ascii="Century Gothic" w:hAnsi="Century Gothic" w:cs="Tahoma"/>
          <w:color w:val="0A0A0A"/>
          <w:spacing w:val="4"/>
        </w:rPr>
        <w:t>Actualmente el equipo de trabajo en la Vicepresidencia está conformado por 27 mujeres y 23 hombres.</w:t>
      </w:r>
    </w:p>
    <w:p w14:paraId="5D7E613D" w14:textId="77777777" w:rsidR="001238D7" w:rsidRPr="00E94619" w:rsidRDefault="001238D7" w:rsidP="000E5AC0">
      <w:pPr>
        <w:spacing w:after="0" w:line="240" w:lineRule="auto"/>
        <w:jc w:val="both"/>
        <w:rPr>
          <w:rFonts w:ascii="Century Gothic" w:hAnsi="Century Gothic"/>
        </w:rPr>
      </w:pPr>
    </w:p>
    <w:p w14:paraId="546546D6" w14:textId="77777777" w:rsidR="001238D7"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Porcentaje de Mujeres en el Congreso de la República </w:t>
      </w:r>
    </w:p>
    <w:p w14:paraId="67AD5BFB" w14:textId="77777777" w:rsidR="00676A9F" w:rsidRPr="00E94619" w:rsidRDefault="00676A9F" w:rsidP="000E5AC0">
      <w:pPr>
        <w:spacing w:after="0" w:line="240" w:lineRule="auto"/>
        <w:jc w:val="both"/>
        <w:rPr>
          <w:rFonts w:ascii="Century Gothic" w:hAnsi="Century Gothic"/>
          <w:b/>
          <w:sz w:val="16"/>
          <w:szCs w:val="16"/>
        </w:rPr>
      </w:pPr>
    </w:p>
    <w:tbl>
      <w:tblPr>
        <w:tblStyle w:val="afffffd"/>
        <w:tblW w:w="8714"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2912"/>
        <w:gridCol w:w="2901"/>
        <w:gridCol w:w="2901"/>
      </w:tblGrid>
      <w:tr w:rsidR="001238D7" w:rsidRPr="00E94619" w14:paraId="38FB6600" w14:textId="77777777" w:rsidTr="00676A9F">
        <w:tc>
          <w:tcPr>
            <w:tcW w:w="2912" w:type="dxa"/>
            <w:shd w:val="clear" w:color="auto" w:fill="FF99CC"/>
          </w:tcPr>
          <w:p w14:paraId="4C5B6C3D" w14:textId="77777777" w:rsidR="001238D7" w:rsidRPr="00E94619" w:rsidRDefault="0036411F" w:rsidP="000E5AC0">
            <w:pPr>
              <w:spacing w:after="0" w:line="240" w:lineRule="auto"/>
              <w:jc w:val="center"/>
              <w:rPr>
                <w:rFonts w:ascii="Century Gothic" w:hAnsi="Century Gothic"/>
                <w:b/>
                <w:sz w:val="16"/>
                <w:szCs w:val="16"/>
              </w:rPr>
            </w:pPr>
            <w:r w:rsidRPr="00E94619">
              <w:rPr>
                <w:rFonts w:ascii="Century Gothic" w:hAnsi="Century Gothic"/>
                <w:b/>
                <w:sz w:val="16"/>
                <w:szCs w:val="16"/>
              </w:rPr>
              <w:t>Entidad</w:t>
            </w:r>
          </w:p>
        </w:tc>
        <w:tc>
          <w:tcPr>
            <w:tcW w:w="2901" w:type="dxa"/>
            <w:shd w:val="clear" w:color="auto" w:fill="FF99CC"/>
          </w:tcPr>
          <w:p w14:paraId="6A543A99" w14:textId="77777777" w:rsidR="001238D7" w:rsidRPr="00E94619" w:rsidRDefault="0036411F" w:rsidP="000E5AC0">
            <w:pPr>
              <w:spacing w:after="0" w:line="240" w:lineRule="auto"/>
              <w:jc w:val="center"/>
              <w:rPr>
                <w:rFonts w:ascii="Century Gothic" w:hAnsi="Century Gothic"/>
                <w:b/>
                <w:sz w:val="16"/>
                <w:szCs w:val="16"/>
              </w:rPr>
            </w:pPr>
            <w:r w:rsidRPr="00E94619">
              <w:rPr>
                <w:rFonts w:ascii="Century Gothic" w:hAnsi="Century Gothic"/>
                <w:b/>
                <w:sz w:val="16"/>
                <w:szCs w:val="16"/>
              </w:rPr>
              <w:t>Período</w:t>
            </w:r>
          </w:p>
        </w:tc>
        <w:tc>
          <w:tcPr>
            <w:tcW w:w="2901" w:type="dxa"/>
            <w:shd w:val="clear" w:color="auto" w:fill="FF99CC"/>
          </w:tcPr>
          <w:p w14:paraId="3C58E2A3" w14:textId="77777777" w:rsidR="001238D7" w:rsidRPr="00E94619" w:rsidRDefault="0036411F" w:rsidP="000E5AC0">
            <w:pPr>
              <w:spacing w:after="0" w:line="240" w:lineRule="auto"/>
              <w:jc w:val="center"/>
              <w:rPr>
                <w:rFonts w:ascii="Century Gothic" w:hAnsi="Century Gothic"/>
                <w:b/>
                <w:sz w:val="16"/>
                <w:szCs w:val="16"/>
              </w:rPr>
            </w:pPr>
            <w:r w:rsidRPr="00E94619">
              <w:rPr>
                <w:rFonts w:ascii="Century Gothic" w:hAnsi="Century Gothic"/>
                <w:b/>
                <w:sz w:val="16"/>
                <w:szCs w:val="16"/>
              </w:rPr>
              <w:t>% de Mujeres</w:t>
            </w:r>
          </w:p>
        </w:tc>
      </w:tr>
      <w:tr w:rsidR="001238D7" w:rsidRPr="00E94619" w14:paraId="77D2B37A" w14:textId="77777777" w:rsidTr="00676A9F">
        <w:tc>
          <w:tcPr>
            <w:tcW w:w="2912" w:type="dxa"/>
            <w:vMerge w:val="restart"/>
          </w:tcPr>
          <w:p w14:paraId="1F84DF39"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Cámara de Representantes</w:t>
            </w:r>
          </w:p>
        </w:tc>
        <w:tc>
          <w:tcPr>
            <w:tcW w:w="2901" w:type="dxa"/>
          </w:tcPr>
          <w:p w14:paraId="477463A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2010-2014</w:t>
            </w:r>
          </w:p>
        </w:tc>
        <w:tc>
          <w:tcPr>
            <w:tcW w:w="2901" w:type="dxa"/>
          </w:tcPr>
          <w:p w14:paraId="571FBE4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12</w:t>
            </w:r>
          </w:p>
        </w:tc>
      </w:tr>
      <w:tr w:rsidR="001238D7" w:rsidRPr="00E94619" w14:paraId="15D7DCE3" w14:textId="77777777" w:rsidTr="00676A9F">
        <w:tc>
          <w:tcPr>
            <w:tcW w:w="2912" w:type="dxa"/>
            <w:vMerge/>
          </w:tcPr>
          <w:p w14:paraId="693C56CA" w14:textId="77777777" w:rsidR="001238D7" w:rsidRPr="00E94619" w:rsidRDefault="001238D7" w:rsidP="000E5AC0">
            <w:pPr>
              <w:widowControl w:val="0"/>
              <w:pBdr>
                <w:top w:val="nil"/>
                <w:left w:val="nil"/>
                <w:bottom w:val="nil"/>
                <w:right w:val="nil"/>
                <w:between w:val="nil"/>
              </w:pBdr>
              <w:spacing w:after="0" w:line="276" w:lineRule="auto"/>
              <w:rPr>
                <w:rFonts w:ascii="Century Gothic" w:hAnsi="Century Gothic"/>
                <w:sz w:val="16"/>
                <w:szCs w:val="16"/>
              </w:rPr>
            </w:pPr>
          </w:p>
        </w:tc>
        <w:tc>
          <w:tcPr>
            <w:tcW w:w="2901" w:type="dxa"/>
          </w:tcPr>
          <w:p w14:paraId="4ADA6CC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2014-2018</w:t>
            </w:r>
          </w:p>
        </w:tc>
        <w:tc>
          <w:tcPr>
            <w:tcW w:w="2901" w:type="dxa"/>
          </w:tcPr>
          <w:p w14:paraId="388D0A7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19.9</w:t>
            </w:r>
          </w:p>
        </w:tc>
      </w:tr>
      <w:tr w:rsidR="001238D7" w:rsidRPr="00E94619" w14:paraId="425D92F0" w14:textId="77777777" w:rsidTr="00676A9F">
        <w:tc>
          <w:tcPr>
            <w:tcW w:w="2912" w:type="dxa"/>
            <w:vMerge w:val="restart"/>
          </w:tcPr>
          <w:p w14:paraId="1541BFE4"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Senado de la República</w:t>
            </w:r>
          </w:p>
        </w:tc>
        <w:tc>
          <w:tcPr>
            <w:tcW w:w="2901" w:type="dxa"/>
          </w:tcPr>
          <w:p w14:paraId="166B55F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2010-2014</w:t>
            </w:r>
          </w:p>
        </w:tc>
        <w:tc>
          <w:tcPr>
            <w:tcW w:w="2901" w:type="dxa"/>
          </w:tcPr>
          <w:p w14:paraId="2ECE7B5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16</w:t>
            </w:r>
          </w:p>
        </w:tc>
      </w:tr>
      <w:tr w:rsidR="001238D7" w:rsidRPr="00E94619" w14:paraId="4940F37E" w14:textId="77777777" w:rsidTr="00676A9F">
        <w:tc>
          <w:tcPr>
            <w:tcW w:w="2912" w:type="dxa"/>
            <w:vMerge/>
          </w:tcPr>
          <w:p w14:paraId="1ADAEA17" w14:textId="77777777" w:rsidR="001238D7" w:rsidRPr="00E94619" w:rsidRDefault="001238D7" w:rsidP="000E5AC0">
            <w:pPr>
              <w:widowControl w:val="0"/>
              <w:pBdr>
                <w:top w:val="nil"/>
                <w:left w:val="nil"/>
                <w:bottom w:val="nil"/>
                <w:right w:val="nil"/>
                <w:between w:val="nil"/>
              </w:pBdr>
              <w:spacing w:after="0" w:line="276" w:lineRule="auto"/>
              <w:rPr>
                <w:rFonts w:ascii="Century Gothic" w:hAnsi="Century Gothic"/>
                <w:sz w:val="16"/>
                <w:szCs w:val="16"/>
              </w:rPr>
            </w:pPr>
          </w:p>
        </w:tc>
        <w:tc>
          <w:tcPr>
            <w:tcW w:w="2901" w:type="dxa"/>
          </w:tcPr>
          <w:p w14:paraId="5B53333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2014-2018</w:t>
            </w:r>
          </w:p>
        </w:tc>
        <w:tc>
          <w:tcPr>
            <w:tcW w:w="2901" w:type="dxa"/>
          </w:tcPr>
          <w:p w14:paraId="21E0D46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22.6</w:t>
            </w:r>
          </w:p>
        </w:tc>
      </w:tr>
    </w:tbl>
    <w:p w14:paraId="5BCA0994" w14:textId="77777777" w:rsidR="001238D7" w:rsidRPr="00E94619" w:rsidRDefault="001238D7" w:rsidP="000E5AC0">
      <w:pPr>
        <w:spacing w:after="0" w:line="240" w:lineRule="auto"/>
        <w:jc w:val="both"/>
        <w:rPr>
          <w:rFonts w:ascii="Century Gothic" w:hAnsi="Century Gothic"/>
          <w:i/>
          <w:sz w:val="16"/>
          <w:szCs w:val="16"/>
        </w:rPr>
      </w:pPr>
    </w:p>
    <w:p w14:paraId="70DE66AD" w14:textId="00AE96BC" w:rsidR="001238D7" w:rsidRPr="00676A9F" w:rsidRDefault="0036411F" w:rsidP="00676A9F">
      <w:pPr>
        <w:pStyle w:val="Ttulo3"/>
        <w:jc w:val="both"/>
        <w:rPr>
          <w:rFonts w:ascii="Century Gothic" w:hAnsi="Century Gothic"/>
          <w:b w:val="0"/>
          <w:color w:val="CC3366"/>
        </w:rPr>
      </w:pPr>
      <w:bookmarkStart w:id="120" w:name="_Toc488624335"/>
      <w:r w:rsidRPr="00676A9F">
        <w:rPr>
          <w:rFonts w:ascii="Century Gothic" w:hAnsi="Century Gothic"/>
          <w:b w:val="0"/>
          <w:color w:val="CC3366"/>
        </w:rPr>
        <w:t>1.3</w:t>
      </w:r>
      <w:r w:rsidR="00676A9F">
        <w:rPr>
          <w:rFonts w:ascii="Century Gothic" w:hAnsi="Century Gothic"/>
          <w:b w:val="0"/>
          <w:color w:val="CC3366"/>
        </w:rPr>
        <w:t>.</w:t>
      </w:r>
      <w:r w:rsidRPr="00676A9F">
        <w:rPr>
          <w:rFonts w:ascii="Century Gothic" w:hAnsi="Century Gothic"/>
          <w:b w:val="0"/>
          <w:color w:val="CC3366"/>
        </w:rPr>
        <w:t xml:space="preserve"> Proporción de mujeres en Concejos Municipales, Asambleas Departamentales, Alcaldías y Gobernaciones.</w:t>
      </w:r>
      <w:bookmarkEnd w:id="120"/>
    </w:p>
    <w:p w14:paraId="1F15FAFA" w14:textId="77777777" w:rsidR="001238D7" w:rsidRPr="00E94619" w:rsidRDefault="001238D7" w:rsidP="000E5AC0">
      <w:pPr>
        <w:spacing w:after="0"/>
        <w:jc w:val="both"/>
        <w:rPr>
          <w:rFonts w:ascii="Century Gothic" w:hAnsi="Century Gothic"/>
          <w:b/>
        </w:rPr>
      </w:pPr>
    </w:p>
    <w:p w14:paraId="294A13AD" w14:textId="1EBA402A" w:rsidR="00515F54" w:rsidRPr="00E94619" w:rsidRDefault="00515F54" w:rsidP="000E5AC0">
      <w:pPr>
        <w:jc w:val="both"/>
        <w:rPr>
          <w:rFonts w:ascii="Century Gothic" w:hAnsi="Century Gothic" w:cstheme="minorHAnsi"/>
        </w:rPr>
      </w:pPr>
      <w:r w:rsidRPr="00E94619">
        <w:rPr>
          <w:rFonts w:ascii="Century Gothic" w:hAnsi="Century Gothic" w:cstheme="minorHAnsi"/>
        </w:rPr>
        <w:t xml:space="preserve">Una perspectiva comparada de las mujeres elegidas para cargos uninominales con respecto al número de mujeres que ocuparon estos cargos </w:t>
      </w:r>
      <w:r w:rsidRPr="00E94619">
        <w:rPr>
          <w:rFonts w:ascii="Century Gothic" w:hAnsi="Century Gothic" w:cstheme="minorHAnsi"/>
        </w:rPr>
        <w:lastRenderedPageBreak/>
        <w:t>en el periodo 2016-2019</w:t>
      </w:r>
      <w:r w:rsidR="00F03D10" w:rsidRPr="00E94619">
        <w:rPr>
          <w:rFonts w:ascii="Century Gothic" w:hAnsi="Century Gothic" w:cstheme="minorHAnsi"/>
        </w:rPr>
        <w:t>,</w:t>
      </w:r>
      <w:r w:rsidRPr="00E94619">
        <w:rPr>
          <w:rFonts w:ascii="Century Gothic" w:hAnsi="Century Gothic" w:cstheme="minorHAnsi"/>
        </w:rPr>
        <w:t xml:space="preserve"> muestra una disminución en la participación de las mujeres en estos cargos. En el caso de las gobernaciones se pasa de 5 mujeres gobernadoras en 2015, que representan 15.6% del total gobernaciones, a 2 en 2019, lo cual es una disminución 9.38%. En relación con las alcaldesas electas se pasa de 134 en 2015, el 12.2% del total de mandatarios locales, a 132 en 2019, el 12.01% del total, una disminución del 0.19%. No obstante, se destaca la elección de 2 mujeres como alcaldesas de ciudades capitales, en Bogotá y Santa Marta, un aumento frente a los resultados de 2015 en los que ninguna mujer fue elegida alcaldesa en una ciudad capital.</w:t>
      </w:r>
      <w:sdt>
        <w:sdtPr>
          <w:rPr>
            <w:rFonts w:ascii="Century Gothic" w:hAnsi="Century Gothic" w:cstheme="minorHAnsi"/>
          </w:rPr>
          <w:id w:val="-1763441338"/>
          <w:citation/>
        </w:sdtPr>
        <w:sdtContent>
          <w:r w:rsidR="00C573DD" w:rsidRPr="00E94619">
            <w:rPr>
              <w:rFonts w:ascii="Century Gothic" w:hAnsi="Century Gothic" w:cstheme="minorHAnsi"/>
            </w:rPr>
            <w:fldChar w:fldCharType="begin"/>
          </w:r>
          <w:r w:rsidR="00C573DD" w:rsidRPr="00E94619">
            <w:rPr>
              <w:rFonts w:ascii="Century Gothic" w:hAnsi="Century Gothic" w:cstheme="minorHAnsi"/>
            </w:rPr>
            <w:instrText xml:space="preserve"> CITATION Onu18 \l 9226 </w:instrText>
          </w:r>
          <w:r w:rsidR="00C573DD" w:rsidRPr="00E94619">
            <w:rPr>
              <w:rFonts w:ascii="Century Gothic" w:hAnsi="Century Gothic" w:cstheme="minorHAnsi"/>
            </w:rPr>
            <w:fldChar w:fldCharType="separate"/>
          </w:r>
          <w:r w:rsidR="00C573DD" w:rsidRPr="00E94619">
            <w:rPr>
              <w:rFonts w:ascii="Century Gothic" w:hAnsi="Century Gothic" w:cstheme="minorHAnsi"/>
              <w:noProof/>
            </w:rPr>
            <w:t xml:space="preserve"> (Onu Mujeres, 2018)</w:t>
          </w:r>
          <w:r w:rsidR="00C573DD" w:rsidRPr="00E94619">
            <w:rPr>
              <w:rFonts w:ascii="Century Gothic" w:hAnsi="Century Gothic" w:cstheme="minorHAnsi"/>
            </w:rPr>
            <w:fldChar w:fldCharType="end"/>
          </w:r>
        </w:sdtContent>
      </w:sdt>
    </w:p>
    <w:p w14:paraId="19E198EF" w14:textId="5E69A403" w:rsidR="001238D7" w:rsidRPr="00E94619" w:rsidRDefault="00BD41A8" w:rsidP="000E5AC0">
      <w:pPr>
        <w:pStyle w:val="Ttulo3"/>
        <w:rPr>
          <w:rFonts w:ascii="Century Gothic" w:hAnsi="Century Gothic"/>
          <w:lang w:val="es-CO"/>
        </w:rPr>
      </w:pPr>
      <w:r>
        <w:rPr>
          <w:rFonts w:ascii="Century Gothic" w:hAnsi="Century Gothic"/>
          <w:b w:val="0"/>
          <w:noProof/>
          <w:szCs w:val="24"/>
          <w:lang w:val="es-ES"/>
        </w:rPr>
        <w:drawing>
          <wp:anchor distT="0" distB="0" distL="114300" distR="114300" simplePos="0" relativeHeight="251927552" behindDoc="0" locked="0" layoutInCell="1" allowOverlap="1" wp14:anchorId="748CFC44" wp14:editId="655844DA">
            <wp:simplePos x="0" y="0"/>
            <wp:positionH relativeFrom="column">
              <wp:posOffset>-1080135</wp:posOffset>
            </wp:positionH>
            <wp:positionV relativeFrom="paragraph">
              <wp:posOffset>-2588260</wp:posOffset>
            </wp:positionV>
            <wp:extent cx="965835" cy="708660"/>
            <wp:effectExtent l="0" t="0" r="0" b="0"/>
            <wp:wrapNone/>
            <wp:docPr id="433" name="Imagen 43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p w14:paraId="7EB4CE6E" w14:textId="44D96903" w:rsidR="001238D7" w:rsidRPr="00676A9F" w:rsidRDefault="0036411F" w:rsidP="000E5AC0">
      <w:pPr>
        <w:pStyle w:val="Ttulo3"/>
        <w:rPr>
          <w:rFonts w:ascii="Century Gothic" w:hAnsi="Century Gothic"/>
          <w:b w:val="0"/>
          <w:color w:val="CC3366"/>
        </w:rPr>
      </w:pPr>
      <w:bookmarkStart w:id="121" w:name="_Toc488624336"/>
      <w:r w:rsidRPr="00676A9F">
        <w:rPr>
          <w:rFonts w:ascii="Century Gothic" w:hAnsi="Century Gothic"/>
          <w:b w:val="0"/>
          <w:color w:val="CC3366"/>
        </w:rPr>
        <w:t>1.4</w:t>
      </w:r>
      <w:r w:rsidR="00676A9F" w:rsidRPr="00676A9F">
        <w:rPr>
          <w:rFonts w:ascii="Century Gothic" w:hAnsi="Century Gothic"/>
          <w:b w:val="0"/>
          <w:color w:val="CC3366"/>
        </w:rPr>
        <w:t xml:space="preserve">. </w:t>
      </w:r>
      <w:r w:rsidRPr="00676A9F">
        <w:rPr>
          <w:rFonts w:ascii="Century Gothic" w:hAnsi="Century Gothic"/>
          <w:b w:val="0"/>
          <w:color w:val="CC3366"/>
        </w:rPr>
        <w:t xml:space="preserve"> Implementación de la ley de cuotas: Mujeres en cargos de nivel decisorio a nivel nacional y otro nivel decisorio</w:t>
      </w:r>
      <w:bookmarkEnd w:id="121"/>
    </w:p>
    <w:p w14:paraId="79604858" w14:textId="77777777" w:rsidR="001238D7" w:rsidRPr="00E94619" w:rsidRDefault="001238D7" w:rsidP="000E5AC0">
      <w:pPr>
        <w:spacing w:after="0"/>
        <w:jc w:val="both"/>
        <w:rPr>
          <w:rFonts w:ascii="Century Gothic" w:hAnsi="Century Gothic"/>
          <w:b/>
        </w:rPr>
      </w:pPr>
    </w:p>
    <w:p w14:paraId="7DC457DE" w14:textId="77777777" w:rsidR="00F03D10" w:rsidRPr="00E94619" w:rsidRDefault="0036411F" w:rsidP="000E5AC0">
      <w:pPr>
        <w:spacing w:after="0"/>
        <w:jc w:val="both"/>
        <w:rPr>
          <w:rFonts w:ascii="Century Gothic" w:hAnsi="Century Gothic"/>
        </w:rPr>
      </w:pPr>
      <w:r w:rsidRPr="00E94619">
        <w:rPr>
          <w:rFonts w:ascii="Century Gothic" w:hAnsi="Century Gothic"/>
        </w:rPr>
        <w:t>Según el informe</w:t>
      </w:r>
      <w:r w:rsidR="00AD2A62" w:rsidRPr="00E94619">
        <w:rPr>
          <w:rFonts w:ascii="Century Gothic" w:hAnsi="Century Gothic"/>
        </w:rPr>
        <w:t xml:space="preserve"> La Registraduría para el año 2020, existen de 1</w:t>
      </w:r>
      <w:r w:rsidR="00F03D10" w:rsidRPr="00E94619">
        <w:rPr>
          <w:rFonts w:ascii="Century Gothic" w:hAnsi="Century Gothic"/>
        </w:rPr>
        <w:t>.</w:t>
      </w:r>
      <w:r w:rsidR="00AD2A62" w:rsidRPr="00E94619">
        <w:rPr>
          <w:rFonts w:ascii="Century Gothic" w:hAnsi="Century Gothic"/>
        </w:rPr>
        <w:t>098 alcaldías en Colombia. Para la vigencia de 1998 a 2000, tan sólo el 5,2% de los a</w:t>
      </w:r>
      <w:r w:rsidR="00F03D10" w:rsidRPr="00E94619">
        <w:rPr>
          <w:rFonts w:ascii="Century Gothic" w:hAnsi="Century Gothic"/>
        </w:rPr>
        <w:t>l</w:t>
      </w:r>
      <w:r w:rsidR="00AD2A62" w:rsidRPr="00E94619">
        <w:rPr>
          <w:rFonts w:ascii="Century Gothic" w:hAnsi="Century Gothic"/>
        </w:rPr>
        <w:t xml:space="preserve">caldes en Colombia, eran mujeres. Esta tendencia aumentó tímidamente en un 2,1% en el 2001 a 2003, dando como resultado que un 7,3% de las alcaldías en Colombia fueran lideradas por mujeres. En el año 2004 a 2007, la proporción aumentó de una manera poco significativa, tan sólo en un 0,3%, por lo cual las mujeres conformaron el 7,6% de los alcaldes para dicha vigencia. En periodo 2008 a 2011, el crecimiento llego al punto de que casi el 10% de los alcaldes en Colombia fueron mujeres.  Para el periodo 2012 a 2015, la tendencia se redujo en casi un 0,20%, donde las mujeres ocuparon un 9,8% de las alcaldías. Cabe resaltar, que el documento Avances en la participación política de las mujeres en Colombia, permite conocer a detalle que en dicho periodo había departamentos sin una sola alcaldesa, siendo estos: Arauca, Guainía, Vaupés, Amazonas, San Andrés, y Putumayo. </w:t>
      </w:r>
    </w:p>
    <w:p w14:paraId="706BE23F" w14:textId="77777777" w:rsidR="00F03D10" w:rsidRPr="00E94619" w:rsidRDefault="00F03D10" w:rsidP="000E5AC0">
      <w:pPr>
        <w:spacing w:after="0"/>
        <w:jc w:val="both"/>
        <w:rPr>
          <w:rFonts w:ascii="Century Gothic" w:hAnsi="Century Gothic"/>
        </w:rPr>
      </w:pPr>
    </w:p>
    <w:p w14:paraId="75D37BCD" w14:textId="77777777" w:rsidR="00F4109A" w:rsidRPr="00E94619" w:rsidRDefault="00AD2A62" w:rsidP="000E5AC0">
      <w:pPr>
        <w:spacing w:after="0"/>
        <w:jc w:val="both"/>
        <w:rPr>
          <w:rFonts w:ascii="Century Gothic" w:hAnsi="Century Gothic"/>
        </w:rPr>
      </w:pPr>
      <w:r w:rsidRPr="00E94619">
        <w:rPr>
          <w:rFonts w:ascii="Century Gothic" w:hAnsi="Century Gothic"/>
        </w:rPr>
        <w:t>Por último, en la vigencia de 2016 a 2019, el porcentaje de alcaldesas se incrementó a un 12,2% del total de alcald</w:t>
      </w:r>
      <w:r w:rsidR="00F03D10" w:rsidRPr="00E94619">
        <w:rPr>
          <w:rFonts w:ascii="Century Gothic" w:hAnsi="Century Gothic"/>
        </w:rPr>
        <w:t>ía</w:t>
      </w:r>
      <w:r w:rsidRPr="00E94619">
        <w:rPr>
          <w:rFonts w:ascii="Century Gothic" w:hAnsi="Century Gothic"/>
        </w:rPr>
        <w:t>s, siendo hasta el momento la vigencia con mayor presencia de mujeres en cabeza de los Municipios.</w:t>
      </w:r>
    </w:p>
    <w:p w14:paraId="4D415D7C" w14:textId="77777777" w:rsidR="00F4109A" w:rsidRPr="00E94619" w:rsidRDefault="00F4109A" w:rsidP="000E5AC0">
      <w:pPr>
        <w:spacing w:after="0"/>
        <w:jc w:val="both"/>
        <w:rPr>
          <w:rFonts w:ascii="Century Gothic" w:hAnsi="Century Gothic"/>
        </w:rPr>
      </w:pPr>
    </w:p>
    <w:p w14:paraId="5FAC3B2E" w14:textId="639E7334" w:rsidR="001238D7" w:rsidRPr="00676A9F" w:rsidRDefault="0036411F" w:rsidP="000E5AC0">
      <w:pPr>
        <w:pStyle w:val="Ttulo3"/>
        <w:rPr>
          <w:rFonts w:ascii="Century Gothic" w:hAnsi="Century Gothic"/>
          <w:b w:val="0"/>
          <w:color w:val="CC3366"/>
        </w:rPr>
      </w:pPr>
      <w:bookmarkStart w:id="122" w:name="_Toc488624337"/>
      <w:r w:rsidRPr="00676A9F">
        <w:rPr>
          <w:rFonts w:ascii="Century Gothic" w:hAnsi="Century Gothic"/>
          <w:b w:val="0"/>
          <w:color w:val="CC3366"/>
        </w:rPr>
        <w:t>1.5</w:t>
      </w:r>
      <w:r w:rsidR="00676A9F">
        <w:rPr>
          <w:rFonts w:ascii="Century Gothic" w:hAnsi="Century Gothic"/>
          <w:b w:val="0"/>
          <w:color w:val="CC3366"/>
        </w:rPr>
        <w:t>.</w:t>
      </w:r>
      <w:r w:rsidRPr="00676A9F">
        <w:rPr>
          <w:rFonts w:ascii="Century Gothic" w:hAnsi="Century Gothic"/>
          <w:b w:val="0"/>
          <w:color w:val="CC3366"/>
        </w:rPr>
        <w:t xml:space="preserve"> Proporción de mujeres que forman parte de organismos corporativos de empresas nacionales/multinacionales (ODS 5.2)</w:t>
      </w:r>
      <w:bookmarkEnd w:id="122"/>
      <w:r w:rsidRPr="00676A9F">
        <w:rPr>
          <w:rFonts w:ascii="Century Gothic" w:hAnsi="Century Gothic"/>
          <w:b w:val="0"/>
          <w:color w:val="CC3366"/>
        </w:rPr>
        <w:tab/>
      </w:r>
    </w:p>
    <w:p w14:paraId="6D674B72" w14:textId="77777777" w:rsidR="00F4109A" w:rsidRPr="00E94619" w:rsidRDefault="00F4109A" w:rsidP="000E5AC0">
      <w:pPr>
        <w:spacing w:after="0"/>
        <w:jc w:val="both"/>
        <w:rPr>
          <w:rFonts w:ascii="Century Gothic" w:hAnsi="Century Gothic"/>
        </w:rPr>
      </w:pPr>
    </w:p>
    <w:p w14:paraId="2EC6384B" w14:textId="44594B9F" w:rsidR="001238D7" w:rsidRPr="00E94619" w:rsidRDefault="0036411F" w:rsidP="000E5AC0">
      <w:pPr>
        <w:jc w:val="both"/>
        <w:rPr>
          <w:rFonts w:ascii="Century Gothic" w:hAnsi="Century Gothic"/>
        </w:rPr>
      </w:pPr>
      <w:r w:rsidRPr="00E94619">
        <w:rPr>
          <w:rFonts w:ascii="Century Gothic" w:hAnsi="Century Gothic"/>
        </w:rPr>
        <w:t>De acuerdo con las cifras de la OIT, en el año 2010 Colombia tenía el segundo lugar a nivel global en participación de las mujeres en cargos directivos con un 53.1%.  Pese a que Colombia, ocupa el primer lugar en Latinoamérica en este tema, solamente tiene un 13.4% de participación de las mujeres en las grandes compañías. En este sentido se resalta el Grupo Argos con un 28.6% de participación femenina (dos de los siete directores son mujeres). De acuerdo con las cifras de la CEPAL en Colombia en el año 2013 el 12.5% de los miembros de directorio de los bancos eran mujeres, para el año 2014 el porcentaje subió al 14.3%. (CEPAL, 2015).</w:t>
      </w:r>
    </w:p>
    <w:p w14:paraId="056A7409" w14:textId="7DD790A5" w:rsidR="001238D7" w:rsidRDefault="00BD41A8" w:rsidP="000E5AC0">
      <w:pPr>
        <w:pStyle w:val="Ttulo3"/>
        <w:jc w:val="both"/>
        <w:rPr>
          <w:rFonts w:ascii="Century Gothic" w:hAnsi="Century Gothic"/>
          <w:b w:val="0"/>
          <w:color w:val="CC3366"/>
        </w:rPr>
      </w:pPr>
      <w:bookmarkStart w:id="123" w:name="_Toc488624338"/>
      <w:r>
        <w:rPr>
          <w:rFonts w:ascii="Century Gothic" w:hAnsi="Century Gothic"/>
          <w:b w:val="0"/>
          <w:noProof/>
          <w:szCs w:val="24"/>
          <w:lang w:val="es-ES"/>
        </w:rPr>
        <w:lastRenderedPageBreak/>
        <w:drawing>
          <wp:anchor distT="0" distB="0" distL="114300" distR="114300" simplePos="0" relativeHeight="251929600" behindDoc="0" locked="0" layoutInCell="1" allowOverlap="1" wp14:anchorId="5323A90F" wp14:editId="72D69780">
            <wp:simplePos x="0" y="0"/>
            <wp:positionH relativeFrom="column">
              <wp:posOffset>-1080135</wp:posOffset>
            </wp:positionH>
            <wp:positionV relativeFrom="paragraph">
              <wp:posOffset>-822960</wp:posOffset>
            </wp:positionV>
            <wp:extent cx="965835" cy="708660"/>
            <wp:effectExtent l="0" t="0" r="0" b="0"/>
            <wp:wrapNone/>
            <wp:docPr id="434" name="Imagen 43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676A9F">
        <w:rPr>
          <w:rFonts w:ascii="Century Gothic" w:hAnsi="Century Gothic"/>
          <w:b w:val="0"/>
          <w:color w:val="CC3366"/>
        </w:rPr>
        <w:t>1.6</w:t>
      </w:r>
      <w:r w:rsidR="00676A9F">
        <w:rPr>
          <w:rFonts w:ascii="Century Gothic" w:hAnsi="Century Gothic"/>
          <w:b w:val="0"/>
          <w:color w:val="CC3366"/>
        </w:rPr>
        <w:t>.</w:t>
      </w:r>
      <w:r w:rsidR="0036411F" w:rsidRPr="00676A9F">
        <w:rPr>
          <w:rFonts w:ascii="Century Gothic" w:hAnsi="Century Gothic"/>
          <w:b w:val="0"/>
          <w:color w:val="CC3366"/>
        </w:rPr>
        <w:t xml:space="preserve"> Porcentaje de escaños que ocupan las mujeres y las minorías en los parlamentos nacionales o en cargos subnacionales electos, en función del porcentaje de población correspondiente (ODS 5.43)</w:t>
      </w:r>
      <w:bookmarkEnd w:id="123"/>
    </w:p>
    <w:p w14:paraId="024F8B19" w14:textId="77777777" w:rsidR="00676A9F" w:rsidRPr="00676A9F" w:rsidRDefault="00676A9F" w:rsidP="00676A9F"/>
    <w:p w14:paraId="5FF22820" w14:textId="77777777" w:rsidR="001238D7" w:rsidRPr="00E94619" w:rsidRDefault="0036411F" w:rsidP="000E5AC0">
      <w:pPr>
        <w:jc w:val="both"/>
        <w:rPr>
          <w:rFonts w:ascii="Century Gothic" w:hAnsi="Century Gothic"/>
          <w:b/>
        </w:rPr>
      </w:pPr>
      <w:r w:rsidRPr="00E94619">
        <w:rPr>
          <w:rFonts w:ascii="Century Gothic" w:hAnsi="Century Gothic"/>
        </w:rPr>
        <w:t>Con relación a la participación de las mujeres que hacen parte de grupos de minorías por diversas razones, el informe del</w:t>
      </w:r>
      <w:r w:rsidRPr="00E94619">
        <w:rPr>
          <w:rFonts w:ascii="Century Gothic" w:hAnsi="Century Gothic"/>
          <w:b/>
        </w:rPr>
        <w:t xml:space="preserve"> </w:t>
      </w:r>
      <w:r w:rsidRPr="00E94619">
        <w:rPr>
          <w:rFonts w:ascii="Century Gothic" w:hAnsi="Century Gothic"/>
          <w:color w:val="000000"/>
        </w:rPr>
        <w:t xml:space="preserve">Departamento Administrativo de la Función Pública (2014) plantea:  </w:t>
      </w:r>
      <w:r w:rsidRPr="00E94619">
        <w:rPr>
          <w:rFonts w:ascii="Century Gothic" w:hAnsi="Century Gothic"/>
          <w:i/>
        </w:rPr>
        <w:t xml:space="preserve">En materia de participación, también, se evidencia que las mujeres pobres, así como, las campesinas, afrocolombianas, negras, raizales, palenqueras, Rom e indígenas, las mujeres con discapacidad, las más jóvenes y de orientaciones sexuales diferentes a la heterosexual, tienen mayor dificultad para ser elegidas. Por ejemplo, actualmente no hay ninguna mujer indígena en el Congreso de la República, ni en los altos niveles de la rama judicial. La falta de acceso a documentos de identidad, sigue siendo, otro de los obstáculos que enfrentan las mujeres, especialmente, las rurales, indígenas y afrocolombianas, para acceder a su derecho a la participación. </w:t>
      </w:r>
      <w:r w:rsidRPr="00E94619">
        <w:rPr>
          <w:rFonts w:ascii="Century Gothic" w:hAnsi="Century Gothic"/>
        </w:rPr>
        <w:t>(Departamento Administrativo de la Función Pública, 2014: 14)</w:t>
      </w:r>
      <w:r w:rsidRPr="00E94619">
        <w:rPr>
          <w:rFonts w:ascii="Century Gothic" w:hAnsi="Century Gothic"/>
          <w:i/>
        </w:rPr>
        <w:tab/>
      </w:r>
      <w:r w:rsidRPr="00E94619">
        <w:rPr>
          <w:rFonts w:ascii="Century Gothic" w:hAnsi="Century Gothic"/>
          <w:b/>
        </w:rPr>
        <w:tab/>
      </w:r>
    </w:p>
    <w:p w14:paraId="67FA4FEE" w14:textId="0A965261" w:rsidR="001238D7" w:rsidRPr="00676A9F" w:rsidRDefault="0036411F" w:rsidP="000E5AC0">
      <w:pPr>
        <w:pStyle w:val="Ttulo3"/>
        <w:jc w:val="both"/>
        <w:rPr>
          <w:rFonts w:ascii="Century Gothic" w:hAnsi="Century Gothic"/>
          <w:b w:val="0"/>
          <w:color w:val="CC3366"/>
        </w:rPr>
      </w:pPr>
      <w:bookmarkStart w:id="124" w:name="_Toc488624339"/>
      <w:r w:rsidRPr="00676A9F">
        <w:rPr>
          <w:rFonts w:ascii="Century Gothic" w:hAnsi="Century Gothic"/>
          <w:b w:val="0"/>
          <w:color w:val="CC3366"/>
        </w:rPr>
        <w:t>1.7</w:t>
      </w:r>
      <w:r w:rsidR="00676A9F">
        <w:rPr>
          <w:rFonts w:ascii="Century Gothic" w:hAnsi="Century Gothic"/>
          <w:b w:val="0"/>
          <w:color w:val="CC3366"/>
        </w:rPr>
        <w:t xml:space="preserve">. </w:t>
      </w:r>
      <w:r w:rsidRPr="00676A9F">
        <w:rPr>
          <w:rFonts w:ascii="Century Gothic" w:hAnsi="Century Gothic"/>
          <w:b w:val="0"/>
          <w:color w:val="CC3366"/>
        </w:rPr>
        <w:t>Representación de las mujeres como mediadoras, negociadoras y expertas técnicas en las negociaciones formales a favor de la paz (ODS 16.8)</w:t>
      </w:r>
      <w:bookmarkEnd w:id="124"/>
    </w:p>
    <w:p w14:paraId="409801F8" w14:textId="77777777" w:rsidR="00676A9F" w:rsidRPr="00676A9F" w:rsidRDefault="00676A9F" w:rsidP="00676A9F"/>
    <w:p w14:paraId="08D9446B" w14:textId="77777777" w:rsidR="001238D7" w:rsidRPr="00E94619" w:rsidRDefault="0036411F" w:rsidP="000E5AC0">
      <w:pPr>
        <w:jc w:val="both"/>
        <w:rPr>
          <w:rFonts w:ascii="Century Gothic" w:hAnsi="Century Gothic"/>
          <w:i/>
        </w:rPr>
      </w:pPr>
      <w:r w:rsidRPr="00E94619">
        <w:rPr>
          <w:rFonts w:ascii="Century Gothic" w:hAnsi="Century Gothic"/>
        </w:rPr>
        <w:t>Teniendo en cuenta que en el país había una larga trayectoria de diversas organizaciones de mujeres trabajando en la construcción de paz, el movimiento de mujeres asumió como marco de referencia los postulados de la Resolución 1325 y elaboró una estrategia de incidencia para participar de manera efectiva en el proceso de negociación que se adelantaba en la Habana, buscando incidir en los contenidos del Acuerdo. La estrategia utilizada para la incidencia fue estructurar un escenario denominado La Cumbre de Mujeres por la Paz, las prioridades abordadas fueron: (i) respaldo al proceso de paz, (ii) exigencia a las partes para no levantarse hasta no llegar a un acuerdo y (iii) insistir en la vinculación de las mujeres en todas las etapas, incluida la Mesa de Conversaciones.  El lema utilizado por las mujeres fue: “</w:t>
      </w:r>
      <w:r w:rsidRPr="00E94619">
        <w:rPr>
          <w:rFonts w:ascii="Century Gothic" w:hAnsi="Century Gothic"/>
          <w:i/>
        </w:rPr>
        <w:t>Las mujeres queremos ser pactantes, no pactadas”</w:t>
      </w:r>
    </w:p>
    <w:p w14:paraId="12226004" w14:textId="77777777" w:rsidR="001238D7" w:rsidRPr="00E94619" w:rsidRDefault="0036411F" w:rsidP="000E5AC0">
      <w:pPr>
        <w:spacing w:after="0" w:line="240" w:lineRule="auto"/>
        <w:jc w:val="both"/>
        <w:rPr>
          <w:rFonts w:ascii="Century Gothic" w:hAnsi="Century Gothic"/>
        </w:rPr>
      </w:pPr>
      <w:r w:rsidRPr="00E94619">
        <w:rPr>
          <w:rFonts w:ascii="Century Gothic" w:hAnsi="Century Gothic"/>
        </w:rPr>
        <w:t xml:space="preserve">A partir de la incidencia del movimiento de mujeres colombiano se logró que fueran incluidas dos delegadas plenipotenciarias del gobierno, por parte de las FARC-EP nunca se nombraron mujeres en el alto nivel de su delegación. Seguidamente en el año 2014, se logró que en la Mesa de Negociación de la Habana se constituyera una Subcomisión de Género para que el enfoque de género quedara incluido a lo largo del Acuerdo. Durante los años 2014 y 2015 hubo una fuerte participación de las mujeres haciendo visible las vulneraciones de derechos de las mujeres víctimas y haciendo propuestas para transformar las condiciones que llevaron a la intensificación del conflicto armado. Uno de los temas críticos fue el de la violencia sexual. </w:t>
      </w:r>
    </w:p>
    <w:p w14:paraId="4BCA3432" w14:textId="77777777" w:rsidR="00411B8A" w:rsidRPr="00E94619" w:rsidRDefault="00411B8A" w:rsidP="000E5AC0">
      <w:pPr>
        <w:spacing w:after="0" w:line="240" w:lineRule="auto"/>
        <w:jc w:val="both"/>
        <w:rPr>
          <w:rFonts w:ascii="Century Gothic" w:hAnsi="Century Gothic"/>
        </w:rPr>
      </w:pPr>
    </w:p>
    <w:p w14:paraId="27414B97" w14:textId="1B39BBA7" w:rsidR="00411B8A" w:rsidRPr="00E94619" w:rsidRDefault="00411B8A" w:rsidP="000E5AC0">
      <w:pPr>
        <w:pStyle w:val="font--secondary"/>
        <w:spacing w:before="0" w:beforeAutospacing="0"/>
        <w:jc w:val="both"/>
        <w:rPr>
          <w:rFonts w:ascii="Century Gothic" w:hAnsi="Century Gothic"/>
          <w:color w:val="141414"/>
          <w:sz w:val="22"/>
          <w:szCs w:val="22"/>
        </w:rPr>
      </w:pPr>
      <w:r w:rsidRPr="00E94619">
        <w:rPr>
          <w:rFonts w:ascii="Century Gothic" w:hAnsi="Century Gothic"/>
          <w:color w:val="141414"/>
          <w:sz w:val="22"/>
          <w:szCs w:val="22"/>
        </w:rPr>
        <w:t xml:space="preserve">La creación de </w:t>
      </w:r>
      <w:r w:rsidR="00B428AE" w:rsidRPr="00E94619">
        <w:rPr>
          <w:rFonts w:ascii="Century Gothic" w:hAnsi="Century Gothic"/>
          <w:color w:val="141414"/>
          <w:sz w:val="22"/>
          <w:szCs w:val="22"/>
        </w:rPr>
        <w:t>la</w:t>
      </w:r>
      <w:r w:rsidRPr="00E94619">
        <w:rPr>
          <w:rFonts w:ascii="Century Gothic" w:hAnsi="Century Gothic"/>
          <w:color w:val="141414"/>
          <w:sz w:val="22"/>
          <w:szCs w:val="22"/>
        </w:rPr>
        <w:t xml:space="preserve"> </w:t>
      </w:r>
      <w:r w:rsidR="00B428AE" w:rsidRPr="00E94619">
        <w:rPr>
          <w:rFonts w:ascii="Century Gothic" w:hAnsi="Century Gothic"/>
          <w:color w:val="141414"/>
          <w:sz w:val="22"/>
          <w:szCs w:val="22"/>
        </w:rPr>
        <w:t>S</w:t>
      </w:r>
      <w:r w:rsidRPr="00E94619">
        <w:rPr>
          <w:rFonts w:ascii="Century Gothic" w:hAnsi="Century Gothic"/>
          <w:color w:val="141414"/>
          <w:sz w:val="22"/>
          <w:szCs w:val="22"/>
        </w:rPr>
        <w:t>ubcomisión</w:t>
      </w:r>
      <w:r w:rsidR="00B428AE" w:rsidRPr="00E94619">
        <w:rPr>
          <w:rFonts w:ascii="Century Gothic" w:hAnsi="Century Gothic"/>
          <w:color w:val="141414"/>
          <w:sz w:val="22"/>
          <w:szCs w:val="22"/>
        </w:rPr>
        <w:t xml:space="preserve"> de Género</w:t>
      </w:r>
      <w:r w:rsidRPr="00E94619">
        <w:rPr>
          <w:rFonts w:ascii="Century Gothic" w:hAnsi="Century Gothic"/>
          <w:color w:val="141414"/>
          <w:sz w:val="22"/>
          <w:szCs w:val="22"/>
        </w:rPr>
        <w:t xml:space="preserve"> es un hecho inédito en los procesos de paz en el mundo, y es producto del esfuerzo de mujeres de diferentes sectores y procedencias que se unieron para hacer oír su voz, después del nombramiento de los negociadores plenipotenciarios del Gobierno en la mesa de diálogo con las F</w:t>
      </w:r>
      <w:r w:rsidR="00B428AE" w:rsidRPr="00E94619">
        <w:rPr>
          <w:rFonts w:ascii="Century Gothic" w:hAnsi="Century Gothic"/>
          <w:color w:val="141414"/>
          <w:sz w:val="22"/>
          <w:szCs w:val="22"/>
        </w:rPr>
        <w:t>ARC</w:t>
      </w:r>
      <w:r w:rsidRPr="00E94619">
        <w:rPr>
          <w:rFonts w:ascii="Century Gothic" w:hAnsi="Century Gothic"/>
          <w:color w:val="141414"/>
          <w:sz w:val="22"/>
          <w:szCs w:val="22"/>
        </w:rPr>
        <w:t>, entre los cuales no había mujeres.</w:t>
      </w:r>
      <w:r w:rsidR="00E403F4" w:rsidRPr="00E94619">
        <w:rPr>
          <w:rFonts w:ascii="Century Gothic" w:hAnsi="Century Gothic"/>
          <w:color w:val="141414"/>
          <w:sz w:val="22"/>
          <w:szCs w:val="22"/>
        </w:rPr>
        <w:t xml:space="preserve"> </w:t>
      </w:r>
      <w:r w:rsidR="00B428AE" w:rsidRPr="00E94619">
        <w:rPr>
          <w:rFonts w:ascii="Century Gothic" w:hAnsi="Century Gothic"/>
          <w:color w:val="141414"/>
          <w:sz w:val="22"/>
          <w:szCs w:val="22"/>
        </w:rPr>
        <w:t xml:space="preserve">En el año 2013, </w:t>
      </w:r>
      <w:r w:rsidRPr="00E94619">
        <w:rPr>
          <w:rFonts w:ascii="Century Gothic" w:hAnsi="Century Gothic"/>
          <w:color w:val="141414"/>
          <w:sz w:val="22"/>
          <w:szCs w:val="22"/>
        </w:rPr>
        <w:lastRenderedPageBreak/>
        <w:t>diez plataformas y organizaciones</w:t>
      </w:r>
      <w:r w:rsidR="00B428AE" w:rsidRPr="00E94619">
        <w:rPr>
          <w:rFonts w:ascii="Century Gothic" w:hAnsi="Century Gothic"/>
          <w:color w:val="141414"/>
          <w:sz w:val="22"/>
          <w:szCs w:val="22"/>
        </w:rPr>
        <w:t xml:space="preserve"> de mujeres</w:t>
      </w:r>
      <w:r w:rsidRPr="00E94619">
        <w:rPr>
          <w:rFonts w:ascii="Century Gothic" w:hAnsi="Century Gothic"/>
          <w:color w:val="141414"/>
          <w:sz w:val="22"/>
          <w:szCs w:val="22"/>
        </w:rPr>
        <w:t xml:space="preserve"> realizaron la</w:t>
      </w:r>
      <w:r w:rsidR="00B428AE" w:rsidRPr="00E94619">
        <w:rPr>
          <w:rFonts w:ascii="Century Gothic" w:hAnsi="Century Gothic"/>
          <w:color w:val="141414"/>
          <w:sz w:val="22"/>
          <w:szCs w:val="22"/>
        </w:rPr>
        <w:t xml:space="preserve"> Primera</w:t>
      </w:r>
      <w:r w:rsidRPr="00E94619">
        <w:rPr>
          <w:rFonts w:ascii="Century Gothic" w:hAnsi="Century Gothic"/>
          <w:color w:val="141414"/>
          <w:sz w:val="22"/>
          <w:szCs w:val="22"/>
        </w:rPr>
        <w:t xml:space="preserve"> Cumbre de Mujeres y Paz,</w:t>
      </w:r>
      <w:r w:rsidR="00B428AE" w:rsidRPr="00E94619">
        <w:rPr>
          <w:rFonts w:ascii="Century Gothic" w:hAnsi="Century Gothic"/>
          <w:color w:val="141414"/>
          <w:sz w:val="22"/>
          <w:szCs w:val="22"/>
        </w:rPr>
        <w:t xml:space="preserve"> </w:t>
      </w:r>
      <w:r w:rsidRPr="00E94619">
        <w:rPr>
          <w:rFonts w:ascii="Century Gothic" w:hAnsi="Century Gothic"/>
          <w:color w:val="141414"/>
          <w:sz w:val="22"/>
          <w:szCs w:val="22"/>
        </w:rPr>
        <w:t xml:space="preserve">con la participación de </w:t>
      </w:r>
      <w:r w:rsidR="00B428AE" w:rsidRPr="00E94619">
        <w:rPr>
          <w:rFonts w:ascii="Century Gothic" w:hAnsi="Century Gothic"/>
          <w:color w:val="141414"/>
          <w:sz w:val="22"/>
          <w:szCs w:val="22"/>
        </w:rPr>
        <w:t xml:space="preserve">cerca de </w:t>
      </w:r>
      <w:r w:rsidRPr="00E94619">
        <w:rPr>
          <w:rFonts w:ascii="Century Gothic" w:hAnsi="Century Gothic"/>
          <w:color w:val="141414"/>
          <w:sz w:val="22"/>
          <w:szCs w:val="22"/>
        </w:rPr>
        <w:t>500 mujeres de todo el paí</w:t>
      </w:r>
      <w:r w:rsidR="00B428AE" w:rsidRPr="00E94619">
        <w:rPr>
          <w:rFonts w:ascii="Century Gothic" w:hAnsi="Century Gothic"/>
          <w:color w:val="141414"/>
          <w:sz w:val="22"/>
          <w:szCs w:val="22"/>
        </w:rPr>
        <w:t>s que fueron veedoras del proceso de negociación, así como de la implementación de las disposiciones de género del Acuerdo de Paz.</w:t>
      </w:r>
    </w:p>
    <w:p w14:paraId="0EFDA923" w14:textId="4BC15A6A" w:rsidR="001238D7" w:rsidRPr="00676A9F" w:rsidRDefault="00BD41A8" w:rsidP="000E5AC0">
      <w:pPr>
        <w:pStyle w:val="Ttulo3"/>
        <w:rPr>
          <w:rFonts w:ascii="Century Gothic" w:hAnsi="Century Gothic"/>
          <w:b w:val="0"/>
          <w:color w:val="CC3366"/>
        </w:rPr>
      </w:pPr>
      <w:bookmarkStart w:id="125" w:name="_Toc488624340"/>
      <w:r>
        <w:rPr>
          <w:rFonts w:ascii="Century Gothic" w:hAnsi="Century Gothic"/>
          <w:b w:val="0"/>
          <w:noProof/>
          <w:szCs w:val="24"/>
          <w:lang w:val="es-ES"/>
        </w:rPr>
        <w:drawing>
          <wp:anchor distT="0" distB="0" distL="114300" distR="114300" simplePos="0" relativeHeight="251931648" behindDoc="0" locked="0" layoutInCell="1" allowOverlap="1" wp14:anchorId="61968B76" wp14:editId="18D69C74">
            <wp:simplePos x="0" y="0"/>
            <wp:positionH relativeFrom="column">
              <wp:posOffset>-1080135</wp:posOffset>
            </wp:positionH>
            <wp:positionV relativeFrom="paragraph">
              <wp:posOffset>-1685925</wp:posOffset>
            </wp:positionV>
            <wp:extent cx="965835" cy="708660"/>
            <wp:effectExtent l="0" t="0" r="0" b="0"/>
            <wp:wrapNone/>
            <wp:docPr id="435" name="Imagen 43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676A9F">
        <w:rPr>
          <w:rFonts w:ascii="Century Gothic" w:hAnsi="Century Gothic"/>
          <w:b w:val="0"/>
          <w:color w:val="CC3366"/>
        </w:rPr>
        <w:t>1.8</w:t>
      </w:r>
      <w:r w:rsidR="00676A9F" w:rsidRPr="00676A9F">
        <w:rPr>
          <w:rFonts w:ascii="Century Gothic" w:hAnsi="Century Gothic"/>
          <w:b w:val="0"/>
          <w:color w:val="CC3366"/>
        </w:rPr>
        <w:t>.</w:t>
      </w:r>
      <w:r w:rsidR="0036411F" w:rsidRPr="00676A9F">
        <w:rPr>
          <w:rFonts w:ascii="Century Gothic" w:hAnsi="Century Gothic"/>
          <w:b w:val="0"/>
          <w:color w:val="CC3366"/>
        </w:rPr>
        <w:t xml:space="preserve"> Participación de mujeres en escenarios de planeación territorial y nacional</w:t>
      </w:r>
      <w:bookmarkEnd w:id="125"/>
    </w:p>
    <w:p w14:paraId="344E6FEB" w14:textId="77777777" w:rsidR="001238D7" w:rsidRPr="00E94619" w:rsidRDefault="001238D7" w:rsidP="000E5AC0">
      <w:pPr>
        <w:spacing w:after="0" w:line="240" w:lineRule="auto"/>
        <w:jc w:val="both"/>
        <w:rPr>
          <w:rFonts w:ascii="Century Gothic" w:hAnsi="Century Gothic"/>
          <w:b/>
        </w:rPr>
      </w:pPr>
    </w:p>
    <w:p w14:paraId="402859CC" w14:textId="77777777" w:rsidR="001A2BE4" w:rsidRPr="00E94619" w:rsidRDefault="001A2BE4" w:rsidP="000E5AC0">
      <w:pPr>
        <w:spacing w:after="0" w:line="240" w:lineRule="auto"/>
        <w:jc w:val="both"/>
        <w:rPr>
          <w:rFonts w:ascii="Century Gothic" w:hAnsi="Century Gothic"/>
        </w:rPr>
      </w:pPr>
      <w:r w:rsidRPr="00E94619">
        <w:rPr>
          <w:rFonts w:ascii="Century Gothic" w:hAnsi="Century Gothic"/>
        </w:rPr>
        <w:t>En el 2017 la Agencia de Renovación del Territorio (ART</w:t>
      </w:r>
      <w:r w:rsidR="00F141DE" w:rsidRPr="00E94619">
        <w:rPr>
          <w:rFonts w:ascii="Century Gothic" w:hAnsi="Century Gothic"/>
        </w:rPr>
        <w:t>) de Colombia,</w:t>
      </w:r>
      <w:r w:rsidRPr="00E94619">
        <w:rPr>
          <w:rFonts w:ascii="Century Gothic" w:hAnsi="Century Gothic"/>
        </w:rPr>
        <w:t xml:space="preserve"> pretende llevar a cabo su misión, propiciando la construcción participativa de los Programas de Desarrollo con enfoque Territorial PDET, a través de la priorización de poblaciones fundamentales para un desarrollo rural sostenible: de allí que el enfoque de género está presente en cada una de sus líneas de acción y la Mujer Rural ocupa un rol preponderante en el desarrollo de las acciones ejecutadas y planeadas. </w:t>
      </w:r>
    </w:p>
    <w:p w14:paraId="6709AF43" w14:textId="77777777" w:rsidR="00F141DE" w:rsidRPr="00E94619" w:rsidRDefault="00F141DE" w:rsidP="000E5AC0">
      <w:pPr>
        <w:spacing w:after="0" w:line="240" w:lineRule="auto"/>
        <w:jc w:val="both"/>
        <w:rPr>
          <w:rFonts w:ascii="Century Gothic" w:hAnsi="Century Gothic"/>
        </w:rPr>
      </w:pPr>
    </w:p>
    <w:p w14:paraId="79959A78" w14:textId="77777777" w:rsidR="001A2BE4" w:rsidRPr="00E94619" w:rsidRDefault="001A2BE4" w:rsidP="000E5AC0">
      <w:pPr>
        <w:spacing w:after="0" w:line="240" w:lineRule="auto"/>
        <w:jc w:val="both"/>
        <w:rPr>
          <w:rFonts w:ascii="Century Gothic" w:hAnsi="Century Gothic"/>
        </w:rPr>
      </w:pPr>
      <w:r w:rsidRPr="00E94619">
        <w:rPr>
          <w:rFonts w:ascii="Century Gothic" w:hAnsi="Century Gothic"/>
        </w:rPr>
        <w:t>Dicha construcción, tiene como criterio central la equidad de género en todos los espacios e instancias, para lograr la garantía permanente de la participación de las mujeres en el proceso de construcción del Plan de Acción para la Transformación Regional; lo que permitirá además el posicionamiento territorial de las mujeres rurales, sus organizaciones y su empoderamiento y liderazgo individual y/o colectivo en los proyectos productivos, de reactivación económica, ambientales y forestales.</w:t>
      </w:r>
    </w:p>
    <w:p w14:paraId="7B53D478" w14:textId="77777777" w:rsidR="001238D7" w:rsidRPr="00E94619" w:rsidRDefault="001238D7" w:rsidP="000E5AC0">
      <w:pPr>
        <w:spacing w:after="0" w:line="240" w:lineRule="auto"/>
        <w:jc w:val="both"/>
        <w:rPr>
          <w:rFonts w:ascii="Century Gothic" w:hAnsi="Century Gothic"/>
        </w:rPr>
      </w:pPr>
    </w:p>
    <w:p w14:paraId="5A0AE891" w14:textId="79E9C799" w:rsidR="001238D7" w:rsidRPr="00676A9F" w:rsidRDefault="0036411F" w:rsidP="00676A9F">
      <w:pPr>
        <w:pStyle w:val="Ttulo3"/>
        <w:jc w:val="both"/>
        <w:rPr>
          <w:rFonts w:ascii="Century Gothic" w:hAnsi="Century Gothic"/>
          <w:b w:val="0"/>
          <w:color w:val="CC3366"/>
        </w:rPr>
      </w:pPr>
      <w:bookmarkStart w:id="126" w:name="_Toc488624341"/>
      <w:r w:rsidRPr="00676A9F">
        <w:rPr>
          <w:rFonts w:ascii="Century Gothic" w:hAnsi="Century Gothic"/>
          <w:b w:val="0"/>
          <w:color w:val="CC3366"/>
        </w:rPr>
        <w:t>1.9</w:t>
      </w:r>
      <w:r w:rsidR="00676A9F" w:rsidRPr="00676A9F">
        <w:rPr>
          <w:rFonts w:ascii="Century Gothic" w:hAnsi="Century Gothic"/>
          <w:b w:val="0"/>
          <w:color w:val="CC3366"/>
        </w:rPr>
        <w:t>.</w:t>
      </w:r>
      <w:r w:rsidRPr="00676A9F">
        <w:rPr>
          <w:rFonts w:ascii="Century Gothic" w:hAnsi="Century Gothic"/>
          <w:b w:val="0"/>
          <w:color w:val="CC3366"/>
        </w:rPr>
        <w:t xml:space="preserve"> Ámbitos favorables en las instituciones sociales en la clasificación conforme al índice de instituciones sociales e índice de género (SIGI) de la OCDE.</w:t>
      </w:r>
      <w:bookmarkEnd w:id="126"/>
    </w:p>
    <w:p w14:paraId="6F88EEF2" w14:textId="77777777" w:rsidR="001238D7" w:rsidRPr="00E94619" w:rsidRDefault="001238D7" w:rsidP="000E5AC0">
      <w:pPr>
        <w:spacing w:after="0" w:line="240" w:lineRule="auto"/>
        <w:jc w:val="both"/>
        <w:rPr>
          <w:rFonts w:ascii="Century Gothic" w:hAnsi="Century Gothic"/>
          <w:b/>
        </w:rPr>
      </w:pPr>
    </w:p>
    <w:p w14:paraId="6B67F003" w14:textId="0D6F8A45" w:rsidR="00C060F9" w:rsidRPr="00E94619" w:rsidRDefault="0036411F" w:rsidP="000E5AC0">
      <w:pPr>
        <w:spacing w:after="0" w:line="240" w:lineRule="auto"/>
        <w:jc w:val="both"/>
        <w:rPr>
          <w:rFonts w:ascii="Century Gothic" w:hAnsi="Century Gothic"/>
        </w:rPr>
      </w:pPr>
      <w:r w:rsidRPr="00E94619">
        <w:rPr>
          <w:rFonts w:ascii="Century Gothic" w:hAnsi="Century Gothic"/>
        </w:rPr>
        <w:t xml:space="preserve">El Índice de las instituciones sociales y de género (SIGI), (por sus siglas en inglés) del Centro de Desarrollo de la OCDE, ofrece una evaluación sobre el lugar en el que se encuentran los países en la discriminación contra la mujer. El SIGI es único en la medición de los factores sociales e institucionales de las desigualdades de género, tal como la situación de la mujer en la familia, la edad legal para contraer matrimonio, la discriminación de herencia, el acceso al crédito y las restricciones al derecho de la tierra y de la propiedad. Según este índice Colombia estaba en un nivel bajo (Low), ya que cuenta con un marco jurídico amplio para garantizar los derechos de las mujeres; sin embargo, persisten retos en la implantación de dicho marco y en la transformación de patrones socioculturales que justifican violencias hacia ella. </w:t>
      </w:r>
    </w:p>
    <w:p w14:paraId="0C41BC23" w14:textId="77777777" w:rsidR="001238D7" w:rsidRPr="00E94619" w:rsidRDefault="0036411F" w:rsidP="000E5AC0">
      <w:pPr>
        <w:jc w:val="both"/>
        <w:rPr>
          <w:rFonts w:ascii="Century Gothic" w:hAnsi="Century Gothic"/>
          <w:b/>
          <w:i/>
          <w:lang w:val="en-US"/>
        </w:rPr>
      </w:pPr>
      <w:r w:rsidRPr="00E94619">
        <w:rPr>
          <w:rFonts w:ascii="Century Gothic" w:hAnsi="Century Gothic"/>
          <w:b/>
          <w:i/>
          <w:lang w:val="en-US"/>
        </w:rPr>
        <w:t>SIGI Value 2014: 0.086 (Category: LOW)</w:t>
      </w:r>
    </w:p>
    <w:p w14:paraId="50DB471B" w14:textId="189B248E" w:rsidR="001238D7" w:rsidRPr="00E94619" w:rsidRDefault="0036411F" w:rsidP="00676A9F">
      <w:pPr>
        <w:jc w:val="center"/>
        <w:rPr>
          <w:rFonts w:ascii="Century Gothic" w:hAnsi="Century Gothic"/>
          <w:b/>
          <w:sz w:val="16"/>
          <w:szCs w:val="16"/>
          <w:lang w:val="en-US"/>
        </w:rPr>
      </w:pPr>
      <w:r w:rsidRPr="00E94619">
        <w:rPr>
          <w:rFonts w:ascii="Century Gothic" w:hAnsi="Century Gothic"/>
          <w:b/>
          <w:sz w:val="16"/>
          <w:szCs w:val="16"/>
          <w:lang w:val="en-US"/>
        </w:rPr>
        <w:t xml:space="preserve">Gráfica 56. </w:t>
      </w:r>
      <w:r w:rsidR="00676A9F">
        <w:rPr>
          <w:rFonts w:ascii="Century Gothic" w:hAnsi="Century Gothic"/>
          <w:b/>
          <w:sz w:val="16"/>
          <w:szCs w:val="16"/>
          <w:lang w:val="en-US"/>
        </w:rPr>
        <w:t>SIGI Value 2014:0.086 (Category:LOW)</w:t>
      </w:r>
    </w:p>
    <w:p w14:paraId="0743C016" w14:textId="6F7171F0" w:rsidR="001238D7" w:rsidRPr="00E94619" w:rsidRDefault="00676A9F" w:rsidP="000E5AC0">
      <w:pPr>
        <w:spacing w:after="0" w:line="240" w:lineRule="auto"/>
        <w:jc w:val="both"/>
        <w:rPr>
          <w:rFonts w:ascii="Century Gothic" w:hAnsi="Century Gothic"/>
          <w:b/>
          <w:i/>
        </w:rPr>
      </w:pPr>
      <w:r w:rsidRPr="00E94619">
        <w:rPr>
          <w:rFonts w:ascii="Century Gothic" w:hAnsi="Century Gothic"/>
          <w:b/>
          <w:i/>
          <w:noProof/>
          <w:lang w:val="es-ES" w:eastAsia="es-ES"/>
        </w:rPr>
        <w:drawing>
          <wp:anchor distT="0" distB="0" distL="114300" distR="114300" simplePos="0" relativeHeight="251722752" behindDoc="0" locked="0" layoutInCell="1" allowOverlap="1" wp14:anchorId="12D62BB0" wp14:editId="6E2CE7C4">
            <wp:simplePos x="0" y="0"/>
            <wp:positionH relativeFrom="column">
              <wp:posOffset>1943100</wp:posOffset>
            </wp:positionH>
            <wp:positionV relativeFrom="paragraph">
              <wp:posOffset>49530</wp:posOffset>
            </wp:positionV>
            <wp:extent cx="1569085" cy="1417320"/>
            <wp:effectExtent l="0" t="0" r="5715" b="5080"/>
            <wp:wrapSquare wrapText="bothSides"/>
            <wp:docPr id="349" name="image1.png" descr="http://www.genderindex.org/sites/default/files/spider_charts/COL.png"/>
            <wp:cNvGraphicFramePr/>
            <a:graphic xmlns:a="http://schemas.openxmlformats.org/drawingml/2006/main">
              <a:graphicData uri="http://schemas.openxmlformats.org/drawingml/2006/picture">
                <pic:pic xmlns:pic="http://schemas.openxmlformats.org/drawingml/2006/picture">
                  <pic:nvPicPr>
                    <pic:cNvPr id="0" name="image1.png" descr="http://www.genderindex.org/sites/default/files/spider_charts/COL.png"/>
                    <pic:cNvPicPr preferRelativeResize="0"/>
                  </pic:nvPicPr>
                  <pic:blipFill>
                    <a:blip r:embed="rId99">
                      <a:extLst>
                        <a:ext uri="{28A0092B-C50C-407E-A947-70E740481C1C}">
                          <a14:useLocalDpi xmlns:a14="http://schemas.microsoft.com/office/drawing/2010/main" val="0"/>
                        </a:ext>
                      </a:extLst>
                    </a:blip>
                    <a:srcRect/>
                    <a:stretch>
                      <a:fillRect/>
                    </a:stretch>
                  </pic:blipFill>
                  <pic:spPr>
                    <a:xfrm>
                      <a:off x="0" y="0"/>
                      <a:ext cx="1569085" cy="1417320"/>
                    </a:xfrm>
                    <a:prstGeom prst="rect">
                      <a:avLst/>
                    </a:prstGeom>
                    <a:ln/>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b/>
          <w:i/>
          <w:lang w:val="en-US"/>
        </w:rPr>
        <w:t> </w:t>
      </w:r>
      <w:sdt>
        <w:sdtPr>
          <w:rPr>
            <w:rFonts w:ascii="Century Gothic" w:hAnsi="Century Gothic"/>
          </w:rPr>
          <w:tag w:val="goog_rdk_90"/>
          <w:id w:val="766200119"/>
        </w:sdtPr>
        <w:sdtContent/>
      </w:sdt>
    </w:p>
    <w:p w14:paraId="4BC4337A" w14:textId="77777777" w:rsidR="00676A9F" w:rsidRDefault="00676A9F" w:rsidP="000E5AC0">
      <w:pPr>
        <w:spacing w:after="0" w:line="240" w:lineRule="auto"/>
        <w:jc w:val="both"/>
        <w:rPr>
          <w:rFonts w:ascii="Century Gothic" w:hAnsi="Century Gothic"/>
          <w:sz w:val="16"/>
          <w:szCs w:val="16"/>
        </w:rPr>
      </w:pPr>
    </w:p>
    <w:p w14:paraId="40F7B11A" w14:textId="77777777" w:rsidR="00676A9F" w:rsidRDefault="00676A9F" w:rsidP="000E5AC0">
      <w:pPr>
        <w:spacing w:after="0" w:line="240" w:lineRule="auto"/>
        <w:jc w:val="both"/>
        <w:rPr>
          <w:rFonts w:ascii="Century Gothic" w:hAnsi="Century Gothic"/>
          <w:sz w:val="16"/>
          <w:szCs w:val="16"/>
        </w:rPr>
      </w:pPr>
    </w:p>
    <w:p w14:paraId="79520DDB" w14:textId="77777777" w:rsidR="00676A9F" w:rsidRDefault="00676A9F" w:rsidP="000E5AC0">
      <w:pPr>
        <w:spacing w:after="0" w:line="240" w:lineRule="auto"/>
        <w:jc w:val="both"/>
        <w:rPr>
          <w:rFonts w:ascii="Century Gothic" w:hAnsi="Century Gothic"/>
          <w:sz w:val="16"/>
          <w:szCs w:val="16"/>
        </w:rPr>
      </w:pPr>
    </w:p>
    <w:p w14:paraId="5BEA7B79" w14:textId="77777777" w:rsidR="00676A9F" w:rsidRDefault="00676A9F" w:rsidP="000E5AC0">
      <w:pPr>
        <w:spacing w:after="0" w:line="240" w:lineRule="auto"/>
        <w:jc w:val="both"/>
        <w:rPr>
          <w:rFonts w:ascii="Century Gothic" w:hAnsi="Century Gothic"/>
          <w:sz w:val="16"/>
          <w:szCs w:val="16"/>
        </w:rPr>
      </w:pPr>
    </w:p>
    <w:p w14:paraId="4D8FC6F8" w14:textId="77777777" w:rsidR="00676A9F" w:rsidRDefault="00676A9F" w:rsidP="000E5AC0">
      <w:pPr>
        <w:spacing w:after="0" w:line="240" w:lineRule="auto"/>
        <w:jc w:val="both"/>
        <w:rPr>
          <w:rFonts w:ascii="Century Gothic" w:hAnsi="Century Gothic"/>
          <w:sz w:val="16"/>
          <w:szCs w:val="16"/>
        </w:rPr>
      </w:pPr>
    </w:p>
    <w:p w14:paraId="1FD0F528" w14:textId="77777777" w:rsidR="00676A9F" w:rsidRDefault="00676A9F" w:rsidP="000E5AC0">
      <w:pPr>
        <w:spacing w:after="0" w:line="240" w:lineRule="auto"/>
        <w:jc w:val="both"/>
        <w:rPr>
          <w:rFonts w:ascii="Century Gothic" w:hAnsi="Century Gothic"/>
          <w:sz w:val="16"/>
          <w:szCs w:val="16"/>
        </w:rPr>
      </w:pPr>
    </w:p>
    <w:p w14:paraId="2E59C9F0" w14:textId="77777777" w:rsidR="00676A9F" w:rsidRDefault="00676A9F" w:rsidP="000E5AC0">
      <w:pPr>
        <w:spacing w:after="0" w:line="240" w:lineRule="auto"/>
        <w:jc w:val="both"/>
        <w:rPr>
          <w:rFonts w:ascii="Century Gothic" w:hAnsi="Century Gothic"/>
          <w:sz w:val="16"/>
          <w:szCs w:val="16"/>
        </w:rPr>
      </w:pPr>
    </w:p>
    <w:p w14:paraId="45A4BDD3" w14:textId="77777777" w:rsidR="00676A9F" w:rsidRDefault="00676A9F" w:rsidP="000E5AC0">
      <w:pPr>
        <w:spacing w:after="0" w:line="240" w:lineRule="auto"/>
        <w:jc w:val="both"/>
        <w:rPr>
          <w:rFonts w:ascii="Century Gothic" w:hAnsi="Century Gothic"/>
          <w:sz w:val="16"/>
          <w:szCs w:val="16"/>
        </w:rPr>
      </w:pPr>
    </w:p>
    <w:p w14:paraId="5C1325FC" w14:textId="77777777" w:rsidR="00676A9F" w:rsidRDefault="00676A9F" w:rsidP="000E5AC0">
      <w:pPr>
        <w:spacing w:after="0" w:line="240" w:lineRule="auto"/>
        <w:jc w:val="both"/>
        <w:rPr>
          <w:rFonts w:ascii="Century Gothic" w:hAnsi="Century Gothic"/>
          <w:sz w:val="16"/>
          <w:szCs w:val="16"/>
        </w:rPr>
      </w:pPr>
    </w:p>
    <w:p w14:paraId="65A528AF" w14:textId="77777777" w:rsidR="00676A9F" w:rsidRDefault="00676A9F" w:rsidP="000E5AC0">
      <w:pPr>
        <w:spacing w:after="0" w:line="240" w:lineRule="auto"/>
        <w:jc w:val="both"/>
        <w:rPr>
          <w:rFonts w:ascii="Century Gothic" w:hAnsi="Century Gothic"/>
          <w:sz w:val="16"/>
          <w:szCs w:val="16"/>
        </w:rPr>
      </w:pPr>
    </w:p>
    <w:p w14:paraId="0C16B03F" w14:textId="77777777" w:rsidR="00676A9F" w:rsidRDefault="00676A9F" w:rsidP="000E5AC0">
      <w:pPr>
        <w:spacing w:after="0" w:line="240" w:lineRule="auto"/>
        <w:jc w:val="both"/>
        <w:rPr>
          <w:rFonts w:ascii="Century Gothic" w:hAnsi="Century Gothic"/>
          <w:sz w:val="16"/>
          <w:szCs w:val="16"/>
        </w:rPr>
      </w:pPr>
    </w:p>
    <w:p w14:paraId="365C0029" w14:textId="77777777" w:rsidR="00BD41A8" w:rsidRDefault="0036411F" w:rsidP="00BD41A8">
      <w:pPr>
        <w:spacing w:after="0" w:line="240" w:lineRule="auto"/>
        <w:jc w:val="center"/>
      </w:pPr>
      <w:r w:rsidRPr="00E94619">
        <w:rPr>
          <w:rFonts w:ascii="Century Gothic" w:hAnsi="Century Gothic"/>
          <w:sz w:val="16"/>
          <w:szCs w:val="16"/>
        </w:rPr>
        <w:t xml:space="preserve">Tomado de OCDE (2014). </w:t>
      </w:r>
      <w:hyperlink r:id="rId100">
        <w:r w:rsidRPr="00E94619">
          <w:rPr>
            <w:rFonts w:ascii="Century Gothic" w:hAnsi="Century Gothic"/>
            <w:color w:val="0000FF"/>
            <w:sz w:val="16"/>
            <w:szCs w:val="16"/>
          </w:rPr>
          <w:t>http://www.genderindex.org/country/colombia</w:t>
        </w:r>
      </w:hyperlink>
    </w:p>
    <w:p w14:paraId="49E802B0" w14:textId="64067357" w:rsidR="001238D7" w:rsidRPr="00BD41A8" w:rsidRDefault="00BD41A8" w:rsidP="00BD41A8">
      <w:pPr>
        <w:spacing w:after="0" w:line="240" w:lineRule="auto"/>
        <w:jc w:val="center"/>
      </w:pPr>
      <w:r>
        <w:rPr>
          <w:rFonts w:ascii="Century Gothic" w:hAnsi="Century Gothic"/>
          <w:b/>
          <w:noProof/>
          <w:szCs w:val="24"/>
          <w:lang w:val="es-ES"/>
        </w:rPr>
        <w:lastRenderedPageBreak/>
        <w:drawing>
          <wp:anchor distT="0" distB="0" distL="114300" distR="114300" simplePos="0" relativeHeight="251933696" behindDoc="0" locked="0" layoutInCell="1" allowOverlap="1" wp14:anchorId="7D88913D" wp14:editId="64B2E323">
            <wp:simplePos x="0" y="0"/>
            <wp:positionH relativeFrom="column">
              <wp:posOffset>-1080135</wp:posOffset>
            </wp:positionH>
            <wp:positionV relativeFrom="paragraph">
              <wp:posOffset>-822960</wp:posOffset>
            </wp:positionV>
            <wp:extent cx="965835" cy="708660"/>
            <wp:effectExtent l="0" t="0" r="0" b="0"/>
            <wp:wrapNone/>
            <wp:docPr id="438" name="Imagen 43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hyperlink r:id="rId101" w:history="1"/>
    </w:p>
    <w:tbl>
      <w:tblPr>
        <w:tblStyle w:val="afffffe"/>
        <w:tblW w:w="9187"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3376"/>
        <w:gridCol w:w="2835"/>
        <w:gridCol w:w="2976"/>
      </w:tblGrid>
      <w:tr w:rsidR="00676A9F" w:rsidRPr="00E94619" w14:paraId="79E6C845" w14:textId="77777777" w:rsidTr="00676A9F">
        <w:tc>
          <w:tcPr>
            <w:tcW w:w="3376" w:type="dxa"/>
            <w:shd w:val="clear" w:color="auto" w:fill="FF99CC"/>
          </w:tcPr>
          <w:p w14:paraId="64BBE89C"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Avances del Estado</w:t>
            </w:r>
          </w:p>
        </w:tc>
        <w:tc>
          <w:tcPr>
            <w:tcW w:w="2835" w:type="dxa"/>
            <w:shd w:val="clear" w:color="auto" w:fill="FF99CC"/>
          </w:tcPr>
          <w:p w14:paraId="17D79E3D"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Respuesta de la sociedad civil</w:t>
            </w:r>
          </w:p>
        </w:tc>
        <w:tc>
          <w:tcPr>
            <w:tcW w:w="2976" w:type="dxa"/>
            <w:shd w:val="clear" w:color="auto" w:fill="FF99CC"/>
          </w:tcPr>
          <w:p w14:paraId="45DE3D69"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Retos</w:t>
            </w:r>
          </w:p>
        </w:tc>
      </w:tr>
      <w:tr w:rsidR="00676A9F" w:rsidRPr="00E94619" w14:paraId="422FD0AA" w14:textId="77777777" w:rsidTr="00676A9F">
        <w:tc>
          <w:tcPr>
            <w:tcW w:w="3376" w:type="dxa"/>
          </w:tcPr>
          <w:p w14:paraId="259E0B2F" w14:textId="1729FE15"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-Ley Estatutaria 581 de 2000: la primera Ley de Cuotas.</w:t>
            </w:r>
          </w:p>
          <w:p w14:paraId="3B1FD753" w14:textId="0C0EBFFE"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i/>
                <w:sz w:val="16"/>
                <w:szCs w:val="16"/>
              </w:rPr>
              <w:t>-</w:t>
            </w:r>
            <w:r w:rsidRPr="00E94619">
              <w:rPr>
                <w:rFonts w:ascii="Century Gothic" w:hAnsi="Century Gothic"/>
                <w:sz w:val="16"/>
                <w:szCs w:val="16"/>
              </w:rPr>
              <w:t>Sentencia C-371 de 2000: participación de la mujer en niveles decisorios de diferentes ramas y órganos del poder público.</w:t>
            </w:r>
          </w:p>
          <w:p w14:paraId="4F946F68"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i/>
                <w:sz w:val="16"/>
                <w:szCs w:val="16"/>
              </w:rPr>
              <w:t>-</w:t>
            </w:r>
            <w:r w:rsidRPr="00E94619">
              <w:rPr>
                <w:rFonts w:ascii="Century Gothic" w:hAnsi="Century Gothic"/>
                <w:sz w:val="16"/>
                <w:szCs w:val="16"/>
              </w:rPr>
              <w:t>LEY 823 DE 2003: para garantizar la equidad y la igualdad de oportunidades de las mujeres, en los ámbitos público y privado.</w:t>
            </w:r>
          </w:p>
          <w:p w14:paraId="0C82C3F9"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-Acuerdo no. PSAA08-4552 de 2008: Por el cual se dictan reglas para la aplicación de la equidad de género en la Rama Judicial</w:t>
            </w:r>
            <w:r w:rsidRPr="00E94619">
              <w:rPr>
                <w:rFonts w:ascii="Century Gothic" w:hAnsi="Century Gothic"/>
                <w:i/>
                <w:sz w:val="16"/>
                <w:szCs w:val="16"/>
              </w:rPr>
              <w:t>.</w:t>
            </w:r>
          </w:p>
          <w:p w14:paraId="0FA4DD1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i/>
                <w:sz w:val="16"/>
                <w:szCs w:val="16"/>
              </w:rPr>
              <w:t xml:space="preserve">-PSAA12-9743 (octubre 30 de 2012): </w:t>
            </w:r>
            <w:r w:rsidRPr="00E94619">
              <w:rPr>
                <w:rFonts w:ascii="Century Gothic" w:hAnsi="Century Gothic"/>
                <w:sz w:val="16"/>
                <w:szCs w:val="16"/>
              </w:rPr>
              <w:t>por el cual se aclara el Acuerdo No. PSAA12-9721 de 2012 sobre la política de igualdad y no discriminación con enfoque diferencial y de género en la Rama Judicial y en el Sistema Integrado de Gestión de Calidad”.</w:t>
            </w:r>
          </w:p>
          <w:p w14:paraId="42C330B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-Ley 1475 de 2011: esta ley tiene como un principio orientador:</w:t>
            </w:r>
            <w:r w:rsidRPr="00E94619">
              <w:rPr>
                <w:rFonts w:ascii="Century Gothic" w:hAnsi="Century Gothic"/>
                <w:i/>
                <w:sz w:val="16"/>
                <w:szCs w:val="16"/>
              </w:rPr>
              <w:t xml:space="preserve"> “En virtud del principio de equidad e igualdad de género, los hombres, las mujeres y las demás opciones sexuales gozarán de igualdad real de derechos y oportunidades para participar en las actividades políticas, dirigir las organizaciones partidistas, acceder a los debates electorales y obtener representación política</w:t>
            </w:r>
            <w:r w:rsidRPr="00E94619">
              <w:rPr>
                <w:rFonts w:ascii="Century Gothic" w:hAnsi="Century Gothic"/>
                <w:sz w:val="16"/>
                <w:szCs w:val="16"/>
              </w:rPr>
              <w:t>”. (Congreso de la República, 2011). En el artículo 28 establece Ley de cuotas con el 30%.</w:t>
            </w:r>
          </w:p>
          <w:p w14:paraId="5531E45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-Sentencia C-490 de 2011: pronunciamiento de la Corte sobre la exequibilidad de la Ley 1475 de 2011.</w:t>
            </w:r>
          </w:p>
          <w:p w14:paraId="7612502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Informe de seguimiento al Conpes 161, en el componente sobre participación política de las mujeres en el año 2014 reportó</w:t>
            </w:r>
            <w:r w:rsidRPr="00E94619">
              <w:rPr>
                <w:rFonts w:ascii="Century Gothic" w:hAnsi="Century Gothic"/>
                <w:sz w:val="16"/>
                <w:szCs w:val="16"/>
              </w:rPr>
              <w:t>:</w:t>
            </w:r>
          </w:p>
          <w:p w14:paraId="37999A85"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sz w:val="16"/>
                <w:szCs w:val="16"/>
              </w:rPr>
              <w:t>-Ministerio del Interior:</w:t>
            </w:r>
            <w:r w:rsidRPr="00E94619">
              <w:rPr>
                <w:rFonts w:ascii="Century Gothic" w:hAnsi="Century Gothic"/>
                <w:i/>
                <w:sz w:val="16"/>
                <w:szCs w:val="16"/>
              </w:rPr>
              <w:t xml:space="preserve">  realizó 25 cumbres departamentales de mujeres electas en las cuales participaron 875 mujeres concejalas, diputadas, alcaldesas y líderes sociales. También se realizaron 4 seminarios de formación de candidatas en los cuales participaron 142 mujeres de 9 partidos políticos. Se realizó una convención nacional de electas y electos, con la participación de 159 mujeres electas de todo el país. Adicionalmente se realizó la campaña de medios de comunicación denominada "La democracia sin mujeres está incompleta", para incentivar el voto por las mujeres en las elecciones de Congreso de marzo de 2014.</w:t>
            </w:r>
          </w:p>
          <w:p w14:paraId="1AC9BC8E"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i/>
                <w:sz w:val="16"/>
                <w:szCs w:val="16"/>
              </w:rPr>
              <w:t>-Ministerio del Interior: En diciembre de 2014 se firmó un nuevo convenio con el Programa de las Naciones Unidas para el Desarrollo  PNUD, para desarrollar una plataforma virtual de mujeres políticas en todo el territorio nacional, que facilite su posicionamiento en las elecciones locales de 2015.</w:t>
            </w:r>
          </w:p>
          <w:p w14:paraId="48535E11" w14:textId="66304451"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i/>
                <w:sz w:val="16"/>
                <w:szCs w:val="16"/>
              </w:rPr>
              <w:t xml:space="preserve">-Se capacitaron 825 mujeres miembros </w:t>
            </w:r>
            <w:r w:rsidRPr="00E94619">
              <w:rPr>
                <w:rFonts w:ascii="Century Gothic" w:hAnsi="Century Gothic"/>
                <w:i/>
                <w:sz w:val="16"/>
                <w:szCs w:val="16"/>
              </w:rPr>
              <w:lastRenderedPageBreak/>
              <w:t xml:space="preserve">de organizaciones sociales de los 32 departamentos del país. </w:t>
            </w:r>
          </w:p>
          <w:p w14:paraId="414C7AC8" w14:textId="12D1DA91" w:rsidR="001238D7" w:rsidRPr="00E94619" w:rsidRDefault="00BD41A8" w:rsidP="000E5AC0">
            <w:pPr>
              <w:spacing w:after="0" w:line="240" w:lineRule="auto"/>
              <w:jc w:val="both"/>
              <w:rPr>
                <w:rFonts w:ascii="Century Gothic" w:hAnsi="Century Gothic"/>
                <w:i/>
                <w:sz w:val="16"/>
                <w:szCs w:val="16"/>
              </w:rPr>
            </w:pPr>
            <w:r>
              <w:rPr>
                <w:rFonts w:ascii="Century Gothic" w:hAnsi="Century Gothic"/>
                <w:b/>
                <w:noProof/>
                <w:szCs w:val="24"/>
                <w:lang w:val="es-ES"/>
              </w:rPr>
              <w:drawing>
                <wp:anchor distT="0" distB="0" distL="114300" distR="114300" simplePos="0" relativeHeight="251935744" behindDoc="0" locked="0" layoutInCell="1" allowOverlap="1" wp14:anchorId="05728F8E" wp14:editId="6C8236A4">
                  <wp:simplePos x="0" y="0"/>
                  <wp:positionH relativeFrom="column">
                    <wp:posOffset>-1080135</wp:posOffset>
                  </wp:positionH>
                  <wp:positionV relativeFrom="paragraph">
                    <wp:posOffset>-1084580</wp:posOffset>
                  </wp:positionV>
                  <wp:extent cx="965835" cy="708660"/>
                  <wp:effectExtent l="0" t="0" r="0" b="0"/>
                  <wp:wrapNone/>
                  <wp:docPr id="439" name="Imagen 43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E94619">
              <w:rPr>
                <w:rFonts w:ascii="Century Gothic" w:hAnsi="Century Gothic"/>
                <w:i/>
                <w:sz w:val="16"/>
                <w:szCs w:val="16"/>
              </w:rPr>
              <w:t>-Se capacitaron 406 funcionarios públicos.</w:t>
            </w:r>
          </w:p>
        </w:tc>
        <w:tc>
          <w:tcPr>
            <w:tcW w:w="2835" w:type="dxa"/>
          </w:tcPr>
          <w:p w14:paraId="2E0F24D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lastRenderedPageBreak/>
              <w:t xml:space="preserve">Movimiento Social de Mujeres </w:t>
            </w:r>
          </w:p>
          <w:p w14:paraId="16064D2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-Red Nacional de Mujeres: incidencia en la aprobación ante el congreso de la Ley 581 de 2000 y seguimiento, incidencia para la aprobación de la Ley 1475 del 2011</w:t>
            </w:r>
          </w:p>
          <w:p w14:paraId="0ACB090C" w14:textId="77777777" w:rsidR="001238D7" w:rsidRPr="00E94619" w:rsidRDefault="001238D7" w:rsidP="000E5AC0">
            <w:pPr>
              <w:spacing w:after="0" w:line="240" w:lineRule="auto"/>
              <w:jc w:val="both"/>
              <w:rPr>
                <w:rFonts w:ascii="Century Gothic" w:hAnsi="Century Gothic"/>
                <w:sz w:val="16"/>
                <w:szCs w:val="16"/>
              </w:rPr>
            </w:pPr>
          </w:p>
          <w:p w14:paraId="2A26BB1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-Mesa de Género de la Cooperación Internacional –MGCI en coordinación con el Consejo Nacional Electoral:</w:t>
            </w:r>
            <w:r w:rsidRPr="00E94619">
              <w:rPr>
                <w:rFonts w:ascii="Century Gothic" w:hAnsi="Century Gothic"/>
                <w:b/>
                <w:sz w:val="16"/>
                <w:szCs w:val="16"/>
              </w:rPr>
              <w:t xml:space="preserve"> </w:t>
            </w:r>
            <w:r w:rsidRPr="00E94619">
              <w:rPr>
                <w:rFonts w:ascii="Century Gothic" w:hAnsi="Century Gothic"/>
                <w:sz w:val="16"/>
                <w:szCs w:val="16"/>
              </w:rPr>
              <w:t xml:space="preserve">Ranking de Igualdad de Mujeres y Hombres en los Partidos y movimientos Políticos. </w:t>
            </w:r>
          </w:p>
          <w:p w14:paraId="2AE4683A"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-Sistema de Naciones Unidas: apoyó la realización de la Cumbre Nacional de Mujeres y Paz.</w:t>
            </w:r>
          </w:p>
          <w:p w14:paraId="177F511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 </w:t>
            </w:r>
            <w:r w:rsidRPr="00E94619">
              <w:rPr>
                <w:rFonts w:ascii="Century Gothic" w:hAnsi="Century Gothic"/>
                <w:sz w:val="16"/>
                <w:szCs w:val="16"/>
              </w:rPr>
              <w:t>-Embajada de Suecia, Embajada de Noruega, Embajada de Suiza, Agencia Española de Cooperación Internacional: apoyo al movimiento de mujeres para lograr la inclusión de la agenda de las mujeres en el Acuerdo de Paz firmado con las FARC-EP</w:t>
            </w:r>
          </w:p>
          <w:p w14:paraId="0A57896C" w14:textId="77777777" w:rsidR="001238D7" w:rsidRPr="00E94619" w:rsidRDefault="001238D7" w:rsidP="000E5AC0">
            <w:pPr>
              <w:spacing w:after="0" w:line="240" w:lineRule="auto"/>
              <w:jc w:val="both"/>
              <w:rPr>
                <w:rFonts w:ascii="Century Gothic" w:hAnsi="Century Gothic"/>
                <w:sz w:val="16"/>
                <w:szCs w:val="16"/>
              </w:rPr>
            </w:pPr>
          </w:p>
          <w:p w14:paraId="5B3FBD70"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Agencia Católica Holandesa de Cooperación al Desarrollo (CORDAID) y el Instituto Holandés para la Democracia Multipartidaria (NIMD): </w:t>
            </w:r>
          </w:p>
          <w:p w14:paraId="37535D4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apoyo al Foro Internacional “Mujeres, Participación Política y Procesos de paz: Experiencias comparadas de Colombia, de El Salvador y de Guatemala a la luz de la UN Res. 1325”, convocado por la Red Nacional de Mujeres en Colombia.</w:t>
            </w:r>
          </w:p>
          <w:p w14:paraId="142E8D11" w14:textId="77777777" w:rsidR="001238D7" w:rsidRPr="00E94619" w:rsidRDefault="001238D7" w:rsidP="000E5AC0">
            <w:pPr>
              <w:spacing w:after="0" w:line="240" w:lineRule="auto"/>
              <w:jc w:val="both"/>
              <w:rPr>
                <w:rFonts w:ascii="Century Gothic" w:hAnsi="Century Gothic"/>
                <w:sz w:val="16"/>
                <w:szCs w:val="16"/>
              </w:rPr>
            </w:pPr>
          </w:p>
        </w:tc>
        <w:tc>
          <w:tcPr>
            <w:tcW w:w="2976" w:type="dxa"/>
          </w:tcPr>
          <w:p w14:paraId="58E68CF5" w14:textId="77777777" w:rsidR="001238D7" w:rsidRPr="00E94619" w:rsidRDefault="0036411F" w:rsidP="000E5AC0">
            <w:pPr>
              <w:spacing w:after="0" w:line="240" w:lineRule="auto"/>
              <w:jc w:val="both"/>
              <w:rPr>
                <w:rFonts w:ascii="Century Gothic" w:hAnsi="Century Gothic"/>
                <w:i/>
                <w:sz w:val="16"/>
                <w:szCs w:val="16"/>
              </w:rPr>
            </w:pPr>
            <w:r w:rsidRPr="00E94619">
              <w:rPr>
                <w:rFonts w:ascii="Century Gothic" w:hAnsi="Century Gothic"/>
                <w:b/>
                <w:sz w:val="16"/>
                <w:szCs w:val="16"/>
              </w:rPr>
              <w:t>Informe de la CEPEM</w:t>
            </w:r>
            <w:r w:rsidRPr="00E94619">
              <w:rPr>
                <w:rFonts w:ascii="Century Gothic" w:hAnsi="Century Gothic"/>
                <w:sz w:val="16"/>
                <w:szCs w:val="16"/>
              </w:rPr>
              <w:t>:</w:t>
            </w:r>
            <w:r w:rsidRPr="00E94619">
              <w:rPr>
                <w:rFonts w:ascii="Century Gothic" w:hAnsi="Century Gothic"/>
                <w:i/>
                <w:sz w:val="16"/>
                <w:szCs w:val="16"/>
              </w:rPr>
              <w:t xml:space="preserve"> </w:t>
            </w:r>
          </w:p>
          <w:p w14:paraId="1FBA6D4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-Hacer efectiva la Ley de cuotas para los partidos políticos en todos los departamentos del país, generando condiciones para que las mujeres puedan participar. Si es necesario promover reformas legales. </w:t>
            </w:r>
          </w:p>
          <w:p w14:paraId="4DFFAB5D"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b/>
                <w:sz w:val="16"/>
                <w:szCs w:val="16"/>
              </w:rPr>
              <w:t>El informe de la Organización de Estados Americanos frente al último proceso electoral en Colombia en marzo del 2014, recomienda</w:t>
            </w:r>
            <w:r w:rsidRPr="00E94619">
              <w:rPr>
                <w:rFonts w:ascii="Century Gothic" w:hAnsi="Century Gothic"/>
                <w:sz w:val="16"/>
                <w:szCs w:val="16"/>
              </w:rPr>
              <w:t xml:space="preserve">: </w:t>
            </w:r>
          </w:p>
          <w:p w14:paraId="645DF5C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i/>
                <w:sz w:val="16"/>
                <w:szCs w:val="16"/>
              </w:rPr>
              <w:t>-Promover reformas legales tendientes a la paridad de género y el establecimiento de la alternancia y el financiamiento de campañas dirigido a mujeres</w:t>
            </w:r>
            <w:r w:rsidRPr="00E94619">
              <w:rPr>
                <w:rFonts w:ascii="Century Gothic" w:hAnsi="Century Gothic"/>
                <w:sz w:val="16"/>
                <w:szCs w:val="16"/>
              </w:rPr>
              <w:t>.</w:t>
            </w:r>
          </w:p>
          <w:p w14:paraId="03ABFD0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 xml:space="preserve">El informe del Departamento Administrativo de la Función Pública, del año 2014 sobre la Ley de Cuotas, plantea como reto: </w:t>
            </w:r>
          </w:p>
          <w:p w14:paraId="78171F4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-Promover la participación política de las mujeres que hacen parte de grupos étnicos, jóvenes, campesinas, mujeres con discapacidad y con orientaciones sexuales diversas, garantizando las condiciones de equidad necesarias para esto (recursos económicos, distribución de roles a nivel familiar, documentos de identidad, etc.).</w:t>
            </w:r>
          </w:p>
          <w:p w14:paraId="2A16EA6A" w14:textId="77777777" w:rsidR="001238D7" w:rsidRPr="00E94619" w:rsidRDefault="001238D7" w:rsidP="000E5AC0">
            <w:pPr>
              <w:spacing w:after="0" w:line="240" w:lineRule="auto"/>
              <w:jc w:val="both"/>
              <w:rPr>
                <w:rFonts w:ascii="Century Gothic" w:hAnsi="Century Gothic"/>
                <w:i/>
                <w:sz w:val="16"/>
                <w:szCs w:val="16"/>
              </w:rPr>
            </w:pPr>
          </w:p>
          <w:p w14:paraId="4C2BAA44" w14:textId="77777777" w:rsidR="001238D7" w:rsidRPr="00E94619" w:rsidRDefault="001238D7" w:rsidP="000E5AC0">
            <w:pPr>
              <w:spacing w:after="0" w:line="240" w:lineRule="auto"/>
              <w:jc w:val="both"/>
              <w:rPr>
                <w:rFonts w:ascii="Century Gothic" w:hAnsi="Century Gothic"/>
                <w:i/>
                <w:sz w:val="16"/>
                <w:szCs w:val="16"/>
              </w:rPr>
            </w:pPr>
          </w:p>
        </w:tc>
      </w:tr>
    </w:tbl>
    <w:p w14:paraId="3F64DB0E" w14:textId="27B8225A" w:rsidR="001238D7" w:rsidRDefault="00114E9E" w:rsidP="000E5AC0">
      <w:pPr>
        <w:jc w:val="both"/>
        <w:rPr>
          <w:rFonts w:ascii="Century Gothic" w:hAnsi="Century Gothic"/>
        </w:rPr>
      </w:pPr>
      <w:r w:rsidRPr="000130CA">
        <w:rPr>
          <w:rFonts w:ascii="Century Gothic" w:eastAsia="Cambria" w:hAnsi="Century Gothic"/>
          <w:b/>
          <w:noProof/>
          <w:color w:val="CC3366"/>
          <w:lang w:val="es-ES" w:eastAsia="es-ES"/>
        </w:rPr>
        <w:lastRenderedPageBreak/>
        <w:drawing>
          <wp:anchor distT="0" distB="0" distL="114300" distR="114300" simplePos="0" relativeHeight="251736064" behindDoc="1" locked="0" layoutInCell="1" allowOverlap="1" wp14:anchorId="027E6147" wp14:editId="7FF8E8D4">
            <wp:simplePos x="0" y="0"/>
            <wp:positionH relativeFrom="column">
              <wp:posOffset>-24130</wp:posOffset>
            </wp:positionH>
            <wp:positionV relativeFrom="paragraph">
              <wp:posOffset>221615</wp:posOffset>
            </wp:positionV>
            <wp:extent cx="5396230" cy="567055"/>
            <wp:effectExtent l="0" t="0" r="0" b="0"/>
            <wp:wrapNone/>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6.png"/>
                    <pic:cNvPicPr/>
                  </pic:nvPicPr>
                  <pic:blipFill>
                    <a:blip r:embed="rId18">
                      <a:extLst>
                        <a:ext uri="{28A0092B-C50C-407E-A947-70E740481C1C}">
                          <a14:useLocalDpi xmlns:a14="http://schemas.microsoft.com/office/drawing/2010/main" val="0"/>
                        </a:ext>
                      </a:extLst>
                    </a:blip>
                    <a:stretch>
                      <a:fillRect/>
                    </a:stretch>
                  </pic:blipFill>
                  <pic:spPr>
                    <a:xfrm>
                      <a:off x="0" y="0"/>
                      <a:ext cx="5396230" cy="567055"/>
                    </a:xfrm>
                    <a:prstGeom prst="rect">
                      <a:avLst/>
                    </a:prstGeom>
                  </pic:spPr>
                </pic:pic>
              </a:graphicData>
            </a:graphic>
            <wp14:sizeRelH relativeFrom="page">
              <wp14:pctWidth>0</wp14:pctWidth>
            </wp14:sizeRelH>
            <wp14:sizeRelV relativeFrom="page">
              <wp14:pctHeight>0</wp14:pctHeight>
            </wp14:sizeRelV>
          </wp:anchor>
        </w:drawing>
      </w:r>
    </w:p>
    <w:p w14:paraId="44EA0057" w14:textId="0B090BF3" w:rsidR="00114E9E" w:rsidRPr="00114E9E" w:rsidRDefault="00395383" w:rsidP="00114E9E">
      <w:pPr>
        <w:pStyle w:val="Ttulo1"/>
        <w:rPr>
          <w:rFonts w:ascii="Century Gothic" w:hAnsi="Century Gothic"/>
          <w:b/>
        </w:rPr>
      </w:pPr>
      <w:r>
        <w:t xml:space="preserve">           </w:t>
      </w:r>
      <w:bookmarkStart w:id="127" w:name="_Toc488624342"/>
      <w:r w:rsidR="009A4552" w:rsidRPr="00114E9E">
        <w:rPr>
          <w:rFonts w:ascii="Century Gothic" w:hAnsi="Century Gothic"/>
          <w:b/>
        </w:rPr>
        <w:t>VIII</w:t>
      </w:r>
      <w:r w:rsidR="003E7028" w:rsidRPr="00114E9E">
        <w:rPr>
          <w:rFonts w:ascii="Century Gothic" w:hAnsi="Century Gothic"/>
          <w:b/>
        </w:rPr>
        <w:t xml:space="preserve">. </w:t>
      </w:r>
      <w:r w:rsidR="009A4552" w:rsidRPr="00114E9E">
        <w:rPr>
          <w:rFonts w:ascii="Century Gothic" w:hAnsi="Century Gothic"/>
          <w:b/>
        </w:rPr>
        <w:t xml:space="preserve"> R</w:t>
      </w:r>
      <w:r w:rsidRPr="00114E9E">
        <w:rPr>
          <w:rFonts w:ascii="Century Gothic" w:hAnsi="Century Gothic"/>
          <w:b/>
        </w:rPr>
        <w:t>etos y oportunidades de la transición ecológica y la transformación digital</w:t>
      </w:r>
      <w:bookmarkEnd w:id="127"/>
    </w:p>
    <w:p w14:paraId="30147E79" w14:textId="77777777" w:rsidR="000847FD" w:rsidRPr="00E94619" w:rsidRDefault="000847FD" w:rsidP="000E5AC0">
      <w:pPr>
        <w:spacing w:before="120" w:line="276" w:lineRule="auto"/>
        <w:jc w:val="both"/>
        <w:rPr>
          <w:rFonts w:ascii="Century Gothic" w:hAnsi="Century Gothic" w:cs="Calibri"/>
        </w:rPr>
      </w:pPr>
      <w:r w:rsidRPr="00E94619">
        <w:rPr>
          <w:rFonts w:ascii="Century Gothic" w:hAnsi="Century Gothic" w:cs="Calibri"/>
        </w:rPr>
        <w:t xml:space="preserve">El consenso mundial ha reconocido que la integración del enfoque de género, para avanzar hacia la igualdad de género en las actividades de mitigación y adaptación al cambio climático, no sólo es esencial, sino que aumenta al máximo la eficacia de las estrategias, las acciones y los recursos. </w:t>
      </w:r>
    </w:p>
    <w:p w14:paraId="725B3A50" w14:textId="6D876D67" w:rsidR="001238D7" w:rsidRPr="007D4FA1" w:rsidRDefault="000847FD" w:rsidP="007D4FA1">
      <w:pPr>
        <w:spacing w:before="120" w:line="276" w:lineRule="auto"/>
        <w:jc w:val="both"/>
        <w:rPr>
          <w:rFonts w:ascii="Century Gothic" w:hAnsi="Century Gothic" w:cs="Calibri"/>
        </w:rPr>
      </w:pPr>
      <w:r w:rsidRPr="00E94619">
        <w:rPr>
          <w:rFonts w:ascii="Century Gothic" w:hAnsi="Century Gothic" w:cs="Calibri"/>
        </w:rPr>
        <w:t>Como parte de este proceso se reconoce la necesidad e importancia de integrar el enfoque de género de manera transversal en las actividades de gestión del cambio climático de tal forma que se incluya a hombres y mujeres en todos los esfuerzos realizados por los países parte de la CMNUCC, máxima autoridad para orientar la gestión del cambio climático, reconociendo que las mujeres y los hombres tienen distintas necesidades, roles, habilidades, intereses y conocimientos que son esenciales en la adopción de medidas eficaces para  reducir los riesgos y los efectos del cambio climático y desarrollar la resiliencia al clima.</w:t>
      </w:r>
    </w:p>
    <w:p w14:paraId="30D90095" w14:textId="77777777" w:rsidR="001238D7" w:rsidRPr="00395383" w:rsidRDefault="002D3891" w:rsidP="000E5AC0">
      <w:pPr>
        <w:pStyle w:val="Ttulo2"/>
        <w:rPr>
          <w:rFonts w:ascii="Century Gothic" w:hAnsi="Century Gothic"/>
          <w:color w:val="CC3366"/>
        </w:rPr>
      </w:pPr>
      <w:bookmarkStart w:id="128" w:name="_Toc488624343"/>
      <w:r w:rsidRPr="00395383">
        <w:rPr>
          <w:rFonts w:ascii="Century Gothic" w:hAnsi="Century Gothic"/>
          <w:color w:val="CC3366"/>
        </w:rPr>
        <w:t>1.</w:t>
      </w:r>
      <w:r w:rsidR="0036411F" w:rsidRPr="00395383">
        <w:rPr>
          <w:rFonts w:ascii="Century Gothic" w:hAnsi="Century Gothic"/>
          <w:color w:val="CC3366"/>
        </w:rPr>
        <w:t xml:space="preserve"> Incidencia de las mujeres en el afrontamiento de temas ambientales</w:t>
      </w:r>
      <w:bookmarkEnd w:id="128"/>
      <w:r w:rsidR="0036411F" w:rsidRPr="00395383">
        <w:rPr>
          <w:rFonts w:ascii="Century Gothic" w:hAnsi="Century Gothic"/>
          <w:color w:val="CC3366"/>
        </w:rPr>
        <w:t xml:space="preserve"> </w:t>
      </w:r>
    </w:p>
    <w:p w14:paraId="0FF80ECD" w14:textId="77777777" w:rsidR="00506F18" w:rsidRPr="00E94619" w:rsidRDefault="00506F18" w:rsidP="000E5AC0">
      <w:pPr>
        <w:spacing w:before="240" w:after="240" w:line="240" w:lineRule="auto"/>
        <w:jc w:val="both"/>
        <w:rPr>
          <w:rFonts w:ascii="Century Gothic" w:hAnsi="Century Gothic" w:cs="Calibri"/>
        </w:rPr>
      </w:pPr>
      <w:r w:rsidRPr="00E94619">
        <w:rPr>
          <w:rFonts w:ascii="Century Gothic" w:hAnsi="Century Gothic" w:cs="Calibri"/>
        </w:rPr>
        <w:t>Los esfuerzos de adaptación y mitigación al cambio climático</w:t>
      </w:r>
      <w:r w:rsidR="006875FE" w:rsidRPr="00E94619">
        <w:rPr>
          <w:rFonts w:ascii="Century Gothic" w:hAnsi="Century Gothic" w:cs="Calibri"/>
        </w:rPr>
        <w:t xml:space="preserve"> y la gestión del medio ambiente y la </w:t>
      </w:r>
      <w:r w:rsidR="007B7EEF" w:rsidRPr="00E94619">
        <w:rPr>
          <w:rFonts w:ascii="Century Gothic" w:hAnsi="Century Gothic" w:cs="Calibri"/>
        </w:rPr>
        <w:t>biodiversidad</w:t>
      </w:r>
      <w:r w:rsidR="006875FE" w:rsidRPr="00E94619">
        <w:rPr>
          <w:rFonts w:ascii="Century Gothic" w:hAnsi="Century Gothic" w:cs="Calibri"/>
        </w:rPr>
        <w:t xml:space="preserve"> </w:t>
      </w:r>
      <w:r w:rsidRPr="00E94619">
        <w:rPr>
          <w:rFonts w:ascii="Century Gothic" w:hAnsi="Century Gothic" w:cs="Calibri"/>
        </w:rPr>
        <w:t>influyen directamente sobre los resultados de desarrollo sostenible, incluidos los asuntos de igualdad de género. El cambio climático</w:t>
      </w:r>
      <w:r w:rsidR="006875FE" w:rsidRPr="00E94619">
        <w:rPr>
          <w:rFonts w:ascii="Century Gothic" w:hAnsi="Century Gothic" w:cs="Calibri"/>
        </w:rPr>
        <w:t xml:space="preserve"> y la deforestación </w:t>
      </w:r>
      <w:r w:rsidR="007B7EEF" w:rsidRPr="00E94619">
        <w:rPr>
          <w:rFonts w:ascii="Century Gothic" w:hAnsi="Century Gothic" w:cs="Calibri"/>
        </w:rPr>
        <w:t xml:space="preserve">pueden </w:t>
      </w:r>
      <w:r w:rsidRPr="00E94619">
        <w:rPr>
          <w:rFonts w:ascii="Century Gothic" w:hAnsi="Century Gothic" w:cs="Calibri"/>
        </w:rPr>
        <w:t>exacerba</w:t>
      </w:r>
      <w:r w:rsidR="007B7EEF" w:rsidRPr="00E94619">
        <w:rPr>
          <w:rFonts w:ascii="Century Gothic" w:hAnsi="Century Gothic" w:cs="Calibri"/>
        </w:rPr>
        <w:t>r</w:t>
      </w:r>
      <w:r w:rsidRPr="00E94619">
        <w:rPr>
          <w:rFonts w:ascii="Century Gothic" w:hAnsi="Century Gothic" w:cs="Calibri"/>
        </w:rPr>
        <w:t xml:space="preserve"> las desigualdades de género y aumenta</w:t>
      </w:r>
      <w:r w:rsidR="007B7EEF" w:rsidRPr="00E94619">
        <w:rPr>
          <w:rFonts w:ascii="Century Gothic" w:hAnsi="Century Gothic" w:cs="Calibri"/>
        </w:rPr>
        <w:t>r</w:t>
      </w:r>
      <w:r w:rsidRPr="00E94619">
        <w:rPr>
          <w:rFonts w:ascii="Century Gothic" w:hAnsi="Century Gothic" w:cs="Calibri"/>
        </w:rPr>
        <w:t xml:space="preserve"> la brecha de oportunidades y derechos entre los hombres y las mujeres</w:t>
      </w:r>
      <w:r w:rsidR="007B7EEF" w:rsidRPr="00E94619">
        <w:rPr>
          <w:rFonts w:ascii="Century Gothic" w:hAnsi="Century Gothic" w:cs="Calibri"/>
        </w:rPr>
        <w:t>.</w:t>
      </w:r>
    </w:p>
    <w:p w14:paraId="3A5C8A91" w14:textId="77777777" w:rsidR="00506F18" w:rsidRPr="00E94619" w:rsidRDefault="00506F18" w:rsidP="000E5AC0">
      <w:pPr>
        <w:spacing w:before="120" w:line="240" w:lineRule="auto"/>
        <w:jc w:val="both"/>
        <w:rPr>
          <w:rFonts w:ascii="Century Gothic" w:hAnsi="Century Gothic" w:cs="Calibri"/>
          <w:sz w:val="24"/>
          <w:szCs w:val="24"/>
        </w:rPr>
      </w:pPr>
      <w:r w:rsidRPr="00E94619">
        <w:rPr>
          <w:rFonts w:ascii="Century Gothic" w:hAnsi="Century Gothic" w:cs="Calibri"/>
        </w:rPr>
        <w:t xml:space="preserve">Colombia como parte de la </w:t>
      </w:r>
      <w:r w:rsidR="00CE7A47" w:rsidRPr="00E94619">
        <w:rPr>
          <w:rFonts w:ascii="Century Gothic" w:hAnsi="Century Gothic" w:cs="Calibri"/>
        </w:rPr>
        <w:t xml:space="preserve">Convención Marco de Naciones Unidas sobre el Cambio Climático - </w:t>
      </w:r>
      <w:r w:rsidRPr="00E94619">
        <w:rPr>
          <w:rFonts w:ascii="Century Gothic" w:hAnsi="Century Gothic" w:cs="Calibri"/>
        </w:rPr>
        <w:t>CMNUCC, debe integrar el enfoque de género en todos los niveles de la gestión del cambio climático y esto implica avanzar en el cierre de la brecha de desigualdad entre hombres y mujeres mediante la implementación de acciones sociales, económicas y políticas. Recientemente en Colombia se han logrado avances importantes hacia la igualdad de género, principalmente en las leyes y los marcos de políticas públicas y el ejercicio efectivo de los derechos de las mujeres y las niñas en las décadas recientes. No obstante, los cambios, visibles en distintos ámbitos, han sido lentos, desiguales e insuficientes y persisten importantes brechas de desigualdad</w:t>
      </w:r>
      <w:r w:rsidRPr="00E94619">
        <w:rPr>
          <w:rFonts w:ascii="Century Gothic" w:hAnsi="Century Gothic" w:cs="Calibri"/>
          <w:sz w:val="24"/>
          <w:szCs w:val="24"/>
        </w:rPr>
        <w:t>.</w:t>
      </w:r>
    </w:p>
    <w:p w14:paraId="0B3CAA15" w14:textId="6580FC35" w:rsidR="00CB14EC" w:rsidRPr="00E94619" w:rsidRDefault="00CB14EC" w:rsidP="000E5AC0">
      <w:pPr>
        <w:spacing w:before="120" w:line="240" w:lineRule="auto"/>
        <w:jc w:val="both"/>
        <w:rPr>
          <w:rFonts w:ascii="Century Gothic" w:hAnsi="Century Gothic" w:cs="Calibri"/>
        </w:rPr>
      </w:pPr>
      <w:r w:rsidRPr="00E94619">
        <w:rPr>
          <w:rFonts w:ascii="Century Gothic" w:hAnsi="Century Gothic" w:cs="Calibri"/>
        </w:rPr>
        <w:t>La incorporación de elementos transversales de género en las diversas agen</w:t>
      </w:r>
      <w:r w:rsidR="004A4196" w:rsidRPr="00E94619">
        <w:rPr>
          <w:rFonts w:ascii="Century Gothic" w:hAnsi="Century Gothic" w:cs="Calibri"/>
        </w:rPr>
        <w:t>das ambientales</w:t>
      </w:r>
      <w:r w:rsidR="0040572F" w:rsidRPr="00E94619">
        <w:rPr>
          <w:rFonts w:ascii="Century Gothic" w:hAnsi="Century Gothic" w:cs="Calibri"/>
        </w:rPr>
        <w:t xml:space="preserve"> puede</w:t>
      </w:r>
      <w:r w:rsidR="004A4196" w:rsidRPr="00E94619">
        <w:rPr>
          <w:rFonts w:ascii="Century Gothic" w:hAnsi="Century Gothic" w:cs="Calibri"/>
        </w:rPr>
        <w:t xml:space="preserve"> </w:t>
      </w:r>
      <w:r w:rsidRPr="00E94619">
        <w:rPr>
          <w:rFonts w:ascii="Century Gothic" w:hAnsi="Century Gothic" w:cs="Calibri"/>
        </w:rPr>
        <w:t>aporta</w:t>
      </w:r>
      <w:r w:rsidR="0040572F" w:rsidRPr="00E94619">
        <w:rPr>
          <w:rFonts w:ascii="Century Gothic" w:hAnsi="Century Gothic" w:cs="Calibri"/>
        </w:rPr>
        <w:t>r</w:t>
      </w:r>
      <w:r w:rsidRPr="00E94619">
        <w:rPr>
          <w:rFonts w:ascii="Century Gothic" w:hAnsi="Century Gothic" w:cs="Calibri"/>
        </w:rPr>
        <w:t xml:space="preserve"> medida</w:t>
      </w:r>
      <w:r w:rsidR="0040572F" w:rsidRPr="00E94619">
        <w:rPr>
          <w:rFonts w:ascii="Century Gothic" w:hAnsi="Century Gothic" w:cs="Calibri"/>
        </w:rPr>
        <w:t>s</w:t>
      </w:r>
      <w:r w:rsidRPr="00E94619">
        <w:rPr>
          <w:rFonts w:ascii="Century Gothic" w:hAnsi="Century Gothic" w:cs="Calibri"/>
        </w:rPr>
        <w:t xml:space="preserve"> real</w:t>
      </w:r>
      <w:r w:rsidR="0040572F" w:rsidRPr="00E94619">
        <w:rPr>
          <w:rFonts w:ascii="Century Gothic" w:hAnsi="Century Gothic" w:cs="Calibri"/>
        </w:rPr>
        <w:t>es</w:t>
      </w:r>
      <w:r w:rsidRPr="00E94619">
        <w:rPr>
          <w:rFonts w:ascii="Century Gothic" w:hAnsi="Century Gothic" w:cs="Calibri"/>
        </w:rPr>
        <w:t xml:space="preserve"> y efectiva para la garantía de derechos y oportunidades para hombres y mujeres, fortaleciendo la acción climática y contribuyendo en las transformaciones necesarias y fundamentales en todo el territorio nacional. </w:t>
      </w:r>
    </w:p>
    <w:p w14:paraId="31558D18" w14:textId="1C9CD466" w:rsidR="001238D7" w:rsidRPr="00395383" w:rsidRDefault="00BD41A8" w:rsidP="00395383">
      <w:pPr>
        <w:pStyle w:val="Ttulo2"/>
        <w:jc w:val="both"/>
        <w:rPr>
          <w:rFonts w:ascii="Century Gothic" w:hAnsi="Century Gothic"/>
          <w:color w:val="CC3366"/>
        </w:rPr>
      </w:pPr>
      <w:bookmarkStart w:id="129" w:name="_Toc488624344"/>
      <w:r>
        <w:rPr>
          <w:rFonts w:ascii="Century Gothic" w:hAnsi="Century Gothic"/>
          <w:b w:val="0"/>
          <w:noProof/>
          <w:szCs w:val="24"/>
          <w:lang w:val="es-ES"/>
        </w:rPr>
        <w:lastRenderedPageBreak/>
        <w:drawing>
          <wp:anchor distT="0" distB="0" distL="114300" distR="114300" simplePos="0" relativeHeight="251937792" behindDoc="0" locked="0" layoutInCell="1" allowOverlap="1" wp14:anchorId="5C67E084" wp14:editId="0AE68A37">
            <wp:simplePos x="0" y="0"/>
            <wp:positionH relativeFrom="column">
              <wp:posOffset>-1080135</wp:posOffset>
            </wp:positionH>
            <wp:positionV relativeFrom="paragraph">
              <wp:posOffset>-822960</wp:posOffset>
            </wp:positionV>
            <wp:extent cx="965835" cy="708660"/>
            <wp:effectExtent l="0" t="0" r="0" b="0"/>
            <wp:wrapNone/>
            <wp:docPr id="440" name="Imagen 44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6411F" w:rsidRPr="00395383">
        <w:rPr>
          <w:rFonts w:ascii="Century Gothic" w:hAnsi="Century Gothic"/>
          <w:color w:val="CC3366"/>
        </w:rPr>
        <w:t>2</w:t>
      </w:r>
      <w:r w:rsidR="002D3891" w:rsidRPr="00395383">
        <w:rPr>
          <w:rFonts w:ascii="Century Gothic" w:hAnsi="Century Gothic"/>
          <w:color w:val="CC3366"/>
        </w:rPr>
        <w:t xml:space="preserve">. </w:t>
      </w:r>
      <w:r w:rsidR="00C24E5D" w:rsidRPr="00395383">
        <w:rPr>
          <w:rFonts w:ascii="Century Gothic" w:hAnsi="Century Gothic"/>
          <w:color w:val="CC3366"/>
        </w:rPr>
        <w:t>Avances en la integración de enfoque de género en las políticas e instrumentos de implementación para la gestión del cambio climático</w:t>
      </w:r>
      <w:bookmarkEnd w:id="129"/>
    </w:p>
    <w:p w14:paraId="3A12A4AA" w14:textId="77777777" w:rsidR="007A4005" w:rsidRPr="00E94619" w:rsidRDefault="007A4005" w:rsidP="000E5AC0">
      <w:pPr>
        <w:spacing w:after="0" w:line="240" w:lineRule="auto"/>
        <w:jc w:val="both"/>
        <w:rPr>
          <w:rFonts w:ascii="Century Gothic" w:hAnsi="Century Gothic" w:cstheme="majorHAnsi"/>
        </w:rPr>
      </w:pPr>
    </w:p>
    <w:p w14:paraId="7843EA84" w14:textId="77777777" w:rsidR="007A4005" w:rsidRPr="00E94619" w:rsidRDefault="00122786" w:rsidP="000E5AC0">
      <w:pPr>
        <w:spacing w:after="0" w:line="240" w:lineRule="auto"/>
        <w:jc w:val="both"/>
        <w:rPr>
          <w:rFonts w:ascii="Century Gothic" w:hAnsi="Century Gothic" w:cstheme="majorHAnsi"/>
        </w:rPr>
      </w:pPr>
      <w:r w:rsidRPr="00E94619">
        <w:rPr>
          <w:rFonts w:ascii="Century Gothic" w:hAnsi="Century Gothic" w:cstheme="majorHAnsi"/>
        </w:rPr>
        <w:t xml:space="preserve">La Dirección de Cambio Climático y Gestión del Riesgo (DCCGR) del Ministerio de Ambiente y Desarrollo Sostenible (MADS) inició desde marzo de 2019 labores para lograr la transversalización del enfoque de género en la gestión del cambio climático en Colombia. Como parte de la Estrategia Colombiana de Desarrollo Bajo en Carbono Adaptada y Resiliente (ECDBCAR), la DDCGR ha apoyado a diversos sectores comprometidos con la mitigación de Gases de Efecto Invernadero, así como con la adaptación al cambio climático, en la creación y fortalecimiento de capacidades  de enfoque de género para integrar el enfoque de género en políticas e instrumentos de implementación de la NDC, de manera que se pueda garantizar la igualdad de derechos y oportunidades para hombres y mujeres en la gestión del cambio climático, teniendo en consideración los impactos diferenciados. </w:t>
      </w:r>
    </w:p>
    <w:p w14:paraId="6088C535" w14:textId="77777777" w:rsidR="007A4005" w:rsidRPr="00E94619" w:rsidRDefault="007A4005" w:rsidP="000E5AC0">
      <w:pPr>
        <w:spacing w:after="0" w:line="240" w:lineRule="auto"/>
        <w:jc w:val="both"/>
        <w:rPr>
          <w:rFonts w:ascii="Century Gothic" w:hAnsi="Century Gothic" w:cstheme="majorHAnsi"/>
        </w:rPr>
      </w:pPr>
    </w:p>
    <w:p w14:paraId="7A027ACF" w14:textId="77777777" w:rsidR="00122786" w:rsidRDefault="00122786" w:rsidP="000E5AC0">
      <w:pPr>
        <w:spacing w:after="0" w:line="240" w:lineRule="auto"/>
        <w:jc w:val="both"/>
        <w:rPr>
          <w:rFonts w:ascii="Century Gothic" w:hAnsi="Century Gothic" w:cstheme="majorHAnsi"/>
        </w:rPr>
      </w:pPr>
      <w:r w:rsidRPr="00E94619">
        <w:rPr>
          <w:rFonts w:ascii="Century Gothic" w:hAnsi="Century Gothic" w:cstheme="majorHAnsi"/>
        </w:rPr>
        <w:t xml:space="preserve">Entre los principales avances se destacan: </w:t>
      </w:r>
    </w:p>
    <w:p w14:paraId="7D1E7017" w14:textId="77777777" w:rsidR="007D4FA1" w:rsidRPr="00E94619" w:rsidRDefault="007D4FA1" w:rsidP="000E5AC0">
      <w:pPr>
        <w:spacing w:after="0" w:line="240" w:lineRule="auto"/>
        <w:jc w:val="both"/>
        <w:rPr>
          <w:rFonts w:ascii="Century Gothic" w:hAnsi="Century Gothic" w:cstheme="majorHAnsi"/>
        </w:rPr>
      </w:pPr>
    </w:p>
    <w:tbl>
      <w:tblPr>
        <w:tblW w:w="0" w:type="auto"/>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shd w:val="clear" w:color="auto" w:fill="FDE9D9" w:themeFill="accent6" w:themeFillTint="33"/>
        <w:tblLook w:val="04A0" w:firstRow="1" w:lastRow="0" w:firstColumn="1" w:lastColumn="0" w:noHBand="0" w:noVBand="1"/>
      </w:tblPr>
      <w:tblGrid>
        <w:gridCol w:w="1966"/>
        <w:gridCol w:w="6748"/>
      </w:tblGrid>
      <w:tr w:rsidR="003A6382" w:rsidRPr="00E94619" w14:paraId="3143FEDE" w14:textId="77777777" w:rsidTr="007D4FA1">
        <w:trPr>
          <w:trHeight w:val="992"/>
        </w:trPr>
        <w:tc>
          <w:tcPr>
            <w:tcW w:w="1980" w:type="dxa"/>
            <w:shd w:val="clear" w:color="auto" w:fill="FF99CC"/>
          </w:tcPr>
          <w:p w14:paraId="4C2E615E" w14:textId="77777777" w:rsidR="003A6382" w:rsidRPr="00E94619" w:rsidRDefault="003A6382" w:rsidP="000E5AC0">
            <w:pPr>
              <w:pStyle w:val="Prrafodelista"/>
              <w:spacing w:before="120" w:after="120"/>
              <w:ind w:left="0"/>
              <w:jc w:val="both"/>
              <w:rPr>
                <w:rFonts w:ascii="Century Gothic" w:hAnsi="Century Gothic" w:cstheme="majorHAnsi"/>
                <w:sz w:val="16"/>
                <w:szCs w:val="16"/>
              </w:rPr>
            </w:pPr>
            <w:r w:rsidRPr="00E94619">
              <w:rPr>
                <w:rFonts w:ascii="Century Gothic" w:hAnsi="Century Gothic" w:cstheme="majorHAnsi"/>
                <w:sz w:val="16"/>
                <w:szCs w:val="16"/>
              </w:rPr>
              <w:t>Integración de enfoque de género, transición justa de la fuerza laboral y derechos humanos en la NDC actualizada</w:t>
            </w:r>
          </w:p>
        </w:tc>
        <w:tc>
          <w:tcPr>
            <w:tcW w:w="6848" w:type="dxa"/>
            <w:shd w:val="clear" w:color="auto" w:fill="auto"/>
          </w:tcPr>
          <w:p w14:paraId="2A5A2AE4" w14:textId="77777777" w:rsidR="003A6382" w:rsidRPr="00E94619" w:rsidRDefault="003A6382" w:rsidP="000E5AC0">
            <w:pPr>
              <w:pStyle w:val="Prrafodelista"/>
              <w:numPr>
                <w:ilvl w:val="0"/>
                <w:numId w:val="4"/>
              </w:numPr>
              <w:spacing w:before="120" w:after="120"/>
              <w:ind w:left="0" w:hanging="357"/>
              <w:contextualSpacing w:val="0"/>
              <w:jc w:val="both"/>
              <w:rPr>
                <w:rFonts w:ascii="Century Gothic" w:hAnsi="Century Gothic" w:cstheme="majorHAnsi"/>
                <w:sz w:val="16"/>
                <w:szCs w:val="16"/>
              </w:rPr>
            </w:pPr>
            <w:r w:rsidRPr="00E94619">
              <w:rPr>
                <w:rFonts w:ascii="Century Gothic" w:hAnsi="Century Gothic" w:cstheme="majorHAnsi"/>
                <w:sz w:val="16"/>
                <w:szCs w:val="16"/>
              </w:rPr>
              <w:t>La integración de enfoque de género en la NDC actualizada. De esa manera, el país se compromete a implementar sus opciones de mitigación y adaptación garantizando la igualdad de derechos y oportunidades para mujeres y hombres y, así, avanzar hacia la igualdad de género en la gestión del cambio climático.</w:t>
            </w:r>
          </w:p>
          <w:p w14:paraId="602C3B34" w14:textId="77777777" w:rsidR="003A6382" w:rsidRPr="00E94619" w:rsidRDefault="003A6382" w:rsidP="000E5AC0">
            <w:pPr>
              <w:pStyle w:val="Prrafodelista"/>
              <w:numPr>
                <w:ilvl w:val="0"/>
                <w:numId w:val="4"/>
              </w:numPr>
              <w:spacing w:before="120" w:after="120"/>
              <w:ind w:left="0" w:hanging="357"/>
              <w:contextualSpacing w:val="0"/>
              <w:jc w:val="both"/>
              <w:rPr>
                <w:rFonts w:ascii="Century Gothic" w:hAnsi="Century Gothic" w:cstheme="majorHAnsi"/>
                <w:sz w:val="16"/>
                <w:szCs w:val="16"/>
              </w:rPr>
            </w:pPr>
            <w:r w:rsidRPr="00E94619">
              <w:rPr>
                <w:rFonts w:ascii="Century Gothic" w:hAnsi="Century Gothic" w:cstheme="majorHAnsi"/>
                <w:sz w:val="16"/>
                <w:szCs w:val="16"/>
              </w:rPr>
              <w:t>La incorporación de una meta de Transición Justa de la Fuerza Laboral. Colombia se ha comprometido en cabeza del Mi</w:t>
            </w:r>
            <w:r w:rsidR="00963E3B" w:rsidRPr="00E94619">
              <w:rPr>
                <w:rFonts w:ascii="Century Gothic" w:hAnsi="Century Gothic" w:cstheme="majorHAnsi"/>
                <w:sz w:val="16"/>
                <w:szCs w:val="16"/>
              </w:rPr>
              <w:t>nisterio del.T</w:t>
            </w:r>
            <w:r w:rsidRPr="00E94619">
              <w:rPr>
                <w:rFonts w:ascii="Century Gothic" w:hAnsi="Century Gothic" w:cstheme="majorHAnsi"/>
                <w:sz w:val="16"/>
                <w:szCs w:val="16"/>
              </w:rPr>
              <w:t>rabajo, con el apoyo de la Organización Internacional del Trabajo, la Estrategia 2050 y la ECDBCAR, en formular a 2023 una Estrategia Nacional para Garantizar la Transición Justa de la Fuerza Laboral, en el paso al desarrollo sostenible y el camino hacia la carbono-neutralidad.</w:t>
            </w:r>
          </w:p>
          <w:p w14:paraId="1BE81395" w14:textId="77777777" w:rsidR="003A6382" w:rsidRPr="00E94619" w:rsidRDefault="003A6382" w:rsidP="000E5AC0">
            <w:pPr>
              <w:pStyle w:val="Prrafodelista"/>
              <w:numPr>
                <w:ilvl w:val="0"/>
                <w:numId w:val="4"/>
              </w:numPr>
              <w:spacing w:before="120" w:after="120"/>
              <w:ind w:left="0" w:hanging="357"/>
              <w:contextualSpacing w:val="0"/>
              <w:jc w:val="both"/>
              <w:rPr>
                <w:rFonts w:ascii="Century Gothic" w:hAnsi="Century Gothic" w:cstheme="majorHAnsi"/>
                <w:sz w:val="16"/>
                <w:szCs w:val="16"/>
              </w:rPr>
            </w:pPr>
            <w:r w:rsidRPr="00E94619">
              <w:rPr>
                <w:rFonts w:ascii="Century Gothic" w:hAnsi="Century Gothic" w:cstheme="majorHAnsi"/>
                <w:sz w:val="16"/>
                <w:szCs w:val="16"/>
              </w:rPr>
              <w:t>La integración de enfoque de Derechos Humanos. De esa manera el país se compromete a hacer efectivos sus compromisos ratificados en materia de derechos humanos en intersección con el cambio climático y restauración y conservación de la biodiversidad.</w:t>
            </w:r>
          </w:p>
        </w:tc>
      </w:tr>
      <w:tr w:rsidR="003A6382" w:rsidRPr="00E94619" w14:paraId="43826533" w14:textId="77777777" w:rsidTr="007D4FA1">
        <w:tc>
          <w:tcPr>
            <w:tcW w:w="1980" w:type="dxa"/>
            <w:shd w:val="clear" w:color="auto" w:fill="FF99CC"/>
          </w:tcPr>
          <w:p w14:paraId="189545EB" w14:textId="77777777" w:rsidR="003A6382" w:rsidRPr="00E94619" w:rsidRDefault="003A6382" w:rsidP="000E5AC0">
            <w:pPr>
              <w:pStyle w:val="Prrafodelista"/>
              <w:spacing w:before="120" w:after="120"/>
              <w:ind w:left="0"/>
              <w:jc w:val="both"/>
              <w:rPr>
                <w:rFonts w:ascii="Century Gothic" w:hAnsi="Century Gothic" w:cstheme="majorHAnsi"/>
                <w:sz w:val="16"/>
                <w:szCs w:val="16"/>
              </w:rPr>
            </w:pPr>
            <w:r w:rsidRPr="00E94619">
              <w:rPr>
                <w:rFonts w:ascii="Century Gothic" w:hAnsi="Century Gothic" w:cstheme="majorHAnsi"/>
                <w:sz w:val="16"/>
                <w:szCs w:val="16"/>
              </w:rPr>
              <w:t>Integración de enfoque de género en los Planes Integrales para la Gestión del Cambio Climático Sectoriales (PIGCCS)</w:t>
            </w:r>
          </w:p>
          <w:p w14:paraId="31A815D9" w14:textId="77777777" w:rsidR="003A6382" w:rsidRPr="00E94619" w:rsidRDefault="003A6382" w:rsidP="000E5AC0">
            <w:pPr>
              <w:spacing w:before="120" w:after="120"/>
              <w:jc w:val="both"/>
              <w:rPr>
                <w:rFonts w:ascii="Century Gothic" w:hAnsi="Century Gothic" w:cstheme="majorHAnsi"/>
                <w:sz w:val="16"/>
                <w:szCs w:val="16"/>
              </w:rPr>
            </w:pPr>
          </w:p>
        </w:tc>
        <w:tc>
          <w:tcPr>
            <w:tcW w:w="6848" w:type="dxa"/>
            <w:shd w:val="clear" w:color="auto" w:fill="auto"/>
          </w:tcPr>
          <w:p w14:paraId="185AF8A1" w14:textId="77777777" w:rsidR="003A6382" w:rsidRPr="00E94619" w:rsidRDefault="003A6382" w:rsidP="000E5AC0">
            <w:pPr>
              <w:spacing w:before="120" w:after="120"/>
              <w:jc w:val="both"/>
              <w:rPr>
                <w:rFonts w:ascii="Century Gothic" w:hAnsi="Century Gothic" w:cstheme="majorHAnsi"/>
                <w:sz w:val="16"/>
                <w:szCs w:val="16"/>
              </w:rPr>
            </w:pPr>
            <w:r w:rsidRPr="00E94619">
              <w:rPr>
                <w:rFonts w:ascii="Century Gothic" w:hAnsi="Century Gothic" w:cstheme="majorHAnsi"/>
                <w:sz w:val="16"/>
                <w:szCs w:val="16"/>
              </w:rPr>
              <w:t>En un trabajo constructivo de la mano con cada sector responsable de formular su PIGCCS, se apoyó la incorporación de lineamientos dentro de los PIGCCS para garantizar la implementación de opciones de mitigación y adaptación con enfoque de género, en coherencia con los planteamientos de la Convención Marco de Naciones Unidas Sobre Cambio Climático (CMNUCC).</w:t>
            </w:r>
          </w:p>
          <w:p w14:paraId="7501074F" w14:textId="77777777" w:rsidR="003A6382" w:rsidRPr="00E94619" w:rsidRDefault="003A6382" w:rsidP="000E5AC0">
            <w:pPr>
              <w:spacing w:before="120" w:after="120"/>
              <w:jc w:val="both"/>
              <w:rPr>
                <w:rFonts w:ascii="Century Gothic" w:hAnsi="Century Gothic" w:cstheme="majorHAnsi"/>
                <w:sz w:val="16"/>
                <w:szCs w:val="16"/>
              </w:rPr>
            </w:pPr>
            <w:r w:rsidRPr="00E94619">
              <w:rPr>
                <w:rFonts w:ascii="Century Gothic" w:hAnsi="Century Gothic" w:cstheme="majorHAnsi"/>
                <w:sz w:val="16"/>
                <w:szCs w:val="16"/>
              </w:rPr>
              <w:t>Los PIGCCS en su implementación, propenderán por la garantía de los derechos y el empoderamiento de las mujeres y las niñas en las acciones del país orientadas a la gestión del cambio climático.</w:t>
            </w:r>
          </w:p>
        </w:tc>
      </w:tr>
      <w:tr w:rsidR="003A6382" w:rsidRPr="00E94619" w14:paraId="090235CB" w14:textId="77777777" w:rsidTr="007D4FA1">
        <w:tc>
          <w:tcPr>
            <w:tcW w:w="1980" w:type="dxa"/>
            <w:shd w:val="clear" w:color="auto" w:fill="FF99CC"/>
          </w:tcPr>
          <w:p w14:paraId="7C7126F9" w14:textId="77777777" w:rsidR="003A6382" w:rsidRPr="00E94619" w:rsidRDefault="003A6382" w:rsidP="000E5AC0">
            <w:pPr>
              <w:pStyle w:val="Prrafodelista"/>
              <w:spacing w:before="120" w:after="120"/>
              <w:ind w:left="0"/>
              <w:jc w:val="both"/>
              <w:rPr>
                <w:rFonts w:ascii="Century Gothic" w:hAnsi="Century Gothic" w:cstheme="majorHAnsi"/>
                <w:sz w:val="16"/>
                <w:szCs w:val="16"/>
              </w:rPr>
            </w:pPr>
            <w:r w:rsidRPr="00E94619">
              <w:rPr>
                <w:rFonts w:ascii="Century Gothic" w:hAnsi="Century Gothic" w:cstheme="majorHAnsi"/>
                <w:sz w:val="16"/>
                <w:szCs w:val="16"/>
              </w:rPr>
              <w:t xml:space="preserve">Caja de Herramientas para Integrar Enfoque de Género en la Gestión </w:t>
            </w:r>
            <w:r w:rsidRPr="00E94619">
              <w:rPr>
                <w:rFonts w:ascii="Century Gothic" w:hAnsi="Century Gothic" w:cstheme="majorHAnsi"/>
                <w:sz w:val="16"/>
                <w:szCs w:val="16"/>
              </w:rPr>
              <w:br/>
              <w:t>del Cambio Climático</w:t>
            </w:r>
          </w:p>
          <w:p w14:paraId="1BF1094F" w14:textId="5B23E92D" w:rsidR="003A6382" w:rsidRPr="00E94619" w:rsidRDefault="003A6382" w:rsidP="000E5AC0">
            <w:pPr>
              <w:spacing w:before="120" w:after="120"/>
              <w:jc w:val="both"/>
              <w:rPr>
                <w:rFonts w:ascii="Century Gothic" w:hAnsi="Century Gothic" w:cstheme="majorHAnsi"/>
                <w:sz w:val="16"/>
                <w:szCs w:val="16"/>
              </w:rPr>
            </w:pPr>
          </w:p>
        </w:tc>
        <w:tc>
          <w:tcPr>
            <w:tcW w:w="6848" w:type="dxa"/>
            <w:shd w:val="clear" w:color="auto" w:fill="auto"/>
          </w:tcPr>
          <w:p w14:paraId="08FED014" w14:textId="77777777" w:rsidR="003A6382" w:rsidRPr="00E94619" w:rsidRDefault="003A6382" w:rsidP="000E5AC0">
            <w:pPr>
              <w:spacing w:before="120" w:after="120"/>
              <w:jc w:val="both"/>
              <w:rPr>
                <w:rFonts w:ascii="Century Gothic" w:hAnsi="Century Gothic" w:cstheme="majorHAnsi"/>
                <w:color w:val="000000"/>
                <w:sz w:val="16"/>
                <w:szCs w:val="16"/>
              </w:rPr>
            </w:pPr>
            <w:r w:rsidRPr="00E94619">
              <w:rPr>
                <w:rFonts w:ascii="Century Gothic" w:hAnsi="Century Gothic" w:cstheme="majorHAnsi"/>
                <w:sz w:val="16"/>
                <w:szCs w:val="16"/>
              </w:rPr>
              <w:t xml:space="preserve">La DCCGR a través de la ECBDCAR ha diseñado e implementado la Caja de Herramientas, la cual incluye el programa de Fortalecimiento de Capacidades para la Integración de Enfoque de Género en la Gestión del Cambio Climático y las </w:t>
            </w:r>
            <w:r w:rsidRPr="00E94619">
              <w:rPr>
                <w:rFonts w:ascii="Century Gothic" w:hAnsi="Century Gothic" w:cstheme="majorHAnsi"/>
                <w:color w:val="000000"/>
                <w:sz w:val="16"/>
                <w:szCs w:val="16"/>
              </w:rPr>
              <w:t>Guías sectoriales para la integración de enfoque de género en proyectos de mitigación y adaptación</w:t>
            </w:r>
          </w:p>
          <w:p w14:paraId="32814178" w14:textId="77777777" w:rsidR="003A6382" w:rsidRPr="00E94619" w:rsidRDefault="003A6382" w:rsidP="000E5AC0">
            <w:pPr>
              <w:pStyle w:val="Prrafodelista"/>
              <w:numPr>
                <w:ilvl w:val="1"/>
                <w:numId w:val="3"/>
              </w:numPr>
              <w:spacing w:before="120" w:after="120"/>
              <w:ind w:left="0"/>
              <w:contextualSpacing w:val="0"/>
              <w:jc w:val="both"/>
              <w:rPr>
                <w:rFonts w:ascii="Century Gothic" w:hAnsi="Century Gothic" w:cstheme="majorHAnsi"/>
                <w:sz w:val="16"/>
                <w:szCs w:val="16"/>
              </w:rPr>
            </w:pPr>
            <w:r w:rsidRPr="00E94619">
              <w:rPr>
                <w:rFonts w:ascii="Century Gothic" w:hAnsi="Century Gothic" w:cstheme="majorHAnsi"/>
                <w:sz w:val="16"/>
                <w:szCs w:val="16"/>
              </w:rPr>
              <w:t>Se ha sensibilizado y capacitado a más de 200 hombres y 200 mujeres sobre la importancia y metodologías para integrar enfoque de género en los sectores de Transporte; Minas y Energía; Agropecuario; Vivienda, Ciudad y Territorio; Comercio, Industria y Turismo.</w:t>
            </w:r>
          </w:p>
          <w:p w14:paraId="23B966E5" w14:textId="77777777" w:rsidR="003A6382" w:rsidRPr="00E94619" w:rsidRDefault="003A6382" w:rsidP="000E5AC0">
            <w:pPr>
              <w:pStyle w:val="Prrafodelista"/>
              <w:numPr>
                <w:ilvl w:val="1"/>
                <w:numId w:val="3"/>
              </w:numPr>
              <w:spacing w:before="120" w:after="120"/>
              <w:ind w:left="0"/>
              <w:contextualSpacing w:val="0"/>
              <w:jc w:val="both"/>
              <w:rPr>
                <w:rFonts w:ascii="Century Gothic" w:hAnsi="Century Gothic" w:cstheme="majorHAnsi"/>
                <w:sz w:val="16"/>
                <w:szCs w:val="16"/>
              </w:rPr>
            </w:pPr>
            <w:r w:rsidRPr="00E94619">
              <w:rPr>
                <w:rFonts w:ascii="Century Gothic" w:hAnsi="Century Gothic" w:cstheme="majorHAnsi"/>
                <w:sz w:val="16"/>
                <w:szCs w:val="16"/>
              </w:rPr>
              <w:t>Han participado también hombres y mujeres que hacen parte de agencias de cooperación internacional que operan en el país, quienes ejecutan proyectos relacionados con la gestión del cambio climático y la preservación y restauración de la biodiversidad.</w:t>
            </w:r>
          </w:p>
          <w:p w14:paraId="1AAD31EA" w14:textId="3041F48B" w:rsidR="003A6382" w:rsidRPr="00E94619" w:rsidRDefault="003A6382" w:rsidP="000E5AC0">
            <w:pPr>
              <w:pStyle w:val="Prrafodelista"/>
              <w:numPr>
                <w:ilvl w:val="1"/>
                <w:numId w:val="3"/>
              </w:numPr>
              <w:spacing w:before="120" w:after="120"/>
              <w:ind w:left="0"/>
              <w:contextualSpacing w:val="0"/>
              <w:jc w:val="both"/>
              <w:rPr>
                <w:rFonts w:ascii="Century Gothic" w:hAnsi="Century Gothic" w:cstheme="majorHAnsi"/>
                <w:sz w:val="16"/>
                <w:szCs w:val="16"/>
              </w:rPr>
            </w:pPr>
            <w:r w:rsidRPr="00E94619">
              <w:rPr>
                <w:rFonts w:ascii="Century Gothic" w:hAnsi="Century Gothic" w:cstheme="majorHAnsi"/>
                <w:sz w:val="16"/>
                <w:szCs w:val="16"/>
              </w:rPr>
              <w:t xml:space="preserve">Se integró enfoque de género y cambio climático en la política de género del </w:t>
            </w:r>
            <w:r w:rsidRPr="00E94619">
              <w:rPr>
                <w:rFonts w:ascii="Century Gothic" w:hAnsi="Century Gothic" w:cstheme="majorHAnsi"/>
                <w:sz w:val="16"/>
                <w:szCs w:val="16"/>
              </w:rPr>
              <w:lastRenderedPageBreak/>
              <w:t>sector minero energético y en su plan de acción</w:t>
            </w:r>
          </w:p>
          <w:p w14:paraId="0160A5DE" w14:textId="291184B7" w:rsidR="003A6382" w:rsidRPr="00E94619" w:rsidRDefault="00BD41A8" w:rsidP="000E5AC0">
            <w:pPr>
              <w:pStyle w:val="Prrafodelista"/>
              <w:numPr>
                <w:ilvl w:val="1"/>
                <w:numId w:val="3"/>
              </w:numPr>
              <w:spacing w:before="120" w:after="120"/>
              <w:ind w:left="0"/>
              <w:contextualSpacing w:val="0"/>
              <w:jc w:val="both"/>
              <w:rPr>
                <w:rFonts w:ascii="Century Gothic" w:hAnsi="Century Gothic" w:cstheme="majorHAnsi"/>
                <w:sz w:val="16"/>
                <w:szCs w:val="16"/>
              </w:rPr>
            </w:pPr>
            <w:r>
              <w:rPr>
                <w:rFonts w:ascii="Century Gothic" w:hAnsi="Century Gothic"/>
                <w:b/>
                <w:noProof/>
                <w:szCs w:val="24"/>
                <w:lang w:val="es-ES"/>
              </w:rPr>
              <w:drawing>
                <wp:anchor distT="0" distB="0" distL="114300" distR="114300" simplePos="0" relativeHeight="251939840" behindDoc="0" locked="0" layoutInCell="1" allowOverlap="1" wp14:anchorId="26E95258" wp14:editId="1A3C8585">
                  <wp:simplePos x="0" y="0"/>
                  <wp:positionH relativeFrom="column">
                    <wp:posOffset>-2328545</wp:posOffset>
                  </wp:positionH>
                  <wp:positionV relativeFrom="paragraph">
                    <wp:posOffset>-1046480</wp:posOffset>
                  </wp:positionV>
                  <wp:extent cx="965835" cy="708660"/>
                  <wp:effectExtent l="0" t="0" r="0" b="0"/>
                  <wp:wrapNone/>
                  <wp:docPr id="441" name="Imagen 44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r w:rsidR="003A6382" w:rsidRPr="00E94619">
              <w:rPr>
                <w:rFonts w:ascii="Century Gothic" w:hAnsi="Century Gothic" w:cstheme="majorHAnsi"/>
                <w:sz w:val="16"/>
                <w:szCs w:val="16"/>
              </w:rPr>
              <w:t>Se apoyó la consolidación del comité de género del sector transporte creado mediante resolución 2830 del 5 de julio de 2019</w:t>
            </w:r>
          </w:p>
          <w:p w14:paraId="73C7F08A" w14:textId="77777777" w:rsidR="003A6382" w:rsidRPr="00E94619" w:rsidRDefault="003A6382" w:rsidP="000E5AC0">
            <w:pPr>
              <w:pStyle w:val="Prrafodelista"/>
              <w:numPr>
                <w:ilvl w:val="1"/>
                <w:numId w:val="3"/>
              </w:numPr>
              <w:spacing w:before="120" w:after="120"/>
              <w:ind w:left="0"/>
              <w:contextualSpacing w:val="0"/>
              <w:jc w:val="both"/>
              <w:rPr>
                <w:rFonts w:ascii="Century Gothic" w:hAnsi="Century Gothic" w:cstheme="majorHAnsi"/>
                <w:sz w:val="16"/>
                <w:szCs w:val="16"/>
              </w:rPr>
            </w:pPr>
            <w:r w:rsidRPr="00E94619">
              <w:rPr>
                <w:rFonts w:ascii="Century Gothic" w:hAnsi="Century Gothic" w:cstheme="majorHAnsi"/>
                <w:sz w:val="16"/>
                <w:szCs w:val="16"/>
              </w:rPr>
              <w:t xml:space="preserve">Se está acompañando la consolidación del Comité de Asuntos de Género del Sector Minero Energético, creado mediante resolución 4-0894 del 20 de diciembre de 2019 creó </w:t>
            </w:r>
          </w:p>
          <w:p w14:paraId="5863D57E" w14:textId="77777777" w:rsidR="003A6382" w:rsidRPr="00E94619" w:rsidRDefault="003A6382" w:rsidP="000E5AC0">
            <w:pPr>
              <w:spacing w:before="120" w:after="120"/>
              <w:jc w:val="both"/>
              <w:rPr>
                <w:rFonts w:ascii="Century Gothic" w:hAnsi="Century Gothic" w:cstheme="majorHAnsi"/>
                <w:sz w:val="16"/>
                <w:szCs w:val="16"/>
              </w:rPr>
            </w:pPr>
            <w:r w:rsidRPr="00E94619">
              <w:rPr>
                <w:rFonts w:ascii="Century Gothic" w:hAnsi="Century Gothic" w:cstheme="majorHAnsi"/>
                <w:sz w:val="16"/>
                <w:szCs w:val="16"/>
              </w:rPr>
              <w:t>Como una herramienta para apoyar la implementación de los PIGCCS con enfoque de género, se han creado cinco (5) guías sectoriales (Transporte; Minas y Energía; Agropecuario; Vivienda, Ciudad y Territorio; Comercio, Industria y Turismo), y una (1) guía general. Las guías son un paso a paso que permitirá a las personas responsables del diseño, ejecución y evaluación de proyectos relacionados con la gestión del cambio climático, integrar enfoque de género en cada una de las fases del ciclo del proyecto, a la vez, que orientan sobre la integración de enfoque de género en políticas.</w:t>
            </w:r>
          </w:p>
        </w:tc>
      </w:tr>
    </w:tbl>
    <w:p w14:paraId="34D65941" w14:textId="77777777" w:rsidR="00122786" w:rsidRPr="00E94619" w:rsidRDefault="00122786" w:rsidP="000E5AC0">
      <w:pPr>
        <w:rPr>
          <w:rFonts w:ascii="Century Gothic" w:hAnsi="Century Gothic"/>
          <w:lang w:eastAsia="es-ES"/>
        </w:rPr>
      </w:pPr>
    </w:p>
    <w:p w14:paraId="1E2AE869" w14:textId="77777777" w:rsidR="001238D7" w:rsidRPr="00370D09" w:rsidRDefault="002D3891" w:rsidP="000E5AC0">
      <w:pPr>
        <w:pStyle w:val="Ttulo2"/>
        <w:rPr>
          <w:rFonts w:ascii="Century Gothic" w:hAnsi="Century Gothic"/>
          <w:color w:val="CC3366"/>
          <w:lang w:val="es-CO"/>
        </w:rPr>
      </w:pPr>
      <w:bookmarkStart w:id="130" w:name="_Toc488624345"/>
      <w:r w:rsidRPr="00370D09">
        <w:rPr>
          <w:rFonts w:ascii="Century Gothic" w:hAnsi="Century Gothic"/>
          <w:color w:val="CC3366"/>
        </w:rPr>
        <w:t>3.</w:t>
      </w:r>
      <w:r w:rsidR="0036411F" w:rsidRPr="00370D09">
        <w:rPr>
          <w:rFonts w:ascii="Century Gothic" w:hAnsi="Century Gothic"/>
          <w:color w:val="CC3366"/>
        </w:rPr>
        <w:t xml:space="preserve"> </w:t>
      </w:r>
      <w:r w:rsidR="00963E3B" w:rsidRPr="00370D09">
        <w:rPr>
          <w:rFonts w:ascii="Century Gothic" w:hAnsi="Century Gothic"/>
          <w:color w:val="CC3366"/>
        </w:rPr>
        <w:t>Consideraciones de género de los e</w:t>
      </w:r>
      <w:r w:rsidR="0036411F" w:rsidRPr="00370D09">
        <w:rPr>
          <w:rFonts w:ascii="Century Gothic" w:hAnsi="Century Gothic"/>
          <w:color w:val="CC3366"/>
        </w:rPr>
        <w:t>fecto</w:t>
      </w:r>
      <w:r w:rsidR="00963E3B" w:rsidRPr="00370D09">
        <w:rPr>
          <w:rFonts w:ascii="Century Gothic" w:hAnsi="Century Gothic"/>
          <w:color w:val="CC3366"/>
        </w:rPr>
        <w:t>s</w:t>
      </w:r>
      <w:r w:rsidR="0036411F" w:rsidRPr="00370D09">
        <w:rPr>
          <w:rFonts w:ascii="Century Gothic" w:hAnsi="Century Gothic"/>
          <w:color w:val="CC3366"/>
        </w:rPr>
        <w:t xml:space="preserve"> del cambio climático</w:t>
      </w:r>
      <w:bookmarkEnd w:id="130"/>
      <w:r w:rsidR="0036411F" w:rsidRPr="00370D09">
        <w:rPr>
          <w:rFonts w:ascii="Century Gothic" w:hAnsi="Century Gothic"/>
          <w:color w:val="CC3366"/>
        </w:rPr>
        <w:t xml:space="preserve"> </w:t>
      </w:r>
    </w:p>
    <w:p w14:paraId="6F22B6CB" w14:textId="77777777" w:rsidR="001238D7" w:rsidRPr="00E94619" w:rsidRDefault="0036411F" w:rsidP="000E5AC0">
      <w:pPr>
        <w:spacing w:after="0" w:line="240" w:lineRule="auto"/>
        <w:ind w:left="720"/>
        <w:rPr>
          <w:rFonts w:ascii="Century Gothic" w:hAnsi="Century Gothic"/>
          <w:b/>
        </w:rPr>
      </w:pPr>
      <w:r w:rsidRPr="00E94619">
        <w:rPr>
          <w:rFonts w:ascii="Century Gothic" w:hAnsi="Century Gothic"/>
          <w:b/>
        </w:rPr>
        <w:tab/>
      </w:r>
    </w:p>
    <w:p w14:paraId="21CB81DC" w14:textId="77777777" w:rsidR="005F434C" w:rsidRPr="00E94619" w:rsidRDefault="005F434C" w:rsidP="000E5AC0">
      <w:pPr>
        <w:spacing w:before="120" w:after="120" w:line="240" w:lineRule="auto"/>
        <w:jc w:val="both"/>
        <w:rPr>
          <w:rFonts w:ascii="Century Gothic" w:hAnsi="Century Gothic" w:cstheme="majorHAnsi"/>
        </w:rPr>
      </w:pPr>
      <w:r w:rsidRPr="00E94619">
        <w:rPr>
          <w:rFonts w:ascii="Century Gothic" w:hAnsi="Century Gothic" w:cstheme="majorHAnsi"/>
        </w:rPr>
        <w:t xml:space="preserve">Si bien, en la definición de estrategias y acciones para la gestión del cambio climático en Colombia se han tenido en cuenta la diversidad de los territorios y de las comunidades, es muy reciente la inclusión del enfoque de género en apuestas y herramientas que permitan visibilizar los impactos diferenciados del cambio climático. Las apuestas y herramientas recientemente desarrolladas con enfoque de género se han dispuesto con la intención de generar opciones de transformación que apunten a la igualdad de género y al reconocimiento de las necesidades, roles, habilidades e intereses de mujeres y hombres en la acción climática.   </w:t>
      </w:r>
    </w:p>
    <w:p w14:paraId="64817D53" w14:textId="65718B1F" w:rsidR="00614296" w:rsidRDefault="005F434C" w:rsidP="00370D09">
      <w:pPr>
        <w:spacing w:before="120" w:after="120" w:line="240" w:lineRule="auto"/>
        <w:jc w:val="both"/>
        <w:rPr>
          <w:rFonts w:ascii="Century Gothic" w:hAnsi="Century Gothic" w:cstheme="majorHAnsi"/>
        </w:rPr>
      </w:pPr>
      <w:r w:rsidRPr="00E94619">
        <w:rPr>
          <w:rFonts w:ascii="Century Gothic" w:hAnsi="Century Gothic" w:cstheme="majorHAnsi"/>
        </w:rPr>
        <w:t xml:space="preserve">Ahora, que los esfuerzos de los diferentes sectores se empiezan a reflejar en las estrategias de gestión de cambio climático, que estas estrategias cuentan con la integración transversal del enfoque de género y qué el país centra las discusiones sobre el desarrollo sostenible en la necesidad de implementar distintos enfoques diferenciales, es un buen momento para impulsar las transformaciones que se requieren en la política pública nacional para fortalecer el vínculo entre género y cambio climático de manera que se generen puntos de entrada para las transformaciones profundas a corto, mediano y largo plazo . </w:t>
      </w:r>
    </w:p>
    <w:p w14:paraId="4FF30FDC" w14:textId="77777777" w:rsidR="00646447" w:rsidRPr="00370D09" w:rsidRDefault="00646447" w:rsidP="00370D09">
      <w:pPr>
        <w:spacing w:before="120" w:after="120" w:line="240" w:lineRule="auto"/>
        <w:jc w:val="both"/>
        <w:rPr>
          <w:rFonts w:ascii="Century Gothic" w:hAnsi="Century Gothic" w:cstheme="majorHAnsi"/>
        </w:rPr>
      </w:pPr>
    </w:p>
    <w:p w14:paraId="244A5957" w14:textId="77777777" w:rsidR="001238D7" w:rsidRPr="007D4FA1" w:rsidRDefault="0036411F" w:rsidP="000E5AC0">
      <w:pPr>
        <w:spacing w:after="0" w:line="240" w:lineRule="auto"/>
        <w:rPr>
          <w:rFonts w:ascii="Century Gothic" w:hAnsi="Century Gothic"/>
          <w:b/>
        </w:rPr>
      </w:pPr>
      <w:r w:rsidRPr="007D4FA1">
        <w:rPr>
          <w:rFonts w:ascii="Century Gothic" w:hAnsi="Century Gothic"/>
          <w:b/>
        </w:rPr>
        <w:t>Avances y retos frente a los desastres naturales y el cambio climático</w:t>
      </w:r>
    </w:p>
    <w:p w14:paraId="413D8650" w14:textId="77777777" w:rsidR="00370D09" w:rsidRPr="00E94619" w:rsidRDefault="00370D09" w:rsidP="000E5AC0">
      <w:pPr>
        <w:spacing w:after="0" w:line="240" w:lineRule="auto"/>
        <w:rPr>
          <w:rFonts w:ascii="Century Gothic" w:hAnsi="Century Gothic"/>
          <w:b/>
          <w:sz w:val="16"/>
          <w:szCs w:val="16"/>
        </w:rPr>
      </w:pPr>
    </w:p>
    <w:tbl>
      <w:tblPr>
        <w:tblStyle w:val="affffff"/>
        <w:tblW w:w="9046" w:type="dxa"/>
        <w:tblBorders>
          <w:top w:val="single" w:sz="8" w:space="0" w:color="990033"/>
          <w:left w:val="single" w:sz="8" w:space="0" w:color="990033"/>
          <w:bottom w:val="single" w:sz="8" w:space="0" w:color="990033"/>
          <w:right w:val="single" w:sz="8" w:space="0" w:color="990033"/>
          <w:insideH w:val="single" w:sz="8" w:space="0" w:color="990033"/>
          <w:insideV w:val="single" w:sz="8" w:space="0" w:color="990033"/>
        </w:tblBorders>
        <w:tblLayout w:type="fixed"/>
        <w:tblLook w:val="0400" w:firstRow="0" w:lastRow="0" w:firstColumn="0" w:lastColumn="0" w:noHBand="0" w:noVBand="1"/>
      </w:tblPr>
      <w:tblGrid>
        <w:gridCol w:w="1816"/>
        <w:gridCol w:w="2977"/>
        <w:gridCol w:w="4253"/>
      </w:tblGrid>
      <w:tr w:rsidR="001238D7" w:rsidRPr="00E94619" w14:paraId="242C47CD" w14:textId="77777777" w:rsidTr="00370D09">
        <w:tc>
          <w:tcPr>
            <w:tcW w:w="1816" w:type="dxa"/>
            <w:shd w:val="clear" w:color="auto" w:fill="FF99CC"/>
          </w:tcPr>
          <w:p w14:paraId="5352276F"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Avances del Estado</w:t>
            </w:r>
          </w:p>
        </w:tc>
        <w:tc>
          <w:tcPr>
            <w:tcW w:w="2977" w:type="dxa"/>
            <w:shd w:val="clear" w:color="auto" w:fill="FF99CC"/>
          </w:tcPr>
          <w:p w14:paraId="11BFBC72"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Respuesta de la sociedad civil</w:t>
            </w:r>
          </w:p>
        </w:tc>
        <w:tc>
          <w:tcPr>
            <w:tcW w:w="4253" w:type="dxa"/>
            <w:shd w:val="clear" w:color="auto" w:fill="FF99CC"/>
          </w:tcPr>
          <w:p w14:paraId="03AD2335" w14:textId="77777777" w:rsidR="001238D7" w:rsidRPr="00E94619" w:rsidRDefault="0036411F" w:rsidP="000E5AC0">
            <w:pPr>
              <w:spacing w:after="0" w:line="240" w:lineRule="auto"/>
              <w:rPr>
                <w:rFonts w:ascii="Century Gothic" w:hAnsi="Century Gothic"/>
                <w:b/>
                <w:sz w:val="16"/>
                <w:szCs w:val="16"/>
              </w:rPr>
            </w:pPr>
            <w:r w:rsidRPr="00E94619">
              <w:rPr>
                <w:rFonts w:ascii="Century Gothic" w:hAnsi="Century Gothic"/>
                <w:b/>
                <w:sz w:val="16"/>
                <w:szCs w:val="16"/>
              </w:rPr>
              <w:t>Retos</w:t>
            </w:r>
          </w:p>
        </w:tc>
      </w:tr>
      <w:tr w:rsidR="001238D7" w:rsidRPr="00E94619" w14:paraId="00336FFB" w14:textId="77777777" w:rsidTr="00370D09">
        <w:tc>
          <w:tcPr>
            <w:tcW w:w="1816" w:type="dxa"/>
          </w:tcPr>
          <w:p w14:paraId="51CB4901"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-El estado creó la unidad Nacional para la gestión del Riesgo de desastres.</w:t>
            </w:r>
          </w:p>
          <w:p w14:paraId="7EBC9AC7"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-Ley 1523 de 2012: por la cual se adopta la Política Nacional de Gestión del Riesgo de Desastres y el Sistema Nacional de Gestión del Riesgo de Desastres. </w:t>
            </w:r>
          </w:p>
          <w:p w14:paraId="248AC852"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7B33A75C" w14:textId="4D70BD63"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-Plan Nacional de Adaptación al </w:t>
            </w:r>
            <w:r w:rsidRPr="00E94619">
              <w:rPr>
                <w:rFonts w:ascii="Century Gothic" w:hAnsi="Century Gothic"/>
                <w:color w:val="000000"/>
                <w:sz w:val="16"/>
                <w:szCs w:val="16"/>
              </w:rPr>
              <w:lastRenderedPageBreak/>
              <w:t>Cambio Climático 2010-2014</w:t>
            </w:r>
          </w:p>
          <w:p w14:paraId="07A86FC2" w14:textId="0A5D6155" w:rsidR="001238D7" w:rsidRPr="00E94619" w:rsidRDefault="00BD41A8" w:rsidP="000E5AC0">
            <w:pPr>
              <w:pBdr>
                <w:top w:val="nil"/>
                <w:left w:val="nil"/>
                <w:bottom w:val="nil"/>
                <w:right w:val="nil"/>
                <w:between w:val="nil"/>
              </w:pBdr>
              <w:spacing w:after="0" w:line="240" w:lineRule="auto"/>
              <w:jc w:val="both"/>
              <w:rPr>
                <w:rFonts w:ascii="Century Gothic" w:hAnsi="Century Gothic"/>
                <w:color w:val="000000"/>
                <w:sz w:val="16"/>
                <w:szCs w:val="16"/>
              </w:rPr>
            </w:pPr>
            <w:r>
              <w:rPr>
                <w:rFonts w:ascii="Century Gothic" w:hAnsi="Century Gothic"/>
                <w:b/>
                <w:noProof/>
                <w:szCs w:val="24"/>
                <w:lang w:val="es-ES"/>
              </w:rPr>
              <w:drawing>
                <wp:anchor distT="0" distB="0" distL="114300" distR="114300" simplePos="0" relativeHeight="251941888" behindDoc="0" locked="0" layoutInCell="1" allowOverlap="1" wp14:anchorId="5CECEA98" wp14:editId="3B6BA231">
                  <wp:simplePos x="0" y="0"/>
                  <wp:positionH relativeFrom="column">
                    <wp:posOffset>-1080135</wp:posOffset>
                  </wp:positionH>
                  <wp:positionV relativeFrom="paragraph">
                    <wp:posOffset>-1084580</wp:posOffset>
                  </wp:positionV>
                  <wp:extent cx="965835" cy="708660"/>
                  <wp:effectExtent l="0" t="0" r="0" b="0"/>
                  <wp:wrapNone/>
                  <wp:docPr id="442" name="Imagen 44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8.png"/>
                          <pic:cNvPicPr/>
                        </pic:nvPicPr>
                        <pic:blipFill>
                          <a:blip r:embed="rId17">
                            <a:extLst>
                              <a:ext uri="{28A0092B-C50C-407E-A947-70E740481C1C}">
                                <a14:useLocalDpi xmlns:a14="http://schemas.microsoft.com/office/drawing/2010/main" val="0"/>
                              </a:ext>
                            </a:extLst>
                          </a:blip>
                          <a:stretch>
                            <a:fillRect/>
                          </a:stretch>
                        </pic:blipFill>
                        <pic:spPr>
                          <a:xfrm>
                            <a:off x="0" y="0"/>
                            <a:ext cx="965835" cy="708660"/>
                          </a:xfrm>
                          <a:prstGeom prst="rect">
                            <a:avLst/>
                          </a:prstGeom>
                        </pic:spPr>
                      </pic:pic>
                    </a:graphicData>
                  </a:graphic>
                  <wp14:sizeRelH relativeFrom="page">
                    <wp14:pctWidth>0</wp14:pctWidth>
                  </wp14:sizeRelH>
                  <wp14:sizeRelV relativeFrom="page">
                    <wp14:pctHeight>0</wp14:pctHeight>
                  </wp14:sizeRelV>
                </wp:anchor>
              </w:drawing>
            </w:r>
          </w:p>
        </w:tc>
        <w:tc>
          <w:tcPr>
            <w:tcW w:w="2977" w:type="dxa"/>
          </w:tcPr>
          <w:p w14:paraId="63D4185A"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lastRenderedPageBreak/>
              <w:t xml:space="preserve">Sociedad civil: </w:t>
            </w:r>
          </w:p>
          <w:p w14:paraId="5AB71B59"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-Red Nacional de Mujeres.</w:t>
            </w:r>
          </w:p>
          <w:p w14:paraId="3DA0F954"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-Mesa de Incidencia de las Mujeres Rurales colombianas.</w:t>
            </w:r>
          </w:p>
          <w:p w14:paraId="6389D6B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-Asociación Nacional de Mujeres Campesinas, Negras e indígenas de Colombia.</w:t>
            </w:r>
          </w:p>
          <w:p w14:paraId="3A001EF3"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Corporación OSSO: realización de informe sobre el impacto de los desastres en América Latina y el Caribe. Sistema Nacional de Detección y Alerta de Tsunami</w:t>
            </w:r>
          </w:p>
          <w:p w14:paraId="31B027A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ONG: Synergia, Censat Agua viva</w:t>
            </w:r>
          </w:p>
          <w:p w14:paraId="4DEDB6D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-Universidad EAFIT</w:t>
            </w:r>
          </w:p>
          <w:p w14:paraId="338C1E0A" w14:textId="77777777" w:rsidR="001238D7" w:rsidRPr="00E94619" w:rsidRDefault="001238D7" w:rsidP="000E5AC0">
            <w:pPr>
              <w:spacing w:after="0" w:line="240" w:lineRule="auto"/>
              <w:jc w:val="both"/>
              <w:rPr>
                <w:rFonts w:ascii="Century Gothic" w:hAnsi="Century Gothic"/>
                <w:sz w:val="16"/>
                <w:szCs w:val="16"/>
              </w:rPr>
            </w:pPr>
          </w:p>
          <w:p w14:paraId="2169277F" w14:textId="77777777" w:rsidR="001238D7" w:rsidRPr="00E94619" w:rsidRDefault="0036411F" w:rsidP="000E5AC0">
            <w:pPr>
              <w:spacing w:after="0" w:line="240" w:lineRule="auto"/>
              <w:jc w:val="both"/>
              <w:rPr>
                <w:rFonts w:ascii="Century Gothic" w:hAnsi="Century Gothic"/>
                <w:b/>
                <w:sz w:val="16"/>
                <w:szCs w:val="16"/>
              </w:rPr>
            </w:pPr>
            <w:r w:rsidRPr="00E94619">
              <w:rPr>
                <w:rFonts w:ascii="Century Gothic" w:hAnsi="Century Gothic"/>
                <w:b/>
                <w:sz w:val="16"/>
                <w:szCs w:val="16"/>
              </w:rPr>
              <w:t>Organizaciones Internacionales</w:t>
            </w:r>
          </w:p>
          <w:p w14:paraId="5A1D0003" w14:textId="5474A47A"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lastRenderedPageBreak/>
              <w:t>-Banco Mundial: apoyo en el análisis de la gestión del riesgo de desastres en Colombia. Apoyo a atención de desastres</w:t>
            </w:r>
          </w:p>
          <w:p w14:paraId="25965AD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-OEA: asistencia en casos de desastre.</w:t>
            </w:r>
          </w:p>
          <w:p w14:paraId="1428C01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-Asociación de Estados del Caribe: asistencia en casos de desastres.</w:t>
            </w:r>
          </w:p>
          <w:p w14:paraId="7A5D9967"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-Organización panamericana de la Salud: asistencia humanitaria en salud</w:t>
            </w:r>
          </w:p>
          <w:p w14:paraId="73D2F1F6"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-ONUMUJERES: cuenta con programa de acción humanitaria</w:t>
            </w:r>
          </w:p>
          <w:p w14:paraId="7E9959C8"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OCHA: ayuda humanitaria</w:t>
            </w:r>
          </w:p>
          <w:p w14:paraId="5C1651C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-PNUD: cuenta con proyectos de sostenibilidad ambiental.</w:t>
            </w:r>
          </w:p>
          <w:p w14:paraId="5F4B3BF1"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-Cooperación alemana: cuenta con programa de medio ambiente y cambio climático.</w:t>
            </w:r>
          </w:p>
          <w:p w14:paraId="64477CCB"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-Cooperación española: cuenta con sector de acción humanitaria.</w:t>
            </w:r>
          </w:p>
          <w:p w14:paraId="258B5555"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-Cooperación holandesa: tiene acuerdo con Colombia para enfrentar el cambio climático. Incluye manejo del agua y energías limpias. </w:t>
            </w:r>
          </w:p>
          <w:p w14:paraId="6D5572B2"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-Cooperación sueca: cuenta con programa de ayuda humanitaria.</w:t>
            </w:r>
          </w:p>
          <w:p w14:paraId="021E082F"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 xml:space="preserve">-Cooperación suiza: programas para saneamiento integral de áreas rurales y atención a catástrofes. </w:t>
            </w:r>
          </w:p>
          <w:p w14:paraId="552CADBE"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-OXFAM: programa de desarrollo rural, soberanía alimentaria y prevención de efectos del cambio climático.</w:t>
            </w:r>
          </w:p>
          <w:p w14:paraId="2E12347C" w14:textId="77777777" w:rsidR="001238D7" w:rsidRPr="00E94619" w:rsidRDefault="0036411F" w:rsidP="000E5AC0">
            <w:pPr>
              <w:spacing w:after="0" w:line="240" w:lineRule="auto"/>
              <w:jc w:val="both"/>
              <w:rPr>
                <w:rFonts w:ascii="Century Gothic" w:hAnsi="Century Gothic"/>
                <w:sz w:val="16"/>
                <w:szCs w:val="16"/>
              </w:rPr>
            </w:pPr>
            <w:r w:rsidRPr="00E94619">
              <w:rPr>
                <w:rFonts w:ascii="Century Gothic" w:hAnsi="Century Gothic"/>
                <w:sz w:val="16"/>
                <w:szCs w:val="16"/>
              </w:rPr>
              <w:t>-Diakonie Katastrophenhilfe: ayuda humanitaria en desastres naturales.</w:t>
            </w:r>
          </w:p>
        </w:tc>
        <w:tc>
          <w:tcPr>
            <w:tcW w:w="4253" w:type="dxa"/>
          </w:tcPr>
          <w:p w14:paraId="0B743717"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 xml:space="preserve">-Empoderar a las mujeres en el manejo de desastres y los riegos del cambio climático, ya que se ha comprobado que esto disminuye el impacto de los desastres. </w:t>
            </w:r>
          </w:p>
          <w:p w14:paraId="0472301F"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-El Estado Colombiano debe desarrollar estrategias de manejo de riesgo para hacer frente a los desastres naturales y proteger las poblaciones más vulnerables, que incluyan criterios de género. </w:t>
            </w:r>
          </w:p>
          <w:p w14:paraId="2BACC2AB"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-Las políticas y estrategias para prevenir, mitigar y atender desastres deben tener en cuenta las necesidades y condiciones específicas de cada región.</w:t>
            </w:r>
          </w:p>
          <w:p w14:paraId="1DB4F6CF"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-Control de las políticas de ordenamiento territorial y el manejo de cuencas hídricas. </w:t>
            </w:r>
          </w:p>
          <w:p w14:paraId="426D3120"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-Controlar la construcción de viviendas en zonas de alto riesgo y reubicar la existentes.</w:t>
            </w:r>
          </w:p>
          <w:p w14:paraId="72026ED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lastRenderedPageBreak/>
              <w:t xml:space="preserve">-Disminuir el nivel de pobreza en el país, ya que este influye en la inadecuada composición física de las viviendas frente a desastres. </w:t>
            </w:r>
          </w:p>
          <w:p w14:paraId="6264171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-Incrementar la disponibilidad y el acceso a sistemas de alerta temprana de desastres. </w:t>
            </w:r>
          </w:p>
          <w:p w14:paraId="34D76CB5"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sz w:val="16"/>
                <w:szCs w:val="16"/>
              </w:rPr>
            </w:pPr>
          </w:p>
          <w:p w14:paraId="477225EF"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Industria extractiva:</w:t>
            </w:r>
          </w:p>
          <w:p w14:paraId="012614ED"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-Empoderar a las mujeres entorno a sus derechos ambientales. </w:t>
            </w:r>
          </w:p>
          <w:p w14:paraId="2CFD6612"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-Promover la participación de las mujeres en los espacios de consulta previa de mega</w:t>
            </w:r>
            <w:r w:rsidR="007A4005" w:rsidRPr="00E94619">
              <w:rPr>
                <w:rFonts w:ascii="Century Gothic" w:hAnsi="Century Gothic"/>
                <w:color w:val="000000"/>
                <w:sz w:val="16"/>
                <w:szCs w:val="16"/>
              </w:rPr>
              <w:t xml:space="preserve"> </w:t>
            </w:r>
            <w:r w:rsidRPr="00E94619">
              <w:rPr>
                <w:rFonts w:ascii="Century Gothic" w:hAnsi="Century Gothic"/>
                <w:color w:val="000000"/>
                <w:sz w:val="16"/>
                <w:szCs w:val="16"/>
              </w:rPr>
              <w:t xml:space="preserve"> proyectos. Incluir sus opiniones.</w:t>
            </w:r>
          </w:p>
          <w:p w14:paraId="10418D32"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-Garantizar los derechos de las mujeres en áreas de extracción.</w:t>
            </w:r>
          </w:p>
          <w:p w14:paraId="3DD26F2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-Garantizar el derecho a la protección de las defensoras y lideresas del medio ambiente.</w:t>
            </w:r>
          </w:p>
          <w:p w14:paraId="4CFFCF6D"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b/>
                <w:color w:val="000000"/>
                <w:sz w:val="16"/>
                <w:szCs w:val="16"/>
              </w:rPr>
            </w:pPr>
          </w:p>
          <w:p w14:paraId="0CC56211"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b/>
                <w:color w:val="000000"/>
                <w:sz w:val="16"/>
                <w:szCs w:val="16"/>
              </w:rPr>
            </w:pPr>
            <w:r w:rsidRPr="00E94619">
              <w:rPr>
                <w:rFonts w:ascii="Century Gothic" w:hAnsi="Century Gothic"/>
                <w:b/>
                <w:color w:val="000000"/>
                <w:sz w:val="16"/>
                <w:szCs w:val="16"/>
              </w:rPr>
              <w:t>Cambio climático:</w:t>
            </w:r>
          </w:p>
          <w:p w14:paraId="0B4FD502"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-Las estrategias y políticas frente al cambio climático deben ser difundidas teniendo en cuenta el sexo, la edad, la etnia y el nivel educativo.</w:t>
            </w:r>
          </w:p>
          <w:p w14:paraId="10AB755C"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-Crear estrategias para que las mujeres participen activamente en las estrategias de desarrollo sostenible adelantadas por el país. </w:t>
            </w:r>
          </w:p>
          <w:p w14:paraId="1CC216C7"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-Es necesario fortalecer el trabajo con el sector privado para crear protocolos y políticas de responsabilidad ambiental y social, que incluyan los derechos de las mujeres y niñas.  </w:t>
            </w:r>
          </w:p>
          <w:p w14:paraId="5CF0874A"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 xml:space="preserve">-Realizar investigaciones sobre el impacto diferenciado que tiene el cambio climático en las mujeres y los hombres. </w:t>
            </w:r>
          </w:p>
          <w:p w14:paraId="1283082A" w14:textId="77777777" w:rsidR="001238D7" w:rsidRPr="00E94619" w:rsidRDefault="0036411F" w:rsidP="000E5AC0">
            <w:pPr>
              <w:pBdr>
                <w:top w:val="nil"/>
                <w:left w:val="nil"/>
                <w:bottom w:val="nil"/>
                <w:right w:val="nil"/>
                <w:between w:val="nil"/>
              </w:pBdr>
              <w:spacing w:after="0" w:line="240" w:lineRule="auto"/>
              <w:jc w:val="both"/>
              <w:rPr>
                <w:rFonts w:ascii="Century Gothic" w:hAnsi="Century Gothic"/>
                <w:color w:val="000000"/>
                <w:sz w:val="16"/>
                <w:szCs w:val="16"/>
              </w:rPr>
            </w:pPr>
            <w:r w:rsidRPr="00E94619">
              <w:rPr>
                <w:rFonts w:ascii="Century Gothic" w:hAnsi="Century Gothic"/>
                <w:color w:val="000000"/>
                <w:sz w:val="16"/>
                <w:szCs w:val="16"/>
              </w:rPr>
              <w:t>-Proporcionar a los hogares rurales soluciones de energías limpias.</w:t>
            </w:r>
          </w:p>
          <w:p w14:paraId="47DCE469" w14:textId="77777777" w:rsidR="001238D7" w:rsidRPr="00E94619" w:rsidRDefault="001238D7" w:rsidP="000E5AC0">
            <w:pPr>
              <w:pBdr>
                <w:top w:val="nil"/>
                <w:left w:val="nil"/>
                <w:bottom w:val="nil"/>
                <w:right w:val="nil"/>
                <w:between w:val="nil"/>
              </w:pBdr>
              <w:spacing w:after="0" w:line="240" w:lineRule="auto"/>
              <w:jc w:val="both"/>
              <w:rPr>
                <w:rFonts w:ascii="Century Gothic" w:hAnsi="Century Gothic"/>
                <w:color w:val="000000"/>
                <w:sz w:val="16"/>
                <w:szCs w:val="16"/>
              </w:rPr>
            </w:pPr>
          </w:p>
        </w:tc>
      </w:tr>
    </w:tbl>
    <w:p w14:paraId="505BAFDF" w14:textId="77777777" w:rsidR="001238D7" w:rsidRDefault="001238D7" w:rsidP="000E5AC0">
      <w:pPr>
        <w:spacing w:after="0" w:line="240" w:lineRule="auto"/>
        <w:rPr>
          <w:rFonts w:ascii="Century Gothic" w:hAnsi="Century Gothic"/>
          <w:b/>
          <w:sz w:val="24"/>
          <w:szCs w:val="24"/>
        </w:rPr>
      </w:pPr>
    </w:p>
    <w:p w14:paraId="3A89992D" w14:textId="77777777" w:rsidR="00C060F9" w:rsidRDefault="00C060F9" w:rsidP="000E5AC0">
      <w:pPr>
        <w:spacing w:after="0" w:line="240" w:lineRule="auto"/>
        <w:rPr>
          <w:rFonts w:ascii="Century Gothic" w:hAnsi="Century Gothic"/>
          <w:b/>
          <w:sz w:val="24"/>
          <w:szCs w:val="24"/>
        </w:rPr>
      </w:pPr>
    </w:p>
    <w:p w14:paraId="4BC6355A" w14:textId="77777777" w:rsidR="00C060F9" w:rsidRDefault="00C060F9" w:rsidP="000E5AC0">
      <w:pPr>
        <w:spacing w:after="0" w:line="240" w:lineRule="auto"/>
        <w:rPr>
          <w:rFonts w:ascii="Century Gothic" w:hAnsi="Century Gothic"/>
          <w:b/>
          <w:sz w:val="24"/>
          <w:szCs w:val="24"/>
        </w:rPr>
      </w:pPr>
    </w:p>
    <w:p w14:paraId="0DF9AE04" w14:textId="77777777" w:rsidR="00C060F9" w:rsidRDefault="00C060F9" w:rsidP="000E5AC0">
      <w:pPr>
        <w:spacing w:after="0" w:line="240" w:lineRule="auto"/>
        <w:rPr>
          <w:rFonts w:ascii="Century Gothic" w:hAnsi="Century Gothic"/>
          <w:b/>
          <w:sz w:val="24"/>
          <w:szCs w:val="24"/>
        </w:rPr>
      </w:pPr>
    </w:p>
    <w:p w14:paraId="3E958DA5" w14:textId="77777777" w:rsidR="00C060F9" w:rsidRDefault="00C060F9" w:rsidP="000E5AC0">
      <w:pPr>
        <w:spacing w:after="0" w:line="240" w:lineRule="auto"/>
        <w:rPr>
          <w:rFonts w:ascii="Century Gothic" w:hAnsi="Century Gothic"/>
          <w:b/>
          <w:sz w:val="24"/>
          <w:szCs w:val="24"/>
        </w:rPr>
      </w:pPr>
    </w:p>
    <w:p w14:paraId="0A67C3A5" w14:textId="77777777" w:rsidR="00C060F9" w:rsidRDefault="00C060F9" w:rsidP="000E5AC0">
      <w:pPr>
        <w:spacing w:after="0" w:line="240" w:lineRule="auto"/>
        <w:rPr>
          <w:rFonts w:ascii="Century Gothic" w:hAnsi="Century Gothic"/>
          <w:b/>
          <w:sz w:val="24"/>
          <w:szCs w:val="24"/>
        </w:rPr>
      </w:pPr>
    </w:p>
    <w:p w14:paraId="49C9361B" w14:textId="77777777" w:rsidR="00C060F9" w:rsidRDefault="00C060F9" w:rsidP="000E5AC0">
      <w:pPr>
        <w:spacing w:after="0" w:line="240" w:lineRule="auto"/>
        <w:rPr>
          <w:rFonts w:ascii="Century Gothic" w:hAnsi="Century Gothic"/>
          <w:b/>
          <w:sz w:val="24"/>
          <w:szCs w:val="24"/>
        </w:rPr>
      </w:pPr>
    </w:p>
    <w:p w14:paraId="472D873E" w14:textId="77777777" w:rsidR="00C060F9" w:rsidRDefault="00C060F9" w:rsidP="000E5AC0">
      <w:pPr>
        <w:spacing w:after="0" w:line="240" w:lineRule="auto"/>
        <w:rPr>
          <w:rFonts w:ascii="Century Gothic" w:hAnsi="Century Gothic"/>
          <w:b/>
          <w:sz w:val="24"/>
          <w:szCs w:val="24"/>
        </w:rPr>
      </w:pPr>
    </w:p>
    <w:p w14:paraId="38AA42C5" w14:textId="2A57EE4A" w:rsidR="00C060F9" w:rsidRDefault="00C060F9" w:rsidP="000E5AC0">
      <w:pPr>
        <w:spacing w:after="0" w:line="240" w:lineRule="auto"/>
        <w:rPr>
          <w:rFonts w:ascii="Century Gothic" w:hAnsi="Century Gothic"/>
          <w:b/>
          <w:sz w:val="24"/>
          <w:szCs w:val="24"/>
        </w:rPr>
      </w:pPr>
    </w:p>
    <w:p w14:paraId="44D5410B" w14:textId="5FC70F2E" w:rsidR="00370D09" w:rsidRPr="00E94619" w:rsidRDefault="00040845" w:rsidP="000E5AC0">
      <w:pPr>
        <w:spacing w:after="0" w:line="240" w:lineRule="auto"/>
        <w:rPr>
          <w:rFonts w:ascii="Century Gothic" w:hAnsi="Century Gothic"/>
          <w:b/>
          <w:sz w:val="24"/>
          <w:szCs w:val="24"/>
        </w:rPr>
      </w:pPr>
      <w:r>
        <w:rPr>
          <w:rFonts w:ascii="Century Gothic" w:hAnsi="Century Gothic"/>
          <w:b/>
          <w:noProof/>
          <w:sz w:val="24"/>
          <w:szCs w:val="24"/>
          <w:lang w:val="es-ES" w:eastAsia="es-ES"/>
        </w:rPr>
        <w:lastRenderedPageBreak/>
        <w:drawing>
          <wp:anchor distT="0" distB="0" distL="114300" distR="114300" simplePos="0" relativeHeight="251738112" behindDoc="0" locked="0" layoutInCell="1" allowOverlap="1" wp14:anchorId="395543C6" wp14:editId="16E2B2D0">
            <wp:simplePos x="0" y="0"/>
            <wp:positionH relativeFrom="column">
              <wp:posOffset>-1080135</wp:posOffset>
            </wp:positionH>
            <wp:positionV relativeFrom="paragraph">
              <wp:posOffset>-899795</wp:posOffset>
            </wp:positionV>
            <wp:extent cx="7595235" cy="10833735"/>
            <wp:effectExtent l="0" t="0" r="0" b="1206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2-04.png"/>
                    <pic:cNvPicPr/>
                  </pic:nvPicPr>
                  <pic:blipFill>
                    <a:blip r:embed="rId102">
                      <a:extLst>
                        <a:ext uri="{28A0092B-C50C-407E-A947-70E740481C1C}">
                          <a14:useLocalDpi xmlns:a14="http://schemas.microsoft.com/office/drawing/2010/main" val="0"/>
                        </a:ext>
                      </a:extLst>
                    </a:blip>
                    <a:stretch>
                      <a:fillRect/>
                    </a:stretch>
                  </pic:blipFill>
                  <pic:spPr>
                    <a:xfrm>
                      <a:off x="0" y="0"/>
                      <a:ext cx="7595235" cy="10833735"/>
                    </a:xfrm>
                    <a:prstGeom prst="rect">
                      <a:avLst/>
                    </a:prstGeom>
                  </pic:spPr>
                </pic:pic>
              </a:graphicData>
            </a:graphic>
            <wp14:sizeRelH relativeFrom="page">
              <wp14:pctWidth>0</wp14:pctWidth>
            </wp14:sizeRelH>
            <wp14:sizeRelV relativeFrom="page">
              <wp14:pctHeight>0</wp14:pctHeight>
            </wp14:sizeRelV>
          </wp:anchor>
        </w:drawing>
      </w:r>
    </w:p>
    <w:sectPr w:rsidR="00370D09" w:rsidRPr="00E94619" w:rsidSect="00D56468">
      <w:headerReference w:type="default" r:id="rId103"/>
      <w:pgSz w:w="11900" w:h="16820"/>
      <w:pgMar w:top="1417" w:right="1701" w:bottom="1417" w:left="1701" w:header="708" w:footer="708"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B6AF1" w14:textId="77777777" w:rsidR="00D2173C" w:rsidRDefault="00D2173C">
      <w:pPr>
        <w:spacing w:after="0" w:line="240" w:lineRule="auto"/>
      </w:pPr>
      <w:r>
        <w:separator/>
      </w:r>
    </w:p>
  </w:endnote>
  <w:endnote w:type="continuationSeparator" w:id="0">
    <w:p w14:paraId="5B0D7C97" w14:textId="77777777" w:rsidR="00D2173C" w:rsidRDefault="00D2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Noto Sans Symbols">
    <w:altName w:val="Calibri"/>
    <w:charset w:val="00"/>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Georgia">
    <w:panose1 w:val="02040502050405020303"/>
    <w:charset w:val="00"/>
    <w:family w:val="auto"/>
    <w:pitch w:val="variable"/>
    <w:sig w:usb0="00000287" w:usb1="00000000" w:usb2="00000000" w:usb3="00000000" w:csb0="0000009F" w:csb1="00000000"/>
  </w:font>
  <w:font w:name="Segoe UI">
    <w:charset w:val="00"/>
    <w:family w:val="swiss"/>
    <w:pitch w:val="variable"/>
    <w:sig w:usb0="E4002EFF" w:usb1="C000E47F"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Corbel">
    <w:panose1 w:val="020B0503020204020204"/>
    <w:charset w:val="00"/>
    <w:family w:val="auto"/>
    <w:pitch w:val="variable"/>
    <w:sig w:usb0="A00002EF" w:usb1="4000A44B" w:usb2="00000000" w:usb3="00000000" w:csb0="0000019F" w:csb1="00000000"/>
  </w:font>
  <w:font w:name="Open Sans Light">
    <w:altName w:val="Arial"/>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Open Sans">
    <w:altName w:val="Arial"/>
    <w:charset w:val="00"/>
    <w:family w:val="swiss"/>
    <w:pitch w:val="variable"/>
    <w:sig w:usb0="E00002EF" w:usb1="4000205B" w:usb2="00000028"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4DD55" w14:textId="77777777" w:rsidR="00D2173C" w:rsidRDefault="00D2173C" w:rsidP="00426A4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D1876C" w14:textId="77777777" w:rsidR="00D2173C" w:rsidRDefault="00D2173C" w:rsidP="00D56468">
    <w:pPr>
      <w:pBdr>
        <w:top w:val="nil"/>
        <w:left w:val="nil"/>
        <w:bottom w:val="nil"/>
        <w:right w:val="nil"/>
        <w:between w:val="nil"/>
      </w:pBdr>
      <w:tabs>
        <w:tab w:val="center" w:pos="4252"/>
        <w:tab w:val="right" w:pos="8504"/>
      </w:tabs>
      <w:spacing w:after="0" w:line="240" w:lineRule="auto"/>
      <w:ind w:right="360"/>
      <w:jc w:val="right"/>
      <w:rPr>
        <w:color w:val="000000"/>
        <w:sz w:val="24"/>
        <w:szCs w:val="24"/>
      </w:rPr>
    </w:pPr>
  </w:p>
  <w:p w14:paraId="7D45017D" w14:textId="0C838794" w:rsidR="00D2173C" w:rsidRDefault="00D2173C">
    <w:pPr>
      <w:pBdr>
        <w:top w:val="nil"/>
        <w:left w:val="nil"/>
        <w:bottom w:val="nil"/>
        <w:right w:val="nil"/>
        <w:between w:val="nil"/>
      </w:pBdr>
      <w:tabs>
        <w:tab w:val="center" w:pos="4252"/>
        <w:tab w:val="right" w:pos="8504"/>
      </w:tabs>
      <w:spacing w:after="0" w:line="240" w:lineRule="auto"/>
      <w:ind w:right="360"/>
      <w:rPr>
        <w:color w:val="000000"/>
        <w:sz w:val="24"/>
        <w:szCs w:val="24"/>
      </w:rPr>
    </w:pPr>
  </w:p>
  <w:p w14:paraId="5B570EA5" w14:textId="77777777" w:rsidR="00D2173C" w:rsidRDefault="00D2173C">
    <w:pPr>
      <w:widowControl w:val="0"/>
      <w:pBdr>
        <w:top w:val="nil"/>
        <w:left w:val="nil"/>
        <w:bottom w:val="nil"/>
        <w:right w:val="nil"/>
        <w:between w:val="nil"/>
      </w:pBdr>
      <w:spacing w:after="0" w:line="276" w:lineRule="auto"/>
      <w:rPr>
        <w:color w:val="000000"/>
        <w:sz w:val="24"/>
        <w:szCs w:val="24"/>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17F50" w14:textId="77777777" w:rsidR="00D2173C" w:rsidRDefault="00D2173C" w:rsidP="007D4FA1">
    <w:pPr>
      <w:pStyle w:val="Piedepgina"/>
      <w:framePr w:wrap="around" w:vAnchor="text" w:hAnchor="page" w:x="10162" w:y="178"/>
      <w:rPr>
        <w:rStyle w:val="Nmerodepgina"/>
      </w:rPr>
    </w:pPr>
    <w:r>
      <w:rPr>
        <w:rStyle w:val="Nmerodepgina"/>
      </w:rPr>
      <w:fldChar w:fldCharType="begin"/>
    </w:r>
    <w:r>
      <w:rPr>
        <w:rStyle w:val="Nmerodepgina"/>
      </w:rPr>
      <w:instrText xml:space="preserve">PAGE  </w:instrText>
    </w:r>
    <w:r>
      <w:rPr>
        <w:rStyle w:val="Nmerodepgina"/>
      </w:rPr>
      <w:fldChar w:fldCharType="separate"/>
    </w:r>
    <w:r w:rsidR="00BD41A8">
      <w:rPr>
        <w:rStyle w:val="Nmerodepgina"/>
        <w:noProof/>
      </w:rPr>
      <w:t>5</w:t>
    </w:r>
    <w:r>
      <w:rPr>
        <w:rStyle w:val="Nmerodepgina"/>
      </w:rPr>
      <w:fldChar w:fldCharType="end"/>
    </w:r>
  </w:p>
  <w:p w14:paraId="7569877A" w14:textId="4AE5DF64" w:rsidR="00D2173C" w:rsidRDefault="00D2173C" w:rsidP="00D56468">
    <w:pPr>
      <w:pBdr>
        <w:top w:val="nil"/>
        <w:left w:val="nil"/>
        <w:bottom w:val="nil"/>
        <w:right w:val="nil"/>
        <w:between w:val="nil"/>
      </w:pBdr>
      <w:tabs>
        <w:tab w:val="center" w:pos="4252"/>
        <w:tab w:val="right" w:pos="8504"/>
      </w:tabs>
      <w:spacing w:after="0" w:line="240" w:lineRule="auto"/>
      <w:ind w:right="360"/>
      <w:jc w:val="right"/>
      <w:rPr>
        <w:color w:val="000000"/>
        <w:sz w:val="24"/>
        <w:szCs w:val="24"/>
      </w:rPr>
    </w:pPr>
    <w:r>
      <w:rPr>
        <w:noProof/>
        <w:lang w:val="es-ES" w:eastAsia="es-ES"/>
      </w:rPr>
      <w:drawing>
        <wp:anchor distT="0" distB="0" distL="114300" distR="114300" simplePos="0" relativeHeight="251664384" behindDoc="1" locked="0" layoutInCell="1" allowOverlap="1" wp14:anchorId="17B900C2" wp14:editId="095A9990">
          <wp:simplePos x="0" y="0"/>
          <wp:positionH relativeFrom="column">
            <wp:posOffset>-1143000</wp:posOffset>
          </wp:positionH>
          <wp:positionV relativeFrom="paragraph">
            <wp:posOffset>-237490</wp:posOffset>
          </wp:positionV>
          <wp:extent cx="7596000" cy="804472"/>
          <wp:effectExtent l="0" t="0" r="0" b="8890"/>
          <wp:wrapNone/>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2.png"/>
                  <pic:cNvPicPr/>
                </pic:nvPicPr>
                <pic:blipFill>
                  <a:blip r:embed="rId1">
                    <a:extLst>
                      <a:ext uri="{28A0092B-C50C-407E-A947-70E740481C1C}">
                        <a14:useLocalDpi xmlns:a14="http://schemas.microsoft.com/office/drawing/2010/main" val="0"/>
                      </a:ext>
                    </a:extLst>
                  </a:blip>
                  <a:stretch>
                    <a:fillRect/>
                  </a:stretch>
                </pic:blipFill>
                <pic:spPr>
                  <a:xfrm>
                    <a:off x="0" y="0"/>
                    <a:ext cx="7596000" cy="80447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91CE6" w14:textId="77777777" w:rsidR="00D2173C" w:rsidRDefault="00D2173C" w:rsidP="00D56468">
    <w:pPr>
      <w:pStyle w:val="Piedepgina"/>
      <w:framePr w:wrap="around" w:vAnchor="text" w:hAnchor="page" w:x="10342" w:y="171"/>
      <w:rPr>
        <w:rStyle w:val="Nmerodepgina"/>
      </w:rPr>
    </w:pPr>
    <w:r>
      <w:rPr>
        <w:rStyle w:val="Nmerodepgina"/>
      </w:rPr>
      <w:fldChar w:fldCharType="begin"/>
    </w:r>
    <w:r>
      <w:rPr>
        <w:rStyle w:val="Nmerodepgina"/>
      </w:rPr>
      <w:instrText xml:space="preserve">PAGE  </w:instrText>
    </w:r>
    <w:r>
      <w:rPr>
        <w:rStyle w:val="Nmerodepgina"/>
      </w:rPr>
      <w:fldChar w:fldCharType="separate"/>
    </w:r>
    <w:r w:rsidR="00BD41A8">
      <w:rPr>
        <w:rStyle w:val="Nmerodepgina"/>
        <w:noProof/>
      </w:rPr>
      <w:t>6</w:t>
    </w:r>
    <w:r>
      <w:rPr>
        <w:rStyle w:val="Nmerodepgina"/>
      </w:rPr>
      <w:fldChar w:fldCharType="end"/>
    </w:r>
  </w:p>
  <w:p w14:paraId="26DD4505" w14:textId="33CFAFA4" w:rsidR="00D2173C" w:rsidRDefault="00D2173C" w:rsidP="00D56468">
    <w:pPr>
      <w:pStyle w:val="Piedepgina"/>
      <w:ind w:right="360"/>
    </w:pPr>
    <w:r>
      <w:rPr>
        <w:noProof/>
        <w:lang w:val="es-ES"/>
      </w:rPr>
      <w:drawing>
        <wp:anchor distT="0" distB="0" distL="114300" distR="114300" simplePos="0" relativeHeight="251662336" behindDoc="1" locked="0" layoutInCell="1" allowOverlap="1" wp14:anchorId="0F41C07B" wp14:editId="5C13E9B3">
          <wp:simplePos x="0" y="0"/>
          <wp:positionH relativeFrom="column">
            <wp:posOffset>-1143000</wp:posOffset>
          </wp:positionH>
          <wp:positionV relativeFrom="paragraph">
            <wp:posOffset>-237490</wp:posOffset>
          </wp:positionV>
          <wp:extent cx="7596000" cy="804472"/>
          <wp:effectExtent l="0" t="0" r="0" b="8890"/>
          <wp:wrapNone/>
          <wp:docPr id="326" name="Imagen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2.png"/>
                  <pic:cNvPicPr/>
                </pic:nvPicPr>
                <pic:blipFill>
                  <a:blip r:embed="rId1">
                    <a:extLst>
                      <a:ext uri="{28A0092B-C50C-407E-A947-70E740481C1C}">
                        <a14:useLocalDpi xmlns:a14="http://schemas.microsoft.com/office/drawing/2010/main" val="0"/>
                      </a:ext>
                    </a:extLst>
                  </a:blip>
                  <a:stretch>
                    <a:fillRect/>
                  </a:stretch>
                </pic:blipFill>
                <pic:spPr>
                  <a:xfrm>
                    <a:off x="0" y="0"/>
                    <a:ext cx="7596000" cy="80447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0345D" w14:textId="77777777" w:rsidR="00D2173C" w:rsidRDefault="00D2173C">
      <w:pPr>
        <w:spacing w:after="0" w:line="240" w:lineRule="auto"/>
      </w:pPr>
      <w:r>
        <w:separator/>
      </w:r>
    </w:p>
  </w:footnote>
  <w:footnote w:type="continuationSeparator" w:id="0">
    <w:p w14:paraId="651666CB" w14:textId="77777777" w:rsidR="00D2173C" w:rsidRDefault="00D2173C">
      <w:pPr>
        <w:spacing w:after="0" w:line="240" w:lineRule="auto"/>
      </w:pPr>
      <w:r>
        <w:continuationSeparator/>
      </w:r>
    </w:p>
  </w:footnote>
  <w:footnote w:id="1">
    <w:p w14:paraId="69FB04C9"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1" w:history="1">
        <w:r w:rsidRPr="00C060F9">
          <w:rPr>
            <w:rStyle w:val="Hipervnculo"/>
            <w:rFonts w:ascii="Century Gothic" w:hAnsi="Century Gothic"/>
            <w:sz w:val="16"/>
            <w:szCs w:val="16"/>
          </w:rPr>
          <w:t>https://www.dane.gov.co/index.php/estadisticas-por-tema/demografia-y-poblacion/censo-nacional-de-poblacion-y-vivenda-2018</w:t>
        </w:r>
      </w:hyperlink>
      <w:r w:rsidRPr="00C060F9">
        <w:rPr>
          <w:rFonts w:ascii="Century Gothic" w:hAnsi="Century Gothic"/>
          <w:sz w:val="16"/>
          <w:szCs w:val="16"/>
        </w:rPr>
        <w:t xml:space="preserve"> </w:t>
      </w:r>
    </w:p>
  </w:footnote>
  <w:footnote w:id="2">
    <w:p w14:paraId="5DF39398"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2" w:history="1">
        <w:r w:rsidRPr="00C060F9">
          <w:rPr>
            <w:rStyle w:val="Hipervnculo"/>
            <w:rFonts w:ascii="Century Gothic" w:hAnsi="Century Gothic"/>
            <w:sz w:val="16"/>
            <w:szCs w:val="16"/>
          </w:rPr>
          <w:t>https://www.dane.gov.co/files/investigaciones/genero/publicaciones/mujeres-y-hombre-brechas-de-genero-colombia-informe.pdf</w:t>
        </w:r>
      </w:hyperlink>
      <w:r w:rsidRPr="00C060F9">
        <w:rPr>
          <w:rFonts w:ascii="Century Gothic" w:hAnsi="Century Gothic"/>
          <w:sz w:val="16"/>
          <w:szCs w:val="16"/>
        </w:rPr>
        <w:t xml:space="preserve"> </w:t>
      </w:r>
    </w:p>
  </w:footnote>
  <w:footnote w:id="3">
    <w:p w14:paraId="647222BB" w14:textId="77777777" w:rsidR="00D2173C" w:rsidRPr="00220AC6" w:rsidRDefault="00D2173C">
      <w:pPr>
        <w:pStyle w:val="Textonotapie"/>
        <w:rPr>
          <w:lang w:val="es-MX"/>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3" w:history="1">
        <w:r w:rsidRPr="00C060F9">
          <w:rPr>
            <w:rStyle w:val="Hipervnculo"/>
            <w:rFonts w:ascii="Century Gothic" w:hAnsi="Century Gothic"/>
            <w:sz w:val="16"/>
            <w:szCs w:val="16"/>
          </w:rPr>
          <w:t>http://profamilia.org.co/docs/ENDS%20%20TOMO%20I.pdf</w:t>
        </w:r>
      </w:hyperlink>
      <w:r>
        <w:t xml:space="preserve"> </w:t>
      </w:r>
    </w:p>
  </w:footnote>
  <w:footnote w:id="4">
    <w:p w14:paraId="09AB4B16" w14:textId="77777777" w:rsidR="00D2173C" w:rsidRPr="00C060F9" w:rsidRDefault="00D2173C">
      <w:pPr>
        <w:pStyle w:val="Textonotapie"/>
        <w:rPr>
          <w:rFonts w:ascii="Century Gothic" w:hAnsi="Century Gothic"/>
          <w:sz w:val="16"/>
          <w:szCs w:val="16"/>
          <w:lang w:val="es-MX"/>
        </w:rPr>
      </w:pPr>
      <w:r w:rsidRPr="00C060F9">
        <w:rPr>
          <w:rStyle w:val="Refdenotaalpie"/>
          <w:rFonts w:ascii="Century Gothic" w:hAnsi="Century Gothic"/>
          <w:sz w:val="16"/>
          <w:szCs w:val="16"/>
        </w:rPr>
        <w:footnoteRef/>
      </w:r>
      <w:hyperlink r:id="rId4" w:history="1">
        <w:r w:rsidRPr="00C060F9">
          <w:rPr>
            <w:rStyle w:val="Hipervnculo"/>
            <w:rFonts w:ascii="Century Gothic" w:hAnsi="Century Gothic"/>
            <w:sz w:val="16"/>
            <w:szCs w:val="16"/>
          </w:rPr>
          <w:t>https://www.dane.gov.co/files/investigaciones/poblacion/migraciones/Anuario_2019_movimientos-internacionales.pdf</w:t>
        </w:r>
      </w:hyperlink>
      <w:r w:rsidRPr="00C060F9">
        <w:rPr>
          <w:rFonts w:ascii="Century Gothic" w:hAnsi="Century Gothic"/>
          <w:sz w:val="16"/>
          <w:szCs w:val="16"/>
        </w:rPr>
        <w:t xml:space="preserve"> </w:t>
      </w:r>
    </w:p>
  </w:footnote>
  <w:footnote w:id="5">
    <w:p w14:paraId="0B6C34BB" w14:textId="77777777" w:rsidR="00D2173C" w:rsidRPr="00BE6309" w:rsidRDefault="00D2173C">
      <w:pPr>
        <w:pStyle w:val="Textonotapie"/>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5" w:anchor=":~:text=Seg%C3%BAn%20la%20ONU%5B1%5D%2C,4" w:history="1">
        <w:r w:rsidRPr="00C060F9">
          <w:rPr>
            <w:rStyle w:val="Hipervnculo"/>
            <w:rFonts w:ascii="Century Gothic" w:hAnsi="Century Gothic"/>
            <w:sz w:val="16"/>
            <w:szCs w:val="16"/>
          </w:rPr>
          <w:t>https://zero.uexternado.edu.co/la-migracion-femenina-en-colombia-experiencias-locales-para-el-abordaje-de-la-trata-de-personas/#:~:text=Seg%C3%BAn%20la%20ONU%5B1%5D%2C,4</w:t>
        </w:r>
      </w:hyperlink>
      <w:r w:rsidRPr="00C060F9">
        <w:rPr>
          <w:rFonts w:ascii="Century Gothic" w:hAnsi="Century Gothic"/>
          <w:sz w:val="16"/>
          <w:szCs w:val="16"/>
        </w:rPr>
        <w:t>).</w:t>
      </w:r>
      <w:r>
        <w:t xml:space="preserve"> </w:t>
      </w:r>
    </w:p>
  </w:footnote>
  <w:footnote w:id="6">
    <w:p w14:paraId="43CB9F6B" w14:textId="77777777" w:rsidR="00D2173C" w:rsidRPr="00C060F9" w:rsidRDefault="00D2173C" w:rsidP="00F93346">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6" w:anchor=":~:text=Seg%C3%BAn%20la%20ONU%5B1%5D%2C,4" w:history="1">
        <w:r w:rsidRPr="00C060F9">
          <w:rPr>
            <w:rStyle w:val="Hipervnculo"/>
            <w:rFonts w:ascii="Century Gothic" w:hAnsi="Century Gothic"/>
            <w:sz w:val="16"/>
            <w:szCs w:val="16"/>
          </w:rPr>
          <w:t>https://zero.uexternado.edu.co/la-migracion-femenina-en-colombia-experiencias-locales-para-el-abordaje-de-la-trata-de-personas/#:~:text=Seg%C3%BAn%20la%20ONU%5B1%5D%2C,4</w:t>
        </w:r>
      </w:hyperlink>
      <w:r w:rsidRPr="00C060F9">
        <w:rPr>
          <w:rFonts w:ascii="Century Gothic" w:hAnsi="Century Gothic"/>
          <w:sz w:val="16"/>
          <w:szCs w:val="16"/>
        </w:rPr>
        <w:t xml:space="preserve">). </w:t>
      </w:r>
    </w:p>
  </w:footnote>
  <w:footnote w:id="7">
    <w:p w14:paraId="512FA414"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7" w:history="1">
        <w:r w:rsidRPr="00C060F9">
          <w:rPr>
            <w:rStyle w:val="Hipervnculo"/>
            <w:rFonts w:ascii="Century Gothic" w:hAnsi="Century Gothic"/>
            <w:sz w:val="16"/>
            <w:szCs w:val="16"/>
          </w:rPr>
          <w:t>http://www.equidadmujer.gov.co/consejeria/Paginas/organizaciones-mujeres.aspx</w:t>
        </w:r>
      </w:hyperlink>
    </w:p>
    <w:p w14:paraId="2BB66B4F" w14:textId="77777777" w:rsidR="00D2173C" w:rsidRPr="009317EA" w:rsidRDefault="00D2173C">
      <w:pPr>
        <w:pStyle w:val="Textonotapie"/>
      </w:pPr>
    </w:p>
  </w:footnote>
  <w:footnote w:id="8">
    <w:p w14:paraId="103F7996"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8" w:history="1">
        <w:r w:rsidRPr="00C060F9">
          <w:rPr>
            <w:rStyle w:val="Hipervnculo"/>
            <w:rFonts w:ascii="Century Gothic" w:hAnsi="Century Gothic"/>
            <w:sz w:val="16"/>
            <w:szCs w:val="16"/>
          </w:rPr>
          <w:t>https://www.mininterior.gov.co/la-institucion/normatividad/decreto-762-del-7-de-mayo-de-2018-politica-publica-garantia-de-los-derechos-sectores-sociales-lgbti</w:t>
        </w:r>
      </w:hyperlink>
      <w:r w:rsidRPr="00C060F9">
        <w:rPr>
          <w:rFonts w:ascii="Century Gothic" w:hAnsi="Century Gothic"/>
          <w:sz w:val="16"/>
          <w:szCs w:val="16"/>
        </w:rPr>
        <w:t xml:space="preserve"> </w:t>
      </w:r>
    </w:p>
  </w:footnote>
  <w:footnote w:id="9">
    <w:p w14:paraId="6E2838B2"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r w:rsidRPr="00C060F9">
        <w:rPr>
          <w:rFonts w:ascii="Century Gothic" w:hAnsi="Century Gothic"/>
          <w:color w:val="000000"/>
          <w:sz w:val="16"/>
          <w:szCs w:val="16"/>
        </w:rPr>
        <w:t>Instituto Nacional de Medicina Legal y Ciencias Forenses.</w:t>
      </w:r>
    </w:p>
  </w:footnote>
  <w:footnote w:id="10">
    <w:p w14:paraId="1813F044" w14:textId="77777777" w:rsidR="00D2173C" w:rsidRPr="007F2B00" w:rsidRDefault="00D2173C">
      <w:pPr>
        <w:pStyle w:val="Textonotapie"/>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9" w:history="1">
        <w:r w:rsidRPr="00C060F9">
          <w:rPr>
            <w:rStyle w:val="Hipervnculo"/>
            <w:rFonts w:ascii="Century Gothic" w:hAnsi="Century Gothic"/>
            <w:sz w:val="16"/>
            <w:szCs w:val="16"/>
          </w:rPr>
          <w:t>Forensis - Instituto Nacional de Medicina Legal y Ciencias Forenses</w:t>
        </w:r>
      </w:hyperlink>
    </w:p>
  </w:footnote>
  <w:footnote w:id="11">
    <w:p w14:paraId="4FF50DE2" w14:textId="77777777" w:rsidR="00D2173C" w:rsidRPr="00C060F9"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10" w:history="1">
        <w:r w:rsidRPr="00C060F9">
          <w:rPr>
            <w:rStyle w:val="Hipervnculo"/>
            <w:rFonts w:ascii="Century Gothic" w:hAnsi="Century Gothic"/>
            <w:sz w:val="16"/>
            <w:szCs w:val="16"/>
          </w:rPr>
          <w:t>be4816a4-3da3-1ff0-2779-e7b5e3962d60 (medicinalegal.gov.co)</w:t>
        </w:r>
      </w:hyperlink>
      <w:r w:rsidRPr="00C060F9">
        <w:rPr>
          <w:rFonts w:ascii="Century Gothic" w:hAnsi="Century Gothic"/>
          <w:sz w:val="16"/>
          <w:szCs w:val="16"/>
        </w:rPr>
        <w:t xml:space="preserve"> </w:t>
      </w:r>
    </w:p>
  </w:footnote>
  <w:footnote w:id="12">
    <w:p w14:paraId="07228540" w14:textId="77777777" w:rsidR="00D2173C" w:rsidRPr="0089786B" w:rsidRDefault="00D2173C">
      <w:pPr>
        <w:pStyle w:val="Textonotapie"/>
        <w:rPr>
          <w:rFonts w:ascii="Century Gothic" w:hAnsi="Century Gothic"/>
          <w:sz w:val="16"/>
          <w:szCs w:val="16"/>
        </w:rPr>
      </w:pPr>
      <w:r w:rsidRPr="0089786B">
        <w:rPr>
          <w:rStyle w:val="Refdenotaalpie"/>
          <w:rFonts w:ascii="Century Gothic" w:hAnsi="Century Gothic"/>
          <w:sz w:val="16"/>
          <w:szCs w:val="16"/>
        </w:rPr>
        <w:footnoteRef/>
      </w:r>
      <w:r w:rsidRPr="0089786B">
        <w:rPr>
          <w:rFonts w:ascii="Century Gothic" w:hAnsi="Century Gothic"/>
          <w:sz w:val="16"/>
          <w:szCs w:val="16"/>
        </w:rPr>
        <w:t xml:space="preserve"> </w:t>
      </w:r>
      <w:hyperlink r:id="rId11" w:history="1">
        <w:r w:rsidRPr="0089786B">
          <w:rPr>
            <w:rStyle w:val="Hipervnculo"/>
            <w:rFonts w:ascii="Century Gothic" w:hAnsi="Century Gothic"/>
            <w:sz w:val="16"/>
            <w:szCs w:val="16"/>
          </w:rPr>
          <w:t>https://www.medicinalegal.gov.co/documents/20143/386932/Forensis+2018.pdf/be4816a4-3da3-1ff0-2779-e7b5e3962d60</w:t>
        </w:r>
      </w:hyperlink>
      <w:r w:rsidRPr="0089786B">
        <w:rPr>
          <w:rFonts w:ascii="Century Gothic" w:hAnsi="Century Gothic"/>
          <w:sz w:val="16"/>
          <w:szCs w:val="16"/>
        </w:rPr>
        <w:t xml:space="preserve"> ; </w:t>
      </w:r>
      <w:hyperlink r:id="rId12" w:history="1">
        <w:r w:rsidRPr="0089786B">
          <w:rPr>
            <w:rStyle w:val="Hipervnculo"/>
            <w:rFonts w:ascii="Century Gothic" w:hAnsi="Century Gothic"/>
            <w:sz w:val="16"/>
            <w:szCs w:val="16"/>
          </w:rPr>
          <w:t>https://www.medicinalegal.gov.co/documents/20143/535304/Informaci%C3%B3n+de+lesiones+de+causa+externa+y+desaparecidos.+Colombia%2C+2019.xlsx/9e6d246a-20dd-c525-e1b9-ec5548d91fd5</w:t>
        </w:r>
      </w:hyperlink>
      <w:r w:rsidRPr="0089786B">
        <w:rPr>
          <w:rFonts w:ascii="Century Gothic" w:hAnsi="Century Gothic"/>
          <w:sz w:val="16"/>
          <w:szCs w:val="16"/>
        </w:rPr>
        <w:t xml:space="preserve"> </w:t>
      </w:r>
    </w:p>
  </w:footnote>
  <w:footnote w:id="13">
    <w:p w14:paraId="525E9C2D" w14:textId="77777777" w:rsidR="00D2173C" w:rsidRPr="0089786B" w:rsidRDefault="00D2173C">
      <w:pPr>
        <w:pStyle w:val="Textonotapie"/>
        <w:rPr>
          <w:rFonts w:ascii="Century Gothic" w:hAnsi="Century Gothic"/>
          <w:sz w:val="16"/>
          <w:szCs w:val="16"/>
        </w:rPr>
      </w:pPr>
      <w:r w:rsidRPr="0089786B">
        <w:rPr>
          <w:rStyle w:val="Refdenotaalpie"/>
          <w:rFonts w:ascii="Century Gothic" w:hAnsi="Century Gothic"/>
          <w:sz w:val="16"/>
          <w:szCs w:val="16"/>
        </w:rPr>
        <w:footnoteRef/>
      </w:r>
      <w:r w:rsidRPr="0089786B">
        <w:rPr>
          <w:rFonts w:ascii="Century Gothic" w:hAnsi="Century Gothic"/>
          <w:sz w:val="16"/>
          <w:szCs w:val="16"/>
        </w:rPr>
        <w:t xml:space="preserve"> </w:t>
      </w:r>
      <w:hyperlink r:id="rId13" w:history="1">
        <w:r w:rsidRPr="0089786B">
          <w:rPr>
            <w:rStyle w:val="Hipervnculo"/>
            <w:rFonts w:ascii="Century Gothic" w:hAnsi="Century Gothic"/>
            <w:sz w:val="16"/>
            <w:szCs w:val="16"/>
          </w:rPr>
          <w:t>https://www.eltiempo.com/justicia/delitos/cifras-de-estadisticas-sobre-denuncias-y-demandas-por-cuotas-de-alimentos-para-los-hijos-561999</w:t>
        </w:r>
      </w:hyperlink>
      <w:r w:rsidRPr="0089786B">
        <w:rPr>
          <w:rFonts w:ascii="Century Gothic" w:hAnsi="Century Gothic"/>
          <w:sz w:val="16"/>
          <w:szCs w:val="16"/>
        </w:rPr>
        <w:t xml:space="preserve"> </w:t>
      </w:r>
    </w:p>
  </w:footnote>
  <w:footnote w:id="14">
    <w:p w14:paraId="129A3F78" w14:textId="77777777" w:rsidR="00D2173C" w:rsidRPr="006C4C0D" w:rsidRDefault="00D2173C">
      <w:pPr>
        <w:pStyle w:val="Textonotapie"/>
      </w:pPr>
      <w:r w:rsidRPr="0089786B">
        <w:rPr>
          <w:rStyle w:val="Refdenotaalpie"/>
          <w:rFonts w:ascii="Century Gothic" w:hAnsi="Century Gothic"/>
          <w:sz w:val="16"/>
          <w:szCs w:val="16"/>
        </w:rPr>
        <w:footnoteRef/>
      </w:r>
      <w:r w:rsidRPr="0089786B">
        <w:rPr>
          <w:rFonts w:ascii="Century Gothic" w:hAnsi="Century Gothic"/>
          <w:sz w:val="16"/>
          <w:szCs w:val="16"/>
        </w:rPr>
        <w:t xml:space="preserve"> </w:t>
      </w:r>
      <w:hyperlink r:id="rId14" w:history="1">
        <w:r w:rsidRPr="0089786B">
          <w:rPr>
            <w:rStyle w:val="Hipervnculo"/>
            <w:rFonts w:ascii="Century Gothic" w:hAnsi="Century Gothic"/>
            <w:sz w:val="16"/>
            <w:szCs w:val="16"/>
          </w:rPr>
          <w:t>https://www.medicinalegal.gov.co/documents/20143/535304/6-Ex%C3%A1menes+m%C3%A9dico+legales+por+presunto+delito+sexual.+Colombia%2C+2019.xlsx/b24aed71-3dcf-3289-4487-6b3f305ddba8</w:t>
        </w:r>
      </w:hyperlink>
      <w:r>
        <w:t xml:space="preserve"> </w:t>
      </w:r>
    </w:p>
  </w:footnote>
  <w:footnote w:id="15">
    <w:p w14:paraId="42819F42" w14:textId="77777777" w:rsidR="00D2173C" w:rsidRPr="0089786B" w:rsidRDefault="00D2173C">
      <w:pPr>
        <w:pStyle w:val="Textonotapie"/>
        <w:rPr>
          <w:rFonts w:ascii="Century Gothic" w:hAnsi="Century Gothic"/>
          <w:sz w:val="16"/>
          <w:szCs w:val="16"/>
        </w:rPr>
      </w:pPr>
      <w:r w:rsidRPr="0089786B">
        <w:rPr>
          <w:rStyle w:val="Refdenotaalpie"/>
          <w:rFonts w:ascii="Century Gothic" w:hAnsi="Century Gothic"/>
          <w:sz w:val="16"/>
          <w:szCs w:val="16"/>
        </w:rPr>
        <w:footnoteRef/>
      </w:r>
      <w:r w:rsidRPr="0089786B">
        <w:rPr>
          <w:rFonts w:ascii="Century Gothic" w:hAnsi="Century Gothic"/>
          <w:sz w:val="16"/>
          <w:szCs w:val="16"/>
        </w:rPr>
        <w:t xml:space="preserve"> </w:t>
      </w:r>
      <w:hyperlink r:id="rId15" w:history="1">
        <w:r w:rsidRPr="0089786B">
          <w:rPr>
            <w:rStyle w:val="Hipervnculo"/>
            <w:rFonts w:ascii="Century Gothic" w:hAnsi="Century Gothic"/>
            <w:sz w:val="16"/>
            <w:szCs w:val="16"/>
          </w:rPr>
          <w:t>https://www.medicinalegal.gov.co/documents/20143/535304/6-Ex%C3%A1menes+m%C3%A9dico+legales+por+presunto+delito+sexual.+Colombia%2C+2019.xlsx/b24aed71-3dcf-3289-4487-6b3f305ddba8</w:t>
        </w:r>
      </w:hyperlink>
      <w:r w:rsidRPr="0089786B">
        <w:rPr>
          <w:rFonts w:ascii="Century Gothic" w:hAnsi="Century Gothic"/>
          <w:sz w:val="16"/>
          <w:szCs w:val="16"/>
        </w:rPr>
        <w:t xml:space="preserve">; </w:t>
      </w:r>
      <w:hyperlink r:id="rId16" w:history="1">
        <w:r w:rsidRPr="0089786B">
          <w:rPr>
            <w:rStyle w:val="Hipervnculo"/>
            <w:rFonts w:ascii="Century Gothic" w:hAnsi="Century Gothic"/>
            <w:sz w:val="16"/>
            <w:szCs w:val="16"/>
          </w:rPr>
          <w:t>https://www.medicinalegal.gov.co/documents/20143/386932/Forensis+2018.pdf/be4816a4-3da3-1ff0-2779-e7b5e3962d60</w:t>
        </w:r>
      </w:hyperlink>
      <w:r w:rsidRPr="0089786B">
        <w:rPr>
          <w:rFonts w:ascii="Century Gothic" w:hAnsi="Century Gothic"/>
          <w:sz w:val="16"/>
          <w:szCs w:val="16"/>
        </w:rPr>
        <w:t xml:space="preserve">; </w:t>
      </w:r>
      <w:hyperlink r:id="rId17" w:history="1">
        <w:r w:rsidRPr="0089786B">
          <w:rPr>
            <w:rStyle w:val="Hipervnculo"/>
            <w:rFonts w:ascii="Century Gothic" w:hAnsi="Century Gothic"/>
            <w:sz w:val="16"/>
            <w:szCs w:val="16"/>
          </w:rPr>
          <w:t>https://www.medicinalegal.gov.co/documents/20143/262076/Forensis+2017+Interactivo.pdf/0a09fedb-f5e8-11f8-71ed-2d3b475e9b82</w:t>
        </w:r>
      </w:hyperlink>
      <w:r w:rsidRPr="0089786B">
        <w:rPr>
          <w:rFonts w:ascii="Century Gothic" w:hAnsi="Century Gothic"/>
          <w:sz w:val="16"/>
          <w:szCs w:val="16"/>
        </w:rPr>
        <w:t xml:space="preserve"> </w:t>
      </w:r>
    </w:p>
  </w:footnote>
  <w:footnote w:id="16">
    <w:p w14:paraId="01C77774" w14:textId="77777777" w:rsidR="00D2173C" w:rsidRPr="0089786B" w:rsidRDefault="00D2173C">
      <w:pPr>
        <w:pStyle w:val="Textonotapie"/>
        <w:rPr>
          <w:rFonts w:ascii="Century Gothic" w:hAnsi="Century Gothic"/>
          <w:sz w:val="16"/>
          <w:szCs w:val="16"/>
        </w:rPr>
      </w:pPr>
      <w:r w:rsidRPr="0089786B">
        <w:rPr>
          <w:rStyle w:val="Refdenotaalpie"/>
          <w:rFonts w:ascii="Century Gothic" w:hAnsi="Century Gothic"/>
          <w:sz w:val="16"/>
          <w:szCs w:val="16"/>
        </w:rPr>
        <w:footnoteRef/>
      </w:r>
      <w:r w:rsidRPr="0089786B">
        <w:rPr>
          <w:rFonts w:ascii="Century Gothic" w:hAnsi="Century Gothic"/>
          <w:sz w:val="16"/>
          <w:szCs w:val="16"/>
        </w:rPr>
        <w:t xml:space="preserve"> </w:t>
      </w:r>
      <w:hyperlink r:id="rId18" w:history="1">
        <w:r w:rsidRPr="0089786B">
          <w:rPr>
            <w:rStyle w:val="Hipervnculo"/>
            <w:rFonts w:ascii="Century Gothic" w:hAnsi="Century Gothic"/>
            <w:sz w:val="16"/>
            <w:szCs w:val="16"/>
          </w:rPr>
          <w:t>https://www.unwomen.org/es/what-we-do/ending-violence-against-women/research-and-data</w:t>
        </w:r>
      </w:hyperlink>
      <w:r w:rsidRPr="0089786B">
        <w:rPr>
          <w:rFonts w:ascii="Century Gothic" w:hAnsi="Century Gothic"/>
          <w:sz w:val="16"/>
          <w:szCs w:val="16"/>
        </w:rPr>
        <w:t xml:space="preserve"> </w:t>
      </w:r>
    </w:p>
  </w:footnote>
  <w:footnote w:id="17">
    <w:p w14:paraId="5C3E53C3" w14:textId="77777777" w:rsidR="00D2173C" w:rsidRPr="005C1EE1" w:rsidRDefault="00D2173C">
      <w:pPr>
        <w:pStyle w:val="Textonotapie"/>
        <w:rPr>
          <w:rFonts w:ascii="Century Gothic" w:hAnsi="Century Gothic"/>
          <w:sz w:val="16"/>
          <w:szCs w:val="16"/>
        </w:rPr>
      </w:pPr>
      <w:r w:rsidRPr="005C1EE1">
        <w:rPr>
          <w:rStyle w:val="Refdenotaalpie"/>
          <w:rFonts w:ascii="Century Gothic" w:hAnsi="Century Gothic"/>
          <w:sz w:val="16"/>
          <w:szCs w:val="16"/>
        </w:rPr>
        <w:footnoteRef/>
      </w:r>
      <w:r w:rsidRPr="005C1EE1">
        <w:rPr>
          <w:rFonts w:ascii="Century Gothic" w:hAnsi="Century Gothic"/>
          <w:sz w:val="16"/>
          <w:szCs w:val="16"/>
        </w:rPr>
        <w:t xml:space="preserve"> </w:t>
      </w:r>
      <w:hyperlink r:id="rId19" w:history="1">
        <w:r w:rsidRPr="005C1EE1">
          <w:rPr>
            <w:rStyle w:val="Hipervnculo"/>
            <w:rFonts w:ascii="Century Gothic" w:hAnsi="Century Gothic"/>
            <w:sz w:val="16"/>
            <w:szCs w:val="16"/>
          </w:rPr>
          <w:t>https://www.icbf.gov.co/programas-y-estrategias/proteccion/programas-especializados-y-otras-estrategias/violencia-sexual</w:t>
        </w:r>
      </w:hyperlink>
      <w:r w:rsidRPr="005C1EE1">
        <w:rPr>
          <w:rFonts w:ascii="Century Gothic" w:hAnsi="Century Gothic"/>
          <w:sz w:val="16"/>
          <w:szCs w:val="16"/>
        </w:rPr>
        <w:t xml:space="preserve"> </w:t>
      </w:r>
    </w:p>
  </w:footnote>
  <w:footnote w:id="18">
    <w:p w14:paraId="5E2049A4" w14:textId="77777777" w:rsidR="00D2173C" w:rsidRPr="00C77833" w:rsidRDefault="00D2173C">
      <w:pPr>
        <w:pStyle w:val="Textonotapie"/>
      </w:pPr>
      <w:r w:rsidRPr="005C1EE1">
        <w:rPr>
          <w:rStyle w:val="Refdenotaalpie"/>
          <w:rFonts w:ascii="Century Gothic" w:hAnsi="Century Gothic"/>
          <w:sz w:val="16"/>
          <w:szCs w:val="16"/>
        </w:rPr>
        <w:footnoteRef/>
      </w:r>
      <w:r w:rsidRPr="005C1EE1">
        <w:rPr>
          <w:rFonts w:ascii="Century Gothic" w:hAnsi="Century Gothic"/>
          <w:sz w:val="16"/>
          <w:szCs w:val="16"/>
        </w:rPr>
        <w:t xml:space="preserve"> </w:t>
      </w:r>
      <w:hyperlink r:id="rId20" w:history="1">
        <w:r w:rsidRPr="005C1EE1">
          <w:rPr>
            <w:rStyle w:val="Hipervnculo"/>
            <w:rFonts w:ascii="Century Gothic" w:hAnsi="Century Gothic"/>
            <w:sz w:val="16"/>
            <w:szCs w:val="16"/>
          </w:rPr>
          <w:t>https://www.icbf.gov.co/sites/default/files/estadisticas_violencia_sexual.pdf</w:t>
        </w:r>
      </w:hyperlink>
      <w:r>
        <w:t xml:space="preserve"> </w:t>
      </w:r>
    </w:p>
  </w:footnote>
  <w:footnote w:id="19">
    <w:p w14:paraId="17B5F558" w14:textId="77777777" w:rsidR="00D2173C" w:rsidRPr="009C73E3" w:rsidRDefault="00D2173C">
      <w:pPr>
        <w:pStyle w:val="Textonotapie"/>
      </w:pPr>
      <w:r>
        <w:rPr>
          <w:rStyle w:val="Refdenotaalpie"/>
        </w:rPr>
        <w:footnoteRef/>
      </w:r>
      <w:r>
        <w:t xml:space="preserve"> </w:t>
      </w:r>
      <w:hyperlink r:id="rId21" w:history="1">
        <w:r w:rsidRPr="0002202E">
          <w:rPr>
            <w:rStyle w:val="Hipervnculo"/>
          </w:rPr>
          <w:t>https://www.mintrabajo.gov.co/web/guest/politica-publica-para-la-prevencion-y-erradicacion-de-la-explotacion-sexual-comercial-de-ninas-ninos-y-adolescentes</w:t>
        </w:r>
      </w:hyperlink>
      <w:r>
        <w:t xml:space="preserve"> </w:t>
      </w:r>
    </w:p>
  </w:footnote>
  <w:footnote w:id="20">
    <w:p w14:paraId="3A91DF80" w14:textId="77777777" w:rsidR="00D2173C" w:rsidRPr="00E804DB" w:rsidRDefault="00D2173C" w:rsidP="00CD4278">
      <w:pPr>
        <w:pStyle w:val="Textonotapie"/>
        <w:rPr>
          <w:sz w:val="18"/>
          <w:szCs w:val="18"/>
        </w:rPr>
      </w:pPr>
      <w:r>
        <w:rPr>
          <w:rStyle w:val="Refdenotaalpie"/>
        </w:rPr>
        <w:footnoteRef/>
      </w:r>
      <w:r>
        <w:t xml:space="preserve"> </w:t>
      </w:r>
      <w:hyperlink r:id="rId22" w:history="1">
        <w:r w:rsidRPr="00E804DB">
          <w:rPr>
            <w:rStyle w:val="Hipervnculo"/>
            <w:sz w:val="18"/>
            <w:szCs w:val="18"/>
          </w:rPr>
          <w:t>https://www.mintrabajo.gov.co/web/guest/politica-publica-para-la-prevencion-y-erradicacion-de-la-explotacion-sexual-comercial-de-ninas-ninos-y-adolescentes</w:t>
        </w:r>
      </w:hyperlink>
      <w:r w:rsidRPr="00E804DB">
        <w:rPr>
          <w:sz w:val="18"/>
          <w:szCs w:val="18"/>
        </w:rPr>
        <w:t xml:space="preserve"> </w:t>
      </w:r>
    </w:p>
  </w:footnote>
  <w:footnote w:id="21">
    <w:p w14:paraId="093803A0" w14:textId="77777777" w:rsidR="00D2173C" w:rsidRPr="00065CB3" w:rsidRDefault="00D2173C">
      <w:pPr>
        <w:pStyle w:val="Textonotapie"/>
        <w:rPr>
          <w:lang w:val="es-MX"/>
        </w:rPr>
      </w:pPr>
      <w:r w:rsidRPr="00E804DB">
        <w:rPr>
          <w:rStyle w:val="Refdenotaalpie"/>
          <w:sz w:val="18"/>
          <w:szCs w:val="18"/>
        </w:rPr>
        <w:footnoteRef/>
      </w:r>
      <w:r w:rsidRPr="00E804DB">
        <w:rPr>
          <w:sz w:val="18"/>
          <w:szCs w:val="18"/>
        </w:rPr>
        <w:t xml:space="preserve"> </w:t>
      </w:r>
      <w:hyperlink r:id="rId23" w:history="1">
        <w:r w:rsidRPr="00E804DB">
          <w:rPr>
            <w:rStyle w:val="Hipervnculo"/>
            <w:sz w:val="18"/>
            <w:szCs w:val="18"/>
          </w:rPr>
          <w:t>Informe sobre la Trata de Personas 2020 | Embajada de EE.UU. en Colombia (usembassy.gov)</w:t>
        </w:r>
      </w:hyperlink>
      <w:r w:rsidRPr="00E804DB">
        <w:rPr>
          <w:sz w:val="18"/>
          <w:szCs w:val="18"/>
        </w:rPr>
        <w:t xml:space="preserve"> </w:t>
      </w:r>
    </w:p>
  </w:footnote>
  <w:footnote w:id="22">
    <w:p w14:paraId="1D7AA6BD" w14:textId="77777777" w:rsidR="00D2173C" w:rsidRPr="00C060F9" w:rsidRDefault="00D2173C" w:rsidP="005E0D95">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w:t>
      </w:r>
      <w:hyperlink r:id="rId24" w:history="1">
        <w:r w:rsidRPr="00C060F9">
          <w:rPr>
            <w:rStyle w:val="Hipervnculo"/>
            <w:rFonts w:ascii="Century Gothic" w:hAnsi="Century Gothic"/>
            <w:sz w:val="16"/>
            <w:szCs w:val="16"/>
          </w:rPr>
          <w:t>https://tratadepersonas.mininterior.gov.co/observatorio-del-delito-trata-de-personas/casos-de-trata-de-personas</w:t>
        </w:r>
      </w:hyperlink>
      <w:r w:rsidRPr="00C060F9">
        <w:rPr>
          <w:rFonts w:ascii="Century Gothic" w:hAnsi="Century Gothic"/>
          <w:sz w:val="16"/>
          <w:szCs w:val="16"/>
        </w:rPr>
        <w:t xml:space="preserve"> </w:t>
      </w:r>
    </w:p>
  </w:footnote>
  <w:footnote w:id="23">
    <w:p w14:paraId="3DC91472" w14:textId="77777777" w:rsidR="00D2173C" w:rsidRPr="00281050" w:rsidRDefault="00D2173C">
      <w:pPr>
        <w:pStyle w:val="Textonotapie"/>
        <w:rPr>
          <w:rFonts w:ascii="Century Gothic" w:hAnsi="Century Gothic"/>
          <w:sz w:val="16"/>
          <w:szCs w:val="16"/>
        </w:rPr>
      </w:pPr>
      <w:r w:rsidRPr="00281050">
        <w:rPr>
          <w:rStyle w:val="Refdenotaalpie"/>
          <w:rFonts w:ascii="Century Gothic" w:hAnsi="Century Gothic"/>
          <w:sz w:val="16"/>
          <w:szCs w:val="16"/>
        </w:rPr>
        <w:footnoteRef/>
      </w:r>
      <w:r w:rsidRPr="00281050">
        <w:rPr>
          <w:rFonts w:ascii="Century Gothic" w:hAnsi="Century Gothic"/>
          <w:sz w:val="16"/>
          <w:szCs w:val="16"/>
        </w:rPr>
        <w:t xml:space="preserve"> </w:t>
      </w:r>
      <w:hyperlink r:id="rId25" w:history="1">
        <w:r w:rsidRPr="00281050">
          <w:rPr>
            <w:rStyle w:val="Hipervnculo"/>
            <w:rFonts w:ascii="Century Gothic" w:hAnsi="Century Gothic"/>
            <w:sz w:val="16"/>
            <w:szCs w:val="16"/>
          </w:rPr>
          <w:t>http://www.who.int/mediacentre/factsheets/fs241/es/</w:t>
        </w:r>
      </w:hyperlink>
      <w:r w:rsidRPr="00281050">
        <w:rPr>
          <w:rFonts w:ascii="Century Gothic" w:hAnsi="Century Gothic"/>
          <w:sz w:val="16"/>
          <w:szCs w:val="16"/>
        </w:rPr>
        <w:t xml:space="preserve"> </w:t>
      </w:r>
    </w:p>
  </w:footnote>
  <w:footnote w:id="24">
    <w:p w14:paraId="6622276A" w14:textId="77777777" w:rsidR="00D2173C" w:rsidRPr="00F2794B" w:rsidRDefault="00D2173C">
      <w:pPr>
        <w:pStyle w:val="Textonotapie"/>
      </w:pPr>
      <w:r w:rsidRPr="00281050">
        <w:rPr>
          <w:rStyle w:val="Refdenotaalpie"/>
          <w:rFonts w:ascii="Century Gothic" w:hAnsi="Century Gothic"/>
          <w:sz w:val="16"/>
          <w:szCs w:val="16"/>
        </w:rPr>
        <w:footnoteRef/>
      </w:r>
      <w:r w:rsidRPr="00281050">
        <w:rPr>
          <w:rFonts w:ascii="Century Gothic" w:hAnsi="Century Gothic"/>
          <w:sz w:val="16"/>
          <w:szCs w:val="16"/>
        </w:rPr>
        <w:t xml:space="preserve"> </w:t>
      </w:r>
      <w:hyperlink r:id="rId26" w:history="1">
        <w:r w:rsidRPr="00281050">
          <w:rPr>
            <w:rStyle w:val="Hipervnculo"/>
            <w:rFonts w:ascii="Century Gothic" w:hAnsi="Century Gothic"/>
            <w:sz w:val="16"/>
            <w:szCs w:val="16"/>
          </w:rPr>
          <w:t>https://www.onic.org.co/noticias/937-hoy-8-de-febrero-dia-internacional-cero-contra-la-mutilacion-genital-femenina</w:t>
        </w:r>
      </w:hyperlink>
      <w:r>
        <w:t xml:space="preserve"> </w:t>
      </w:r>
    </w:p>
  </w:footnote>
  <w:footnote w:id="25">
    <w:p w14:paraId="474EEAB8" w14:textId="77777777" w:rsidR="00D2173C" w:rsidRPr="00281050" w:rsidRDefault="00D2173C">
      <w:pPr>
        <w:pStyle w:val="Textonotapie"/>
        <w:rPr>
          <w:rFonts w:ascii="Century Gothic" w:hAnsi="Century Gothic"/>
          <w:sz w:val="16"/>
          <w:szCs w:val="16"/>
        </w:rPr>
      </w:pPr>
      <w:r w:rsidRPr="00281050">
        <w:rPr>
          <w:rStyle w:val="Refdenotaalpie"/>
          <w:rFonts w:ascii="Century Gothic" w:hAnsi="Century Gothic"/>
          <w:sz w:val="16"/>
          <w:szCs w:val="16"/>
        </w:rPr>
        <w:footnoteRef/>
      </w:r>
      <w:r w:rsidRPr="00281050">
        <w:rPr>
          <w:rFonts w:ascii="Century Gothic" w:hAnsi="Century Gothic"/>
          <w:sz w:val="16"/>
          <w:szCs w:val="16"/>
        </w:rPr>
        <w:t xml:space="preserve"> </w:t>
      </w:r>
      <w:hyperlink r:id="rId27" w:history="1">
        <w:r w:rsidRPr="00281050">
          <w:rPr>
            <w:rStyle w:val="Hipervnculo"/>
            <w:rFonts w:ascii="Century Gothic" w:hAnsi="Century Gothic"/>
            <w:sz w:val="16"/>
            <w:szCs w:val="16"/>
          </w:rPr>
          <w:t>https://www.onic.org.co/comunicados-onic/3608-dia-internacional-de-tolerancia-cero-con-la-mutilacion-genital-femenina-2</w:t>
        </w:r>
      </w:hyperlink>
      <w:r w:rsidRPr="00281050">
        <w:rPr>
          <w:rFonts w:ascii="Century Gothic" w:hAnsi="Century Gothic"/>
          <w:sz w:val="16"/>
          <w:szCs w:val="16"/>
        </w:rPr>
        <w:t xml:space="preserve"> </w:t>
      </w:r>
    </w:p>
  </w:footnote>
  <w:footnote w:id="26">
    <w:p w14:paraId="398F6D2F" w14:textId="77777777" w:rsidR="00D2173C" w:rsidRPr="00281050" w:rsidRDefault="00D2173C">
      <w:pPr>
        <w:pStyle w:val="Textonotapie"/>
        <w:rPr>
          <w:rFonts w:ascii="Century Gothic" w:hAnsi="Century Gothic"/>
          <w:sz w:val="16"/>
          <w:szCs w:val="16"/>
        </w:rPr>
      </w:pPr>
      <w:r w:rsidRPr="00281050">
        <w:rPr>
          <w:rStyle w:val="Refdenotaalpie"/>
          <w:rFonts w:ascii="Century Gothic" w:hAnsi="Century Gothic"/>
          <w:sz w:val="16"/>
          <w:szCs w:val="16"/>
        </w:rPr>
        <w:footnoteRef/>
      </w:r>
      <w:r w:rsidRPr="00281050">
        <w:rPr>
          <w:rFonts w:ascii="Century Gothic" w:hAnsi="Century Gothic"/>
          <w:sz w:val="16"/>
          <w:szCs w:val="16"/>
        </w:rPr>
        <w:t xml:space="preserve"> </w:t>
      </w:r>
      <w:hyperlink r:id="rId28" w:history="1">
        <w:r w:rsidRPr="00281050">
          <w:rPr>
            <w:rStyle w:val="Hipervnculo"/>
            <w:rFonts w:ascii="Century Gothic" w:hAnsi="Century Gothic"/>
            <w:sz w:val="16"/>
            <w:szCs w:val="16"/>
          </w:rPr>
          <w:t>Boletín-22-3.pdf (sismamujer.org)</w:t>
        </w:r>
      </w:hyperlink>
    </w:p>
  </w:footnote>
  <w:footnote w:id="27">
    <w:p w14:paraId="4E5C83D5" w14:textId="77777777" w:rsidR="00D2173C" w:rsidRPr="001901AC" w:rsidRDefault="00D2173C">
      <w:pPr>
        <w:pStyle w:val="Textonotapie"/>
      </w:pPr>
      <w:r w:rsidRPr="00281050">
        <w:rPr>
          <w:rStyle w:val="Refdenotaalpie"/>
          <w:rFonts w:ascii="Century Gothic" w:hAnsi="Century Gothic"/>
          <w:sz w:val="16"/>
          <w:szCs w:val="16"/>
        </w:rPr>
        <w:footnoteRef/>
      </w:r>
      <w:r w:rsidRPr="00281050">
        <w:rPr>
          <w:rFonts w:ascii="Century Gothic" w:hAnsi="Century Gothic"/>
          <w:sz w:val="16"/>
          <w:szCs w:val="16"/>
        </w:rPr>
        <w:t xml:space="preserve"> </w:t>
      </w:r>
      <w:hyperlink r:id="rId29" w:history="1">
        <w:r w:rsidRPr="00281050">
          <w:rPr>
            <w:rStyle w:val="Hipervnculo"/>
            <w:rFonts w:ascii="Century Gothic" w:hAnsi="Century Gothic"/>
            <w:sz w:val="16"/>
            <w:szCs w:val="16"/>
          </w:rPr>
          <w:t>Forensis - Instituto Nacional de Medicina Legal y Ciencias Forenses</w:t>
        </w:r>
      </w:hyperlink>
    </w:p>
  </w:footnote>
  <w:footnote w:id="28">
    <w:p w14:paraId="4E3A6176" w14:textId="77777777" w:rsidR="00D2173C" w:rsidRPr="00FD2E61" w:rsidRDefault="00D2173C">
      <w:pPr>
        <w:pStyle w:val="Textonotapie"/>
      </w:pPr>
      <w:r>
        <w:rPr>
          <w:rStyle w:val="Refdenotaalpie"/>
        </w:rPr>
        <w:footnoteRef/>
      </w:r>
      <w:r>
        <w:t xml:space="preserve"> </w:t>
      </w:r>
      <w:hyperlink r:id="rId30" w:history="1">
        <w:r>
          <w:rPr>
            <w:rStyle w:val="Hipervnculo"/>
          </w:rPr>
          <w:t>CAPSULA MUJERES PRIVADAS DE LA LIBERTAD.pdf (minjusticia.gov.co)</w:t>
        </w:r>
      </w:hyperlink>
    </w:p>
  </w:footnote>
  <w:footnote w:id="29">
    <w:p w14:paraId="30B9D8F7" w14:textId="77777777" w:rsidR="00D2173C" w:rsidRPr="00E807F1" w:rsidRDefault="00D2173C">
      <w:pPr>
        <w:pStyle w:val="Textonotapie"/>
      </w:pPr>
      <w:r>
        <w:rPr>
          <w:rStyle w:val="Refdenotaalpie"/>
        </w:rPr>
        <w:footnoteRef/>
      </w:r>
      <w:r>
        <w:t xml:space="preserve"> </w:t>
      </w:r>
      <w:hyperlink r:id="rId31" w:history="1">
        <w:r>
          <w:rPr>
            <w:rStyle w:val="Hipervnculo"/>
          </w:rPr>
          <w:t>Informe cárceles y mujeres en Colombia | Comité Internacional de la Cruz Roja (icrc.org)</w:t>
        </w:r>
      </w:hyperlink>
      <w:r>
        <w:t xml:space="preserve"> </w:t>
      </w:r>
    </w:p>
  </w:footnote>
  <w:footnote w:id="30">
    <w:p w14:paraId="64C54130" w14:textId="77777777" w:rsidR="00D2173C" w:rsidRPr="00C060F9" w:rsidRDefault="00D2173C" w:rsidP="00E804DB">
      <w:pPr>
        <w:pStyle w:val="Textonotapie"/>
        <w:jc w:val="both"/>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Para más información: ONU Mujeres (2018) 100 medidas que incorporan la perspectiva de género en el acuerdo de paz entre el gobierno de Colombia y las FARC-EP para terminar el conflicto y construir una paz estable y duradera. Disponible para consulta en: </w:t>
      </w:r>
      <w:hyperlink r:id="rId32" w:history="1">
        <w:r w:rsidRPr="00C060F9">
          <w:rPr>
            <w:rStyle w:val="Hipervnculo"/>
            <w:rFonts w:ascii="Century Gothic" w:hAnsi="Century Gothic"/>
            <w:sz w:val="16"/>
            <w:szCs w:val="16"/>
          </w:rPr>
          <w:t>https://www2.unwomen.org/-/media/field%20office%20colombia/documentos/publicaciones/2017/10/internas%20farc-ep.pdf?la=es&amp;vs=4845</w:t>
        </w:r>
      </w:hyperlink>
      <w:r w:rsidRPr="00C060F9">
        <w:rPr>
          <w:rFonts w:ascii="Century Gothic" w:hAnsi="Century Gothic"/>
          <w:sz w:val="16"/>
          <w:szCs w:val="16"/>
        </w:rPr>
        <w:t xml:space="preserve"> </w:t>
      </w:r>
    </w:p>
    <w:p w14:paraId="7E62B6E2" w14:textId="77777777" w:rsidR="00D2173C" w:rsidRPr="00C060F9" w:rsidRDefault="00D2173C">
      <w:pPr>
        <w:pStyle w:val="Textonotapie"/>
        <w:rPr>
          <w:sz w:val="16"/>
          <w:szCs w:val="16"/>
        </w:rPr>
      </w:pPr>
    </w:p>
  </w:footnote>
  <w:footnote w:id="31">
    <w:p w14:paraId="2C0F043F" w14:textId="77777777" w:rsidR="00D2173C" w:rsidRPr="00C060F9" w:rsidRDefault="00D2173C" w:rsidP="00E804DB">
      <w:pPr>
        <w:pStyle w:val="Textonotapie"/>
        <w:jc w:val="both"/>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Para más información sobre las resoluciones posteriores a la R/1325 relacionadas con la participación de las mujeres en los conflictos armados, consultar: </w:t>
      </w:r>
      <w:hyperlink r:id="rId33" w:history="1">
        <w:r w:rsidRPr="00C060F9">
          <w:rPr>
            <w:rStyle w:val="Hipervnculo"/>
            <w:rFonts w:ascii="Century Gothic" w:hAnsi="Century Gothic"/>
            <w:sz w:val="16"/>
            <w:szCs w:val="16"/>
          </w:rPr>
          <w:t>https://www.unwomen.org/es/what-we-do/peace-and-security/global-norms-and-standards</w:t>
        </w:r>
      </w:hyperlink>
      <w:r w:rsidRPr="00C060F9">
        <w:rPr>
          <w:rFonts w:ascii="Century Gothic" w:hAnsi="Century Gothic"/>
          <w:sz w:val="16"/>
          <w:szCs w:val="16"/>
        </w:rPr>
        <w:t xml:space="preserve"> </w:t>
      </w:r>
    </w:p>
  </w:footnote>
  <w:footnote w:id="32">
    <w:p w14:paraId="5722C060" w14:textId="77777777" w:rsidR="00D2173C" w:rsidRPr="00CA5E8F" w:rsidRDefault="00D2173C">
      <w:pPr>
        <w:pStyle w:val="Textonotapie"/>
        <w:rPr>
          <w:rFonts w:ascii="Century Gothic" w:hAnsi="Century Gothic"/>
          <w:sz w:val="16"/>
          <w:szCs w:val="16"/>
        </w:rPr>
      </w:pPr>
      <w:r w:rsidRPr="00C060F9">
        <w:rPr>
          <w:rStyle w:val="Refdenotaalpie"/>
          <w:rFonts w:ascii="Century Gothic" w:hAnsi="Century Gothic"/>
          <w:sz w:val="16"/>
          <w:szCs w:val="16"/>
        </w:rPr>
        <w:footnoteRef/>
      </w:r>
      <w:r w:rsidRPr="00C060F9">
        <w:rPr>
          <w:rFonts w:ascii="Century Gothic" w:hAnsi="Century Gothic"/>
          <w:sz w:val="16"/>
          <w:szCs w:val="16"/>
        </w:rPr>
        <w:t xml:space="preserve"> Disponible para consulta e: </w:t>
      </w:r>
      <w:hyperlink r:id="rId34" w:history="1">
        <w:r w:rsidRPr="00C060F9">
          <w:rPr>
            <w:rStyle w:val="Hipervnculo"/>
            <w:rFonts w:ascii="Century Gothic" w:hAnsi="Century Gothic"/>
            <w:sz w:val="16"/>
            <w:szCs w:val="16"/>
          </w:rPr>
          <w:t>https://undocs.org/es/S/RES/2467(2019)</w:t>
        </w:r>
      </w:hyperlink>
      <w:r w:rsidRPr="00CA5E8F">
        <w:rPr>
          <w:rFonts w:ascii="Century Gothic" w:hAnsi="Century Gothic"/>
          <w:sz w:val="16"/>
          <w:szCs w:val="16"/>
        </w:rPr>
        <w:t xml:space="preserve"> </w:t>
      </w:r>
    </w:p>
  </w:footnote>
  <w:footnote w:id="33">
    <w:p w14:paraId="6B3AF465" w14:textId="77777777" w:rsidR="00D2173C" w:rsidRPr="00891DF1" w:rsidRDefault="00D2173C">
      <w:pPr>
        <w:pStyle w:val="Textonotapie"/>
      </w:pPr>
      <w:r w:rsidRPr="00CA5E8F">
        <w:rPr>
          <w:rStyle w:val="Refdenotaalpie"/>
          <w:rFonts w:ascii="Century Gothic" w:hAnsi="Century Gothic"/>
          <w:sz w:val="16"/>
          <w:szCs w:val="16"/>
        </w:rPr>
        <w:footnoteRef/>
      </w:r>
      <w:r w:rsidRPr="00CA5E8F">
        <w:rPr>
          <w:rFonts w:ascii="Century Gothic" w:hAnsi="Century Gothic"/>
          <w:sz w:val="16"/>
          <w:szCs w:val="16"/>
        </w:rPr>
        <w:t xml:space="preserve"> Para más información, consultar: </w:t>
      </w:r>
      <w:hyperlink r:id="rId35" w:history="1">
        <w:r w:rsidRPr="00CA5E8F">
          <w:rPr>
            <w:rStyle w:val="Hipervnculo"/>
            <w:rFonts w:ascii="Century Gothic" w:hAnsi="Century Gothic"/>
            <w:sz w:val="16"/>
            <w:szCs w:val="16"/>
          </w:rPr>
          <w:t>https://nacionesunidas.org.co/noticias/actualidad-colombia/mi-cuerpo-dice-la-verdad-es-solidaridad-dignidad-y-cuidado/</w:t>
        </w:r>
      </w:hyperlink>
      <w:r>
        <w:t xml:space="preserve"> </w:t>
      </w:r>
    </w:p>
  </w:footnote>
  <w:footnote w:id="34">
    <w:p w14:paraId="7E1FE4D7" w14:textId="77777777" w:rsidR="00D2173C" w:rsidRPr="00643AEF" w:rsidRDefault="00D2173C" w:rsidP="007A70CE">
      <w:pPr>
        <w:pStyle w:val="Textonotapie"/>
      </w:pPr>
      <w:r>
        <w:rPr>
          <w:rStyle w:val="Refdenotaalpie"/>
        </w:rPr>
        <w:footnoteRef/>
      </w:r>
      <w:r>
        <w:t xml:space="preserve"> </w:t>
      </w:r>
      <w:hyperlink r:id="rId36" w:history="1">
        <w:r w:rsidRPr="00610421">
          <w:rPr>
            <w:rStyle w:val="Hipervnculo"/>
          </w:rPr>
          <w:t>https://www.icrc.org/es/document/la-situacion-humanitaria-en-colombia-se-agravo-en-2018</w:t>
        </w:r>
      </w:hyperlink>
      <w:r>
        <w:t xml:space="preserve"> </w:t>
      </w:r>
    </w:p>
  </w:footnote>
  <w:footnote w:id="35">
    <w:p w14:paraId="4FBEB882" w14:textId="77777777" w:rsidR="00D2173C" w:rsidRPr="001D25F1" w:rsidRDefault="00D2173C" w:rsidP="00D7769E">
      <w:pPr>
        <w:pStyle w:val="Textonotapie"/>
        <w:rPr>
          <w:rFonts w:ascii="Century Gothic" w:hAnsi="Century Gothic"/>
          <w:sz w:val="16"/>
          <w:szCs w:val="16"/>
          <w:lang w:val="es-MX"/>
        </w:rPr>
      </w:pPr>
      <w:r w:rsidRPr="001D25F1">
        <w:rPr>
          <w:rStyle w:val="Refdenotaalpie"/>
          <w:rFonts w:ascii="Century Gothic" w:hAnsi="Century Gothic"/>
          <w:sz w:val="16"/>
          <w:szCs w:val="16"/>
        </w:rPr>
        <w:footnoteRef/>
      </w:r>
      <w:r w:rsidRPr="001D25F1">
        <w:rPr>
          <w:rFonts w:ascii="Century Gothic" w:hAnsi="Century Gothic"/>
          <w:sz w:val="16"/>
          <w:szCs w:val="16"/>
        </w:rPr>
        <w:t xml:space="preserve"> </w:t>
      </w:r>
      <w:hyperlink r:id="rId37" w:history="1">
        <w:r w:rsidRPr="001D25F1">
          <w:rPr>
            <w:rStyle w:val="Hipervnculo"/>
            <w:rFonts w:ascii="Century Gothic" w:hAnsi="Century Gothic"/>
            <w:sz w:val="16"/>
            <w:szCs w:val="16"/>
          </w:rPr>
          <w:t>Páginas - Cifras de aseguramiento en salud (minsalud.gov.co)</w:t>
        </w:r>
      </w:hyperlink>
    </w:p>
  </w:footnote>
  <w:footnote w:id="36">
    <w:p w14:paraId="62B929C4" w14:textId="77777777" w:rsidR="00D2173C" w:rsidRPr="001D25F1" w:rsidRDefault="00D2173C" w:rsidP="00D7769E">
      <w:pPr>
        <w:pStyle w:val="Textonotapie"/>
        <w:rPr>
          <w:rFonts w:ascii="Century Gothic" w:hAnsi="Century Gothic"/>
          <w:sz w:val="16"/>
          <w:szCs w:val="16"/>
          <w:lang w:val="es-MX"/>
        </w:rPr>
      </w:pPr>
      <w:r w:rsidRPr="001D25F1">
        <w:rPr>
          <w:rStyle w:val="Refdenotaalpie"/>
          <w:rFonts w:ascii="Century Gothic" w:hAnsi="Century Gothic"/>
          <w:sz w:val="16"/>
          <w:szCs w:val="16"/>
        </w:rPr>
        <w:footnoteRef/>
      </w:r>
      <w:r w:rsidRPr="001D25F1">
        <w:rPr>
          <w:rFonts w:ascii="Century Gothic" w:hAnsi="Century Gothic"/>
          <w:sz w:val="16"/>
          <w:szCs w:val="16"/>
        </w:rPr>
        <w:t xml:space="preserve"> </w:t>
      </w:r>
      <w:hyperlink r:id="rId38" w:history="1">
        <w:r w:rsidRPr="001D25F1">
          <w:rPr>
            <w:rStyle w:val="Hipervnculo"/>
            <w:rFonts w:ascii="Century Gothic" w:hAnsi="Century Gothic"/>
            <w:sz w:val="16"/>
            <w:szCs w:val="16"/>
          </w:rPr>
          <w:t>boletines-poblacionales-genero.pdf (minsalud.gov.co)</w:t>
        </w:r>
      </w:hyperlink>
    </w:p>
  </w:footnote>
  <w:footnote w:id="37">
    <w:p w14:paraId="74843C89" w14:textId="77777777" w:rsidR="00D2173C" w:rsidRDefault="00D2173C" w:rsidP="00D7769E">
      <w:pPr>
        <w:pBdr>
          <w:top w:val="nil"/>
          <w:left w:val="nil"/>
          <w:bottom w:val="nil"/>
          <w:right w:val="nil"/>
          <w:between w:val="nil"/>
        </w:pBdr>
        <w:spacing w:after="0" w:line="240" w:lineRule="auto"/>
        <w:jc w:val="both"/>
        <w:rPr>
          <w:color w:val="000000"/>
          <w:sz w:val="16"/>
          <w:szCs w:val="16"/>
        </w:rPr>
      </w:pPr>
      <w:r w:rsidRPr="001D25F1">
        <w:rPr>
          <w:rStyle w:val="Refdenotaalpie"/>
          <w:rFonts w:ascii="Century Gothic" w:hAnsi="Century Gothic"/>
          <w:sz w:val="16"/>
          <w:szCs w:val="16"/>
        </w:rPr>
        <w:footnoteRef/>
      </w:r>
      <w:r w:rsidRPr="001D25F1">
        <w:rPr>
          <w:rFonts w:ascii="Century Gothic" w:hAnsi="Century Gothic"/>
          <w:color w:val="000000"/>
          <w:sz w:val="16"/>
          <w:szCs w:val="16"/>
        </w:rPr>
        <w:t xml:space="preserve"> Organización Panamericana de la Salud, Organización Mundial de la Salud (2015). Hacia la Cobertura Universal de Salud y la Equidad en América Latina y el Caribe.</w:t>
      </w:r>
      <w:r>
        <w:rPr>
          <w:color w:val="000000"/>
          <w:sz w:val="16"/>
          <w:szCs w:val="16"/>
        </w:rPr>
        <w:t xml:space="preserve"> </w:t>
      </w:r>
    </w:p>
  </w:footnote>
  <w:footnote w:id="38">
    <w:p w14:paraId="10134909" w14:textId="77777777" w:rsidR="00D2173C" w:rsidRPr="00DE6F05" w:rsidRDefault="00D2173C" w:rsidP="00D7769E">
      <w:pPr>
        <w:pStyle w:val="Textonotapie"/>
      </w:pPr>
      <w:r>
        <w:rPr>
          <w:rStyle w:val="Refdenotaalpie"/>
        </w:rPr>
        <w:footnoteRef/>
      </w:r>
      <w:r>
        <w:t xml:space="preserve"> </w:t>
      </w:r>
      <w:hyperlink r:id="rId39" w:history="1">
        <w:r>
          <w:rPr>
            <w:rStyle w:val="Hipervnculo"/>
          </w:rPr>
          <w:t>indicadores-basicos-salud-2018.pdf (minsalud.gov.co)</w:t>
        </w:r>
      </w:hyperlink>
      <w:r>
        <w:t xml:space="preserve"> </w:t>
      </w:r>
    </w:p>
  </w:footnote>
  <w:footnote w:id="39">
    <w:p w14:paraId="4EE59C16" w14:textId="77777777" w:rsidR="00D2173C" w:rsidRPr="00F22D1B" w:rsidRDefault="00D2173C" w:rsidP="00D7769E">
      <w:pPr>
        <w:pStyle w:val="Textonotapie"/>
      </w:pPr>
      <w:r>
        <w:rPr>
          <w:rStyle w:val="Refdenotaalpie"/>
        </w:rPr>
        <w:footnoteRef/>
      </w:r>
      <w:r>
        <w:t xml:space="preserve"> </w:t>
      </w:r>
      <w:hyperlink r:id="rId40" w:history="1">
        <w:r>
          <w:rPr>
            <w:rStyle w:val="Hipervnculo"/>
          </w:rPr>
          <w:t>indicadores-basicos-salud-2018.pdf (minsalud.gov.co)</w:t>
        </w:r>
      </w:hyperlink>
    </w:p>
  </w:footnote>
  <w:footnote w:id="40">
    <w:p w14:paraId="59A1CC36" w14:textId="77777777" w:rsidR="00D2173C" w:rsidRPr="001D25F1" w:rsidRDefault="00D2173C" w:rsidP="00D7769E">
      <w:pPr>
        <w:pStyle w:val="Textonotapie"/>
        <w:rPr>
          <w:sz w:val="16"/>
          <w:szCs w:val="16"/>
        </w:rPr>
      </w:pPr>
      <w:r w:rsidRPr="001D25F1">
        <w:rPr>
          <w:rStyle w:val="Refdenotaalpie"/>
          <w:sz w:val="16"/>
          <w:szCs w:val="16"/>
        </w:rPr>
        <w:footnoteRef/>
      </w:r>
      <w:r w:rsidRPr="001D25F1">
        <w:rPr>
          <w:sz w:val="16"/>
          <w:szCs w:val="16"/>
        </w:rPr>
        <w:t xml:space="preserve"> </w:t>
      </w:r>
      <w:hyperlink r:id="rId41" w:history="1">
        <w:r w:rsidRPr="001D25F1">
          <w:rPr>
            <w:rStyle w:val="Hipervnculo"/>
            <w:sz w:val="16"/>
            <w:szCs w:val="16"/>
          </w:rPr>
          <w:t>Páginas - Malaria (minsalud.gov.co)</w:t>
        </w:r>
      </w:hyperlink>
    </w:p>
  </w:footnote>
  <w:footnote w:id="41">
    <w:p w14:paraId="2F2413C0" w14:textId="77777777" w:rsidR="00D2173C" w:rsidRPr="00116348" w:rsidRDefault="00D2173C" w:rsidP="00D7769E">
      <w:pPr>
        <w:pStyle w:val="Textonotapie"/>
      </w:pPr>
      <w:r w:rsidRPr="001D25F1">
        <w:rPr>
          <w:rStyle w:val="Refdenotaalpie"/>
          <w:sz w:val="16"/>
          <w:szCs w:val="16"/>
        </w:rPr>
        <w:footnoteRef/>
      </w:r>
      <w:r w:rsidRPr="001D25F1">
        <w:rPr>
          <w:sz w:val="16"/>
          <w:szCs w:val="16"/>
        </w:rPr>
        <w:t xml:space="preserve"> </w:t>
      </w:r>
      <w:hyperlink r:id="rId42" w:history="1">
        <w:r w:rsidRPr="001D25F1">
          <w:rPr>
            <w:rStyle w:val="Hipervnculo"/>
            <w:sz w:val="16"/>
            <w:szCs w:val="16"/>
          </w:rPr>
          <w:t>ZIKA 2017.pdf (ins.gov.co)</w:t>
        </w:r>
      </w:hyperlink>
      <w:r w:rsidRPr="001D25F1">
        <w:rPr>
          <w:sz w:val="16"/>
          <w:szCs w:val="16"/>
        </w:rPr>
        <w:t xml:space="preserve"> </w:t>
      </w:r>
      <w:hyperlink r:id="rId43" w:history="1">
        <w:r w:rsidRPr="001D25F1">
          <w:rPr>
            <w:rStyle w:val="Hipervnculo"/>
            <w:sz w:val="16"/>
            <w:szCs w:val="16"/>
          </w:rPr>
          <w:t>ZIKA 2017.pdf (ins.gov.co)</w:t>
        </w:r>
      </w:hyperlink>
      <w:r>
        <w:t xml:space="preserve"> </w:t>
      </w:r>
    </w:p>
  </w:footnote>
  <w:footnote w:id="42">
    <w:p w14:paraId="16168851" w14:textId="77777777" w:rsidR="00D2173C" w:rsidRPr="001D25F1" w:rsidRDefault="00D2173C" w:rsidP="00D7769E">
      <w:pPr>
        <w:pStyle w:val="Textonotapie"/>
        <w:rPr>
          <w:rFonts w:ascii="Century Gothic" w:hAnsi="Century Gothic"/>
          <w:sz w:val="16"/>
          <w:szCs w:val="16"/>
        </w:rPr>
      </w:pPr>
      <w:r w:rsidRPr="001D25F1">
        <w:rPr>
          <w:rStyle w:val="Refdenotaalpie"/>
          <w:rFonts w:ascii="Century Gothic" w:hAnsi="Century Gothic"/>
          <w:sz w:val="16"/>
          <w:szCs w:val="16"/>
        </w:rPr>
        <w:footnoteRef/>
      </w:r>
      <w:r w:rsidRPr="001D25F1">
        <w:rPr>
          <w:rFonts w:ascii="Century Gothic" w:hAnsi="Century Gothic"/>
          <w:sz w:val="16"/>
          <w:szCs w:val="16"/>
        </w:rPr>
        <w:t xml:space="preserve"> </w:t>
      </w:r>
      <w:hyperlink r:id="rId44" w:history="1">
        <w:r w:rsidRPr="001D25F1">
          <w:rPr>
            <w:rStyle w:val="Hipervnculo"/>
            <w:rFonts w:ascii="Century Gothic" w:hAnsi="Century Gothic"/>
            <w:sz w:val="16"/>
            <w:szCs w:val="16"/>
          </w:rPr>
          <w:t>2019 Boletín epidemiológico semana 30.pdf (ins.gov.co)</w:t>
        </w:r>
      </w:hyperlink>
    </w:p>
  </w:footnote>
  <w:footnote w:id="43">
    <w:p w14:paraId="79783D8D" w14:textId="77777777" w:rsidR="00D2173C" w:rsidRPr="001D25F1" w:rsidRDefault="00D2173C" w:rsidP="00F75F90">
      <w:pPr>
        <w:pStyle w:val="Textonotapie"/>
        <w:rPr>
          <w:rFonts w:ascii="Century Gothic" w:hAnsi="Century Gothic"/>
          <w:sz w:val="16"/>
          <w:szCs w:val="16"/>
        </w:rPr>
      </w:pPr>
      <w:r w:rsidRPr="001D25F1">
        <w:rPr>
          <w:rStyle w:val="Refdenotaalpie"/>
          <w:rFonts w:ascii="Century Gothic" w:hAnsi="Century Gothic"/>
          <w:sz w:val="16"/>
          <w:szCs w:val="16"/>
        </w:rPr>
        <w:footnoteRef/>
      </w:r>
      <w:r w:rsidRPr="001D25F1">
        <w:rPr>
          <w:rFonts w:ascii="Century Gothic" w:hAnsi="Century Gothic"/>
          <w:sz w:val="16"/>
          <w:szCs w:val="16"/>
        </w:rPr>
        <w:t xml:space="preserve"> </w:t>
      </w:r>
      <w:hyperlink r:id="rId45" w:history="1">
        <w:r w:rsidRPr="001D25F1">
          <w:rPr>
            <w:rStyle w:val="Hipervnculo"/>
            <w:rFonts w:ascii="Century Gothic" w:hAnsi="Century Gothic"/>
            <w:sz w:val="16"/>
            <w:szCs w:val="16"/>
          </w:rPr>
          <w:t>Boletín técnico Informe de seguimiento - Defunciones por COVID-19 (2 de marzo 2020pr al 9 de mayo 2021pr) (dane.gov.co)</w:t>
        </w:r>
      </w:hyperlink>
      <w:r w:rsidRPr="001D25F1">
        <w:rPr>
          <w:rFonts w:ascii="Century Gothic" w:hAnsi="Century Gothic"/>
          <w:sz w:val="16"/>
          <w:szCs w:val="16"/>
        </w:rPr>
        <w:t xml:space="preserve"> </w:t>
      </w:r>
    </w:p>
  </w:footnote>
  <w:footnote w:id="44">
    <w:p w14:paraId="14DE37EC" w14:textId="77777777" w:rsidR="00D2173C" w:rsidRPr="00E804F2" w:rsidRDefault="00D2173C" w:rsidP="00F75F90">
      <w:pPr>
        <w:pStyle w:val="Textonotapie"/>
      </w:pPr>
      <w:r w:rsidRPr="001D25F1">
        <w:rPr>
          <w:rStyle w:val="Refdenotaalpie"/>
          <w:rFonts w:ascii="Century Gothic" w:hAnsi="Century Gothic"/>
          <w:sz w:val="16"/>
          <w:szCs w:val="16"/>
        </w:rPr>
        <w:footnoteRef/>
      </w:r>
      <w:hyperlink r:id="rId46" w:history="1">
        <w:r w:rsidRPr="001D25F1">
          <w:rPr>
            <w:rStyle w:val="Hipervnculo"/>
            <w:rFonts w:ascii="Century Gothic" w:hAnsi="Century Gothic"/>
            <w:sz w:val="16"/>
            <w:szCs w:val="16"/>
          </w:rPr>
          <w:t>https://app.powerbi.com/view?r=eyJrIjoiYjY5MDAzYzUtMjViOS00YjRiLWEzN2YtMTUyODQ0NGIyMDJhIiwidCI6ImJmYjdlMTNhLTdmYjctNDAxNi04MzBjLWQzNzE2ZThkZDhiOCJ9&amp;pageName=ReportSection6c59896d000b0ac7de98</w:t>
        </w:r>
      </w:hyperlink>
      <w:r>
        <w:t xml:space="preserve"> </w:t>
      </w:r>
    </w:p>
  </w:footnote>
  <w:footnote w:id="45">
    <w:p w14:paraId="2C140937" w14:textId="77777777" w:rsidR="00D2173C" w:rsidRPr="00292D46" w:rsidRDefault="00D2173C" w:rsidP="00F75F90">
      <w:pPr>
        <w:pStyle w:val="Textonotapie"/>
        <w:rPr>
          <w:rFonts w:ascii="Century Gothic" w:hAnsi="Century Gothic"/>
          <w:sz w:val="16"/>
          <w:szCs w:val="16"/>
        </w:rPr>
      </w:pPr>
      <w:r w:rsidRPr="00292D46">
        <w:rPr>
          <w:rStyle w:val="Refdenotaalpie"/>
          <w:rFonts w:ascii="Century Gothic" w:hAnsi="Century Gothic"/>
          <w:sz w:val="16"/>
          <w:szCs w:val="16"/>
        </w:rPr>
        <w:footnoteRef/>
      </w:r>
      <w:r w:rsidRPr="00292D46">
        <w:rPr>
          <w:rFonts w:ascii="Century Gothic" w:hAnsi="Century Gothic"/>
          <w:sz w:val="16"/>
          <w:szCs w:val="16"/>
        </w:rPr>
        <w:t xml:space="preserve"> </w:t>
      </w:r>
      <w:hyperlink r:id="rId47" w:history="1">
        <w:r w:rsidRPr="00292D46">
          <w:rPr>
            <w:rStyle w:val="Hipervnculo"/>
            <w:rFonts w:ascii="Century Gothic" w:hAnsi="Century Gothic"/>
            <w:sz w:val="16"/>
            <w:szCs w:val="16"/>
          </w:rPr>
          <w:t>Boletín técnico Encuesta nacional de consumo de sustancias psicoactivas (ENCSPA) 2019 (dane.gov.co)</w:t>
        </w:r>
      </w:hyperlink>
      <w:r w:rsidRPr="00292D46">
        <w:rPr>
          <w:rFonts w:ascii="Century Gothic" w:hAnsi="Century Gothic"/>
          <w:sz w:val="16"/>
          <w:szCs w:val="16"/>
        </w:rPr>
        <w:t xml:space="preserve"> </w:t>
      </w:r>
    </w:p>
  </w:footnote>
  <w:footnote w:id="46">
    <w:p w14:paraId="17B24A77" w14:textId="77777777" w:rsidR="00D2173C" w:rsidRPr="00292D46" w:rsidRDefault="00D2173C" w:rsidP="00F75F90">
      <w:pPr>
        <w:pStyle w:val="Textonotapie"/>
        <w:rPr>
          <w:rFonts w:ascii="Century Gothic" w:hAnsi="Century Gothic"/>
          <w:sz w:val="16"/>
          <w:szCs w:val="16"/>
          <w:lang w:val="es-MX"/>
        </w:rPr>
      </w:pPr>
      <w:r w:rsidRPr="00292D46">
        <w:rPr>
          <w:rStyle w:val="Refdenotaalpie"/>
          <w:rFonts w:ascii="Century Gothic" w:hAnsi="Century Gothic"/>
          <w:sz w:val="16"/>
          <w:szCs w:val="16"/>
        </w:rPr>
        <w:footnoteRef/>
      </w:r>
      <w:r w:rsidRPr="00292D46">
        <w:rPr>
          <w:rFonts w:ascii="Century Gothic" w:hAnsi="Century Gothic"/>
          <w:sz w:val="16"/>
          <w:szCs w:val="16"/>
        </w:rPr>
        <w:t xml:space="preserve"> </w:t>
      </w:r>
      <w:hyperlink r:id="rId48" w:history="1">
        <w:r w:rsidRPr="00292D46">
          <w:rPr>
            <w:rStyle w:val="Hipervnculo"/>
            <w:rFonts w:ascii="Century Gothic" w:hAnsi="Century Gothic"/>
            <w:sz w:val="16"/>
            <w:szCs w:val="16"/>
          </w:rPr>
          <w:t>http://rssvr2.sispro.gov.co/reportesasis2/</w:t>
        </w:r>
      </w:hyperlink>
      <w:r w:rsidRPr="00292D46">
        <w:rPr>
          <w:rFonts w:ascii="Century Gothic" w:hAnsi="Century Gothic"/>
          <w:sz w:val="16"/>
          <w:szCs w:val="16"/>
        </w:rPr>
        <w:t xml:space="preserve"> </w:t>
      </w:r>
    </w:p>
  </w:footnote>
  <w:footnote w:id="47">
    <w:p w14:paraId="2DDF75A6" w14:textId="77777777" w:rsidR="00D2173C" w:rsidRPr="0049584C" w:rsidRDefault="00D2173C" w:rsidP="00F75F90">
      <w:pPr>
        <w:pStyle w:val="Textonotapie"/>
        <w:rPr>
          <w:rFonts w:ascii="Century Gothic" w:hAnsi="Century Gothic"/>
          <w:sz w:val="16"/>
          <w:szCs w:val="16"/>
        </w:rPr>
      </w:pPr>
      <w:r w:rsidRPr="0049584C">
        <w:rPr>
          <w:rStyle w:val="Refdenotaalpie"/>
          <w:rFonts w:ascii="Century Gothic" w:hAnsi="Century Gothic"/>
          <w:sz w:val="16"/>
          <w:szCs w:val="16"/>
        </w:rPr>
        <w:footnoteRef/>
      </w:r>
      <w:r w:rsidRPr="0049584C">
        <w:rPr>
          <w:rFonts w:ascii="Century Gothic" w:hAnsi="Century Gothic"/>
          <w:sz w:val="16"/>
          <w:szCs w:val="16"/>
        </w:rPr>
        <w:t xml:space="preserve"> </w:t>
      </w:r>
      <w:hyperlink r:id="rId49" w:history="1">
        <w:r w:rsidRPr="0049584C">
          <w:rPr>
            <w:rStyle w:val="Hipervnculo"/>
            <w:rFonts w:ascii="Century Gothic" w:hAnsi="Century Gothic"/>
            <w:sz w:val="16"/>
            <w:szCs w:val="16"/>
          </w:rPr>
          <w:t>https://www.ins.gov.co/buscador-eventos/Informesdeevento/C%C3%81NCER%20DE%20MAMA%20Y%20CUELLO%20UTERINO_2018.pdf</w:t>
        </w:r>
      </w:hyperlink>
      <w:r w:rsidRPr="0049584C">
        <w:rPr>
          <w:rFonts w:ascii="Century Gothic" w:hAnsi="Century Gothic"/>
          <w:sz w:val="16"/>
          <w:szCs w:val="16"/>
        </w:rPr>
        <w:t xml:space="preserve"> </w:t>
      </w:r>
    </w:p>
  </w:footnote>
  <w:footnote w:id="48">
    <w:p w14:paraId="70B1208B" w14:textId="77777777" w:rsidR="00D2173C" w:rsidRPr="00E46859" w:rsidRDefault="00D2173C" w:rsidP="00F75F90">
      <w:pPr>
        <w:pStyle w:val="Textonotapie"/>
        <w:rPr>
          <w:rFonts w:ascii="Century Gothic" w:hAnsi="Century Gothic"/>
          <w:sz w:val="16"/>
          <w:szCs w:val="16"/>
        </w:rPr>
      </w:pPr>
      <w:r w:rsidRPr="00E46859">
        <w:rPr>
          <w:rStyle w:val="Refdenotaalpie"/>
          <w:rFonts w:ascii="Century Gothic" w:hAnsi="Century Gothic"/>
          <w:sz w:val="16"/>
          <w:szCs w:val="16"/>
        </w:rPr>
        <w:footnoteRef/>
      </w:r>
      <w:r w:rsidRPr="00E46859">
        <w:rPr>
          <w:rFonts w:ascii="Century Gothic" w:hAnsi="Century Gothic"/>
          <w:sz w:val="16"/>
          <w:szCs w:val="16"/>
        </w:rPr>
        <w:t xml:space="preserve"> </w:t>
      </w:r>
      <w:hyperlink r:id="rId50" w:history="1">
        <w:r w:rsidRPr="00E46859">
          <w:rPr>
            <w:rStyle w:val="Hipervnculo"/>
            <w:rFonts w:ascii="Century Gothic" w:hAnsi="Century Gothic"/>
            <w:sz w:val="16"/>
            <w:szCs w:val="16"/>
          </w:rPr>
          <w:t>20161212_B_ENDS 2015_Metodos_anticonceptivos.pdf (minsalud.gov.co)</w:t>
        </w:r>
      </w:hyperlink>
    </w:p>
  </w:footnote>
  <w:footnote w:id="49">
    <w:p w14:paraId="563A5A06" w14:textId="77777777" w:rsidR="00D2173C" w:rsidRPr="00E46859" w:rsidRDefault="00D2173C" w:rsidP="00F75F90">
      <w:pPr>
        <w:pStyle w:val="Textonotapie"/>
        <w:rPr>
          <w:rFonts w:ascii="Century Gothic" w:hAnsi="Century Gothic"/>
          <w:sz w:val="16"/>
          <w:szCs w:val="16"/>
          <w:lang w:val="es-MX"/>
        </w:rPr>
      </w:pPr>
      <w:r w:rsidRPr="00E46859">
        <w:rPr>
          <w:rStyle w:val="Refdenotaalpie"/>
          <w:rFonts w:ascii="Century Gothic" w:hAnsi="Century Gothic"/>
          <w:sz w:val="16"/>
          <w:szCs w:val="16"/>
        </w:rPr>
        <w:footnoteRef/>
      </w:r>
      <w:r w:rsidRPr="00E46859">
        <w:rPr>
          <w:rFonts w:ascii="Century Gothic" w:hAnsi="Century Gothic"/>
          <w:sz w:val="16"/>
          <w:szCs w:val="16"/>
        </w:rPr>
        <w:t xml:space="preserve"> </w:t>
      </w:r>
      <w:hyperlink r:id="rId51" w:history="1">
        <w:r w:rsidRPr="00E46859">
          <w:rPr>
            <w:rStyle w:val="Hipervnculo"/>
            <w:rFonts w:ascii="Century Gothic" w:hAnsi="Century Gothic"/>
            <w:sz w:val="16"/>
            <w:szCs w:val="16"/>
          </w:rPr>
          <w:t>https://www.ins.gov.co/Noticias/Paginas/INS-revela-qu%C3%A9-tan-bien-o-mal-nutridos-est%C3%A1n-los-colombianos.aspx</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58AC2" w14:textId="77777777" w:rsidR="00D2173C" w:rsidRDefault="00D2173C">
    <w:pPr>
      <w:pStyle w:val="Encabezado"/>
    </w:pPr>
    <w:r>
      <w:rPr>
        <w:rFonts w:ascii="Century Gothic" w:hAnsi="Century Gothic"/>
        <w:b/>
        <w:noProof/>
        <w:color w:val="000000"/>
        <w:lang w:val="es-ES"/>
      </w:rPr>
      <w:drawing>
        <wp:anchor distT="0" distB="0" distL="114300" distR="114300" simplePos="0" relativeHeight="251659264" behindDoc="0" locked="0" layoutInCell="1" allowOverlap="1" wp14:anchorId="14C7E8DD" wp14:editId="7C4D7994">
          <wp:simplePos x="0" y="0"/>
          <wp:positionH relativeFrom="column">
            <wp:posOffset>-1143000</wp:posOffset>
          </wp:positionH>
          <wp:positionV relativeFrom="paragraph">
            <wp:posOffset>-464185</wp:posOffset>
          </wp:positionV>
          <wp:extent cx="7632000" cy="10799445"/>
          <wp:effectExtent l="0" t="0" r="0" b="0"/>
          <wp:wrapNone/>
          <wp:docPr id="323" name="Imagen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AGINAS_DISEÑO_UE_LIBRO1-03.png"/>
                  <pic:cNvPicPr/>
                </pic:nvPicPr>
                <pic:blipFill>
                  <a:blip r:embed="rId1">
                    <a:extLst>
                      <a:ext uri="{28A0092B-C50C-407E-A947-70E740481C1C}">
                        <a14:useLocalDpi xmlns:a14="http://schemas.microsoft.com/office/drawing/2010/main" val="0"/>
                      </a:ext>
                    </a:extLst>
                  </a:blip>
                  <a:stretch>
                    <a:fillRect/>
                  </a:stretch>
                </pic:blipFill>
                <pic:spPr>
                  <a:xfrm>
                    <a:off x="0" y="0"/>
                    <a:ext cx="7632000" cy="107994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AD67A" w14:textId="1094D04A" w:rsidR="00D2173C" w:rsidRDefault="00D2173C">
    <w:pPr>
      <w:pBdr>
        <w:top w:val="nil"/>
        <w:left w:val="nil"/>
        <w:bottom w:val="nil"/>
        <w:right w:val="nil"/>
        <w:between w:val="nil"/>
      </w:pBdr>
      <w:tabs>
        <w:tab w:val="center" w:pos="4252"/>
        <w:tab w:val="right" w:pos="8504"/>
      </w:tabs>
      <w:spacing w:after="0" w:line="240" w:lineRule="auto"/>
      <w:rPr>
        <w:color w:val="000000"/>
        <w:sz w:val="24"/>
        <w:szCs w:val="24"/>
      </w:rPr>
    </w:pPr>
    <w:r>
      <w:rPr>
        <w:noProof/>
        <w:lang w:val="es-ES" w:eastAsia="es-ES"/>
      </w:rPr>
      <mc:AlternateContent>
        <mc:Choice Requires="wps">
          <w:drawing>
            <wp:anchor distT="0" distB="0" distL="114300" distR="114300" simplePos="0" relativeHeight="251668480" behindDoc="0" locked="0" layoutInCell="1" allowOverlap="1" wp14:anchorId="38076560" wp14:editId="13990DBB">
              <wp:simplePos x="0" y="0"/>
              <wp:positionH relativeFrom="column">
                <wp:posOffset>3086100</wp:posOffset>
              </wp:positionH>
              <wp:positionV relativeFrom="paragraph">
                <wp:posOffset>-235585</wp:posOffset>
              </wp:positionV>
              <wp:extent cx="3200400" cy="457200"/>
              <wp:effectExtent l="0" t="0" r="0" b="0"/>
              <wp:wrapNone/>
              <wp:docPr id="343" name="Cuadro de texto 343"/>
              <wp:cNvGraphicFramePr/>
              <a:graphic xmlns:a="http://schemas.openxmlformats.org/drawingml/2006/main">
                <a:graphicData uri="http://schemas.microsoft.com/office/word/2010/wordprocessingShape">
                  <wps:wsp>
                    <wps:cNvSpPr txBox="1"/>
                    <wps:spPr>
                      <a:xfrm>
                        <a:off x="0" y="0"/>
                        <a:ext cx="3200400" cy="457200"/>
                      </a:xfrm>
                      <a:prstGeom prst="rect">
                        <a:avLst/>
                      </a:prstGeom>
                      <a:noFill/>
                      <a:ln w="6350">
                        <a:noFill/>
                      </a:ln>
                    </wps:spPr>
                    <wps:txbx>
                      <w:txbxContent>
                        <w:p w14:paraId="510CF97A" w14:textId="0E4D0299" w:rsidR="00D2173C" w:rsidRPr="00370D09" w:rsidRDefault="00D2173C" w:rsidP="00370D09">
                          <w:pPr>
                            <w:pStyle w:val="Sinespaciado"/>
                            <w:jc w:val="center"/>
                            <w:rPr>
                              <w:rFonts w:ascii="Century Gothic" w:eastAsiaTheme="majorEastAsia" w:hAnsi="Century Gothic" w:cstheme="majorBidi"/>
                              <w:b/>
                              <w:color w:val="FFFFFF" w:themeColor="background1"/>
                              <w:sz w:val="24"/>
                              <w:szCs w:val="24"/>
                            </w:rPr>
                          </w:pPr>
                          <w:r>
                            <w:rPr>
                              <w:rFonts w:ascii="Century Gothic" w:eastAsiaTheme="majorEastAsia" w:hAnsi="Century Gothic" w:cstheme="majorBidi"/>
                              <w:b/>
                              <w:color w:val="FFFFFF" w:themeColor="background1"/>
                              <w:sz w:val="24"/>
                              <w:szCs w:val="24"/>
                            </w:rPr>
                            <w:t>Perfil de género Colombia</w:t>
                          </w:r>
                        </w:p>
                        <w:p w14:paraId="79CBA83D" w14:textId="77777777" w:rsidR="00D2173C" w:rsidRPr="00694604" w:rsidRDefault="00D2173C" w:rsidP="00370D09">
                          <w:pPr>
                            <w:jc w:val="center"/>
                            <w:rPr>
                              <w:color w:val="17365D" w:themeColor="text2" w:themeShade="BF"/>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343" o:spid="_x0000_s1028" type="#_x0000_t202" style="position:absolute;margin-left:243pt;margin-top:-18.5pt;width:252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" filled="f" stroked="f" strokeweight=".5pt">
              <v:textbox>
                <w:txbxContent>
                  <w:p w14:paraId="510CF97A" w14:textId="0E4D0299" w:rsidR="00D2173C" w:rsidRPr="00370D09" w:rsidRDefault="00D2173C" w:rsidP="00370D09">
                    <w:pPr>
                      <w:pStyle w:val="Sinespaciado"/>
                      <w:jc w:val="center"/>
                      <w:rPr>
                        <w:rFonts w:ascii="Century Gothic" w:eastAsiaTheme="majorEastAsia" w:hAnsi="Century Gothic" w:cstheme="majorBidi"/>
                        <w:b/>
                        <w:color w:val="FFFFFF" w:themeColor="background1"/>
                        <w:sz w:val="24"/>
                        <w:szCs w:val="24"/>
                      </w:rPr>
                    </w:pPr>
                    <w:r>
                      <w:rPr>
                        <w:rFonts w:ascii="Century Gothic" w:eastAsiaTheme="majorEastAsia" w:hAnsi="Century Gothic" w:cstheme="majorBidi"/>
                        <w:b/>
                        <w:color w:val="FFFFFF" w:themeColor="background1"/>
                        <w:sz w:val="24"/>
                        <w:szCs w:val="24"/>
                      </w:rPr>
                      <w:t>Perfil de género Colombia</w:t>
                    </w:r>
                  </w:p>
                  <w:p w14:paraId="79CBA83D" w14:textId="77777777" w:rsidR="00D2173C" w:rsidRPr="00694604" w:rsidRDefault="00D2173C" w:rsidP="00370D09">
                    <w:pPr>
                      <w:jc w:val="center"/>
                      <w:rPr>
                        <w:color w:val="17365D" w:themeColor="text2" w:themeShade="BF"/>
                        <w:sz w:val="16"/>
                        <w:szCs w:val="16"/>
                      </w:rPr>
                    </w:pPr>
                  </w:p>
                </w:txbxContent>
              </v:textbox>
            </v:shape>
          </w:pict>
        </mc:Fallback>
      </mc:AlternateContent>
    </w:r>
    <w:r>
      <w:rPr>
        <w:noProof/>
        <w:color w:val="000000"/>
        <w:sz w:val="24"/>
        <w:szCs w:val="24"/>
        <w:lang w:val="es-ES" w:eastAsia="es-ES"/>
      </w:rPr>
      <w:drawing>
        <wp:anchor distT="0" distB="0" distL="114300" distR="114300" simplePos="0" relativeHeight="251661312" behindDoc="1" locked="0" layoutInCell="1" allowOverlap="1" wp14:anchorId="39734890" wp14:editId="76B22EE8">
          <wp:simplePos x="0" y="0"/>
          <wp:positionH relativeFrom="column">
            <wp:posOffset>-1143000</wp:posOffset>
          </wp:positionH>
          <wp:positionV relativeFrom="paragraph">
            <wp:posOffset>-464185</wp:posOffset>
          </wp:positionV>
          <wp:extent cx="7632000" cy="808283"/>
          <wp:effectExtent l="0" t="0" r="0" b="5080"/>
          <wp:wrapNone/>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5.png"/>
                  <pic:cNvPicPr/>
                </pic:nvPicPr>
                <pic:blipFill>
                  <a:blip r:embed="rId1">
                    <a:extLst>
                      <a:ext uri="{28A0092B-C50C-407E-A947-70E740481C1C}">
                        <a14:useLocalDpi xmlns:a14="http://schemas.microsoft.com/office/drawing/2010/main" val="0"/>
                      </a:ext>
                    </a:extLst>
                  </a:blip>
                  <a:stretch>
                    <a:fillRect/>
                  </a:stretch>
                </pic:blipFill>
                <pic:spPr>
                  <a:xfrm>
                    <a:off x="0" y="0"/>
                    <a:ext cx="7632000" cy="80828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DA363" w14:textId="60D10CFC" w:rsidR="00D2173C" w:rsidRDefault="00D2173C">
    <w:pPr>
      <w:pStyle w:val="Encabezado"/>
    </w:pPr>
    <w:r>
      <w:rPr>
        <w:noProof/>
        <w:lang w:val="es-ES"/>
      </w:rPr>
      <mc:AlternateContent>
        <mc:Choice Requires="wps">
          <w:drawing>
            <wp:anchor distT="0" distB="0" distL="114300" distR="114300" simplePos="0" relativeHeight="251670528" behindDoc="0" locked="0" layoutInCell="1" allowOverlap="1" wp14:anchorId="4EEC047A" wp14:editId="5455D08B">
              <wp:simplePos x="0" y="0"/>
              <wp:positionH relativeFrom="column">
                <wp:posOffset>3086100</wp:posOffset>
              </wp:positionH>
              <wp:positionV relativeFrom="paragraph">
                <wp:posOffset>-235585</wp:posOffset>
              </wp:positionV>
              <wp:extent cx="3200400" cy="457200"/>
              <wp:effectExtent l="0" t="0" r="0" b="0"/>
              <wp:wrapNone/>
              <wp:docPr id="348" name="Cuadro de texto 348"/>
              <wp:cNvGraphicFramePr/>
              <a:graphic xmlns:a="http://schemas.openxmlformats.org/drawingml/2006/main">
                <a:graphicData uri="http://schemas.microsoft.com/office/word/2010/wordprocessingShape">
                  <wps:wsp>
                    <wps:cNvSpPr txBox="1"/>
                    <wps:spPr>
                      <a:xfrm>
                        <a:off x="0" y="0"/>
                        <a:ext cx="3200400" cy="457200"/>
                      </a:xfrm>
                      <a:prstGeom prst="rect">
                        <a:avLst/>
                      </a:prstGeom>
                      <a:noFill/>
                      <a:ln w="6350">
                        <a:noFill/>
                      </a:ln>
                    </wps:spPr>
                    <wps:txbx>
                      <w:txbxContent>
                        <w:p w14:paraId="78C0EBB1" w14:textId="77777777" w:rsidR="00D2173C" w:rsidRPr="00370D09" w:rsidRDefault="00D2173C" w:rsidP="0089786B">
                          <w:pPr>
                            <w:pStyle w:val="Sinespaciado"/>
                            <w:jc w:val="center"/>
                            <w:rPr>
                              <w:rFonts w:ascii="Century Gothic" w:eastAsiaTheme="majorEastAsia" w:hAnsi="Century Gothic" w:cstheme="majorBidi"/>
                              <w:b/>
                              <w:color w:val="FFFFFF" w:themeColor="background1"/>
                              <w:sz w:val="24"/>
                              <w:szCs w:val="24"/>
                            </w:rPr>
                          </w:pPr>
                          <w:r>
                            <w:rPr>
                              <w:rFonts w:ascii="Century Gothic" w:eastAsiaTheme="majorEastAsia" w:hAnsi="Century Gothic" w:cstheme="majorBidi"/>
                              <w:b/>
                              <w:color w:val="FFFFFF" w:themeColor="background1"/>
                              <w:sz w:val="24"/>
                              <w:szCs w:val="24"/>
                            </w:rPr>
                            <w:t>Perfil de género Colombia</w:t>
                          </w:r>
                        </w:p>
                        <w:p w14:paraId="1C1ECC2E" w14:textId="77777777" w:rsidR="00D2173C" w:rsidRPr="00694604" w:rsidRDefault="00D2173C" w:rsidP="0089786B">
                          <w:pPr>
                            <w:jc w:val="center"/>
                            <w:rPr>
                              <w:color w:val="17365D" w:themeColor="text2" w:themeShade="BF"/>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348" o:spid="_x0000_s1029" type="#_x0000_t202" style="position:absolute;margin-left:243pt;margin-top:-18.5pt;width:252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" filled="f" stroked="f" strokeweight=".5pt">
              <v:textbox>
                <w:txbxContent>
                  <w:p w14:paraId="78C0EBB1" w14:textId="77777777" w:rsidR="00D2173C" w:rsidRPr="00370D09" w:rsidRDefault="00D2173C" w:rsidP="0089786B">
                    <w:pPr>
                      <w:pStyle w:val="Sinespaciado"/>
                      <w:jc w:val="center"/>
                      <w:rPr>
                        <w:rFonts w:ascii="Century Gothic" w:eastAsiaTheme="majorEastAsia" w:hAnsi="Century Gothic" w:cstheme="majorBidi"/>
                        <w:b/>
                        <w:color w:val="FFFFFF" w:themeColor="background1"/>
                        <w:sz w:val="24"/>
                        <w:szCs w:val="24"/>
                      </w:rPr>
                    </w:pPr>
                    <w:r>
                      <w:rPr>
                        <w:rFonts w:ascii="Century Gothic" w:eastAsiaTheme="majorEastAsia" w:hAnsi="Century Gothic" w:cstheme="majorBidi"/>
                        <w:b/>
                        <w:color w:val="FFFFFF" w:themeColor="background1"/>
                        <w:sz w:val="24"/>
                        <w:szCs w:val="24"/>
                      </w:rPr>
                      <w:t>Perfil de género Colombia</w:t>
                    </w:r>
                  </w:p>
                  <w:p w14:paraId="1C1ECC2E" w14:textId="77777777" w:rsidR="00D2173C" w:rsidRPr="00694604" w:rsidRDefault="00D2173C" w:rsidP="0089786B">
                    <w:pPr>
                      <w:jc w:val="center"/>
                      <w:rPr>
                        <w:color w:val="17365D" w:themeColor="text2" w:themeShade="BF"/>
                        <w:sz w:val="16"/>
                        <w:szCs w:val="16"/>
                      </w:rPr>
                    </w:pPr>
                  </w:p>
                </w:txbxContent>
              </v:textbox>
            </v:shape>
          </w:pict>
        </mc:Fallback>
      </mc:AlternateContent>
    </w:r>
    <w:r>
      <w:rPr>
        <w:noProof/>
        <w:color w:val="000000"/>
        <w:lang w:val="es-ES"/>
      </w:rPr>
      <w:drawing>
        <wp:anchor distT="0" distB="0" distL="114300" distR="114300" simplePos="0" relativeHeight="251666432" behindDoc="1" locked="0" layoutInCell="1" allowOverlap="1" wp14:anchorId="3A6C9F75" wp14:editId="0692F55C">
          <wp:simplePos x="0" y="0"/>
          <wp:positionH relativeFrom="column">
            <wp:posOffset>-1143000</wp:posOffset>
          </wp:positionH>
          <wp:positionV relativeFrom="paragraph">
            <wp:posOffset>-464185</wp:posOffset>
          </wp:positionV>
          <wp:extent cx="7632000" cy="808283"/>
          <wp:effectExtent l="0" t="0" r="0" b="5080"/>
          <wp:wrapNone/>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S_DISEÑO_UE_LIBRO1-05.png"/>
                  <pic:cNvPicPr/>
                </pic:nvPicPr>
                <pic:blipFill>
                  <a:blip r:embed="rId1">
                    <a:extLst>
                      <a:ext uri="{28A0092B-C50C-407E-A947-70E740481C1C}">
                        <a14:useLocalDpi xmlns:a14="http://schemas.microsoft.com/office/drawing/2010/main" val="0"/>
                      </a:ext>
                    </a:extLst>
                  </a:blip>
                  <a:stretch>
                    <a:fillRect/>
                  </a:stretch>
                </pic:blipFill>
                <pic:spPr>
                  <a:xfrm>
                    <a:off x="0" y="0"/>
                    <a:ext cx="7632000" cy="8082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433B"/>
    <w:multiLevelType w:val="hybridMultilevel"/>
    <w:tmpl w:val="A6B2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62A27F7"/>
    <w:multiLevelType w:val="hybridMultilevel"/>
    <w:tmpl w:val="ABAA3E28"/>
    <w:lvl w:ilvl="0" w:tplc="240A0001">
      <w:start w:val="1"/>
      <w:numFmt w:val="bullet"/>
      <w:lvlText w:val=""/>
      <w:lvlJc w:val="left"/>
      <w:pPr>
        <w:ind w:left="720" w:hanging="360"/>
      </w:pPr>
      <w:rPr>
        <w:rFonts w:ascii="Symbol" w:hAnsi="Symbol" w:hint="default"/>
      </w:rPr>
    </w:lvl>
    <w:lvl w:ilvl="1" w:tplc="D4F2DD42">
      <w:numFmt w:val="bullet"/>
      <w:lvlText w:val="·"/>
      <w:lvlJc w:val="left"/>
      <w:pPr>
        <w:ind w:left="2629" w:hanging="360"/>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88798E"/>
    <w:multiLevelType w:val="multilevel"/>
    <w:tmpl w:val="248671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964B74"/>
    <w:multiLevelType w:val="hybridMultilevel"/>
    <w:tmpl w:val="B746A7F2"/>
    <w:lvl w:ilvl="0" w:tplc="D4F2DD42">
      <w:numFmt w:val="bullet"/>
      <w:lvlText w:val="·"/>
      <w:lvlJc w:val="left"/>
      <w:pPr>
        <w:ind w:left="862" w:hanging="360"/>
      </w:pPr>
      <w:rPr>
        <w:rFonts w:ascii="Times New Roman" w:eastAsia="Times New Roman" w:hAnsi="Times New Roman" w:cs="Times New Roman"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4">
    <w:nsid w:val="312475C0"/>
    <w:multiLevelType w:val="hybridMultilevel"/>
    <w:tmpl w:val="7BB687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A7F5279"/>
    <w:multiLevelType w:val="multilevel"/>
    <w:tmpl w:val="7B886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6B23674"/>
    <w:multiLevelType w:val="hybridMultilevel"/>
    <w:tmpl w:val="A04896A4"/>
    <w:lvl w:ilvl="0" w:tplc="D4F2DD4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89D3920"/>
    <w:multiLevelType w:val="hybridMultilevel"/>
    <w:tmpl w:val="6A9C46A4"/>
    <w:lvl w:ilvl="0" w:tplc="AFE20B52">
      <w:start w:val="1"/>
      <w:numFmt w:val="bullet"/>
      <w:lvlText w:val=""/>
      <w:lvlJc w:val="left"/>
      <w:pPr>
        <w:ind w:left="720" w:hanging="360"/>
      </w:pPr>
      <w:rPr>
        <w:rFonts w:ascii="Symbol" w:hAnsi="Symbol" w:hint="default"/>
        <w:sz w:val="22"/>
        <w:szCs w:val="22"/>
      </w:rPr>
    </w:lvl>
    <w:lvl w:ilvl="1" w:tplc="07906E14">
      <w:start w:val="1"/>
      <w:numFmt w:val="bullet"/>
      <w:lvlText w:val=""/>
      <w:lvlJc w:val="left"/>
      <w:pPr>
        <w:ind w:left="1440" w:hanging="360"/>
      </w:pPr>
      <w:rPr>
        <w:rFonts w:ascii="Symbol" w:hAnsi="Symbol" w:hint="default"/>
        <w:color w:val="auto"/>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26A2AEB"/>
    <w:multiLevelType w:val="hybridMultilevel"/>
    <w:tmpl w:val="68FADD08"/>
    <w:lvl w:ilvl="0" w:tplc="07906E1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7B065C18"/>
    <w:multiLevelType w:val="hybridMultilevel"/>
    <w:tmpl w:val="907A05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8"/>
  </w:num>
  <w:num w:numId="5">
    <w:abstractNumId w:val="4"/>
  </w:num>
  <w:num w:numId="6">
    <w:abstractNumId w:val="0"/>
  </w:num>
  <w:num w:numId="7">
    <w:abstractNumId w:val="9"/>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238D7"/>
    <w:rsid w:val="0000162A"/>
    <w:rsid w:val="000041A4"/>
    <w:rsid w:val="000042BF"/>
    <w:rsid w:val="00006154"/>
    <w:rsid w:val="00010204"/>
    <w:rsid w:val="000130CA"/>
    <w:rsid w:val="00013F5E"/>
    <w:rsid w:val="00016534"/>
    <w:rsid w:val="00020B61"/>
    <w:rsid w:val="00022DFE"/>
    <w:rsid w:val="000238F2"/>
    <w:rsid w:val="000257FA"/>
    <w:rsid w:val="00026774"/>
    <w:rsid w:val="00027485"/>
    <w:rsid w:val="00032D27"/>
    <w:rsid w:val="00037EC8"/>
    <w:rsid w:val="00040845"/>
    <w:rsid w:val="000416D4"/>
    <w:rsid w:val="000425F7"/>
    <w:rsid w:val="00045739"/>
    <w:rsid w:val="0004636B"/>
    <w:rsid w:val="0005186D"/>
    <w:rsid w:val="00056012"/>
    <w:rsid w:val="000570AD"/>
    <w:rsid w:val="000649E9"/>
    <w:rsid w:val="00065CB3"/>
    <w:rsid w:val="00070A74"/>
    <w:rsid w:val="00070AEC"/>
    <w:rsid w:val="00074C45"/>
    <w:rsid w:val="000757E4"/>
    <w:rsid w:val="000772ED"/>
    <w:rsid w:val="00077E6C"/>
    <w:rsid w:val="00081A34"/>
    <w:rsid w:val="00081C89"/>
    <w:rsid w:val="000847FD"/>
    <w:rsid w:val="000A4276"/>
    <w:rsid w:val="000A5C6B"/>
    <w:rsid w:val="000B53F8"/>
    <w:rsid w:val="000B53F9"/>
    <w:rsid w:val="000B6F99"/>
    <w:rsid w:val="000B718B"/>
    <w:rsid w:val="000C4B52"/>
    <w:rsid w:val="000D02AD"/>
    <w:rsid w:val="000D0526"/>
    <w:rsid w:val="000D17E3"/>
    <w:rsid w:val="000D24FA"/>
    <w:rsid w:val="000D2775"/>
    <w:rsid w:val="000D3BA6"/>
    <w:rsid w:val="000E4C76"/>
    <w:rsid w:val="000E5AC0"/>
    <w:rsid w:val="000F4725"/>
    <w:rsid w:val="00106323"/>
    <w:rsid w:val="00114E9E"/>
    <w:rsid w:val="0011747E"/>
    <w:rsid w:val="00122786"/>
    <w:rsid w:val="001238D7"/>
    <w:rsid w:val="001262FC"/>
    <w:rsid w:val="001273BA"/>
    <w:rsid w:val="00127CDD"/>
    <w:rsid w:val="0013358E"/>
    <w:rsid w:val="0013576B"/>
    <w:rsid w:val="001441C2"/>
    <w:rsid w:val="00152613"/>
    <w:rsid w:val="001549E1"/>
    <w:rsid w:val="00160B20"/>
    <w:rsid w:val="00163562"/>
    <w:rsid w:val="0016653B"/>
    <w:rsid w:val="00167BF6"/>
    <w:rsid w:val="00173C3C"/>
    <w:rsid w:val="00176410"/>
    <w:rsid w:val="00177138"/>
    <w:rsid w:val="00180521"/>
    <w:rsid w:val="00182EB9"/>
    <w:rsid w:val="001853BD"/>
    <w:rsid w:val="001901AC"/>
    <w:rsid w:val="001911A6"/>
    <w:rsid w:val="001A2BE4"/>
    <w:rsid w:val="001A3BDA"/>
    <w:rsid w:val="001A492E"/>
    <w:rsid w:val="001A673C"/>
    <w:rsid w:val="001A67FF"/>
    <w:rsid w:val="001B0E30"/>
    <w:rsid w:val="001B1220"/>
    <w:rsid w:val="001B2B8B"/>
    <w:rsid w:val="001B2F7C"/>
    <w:rsid w:val="001B44B6"/>
    <w:rsid w:val="001C0E92"/>
    <w:rsid w:val="001C1776"/>
    <w:rsid w:val="001C2307"/>
    <w:rsid w:val="001C4C87"/>
    <w:rsid w:val="001D2508"/>
    <w:rsid w:val="001D25F1"/>
    <w:rsid w:val="001D5FBC"/>
    <w:rsid w:val="001E06D6"/>
    <w:rsid w:val="001E0CA7"/>
    <w:rsid w:val="001E2738"/>
    <w:rsid w:val="001E39BA"/>
    <w:rsid w:val="001E6656"/>
    <w:rsid w:val="001F0417"/>
    <w:rsid w:val="001F2624"/>
    <w:rsid w:val="001F3C65"/>
    <w:rsid w:val="001F5B10"/>
    <w:rsid w:val="002072D6"/>
    <w:rsid w:val="00207435"/>
    <w:rsid w:val="00210F96"/>
    <w:rsid w:val="0021369D"/>
    <w:rsid w:val="002153B4"/>
    <w:rsid w:val="00217EFF"/>
    <w:rsid w:val="00220AC6"/>
    <w:rsid w:val="00222A19"/>
    <w:rsid w:val="00227242"/>
    <w:rsid w:val="00227464"/>
    <w:rsid w:val="00240158"/>
    <w:rsid w:val="00245869"/>
    <w:rsid w:val="0025400E"/>
    <w:rsid w:val="002555F0"/>
    <w:rsid w:val="002574B9"/>
    <w:rsid w:val="00265144"/>
    <w:rsid w:val="00272173"/>
    <w:rsid w:val="00275498"/>
    <w:rsid w:val="0027778A"/>
    <w:rsid w:val="0028066F"/>
    <w:rsid w:val="00281050"/>
    <w:rsid w:val="00282182"/>
    <w:rsid w:val="00290A55"/>
    <w:rsid w:val="00291F6E"/>
    <w:rsid w:val="00292D46"/>
    <w:rsid w:val="00297A8B"/>
    <w:rsid w:val="002A3FF2"/>
    <w:rsid w:val="002A5870"/>
    <w:rsid w:val="002A5EAB"/>
    <w:rsid w:val="002B62E3"/>
    <w:rsid w:val="002B6E29"/>
    <w:rsid w:val="002C0182"/>
    <w:rsid w:val="002C6469"/>
    <w:rsid w:val="002C6BFD"/>
    <w:rsid w:val="002C722B"/>
    <w:rsid w:val="002D3891"/>
    <w:rsid w:val="002D38BD"/>
    <w:rsid w:val="002D3C7F"/>
    <w:rsid w:val="002D7367"/>
    <w:rsid w:val="002E0C0E"/>
    <w:rsid w:val="002E21B8"/>
    <w:rsid w:val="002F44A0"/>
    <w:rsid w:val="00301CAA"/>
    <w:rsid w:val="003022F3"/>
    <w:rsid w:val="00302C10"/>
    <w:rsid w:val="00306535"/>
    <w:rsid w:val="003079F1"/>
    <w:rsid w:val="003105F1"/>
    <w:rsid w:val="003117D5"/>
    <w:rsid w:val="00311C24"/>
    <w:rsid w:val="00312E5C"/>
    <w:rsid w:val="00325F42"/>
    <w:rsid w:val="003265D2"/>
    <w:rsid w:val="00332568"/>
    <w:rsid w:val="00335114"/>
    <w:rsid w:val="00337202"/>
    <w:rsid w:val="00345872"/>
    <w:rsid w:val="00346605"/>
    <w:rsid w:val="00353460"/>
    <w:rsid w:val="00354329"/>
    <w:rsid w:val="003606DA"/>
    <w:rsid w:val="003606E5"/>
    <w:rsid w:val="0036304D"/>
    <w:rsid w:val="0036411F"/>
    <w:rsid w:val="003642AC"/>
    <w:rsid w:val="0036583E"/>
    <w:rsid w:val="00370D09"/>
    <w:rsid w:val="00374C56"/>
    <w:rsid w:val="00374CD3"/>
    <w:rsid w:val="0038251A"/>
    <w:rsid w:val="003832AE"/>
    <w:rsid w:val="0038353D"/>
    <w:rsid w:val="00384C6B"/>
    <w:rsid w:val="00384DCE"/>
    <w:rsid w:val="003859FA"/>
    <w:rsid w:val="003923B4"/>
    <w:rsid w:val="00395383"/>
    <w:rsid w:val="00397B04"/>
    <w:rsid w:val="003A36AB"/>
    <w:rsid w:val="003A3E5A"/>
    <w:rsid w:val="003A6382"/>
    <w:rsid w:val="003B4671"/>
    <w:rsid w:val="003B65CF"/>
    <w:rsid w:val="003C0F05"/>
    <w:rsid w:val="003C1AC9"/>
    <w:rsid w:val="003C3181"/>
    <w:rsid w:val="003C3421"/>
    <w:rsid w:val="003C415F"/>
    <w:rsid w:val="003C72B5"/>
    <w:rsid w:val="003D0E66"/>
    <w:rsid w:val="003D219E"/>
    <w:rsid w:val="003D451B"/>
    <w:rsid w:val="003D78C3"/>
    <w:rsid w:val="003E7028"/>
    <w:rsid w:val="003F560F"/>
    <w:rsid w:val="00404C35"/>
    <w:rsid w:val="0040572F"/>
    <w:rsid w:val="00407181"/>
    <w:rsid w:val="00411B8A"/>
    <w:rsid w:val="00414A6A"/>
    <w:rsid w:val="00420A61"/>
    <w:rsid w:val="004249DA"/>
    <w:rsid w:val="00426A44"/>
    <w:rsid w:val="00427AE2"/>
    <w:rsid w:val="00442A1A"/>
    <w:rsid w:val="004456FB"/>
    <w:rsid w:val="00455CCE"/>
    <w:rsid w:val="00456364"/>
    <w:rsid w:val="00456E76"/>
    <w:rsid w:val="00457447"/>
    <w:rsid w:val="004620AD"/>
    <w:rsid w:val="00462C35"/>
    <w:rsid w:val="0047505B"/>
    <w:rsid w:val="004758F1"/>
    <w:rsid w:val="0047631F"/>
    <w:rsid w:val="00480A0A"/>
    <w:rsid w:val="00481A09"/>
    <w:rsid w:val="00483910"/>
    <w:rsid w:val="00487C50"/>
    <w:rsid w:val="00490F50"/>
    <w:rsid w:val="00492324"/>
    <w:rsid w:val="0049584C"/>
    <w:rsid w:val="00496EB9"/>
    <w:rsid w:val="004A4196"/>
    <w:rsid w:val="004A4ED8"/>
    <w:rsid w:val="004A62B6"/>
    <w:rsid w:val="004B15B8"/>
    <w:rsid w:val="004B548E"/>
    <w:rsid w:val="004B736F"/>
    <w:rsid w:val="004C0A38"/>
    <w:rsid w:val="004C23F4"/>
    <w:rsid w:val="004C64BD"/>
    <w:rsid w:val="004D5388"/>
    <w:rsid w:val="004E26AC"/>
    <w:rsid w:val="004E594F"/>
    <w:rsid w:val="004E6F87"/>
    <w:rsid w:val="004F0C4D"/>
    <w:rsid w:val="00505FD6"/>
    <w:rsid w:val="00506F18"/>
    <w:rsid w:val="00515F54"/>
    <w:rsid w:val="00521BD6"/>
    <w:rsid w:val="00525087"/>
    <w:rsid w:val="005272F4"/>
    <w:rsid w:val="005356E8"/>
    <w:rsid w:val="00537C83"/>
    <w:rsid w:val="005430FA"/>
    <w:rsid w:val="0054312C"/>
    <w:rsid w:val="00545344"/>
    <w:rsid w:val="005472D3"/>
    <w:rsid w:val="0055030E"/>
    <w:rsid w:val="00550AB8"/>
    <w:rsid w:val="00550FAD"/>
    <w:rsid w:val="00552885"/>
    <w:rsid w:val="00555514"/>
    <w:rsid w:val="00555856"/>
    <w:rsid w:val="00556D40"/>
    <w:rsid w:val="0056014D"/>
    <w:rsid w:val="0056688D"/>
    <w:rsid w:val="00576AA6"/>
    <w:rsid w:val="00581171"/>
    <w:rsid w:val="00582550"/>
    <w:rsid w:val="0058312F"/>
    <w:rsid w:val="00583189"/>
    <w:rsid w:val="00583B8A"/>
    <w:rsid w:val="00590B86"/>
    <w:rsid w:val="00591704"/>
    <w:rsid w:val="00592807"/>
    <w:rsid w:val="00593CE7"/>
    <w:rsid w:val="00595D53"/>
    <w:rsid w:val="00595F3D"/>
    <w:rsid w:val="005979D8"/>
    <w:rsid w:val="005A093B"/>
    <w:rsid w:val="005A2CEA"/>
    <w:rsid w:val="005A448D"/>
    <w:rsid w:val="005A4927"/>
    <w:rsid w:val="005B2502"/>
    <w:rsid w:val="005B3F4E"/>
    <w:rsid w:val="005B74F6"/>
    <w:rsid w:val="005C0AB0"/>
    <w:rsid w:val="005C1EE1"/>
    <w:rsid w:val="005D27A4"/>
    <w:rsid w:val="005E0D95"/>
    <w:rsid w:val="005E6C53"/>
    <w:rsid w:val="005E7580"/>
    <w:rsid w:val="005F113E"/>
    <w:rsid w:val="005F434C"/>
    <w:rsid w:val="0060496B"/>
    <w:rsid w:val="00607C58"/>
    <w:rsid w:val="00611D42"/>
    <w:rsid w:val="00614296"/>
    <w:rsid w:val="0062108E"/>
    <w:rsid w:val="0062171F"/>
    <w:rsid w:val="0062285A"/>
    <w:rsid w:val="0062749F"/>
    <w:rsid w:val="0063245C"/>
    <w:rsid w:val="0063615F"/>
    <w:rsid w:val="00636C59"/>
    <w:rsid w:val="00641D57"/>
    <w:rsid w:val="006437D1"/>
    <w:rsid w:val="00645A86"/>
    <w:rsid w:val="00646447"/>
    <w:rsid w:val="006500F5"/>
    <w:rsid w:val="00651D5F"/>
    <w:rsid w:val="00663111"/>
    <w:rsid w:val="0066722C"/>
    <w:rsid w:val="00671178"/>
    <w:rsid w:val="006718AD"/>
    <w:rsid w:val="00672635"/>
    <w:rsid w:val="00672D10"/>
    <w:rsid w:val="00676A9F"/>
    <w:rsid w:val="00677A19"/>
    <w:rsid w:val="00683C35"/>
    <w:rsid w:val="00686154"/>
    <w:rsid w:val="00686374"/>
    <w:rsid w:val="00686E53"/>
    <w:rsid w:val="006875FE"/>
    <w:rsid w:val="00687A2D"/>
    <w:rsid w:val="006A3B0F"/>
    <w:rsid w:val="006A3DAA"/>
    <w:rsid w:val="006B0FCA"/>
    <w:rsid w:val="006B652F"/>
    <w:rsid w:val="006C10E2"/>
    <w:rsid w:val="006C4C0D"/>
    <w:rsid w:val="006C6AE4"/>
    <w:rsid w:val="006D055D"/>
    <w:rsid w:val="006D183A"/>
    <w:rsid w:val="006D2E78"/>
    <w:rsid w:val="006E681A"/>
    <w:rsid w:val="00700052"/>
    <w:rsid w:val="00704F34"/>
    <w:rsid w:val="00707097"/>
    <w:rsid w:val="00711BC7"/>
    <w:rsid w:val="00717840"/>
    <w:rsid w:val="007209CA"/>
    <w:rsid w:val="007224C1"/>
    <w:rsid w:val="00722A2A"/>
    <w:rsid w:val="00724791"/>
    <w:rsid w:val="00725685"/>
    <w:rsid w:val="00730271"/>
    <w:rsid w:val="00730A1D"/>
    <w:rsid w:val="00730C86"/>
    <w:rsid w:val="0073122C"/>
    <w:rsid w:val="0073148A"/>
    <w:rsid w:val="00731923"/>
    <w:rsid w:val="00737D25"/>
    <w:rsid w:val="007413A6"/>
    <w:rsid w:val="00743C95"/>
    <w:rsid w:val="00750483"/>
    <w:rsid w:val="00752106"/>
    <w:rsid w:val="0075730D"/>
    <w:rsid w:val="00761822"/>
    <w:rsid w:val="00761D46"/>
    <w:rsid w:val="00770001"/>
    <w:rsid w:val="00783481"/>
    <w:rsid w:val="00796B87"/>
    <w:rsid w:val="007A4005"/>
    <w:rsid w:val="007A4DDE"/>
    <w:rsid w:val="007A70CE"/>
    <w:rsid w:val="007B181A"/>
    <w:rsid w:val="007B4E30"/>
    <w:rsid w:val="007B51BD"/>
    <w:rsid w:val="007B7EEF"/>
    <w:rsid w:val="007C595E"/>
    <w:rsid w:val="007C7518"/>
    <w:rsid w:val="007C7B87"/>
    <w:rsid w:val="007D4FA1"/>
    <w:rsid w:val="007E36E4"/>
    <w:rsid w:val="007F2B00"/>
    <w:rsid w:val="007F63CD"/>
    <w:rsid w:val="00802AA7"/>
    <w:rsid w:val="00804C7A"/>
    <w:rsid w:val="00807DC1"/>
    <w:rsid w:val="00810C6A"/>
    <w:rsid w:val="008179A4"/>
    <w:rsid w:val="008250F3"/>
    <w:rsid w:val="00827B88"/>
    <w:rsid w:val="00830DBC"/>
    <w:rsid w:val="008319DE"/>
    <w:rsid w:val="0084136A"/>
    <w:rsid w:val="00863C68"/>
    <w:rsid w:val="00864560"/>
    <w:rsid w:val="008747F9"/>
    <w:rsid w:val="00885B52"/>
    <w:rsid w:val="008871FC"/>
    <w:rsid w:val="00891DF1"/>
    <w:rsid w:val="00892276"/>
    <w:rsid w:val="00893E4B"/>
    <w:rsid w:val="00894465"/>
    <w:rsid w:val="00894727"/>
    <w:rsid w:val="008962C6"/>
    <w:rsid w:val="0089643C"/>
    <w:rsid w:val="0089786B"/>
    <w:rsid w:val="008A490D"/>
    <w:rsid w:val="008B0A5F"/>
    <w:rsid w:val="008B5AC4"/>
    <w:rsid w:val="008C0C2B"/>
    <w:rsid w:val="008C37B7"/>
    <w:rsid w:val="008C3A1B"/>
    <w:rsid w:val="008C621A"/>
    <w:rsid w:val="008D62E5"/>
    <w:rsid w:val="008D796F"/>
    <w:rsid w:val="008E4A83"/>
    <w:rsid w:val="008F176B"/>
    <w:rsid w:val="008F5780"/>
    <w:rsid w:val="008F6AC9"/>
    <w:rsid w:val="008F7EEF"/>
    <w:rsid w:val="009021F5"/>
    <w:rsid w:val="009067F8"/>
    <w:rsid w:val="00914934"/>
    <w:rsid w:val="00916F8F"/>
    <w:rsid w:val="009203E8"/>
    <w:rsid w:val="00920434"/>
    <w:rsid w:val="00920641"/>
    <w:rsid w:val="00920D80"/>
    <w:rsid w:val="00925550"/>
    <w:rsid w:val="009317EA"/>
    <w:rsid w:val="00932A8E"/>
    <w:rsid w:val="009403B7"/>
    <w:rsid w:val="00940B48"/>
    <w:rsid w:val="00946D66"/>
    <w:rsid w:val="009528B9"/>
    <w:rsid w:val="00956126"/>
    <w:rsid w:val="00963E3B"/>
    <w:rsid w:val="00964727"/>
    <w:rsid w:val="00964CEB"/>
    <w:rsid w:val="00970886"/>
    <w:rsid w:val="0098674A"/>
    <w:rsid w:val="009929CD"/>
    <w:rsid w:val="00995494"/>
    <w:rsid w:val="009A173E"/>
    <w:rsid w:val="009A4552"/>
    <w:rsid w:val="009A69FD"/>
    <w:rsid w:val="009B5964"/>
    <w:rsid w:val="009B6971"/>
    <w:rsid w:val="009C73E3"/>
    <w:rsid w:val="009D4A26"/>
    <w:rsid w:val="009E03FF"/>
    <w:rsid w:val="009E2708"/>
    <w:rsid w:val="009E67C1"/>
    <w:rsid w:val="009F48D9"/>
    <w:rsid w:val="009F5D30"/>
    <w:rsid w:val="009F6FD9"/>
    <w:rsid w:val="00A00812"/>
    <w:rsid w:val="00A0101B"/>
    <w:rsid w:val="00A035E2"/>
    <w:rsid w:val="00A042A6"/>
    <w:rsid w:val="00A04953"/>
    <w:rsid w:val="00A21C6D"/>
    <w:rsid w:val="00A265F2"/>
    <w:rsid w:val="00A30042"/>
    <w:rsid w:val="00A333DD"/>
    <w:rsid w:val="00A341A7"/>
    <w:rsid w:val="00A34DB3"/>
    <w:rsid w:val="00A35323"/>
    <w:rsid w:val="00A3621F"/>
    <w:rsid w:val="00A4135D"/>
    <w:rsid w:val="00A41534"/>
    <w:rsid w:val="00A42060"/>
    <w:rsid w:val="00A43F4E"/>
    <w:rsid w:val="00A45C7A"/>
    <w:rsid w:val="00A46ECB"/>
    <w:rsid w:val="00A47A35"/>
    <w:rsid w:val="00A47BC7"/>
    <w:rsid w:val="00A51DCD"/>
    <w:rsid w:val="00A542FF"/>
    <w:rsid w:val="00A55951"/>
    <w:rsid w:val="00A55A7E"/>
    <w:rsid w:val="00A5624B"/>
    <w:rsid w:val="00A56C18"/>
    <w:rsid w:val="00A57C6D"/>
    <w:rsid w:val="00A600EA"/>
    <w:rsid w:val="00A65D44"/>
    <w:rsid w:val="00A735FD"/>
    <w:rsid w:val="00A73C1B"/>
    <w:rsid w:val="00A750E1"/>
    <w:rsid w:val="00A7655A"/>
    <w:rsid w:val="00A924E2"/>
    <w:rsid w:val="00A9307D"/>
    <w:rsid w:val="00A93869"/>
    <w:rsid w:val="00A942FF"/>
    <w:rsid w:val="00AA1B97"/>
    <w:rsid w:val="00AA6730"/>
    <w:rsid w:val="00AA7DE1"/>
    <w:rsid w:val="00AB1F58"/>
    <w:rsid w:val="00AB5B08"/>
    <w:rsid w:val="00AC1B14"/>
    <w:rsid w:val="00AC6C23"/>
    <w:rsid w:val="00AD2A62"/>
    <w:rsid w:val="00AD49CD"/>
    <w:rsid w:val="00AD7DE6"/>
    <w:rsid w:val="00AE3DDC"/>
    <w:rsid w:val="00AE4108"/>
    <w:rsid w:val="00AF6E58"/>
    <w:rsid w:val="00B0478D"/>
    <w:rsid w:val="00B05410"/>
    <w:rsid w:val="00B0642D"/>
    <w:rsid w:val="00B064A5"/>
    <w:rsid w:val="00B108FB"/>
    <w:rsid w:val="00B1547F"/>
    <w:rsid w:val="00B2440A"/>
    <w:rsid w:val="00B2495C"/>
    <w:rsid w:val="00B3256E"/>
    <w:rsid w:val="00B3308B"/>
    <w:rsid w:val="00B40D4C"/>
    <w:rsid w:val="00B428AE"/>
    <w:rsid w:val="00B46A71"/>
    <w:rsid w:val="00B64815"/>
    <w:rsid w:val="00B64DD9"/>
    <w:rsid w:val="00B66E84"/>
    <w:rsid w:val="00B66EA6"/>
    <w:rsid w:val="00B72372"/>
    <w:rsid w:val="00BB1019"/>
    <w:rsid w:val="00BB25A1"/>
    <w:rsid w:val="00BB3AC2"/>
    <w:rsid w:val="00BD2FEC"/>
    <w:rsid w:val="00BD41A8"/>
    <w:rsid w:val="00BD470B"/>
    <w:rsid w:val="00BD5E57"/>
    <w:rsid w:val="00BE1DFB"/>
    <w:rsid w:val="00BE3F66"/>
    <w:rsid w:val="00BE4B08"/>
    <w:rsid w:val="00BE6309"/>
    <w:rsid w:val="00BF0113"/>
    <w:rsid w:val="00BF3C38"/>
    <w:rsid w:val="00BF46E4"/>
    <w:rsid w:val="00BF4909"/>
    <w:rsid w:val="00BF55B8"/>
    <w:rsid w:val="00C034C7"/>
    <w:rsid w:val="00C046D4"/>
    <w:rsid w:val="00C04CD9"/>
    <w:rsid w:val="00C058AF"/>
    <w:rsid w:val="00C060F9"/>
    <w:rsid w:val="00C074E3"/>
    <w:rsid w:val="00C11131"/>
    <w:rsid w:val="00C13EA9"/>
    <w:rsid w:val="00C2057F"/>
    <w:rsid w:val="00C21908"/>
    <w:rsid w:val="00C24E5D"/>
    <w:rsid w:val="00C27607"/>
    <w:rsid w:val="00C345EC"/>
    <w:rsid w:val="00C35148"/>
    <w:rsid w:val="00C41B67"/>
    <w:rsid w:val="00C51041"/>
    <w:rsid w:val="00C534AA"/>
    <w:rsid w:val="00C536C1"/>
    <w:rsid w:val="00C573DD"/>
    <w:rsid w:val="00C57D9D"/>
    <w:rsid w:val="00C63771"/>
    <w:rsid w:val="00C63DD0"/>
    <w:rsid w:val="00C71E2A"/>
    <w:rsid w:val="00C734D4"/>
    <w:rsid w:val="00C76B72"/>
    <w:rsid w:val="00C77833"/>
    <w:rsid w:val="00C94B06"/>
    <w:rsid w:val="00CA3AAF"/>
    <w:rsid w:val="00CA56D6"/>
    <w:rsid w:val="00CA5E8F"/>
    <w:rsid w:val="00CB10A0"/>
    <w:rsid w:val="00CB14EC"/>
    <w:rsid w:val="00CD3FAB"/>
    <w:rsid w:val="00CD4278"/>
    <w:rsid w:val="00CE7A47"/>
    <w:rsid w:val="00CF12A3"/>
    <w:rsid w:val="00CF35B4"/>
    <w:rsid w:val="00D0144C"/>
    <w:rsid w:val="00D12CD7"/>
    <w:rsid w:val="00D13AD5"/>
    <w:rsid w:val="00D2173C"/>
    <w:rsid w:val="00D25CE2"/>
    <w:rsid w:val="00D330FC"/>
    <w:rsid w:val="00D42447"/>
    <w:rsid w:val="00D56468"/>
    <w:rsid w:val="00D6113F"/>
    <w:rsid w:val="00D620F9"/>
    <w:rsid w:val="00D66FA7"/>
    <w:rsid w:val="00D72CCB"/>
    <w:rsid w:val="00D7769E"/>
    <w:rsid w:val="00D81538"/>
    <w:rsid w:val="00D82B9E"/>
    <w:rsid w:val="00D854A7"/>
    <w:rsid w:val="00D8608E"/>
    <w:rsid w:val="00D94497"/>
    <w:rsid w:val="00D9475D"/>
    <w:rsid w:val="00DA0FA9"/>
    <w:rsid w:val="00DA57C6"/>
    <w:rsid w:val="00DB3CD3"/>
    <w:rsid w:val="00DB7322"/>
    <w:rsid w:val="00DC2350"/>
    <w:rsid w:val="00DC285C"/>
    <w:rsid w:val="00DC5687"/>
    <w:rsid w:val="00DC6604"/>
    <w:rsid w:val="00DC7320"/>
    <w:rsid w:val="00DD058B"/>
    <w:rsid w:val="00DD3000"/>
    <w:rsid w:val="00DD475D"/>
    <w:rsid w:val="00DD6D3C"/>
    <w:rsid w:val="00DD7840"/>
    <w:rsid w:val="00DF03BC"/>
    <w:rsid w:val="00E07205"/>
    <w:rsid w:val="00E13966"/>
    <w:rsid w:val="00E14F1C"/>
    <w:rsid w:val="00E17D48"/>
    <w:rsid w:val="00E17DC9"/>
    <w:rsid w:val="00E21CB9"/>
    <w:rsid w:val="00E245A3"/>
    <w:rsid w:val="00E2608D"/>
    <w:rsid w:val="00E2789A"/>
    <w:rsid w:val="00E30DAE"/>
    <w:rsid w:val="00E31D29"/>
    <w:rsid w:val="00E31EE1"/>
    <w:rsid w:val="00E328D8"/>
    <w:rsid w:val="00E403F4"/>
    <w:rsid w:val="00E41DA0"/>
    <w:rsid w:val="00E459AA"/>
    <w:rsid w:val="00E46859"/>
    <w:rsid w:val="00E54D99"/>
    <w:rsid w:val="00E564FE"/>
    <w:rsid w:val="00E5714C"/>
    <w:rsid w:val="00E57296"/>
    <w:rsid w:val="00E609F4"/>
    <w:rsid w:val="00E70695"/>
    <w:rsid w:val="00E7111B"/>
    <w:rsid w:val="00E71CC5"/>
    <w:rsid w:val="00E743C0"/>
    <w:rsid w:val="00E75A01"/>
    <w:rsid w:val="00E77BA2"/>
    <w:rsid w:val="00E804DB"/>
    <w:rsid w:val="00E807F1"/>
    <w:rsid w:val="00E81DC6"/>
    <w:rsid w:val="00E857B3"/>
    <w:rsid w:val="00E87E27"/>
    <w:rsid w:val="00E91084"/>
    <w:rsid w:val="00E9390A"/>
    <w:rsid w:val="00E94619"/>
    <w:rsid w:val="00E966BF"/>
    <w:rsid w:val="00E97A28"/>
    <w:rsid w:val="00EA0358"/>
    <w:rsid w:val="00EA5E05"/>
    <w:rsid w:val="00EA778B"/>
    <w:rsid w:val="00EB1D4A"/>
    <w:rsid w:val="00EB4E40"/>
    <w:rsid w:val="00EB5FAA"/>
    <w:rsid w:val="00EC0111"/>
    <w:rsid w:val="00EC3837"/>
    <w:rsid w:val="00EC6D53"/>
    <w:rsid w:val="00EE2314"/>
    <w:rsid w:val="00EE3D22"/>
    <w:rsid w:val="00EE6ABB"/>
    <w:rsid w:val="00EF2A5A"/>
    <w:rsid w:val="00EF705D"/>
    <w:rsid w:val="00F03D10"/>
    <w:rsid w:val="00F062DA"/>
    <w:rsid w:val="00F141DE"/>
    <w:rsid w:val="00F17820"/>
    <w:rsid w:val="00F22663"/>
    <w:rsid w:val="00F23A4E"/>
    <w:rsid w:val="00F25EE0"/>
    <w:rsid w:val="00F2794B"/>
    <w:rsid w:val="00F3552A"/>
    <w:rsid w:val="00F37495"/>
    <w:rsid w:val="00F4109A"/>
    <w:rsid w:val="00F42B30"/>
    <w:rsid w:val="00F516DD"/>
    <w:rsid w:val="00F52929"/>
    <w:rsid w:val="00F53301"/>
    <w:rsid w:val="00F56BEE"/>
    <w:rsid w:val="00F75F90"/>
    <w:rsid w:val="00F77928"/>
    <w:rsid w:val="00F93346"/>
    <w:rsid w:val="00F93B8F"/>
    <w:rsid w:val="00F96547"/>
    <w:rsid w:val="00F97172"/>
    <w:rsid w:val="00FA11E9"/>
    <w:rsid w:val="00FA3509"/>
    <w:rsid w:val="00FA5B9D"/>
    <w:rsid w:val="00FA5DE1"/>
    <w:rsid w:val="00FA6D6C"/>
    <w:rsid w:val="00FB1AA2"/>
    <w:rsid w:val="00FB3BE8"/>
    <w:rsid w:val="00FB7921"/>
    <w:rsid w:val="00FC118C"/>
    <w:rsid w:val="00FC17BF"/>
    <w:rsid w:val="00FD2E61"/>
    <w:rsid w:val="00FF22B8"/>
    <w:rsid w:val="00FF2866"/>
    <w:rsid w:val="00FF2D1B"/>
    <w:rsid w:val="00FF2D35"/>
    <w:rsid w:val="00FF7D5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6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2"/>
        <w:szCs w:val="22"/>
        <w:lang w:val="es-CO" w:eastAsia="es-CO"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767"/>
    <w:rPr>
      <w:rFonts w:eastAsiaTheme="minorHAnsi"/>
      <w:lang w:eastAsia="en-US"/>
    </w:rPr>
  </w:style>
  <w:style w:type="paragraph" w:styleId="Ttulo1">
    <w:name w:val="heading 1"/>
    <w:basedOn w:val="Normal"/>
    <w:next w:val="Normal"/>
    <w:link w:val="Ttulo1Car"/>
    <w:uiPriority w:val="9"/>
    <w:qFormat/>
    <w:rsid w:val="00DD058B"/>
    <w:pPr>
      <w:keepNext/>
      <w:keepLines/>
      <w:spacing w:before="240" w:after="0" w:line="240" w:lineRule="auto"/>
      <w:contextualSpacing/>
      <w:jc w:val="center"/>
      <w:outlineLvl w:val="0"/>
    </w:pPr>
    <w:rPr>
      <w:rFonts w:asciiTheme="majorHAnsi" w:eastAsiaTheme="majorEastAsia" w:hAnsiTheme="majorHAnsi" w:cstheme="majorBidi"/>
      <w:color w:val="CC3366"/>
      <w:sz w:val="24"/>
      <w:szCs w:val="32"/>
      <w:lang w:val="es-ES_tradnl" w:eastAsia="es-ES"/>
    </w:rPr>
  </w:style>
  <w:style w:type="paragraph" w:styleId="Ttulo2">
    <w:name w:val="heading 2"/>
    <w:basedOn w:val="Normal"/>
    <w:next w:val="Normal"/>
    <w:link w:val="Ttulo2Car"/>
    <w:uiPriority w:val="9"/>
    <w:unhideWhenUsed/>
    <w:qFormat/>
    <w:rsid w:val="001207C5"/>
    <w:pPr>
      <w:keepNext/>
      <w:keepLines/>
      <w:spacing w:before="40" w:after="0" w:line="240" w:lineRule="auto"/>
      <w:outlineLvl w:val="1"/>
    </w:pPr>
    <w:rPr>
      <w:rFonts w:eastAsiaTheme="majorEastAsia" w:cstheme="majorBidi"/>
      <w:b/>
      <w:lang w:val="es-ES_tradnl" w:eastAsia="es-ES"/>
    </w:rPr>
  </w:style>
  <w:style w:type="paragraph" w:styleId="Ttulo3">
    <w:name w:val="heading 3"/>
    <w:basedOn w:val="Normal"/>
    <w:next w:val="Normal"/>
    <w:link w:val="Ttulo3Car"/>
    <w:uiPriority w:val="9"/>
    <w:unhideWhenUsed/>
    <w:qFormat/>
    <w:rsid w:val="00671178"/>
    <w:pPr>
      <w:keepNext/>
      <w:keepLines/>
      <w:spacing w:before="40" w:after="0" w:line="240" w:lineRule="auto"/>
      <w:outlineLvl w:val="2"/>
    </w:pPr>
    <w:rPr>
      <w:rFonts w:eastAsiaTheme="majorEastAsia" w:cstheme="majorBidi"/>
      <w:b/>
      <w:lang w:val="es-ES_tradnl" w:eastAsia="es-ES"/>
    </w:rPr>
  </w:style>
  <w:style w:type="paragraph" w:styleId="Ttulo4">
    <w:name w:val="heading 4"/>
    <w:basedOn w:val="Normal"/>
    <w:next w:val="Normal"/>
    <w:link w:val="Ttulo4Car"/>
    <w:uiPriority w:val="9"/>
    <w:unhideWhenUsed/>
    <w:qFormat/>
    <w:rsid w:val="00190D5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058B"/>
    <w:rPr>
      <w:rFonts w:asciiTheme="majorHAnsi" w:eastAsiaTheme="majorEastAsia" w:hAnsiTheme="majorHAnsi" w:cstheme="majorBidi"/>
      <w:color w:val="CC3366"/>
      <w:sz w:val="24"/>
      <w:szCs w:val="32"/>
      <w:lang w:val="es-ES_tradnl" w:eastAsia="es-ES"/>
    </w:rPr>
  </w:style>
  <w:style w:type="character" w:customStyle="1" w:styleId="Ttulo2Car">
    <w:name w:val="Título 2 Car"/>
    <w:basedOn w:val="Fuentedeprrafopredeter"/>
    <w:link w:val="Ttulo2"/>
    <w:uiPriority w:val="9"/>
    <w:rsid w:val="001207C5"/>
    <w:rPr>
      <w:rFonts w:eastAsiaTheme="majorEastAsia" w:cstheme="majorBidi"/>
      <w:b/>
      <w:sz w:val="22"/>
      <w:szCs w:val="22"/>
    </w:rPr>
  </w:style>
  <w:style w:type="character" w:customStyle="1" w:styleId="Ttulo3Car">
    <w:name w:val="Título 3 Car"/>
    <w:basedOn w:val="Fuentedeprrafopredeter"/>
    <w:link w:val="Ttulo3"/>
    <w:uiPriority w:val="9"/>
    <w:rsid w:val="00671178"/>
    <w:rPr>
      <w:rFonts w:eastAsiaTheme="majorEastAsia" w:cstheme="majorBidi"/>
      <w:b/>
      <w:lang w:val="es-ES_tradnl" w:eastAsia="es-ES"/>
    </w:rPr>
  </w:style>
  <w:style w:type="character" w:customStyle="1" w:styleId="Ttulo4Car">
    <w:name w:val="Título 4 Car"/>
    <w:basedOn w:val="Fuentedeprrafopredeter"/>
    <w:link w:val="Ttulo4"/>
    <w:uiPriority w:val="9"/>
    <w:rsid w:val="00190D5D"/>
    <w:rPr>
      <w:rFonts w:asciiTheme="majorHAnsi" w:eastAsiaTheme="majorEastAsia" w:hAnsiTheme="majorHAnsi" w:cstheme="majorBidi"/>
      <w:b/>
      <w:bCs/>
      <w:i/>
      <w:iCs/>
      <w:color w:val="4F81BD" w:themeColor="accent1"/>
      <w:sz w:val="22"/>
      <w:szCs w:val="22"/>
      <w:lang w:val="es-CO" w:eastAsia="en-US"/>
    </w:rPr>
  </w:style>
  <w:style w:type="character" w:customStyle="1" w:styleId="Ttulo5Car">
    <w:name w:val="Título 5 Car"/>
    <w:basedOn w:val="Fuentedeprrafopredeter"/>
    <w:link w:val="Ttulo5"/>
    <w:uiPriority w:val="9"/>
    <w:semiHidden/>
    <w:rsid w:val="00672D10"/>
    <w:rPr>
      <w:rFonts w:eastAsiaTheme="minorHAnsi"/>
      <w:b/>
      <w:lang w:eastAsia="en-US"/>
    </w:rPr>
  </w:style>
  <w:style w:type="character" w:customStyle="1" w:styleId="Ttulo6Car">
    <w:name w:val="Título 6 Car"/>
    <w:basedOn w:val="Fuentedeprrafopredeter"/>
    <w:link w:val="Ttulo6"/>
    <w:uiPriority w:val="9"/>
    <w:semiHidden/>
    <w:rsid w:val="00672D10"/>
    <w:rPr>
      <w:rFonts w:eastAsiaTheme="minorHAnsi"/>
      <w:b/>
      <w:sz w:val="20"/>
      <w:szCs w:val="20"/>
      <w:lang w:eastAsia="en-US"/>
    </w:rPr>
  </w:style>
  <w:style w:type="paragraph" w:styleId="Ttulo">
    <w:name w:val="Title"/>
    <w:basedOn w:val="Normal"/>
    <w:next w:val="Normal"/>
    <w:link w:val="TtuloCar"/>
    <w:uiPriority w:val="10"/>
    <w:qFormat/>
    <w:pPr>
      <w:keepNext/>
      <w:keepLines/>
      <w:spacing w:before="480" w:after="120"/>
    </w:pPr>
    <w:rPr>
      <w:b/>
      <w:sz w:val="72"/>
      <w:szCs w:val="72"/>
    </w:rPr>
  </w:style>
  <w:style w:type="character" w:customStyle="1" w:styleId="TtuloCar">
    <w:name w:val="Título Car"/>
    <w:basedOn w:val="Fuentedeprrafopredeter"/>
    <w:link w:val="Ttulo"/>
    <w:uiPriority w:val="10"/>
    <w:rsid w:val="00672D10"/>
    <w:rPr>
      <w:rFonts w:eastAsiaTheme="minorHAnsi"/>
      <w:b/>
      <w:sz w:val="72"/>
      <w:szCs w:val="72"/>
      <w:lang w:eastAsia="en-US"/>
    </w:rPr>
  </w:style>
  <w:style w:type="paragraph" w:styleId="Prrafodelista">
    <w:name w:val="List Paragraph"/>
    <w:aliases w:val="Titulo parrafo,References,Bullets,Title Style 1,Numbered List Paragraph,lp1,Cuadrícula media 1 - Énfasis 21,Numeracion iniciativas,ASPECTOS GENERALES,Cuadro 2-1,Párrafo de lista2,List Paragraph1,Dot pt,P‡rrafo de lista,Bullet 1 List"/>
    <w:basedOn w:val="Normal"/>
    <w:link w:val="PrrafodelistaCar"/>
    <w:uiPriority w:val="34"/>
    <w:qFormat/>
    <w:rsid w:val="00C30767"/>
    <w:pPr>
      <w:ind w:left="720"/>
      <w:contextualSpacing/>
    </w:pPr>
  </w:style>
  <w:style w:type="character" w:customStyle="1" w:styleId="PrrafodelistaCar">
    <w:name w:val="Párrafo de lista Car"/>
    <w:aliases w:val="Titulo parrafo Car,References Car,Bullets Car,Title Style 1 Car,Numbered List Paragraph Car,lp1 Car,Cuadrícula media 1 - Énfasis 21 Car,Numeracion iniciativas Car,ASPECTOS GENERALES Car,Cuadro 2-1 Car,Párrafo de lista2 Car"/>
    <w:link w:val="Prrafodelista"/>
    <w:uiPriority w:val="34"/>
    <w:qFormat/>
    <w:locked/>
    <w:rsid w:val="003A6382"/>
    <w:rPr>
      <w:rFonts w:eastAsiaTheme="minorHAnsi"/>
      <w:lang w:eastAsia="en-US"/>
    </w:rPr>
  </w:style>
  <w:style w:type="table" w:styleId="Tablaconcuadrcula">
    <w:name w:val="Table Grid"/>
    <w:basedOn w:val="Tablanormal"/>
    <w:uiPriority w:val="39"/>
    <w:rsid w:val="00C30767"/>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076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pgrafe">
    <w:name w:val="caption"/>
    <w:basedOn w:val="Normal"/>
    <w:next w:val="Normal"/>
    <w:uiPriority w:val="35"/>
    <w:unhideWhenUsed/>
    <w:qFormat/>
    <w:rsid w:val="00C30767"/>
    <w:pPr>
      <w:spacing w:after="200" w:line="240" w:lineRule="auto"/>
    </w:pPr>
    <w:rPr>
      <w:i/>
      <w:iCs/>
      <w:color w:val="1F497D" w:themeColor="text2"/>
      <w:sz w:val="18"/>
      <w:szCs w:val="18"/>
    </w:rPr>
  </w:style>
  <w:style w:type="character" w:styleId="Hipervnculo">
    <w:name w:val="Hyperlink"/>
    <w:basedOn w:val="Fuentedeprrafopredeter"/>
    <w:uiPriority w:val="99"/>
    <w:unhideWhenUsed/>
    <w:rsid w:val="00C30767"/>
    <w:rPr>
      <w:color w:val="0000FF" w:themeColor="hyperlink"/>
      <w:u w:val="single"/>
    </w:rPr>
  </w:style>
  <w:style w:type="character" w:styleId="Enfasis">
    <w:name w:val="Emphasis"/>
    <w:basedOn w:val="Fuentedeprrafopredeter"/>
    <w:uiPriority w:val="20"/>
    <w:qFormat/>
    <w:rsid w:val="00C30767"/>
    <w:rPr>
      <w:i/>
      <w:iCs/>
    </w:rPr>
  </w:style>
  <w:style w:type="paragraph" w:styleId="Textonotapie">
    <w:name w:val="footnote text"/>
    <w:basedOn w:val="Normal"/>
    <w:link w:val="TextonotapieCar"/>
    <w:uiPriority w:val="99"/>
    <w:unhideWhenUsed/>
    <w:rsid w:val="00C30767"/>
    <w:pPr>
      <w:spacing w:after="0" w:line="240" w:lineRule="auto"/>
    </w:pPr>
    <w:rPr>
      <w:sz w:val="20"/>
      <w:szCs w:val="20"/>
    </w:rPr>
  </w:style>
  <w:style w:type="character" w:customStyle="1" w:styleId="TextonotapieCar">
    <w:name w:val="Texto nota pie Car"/>
    <w:basedOn w:val="Fuentedeprrafopredeter"/>
    <w:link w:val="Textonotapie"/>
    <w:uiPriority w:val="99"/>
    <w:rsid w:val="00C30767"/>
    <w:rPr>
      <w:rFonts w:eastAsiaTheme="minorHAnsi"/>
      <w:sz w:val="20"/>
      <w:szCs w:val="20"/>
      <w:lang w:val="es-CO" w:eastAsia="en-US"/>
    </w:rPr>
  </w:style>
  <w:style w:type="character" w:styleId="Refdenotaalpie">
    <w:name w:val="footnote reference"/>
    <w:basedOn w:val="Fuentedeprrafopredeter"/>
    <w:uiPriority w:val="99"/>
    <w:unhideWhenUsed/>
    <w:rsid w:val="00C30767"/>
    <w:rPr>
      <w:vertAlign w:val="superscript"/>
    </w:rPr>
  </w:style>
  <w:style w:type="paragraph" w:styleId="Textodeglobo">
    <w:name w:val="Balloon Text"/>
    <w:basedOn w:val="Normal"/>
    <w:link w:val="TextodegloboCar"/>
    <w:uiPriority w:val="99"/>
    <w:semiHidden/>
    <w:unhideWhenUsed/>
    <w:rsid w:val="00C3076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30767"/>
    <w:rPr>
      <w:rFonts w:ascii="Lucida Grande" w:eastAsiaTheme="minorHAnsi" w:hAnsi="Lucida Grande" w:cs="Lucida Grande"/>
      <w:sz w:val="18"/>
      <w:szCs w:val="18"/>
      <w:lang w:val="es-CO" w:eastAsia="en-US"/>
    </w:rPr>
  </w:style>
  <w:style w:type="character" w:styleId="Textoennegrita">
    <w:name w:val="Strong"/>
    <w:basedOn w:val="Fuentedeprrafopredeter"/>
    <w:uiPriority w:val="22"/>
    <w:qFormat/>
    <w:rsid w:val="00C30767"/>
    <w:rPr>
      <w:b/>
      <w:bCs/>
    </w:rPr>
  </w:style>
  <w:style w:type="character" w:styleId="Refdecomentario">
    <w:name w:val="annotation reference"/>
    <w:basedOn w:val="Fuentedeprrafopredeter"/>
    <w:uiPriority w:val="99"/>
    <w:semiHidden/>
    <w:unhideWhenUsed/>
    <w:rsid w:val="00C30767"/>
    <w:rPr>
      <w:sz w:val="16"/>
      <w:szCs w:val="16"/>
    </w:rPr>
  </w:style>
  <w:style w:type="paragraph" w:styleId="Textocomentario">
    <w:name w:val="annotation text"/>
    <w:basedOn w:val="Normal"/>
    <w:link w:val="TextocomentarioCar"/>
    <w:uiPriority w:val="99"/>
    <w:unhideWhenUsed/>
    <w:rsid w:val="00C30767"/>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rsid w:val="00C30767"/>
    <w:rPr>
      <w:sz w:val="20"/>
      <w:szCs w:val="20"/>
    </w:rPr>
  </w:style>
  <w:style w:type="character" w:customStyle="1" w:styleId="AsuntodelcomentarioCar">
    <w:name w:val="Asunto del comentario Car"/>
    <w:basedOn w:val="TextocomentarioCar"/>
    <w:link w:val="Asuntodelcomentario"/>
    <w:uiPriority w:val="99"/>
    <w:semiHidden/>
    <w:rsid w:val="00C30767"/>
    <w:rPr>
      <w:b/>
      <w:bCs/>
      <w:sz w:val="20"/>
      <w:szCs w:val="20"/>
    </w:rPr>
  </w:style>
  <w:style w:type="paragraph" w:styleId="Asuntodelcomentario">
    <w:name w:val="annotation subject"/>
    <w:basedOn w:val="Textocomentario"/>
    <w:next w:val="Textocomentario"/>
    <w:link w:val="AsuntodelcomentarioCar"/>
    <w:uiPriority w:val="99"/>
    <w:semiHidden/>
    <w:unhideWhenUsed/>
    <w:rsid w:val="00C30767"/>
    <w:rPr>
      <w:b/>
      <w:bCs/>
    </w:rPr>
  </w:style>
  <w:style w:type="character" w:customStyle="1" w:styleId="apple-converted-space">
    <w:name w:val="apple-converted-space"/>
    <w:basedOn w:val="Fuentedeprrafopredeter"/>
    <w:rsid w:val="0036335F"/>
  </w:style>
  <w:style w:type="paragraph" w:styleId="Encabezado">
    <w:name w:val="header"/>
    <w:basedOn w:val="Normal"/>
    <w:link w:val="EncabezadoCar"/>
    <w:uiPriority w:val="99"/>
    <w:unhideWhenUsed/>
    <w:rsid w:val="000B1ECA"/>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0B1ECA"/>
  </w:style>
  <w:style w:type="paragraph" w:styleId="Piedepgina">
    <w:name w:val="footer"/>
    <w:basedOn w:val="Normal"/>
    <w:link w:val="PiedepginaCar"/>
    <w:uiPriority w:val="99"/>
    <w:unhideWhenUsed/>
    <w:rsid w:val="000B1ECA"/>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0B1ECA"/>
  </w:style>
  <w:style w:type="character" w:styleId="Hipervnculovisitado">
    <w:name w:val="FollowedHyperlink"/>
    <w:basedOn w:val="Fuentedeprrafopredeter"/>
    <w:uiPriority w:val="99"/>
    <w:semiHidden/>
    <w:unhideWhenUsed/>
    <w:rsid w:val="008E4C68"/>
    <w:rPr>
      <w:color w:val="800080" w:themeColor="followedHyperlink"/>
      <w:u w:val="single"/>
    </w:rPr>
  </w:style>
  <w:style w:type="character" w:styleId="Nmerodepgina">
    <w:name w:val="page number"/>
    <w:basedOn w:val="Fuentedeprrafopredeter"/>
    <w:uiPriority w:val="99"/>
    <w:semiHidden/>
    <w:unhideWhenUsed/>
    <w:rsid w:val="00DC382D"/>
  </w:style>
  <w:style w:type="paragraph" w:styleId="Encabezadodetabladecontenido">
    <w:name w:val="TOC Heading"/>
    <w:basedOn w:val="Ttulo1"/>
    <w:next w:val="Normal"/>
    <w:uiPriority w:val="39"/>
    <w:unhideWhenUsed/>
    <w:qFormat/>
    <w:rsid w:val="00DC382D"/>
    <w:pPr>
      <w:spacing w:before="480" w:line="276" w:lineRule="auto"/>
      <w:outlineLvl w:val="9"/>
    </w:pPr>
    <w:rPr>
      <w:b/>
      <w:bCs/>
      <w:sz w:val="28"/>
      <w:szCs w:val="28"/>
      <w:lang w:val="es-CO"/>
    </w:rPr>
  </w:style>
  <w:style w:type="paragraph" w:styleId="TDC1">
    <w:name w:val="toc 1"/>
    <w:basedOn w:val="Normal"/>
    <w:next w:val="Normal"/>
    <w:autoRedefine/>
    <w:uiPriority w:val="39"/>
    <w:unhideWhenUsed/>
    <w:rsid w:val="00DC382D"/>
    <w:pPr>
      <w:spacing w:before="120" w:after="0"/>
    </w:pPr>
    <w:rPr>
      <w:b/>
      <w:sz w:val="24"/>
      <w:szCs w:val="24"/>
    </w:rPr>
  </w:style>
  <w:style w:type="paragraph" w:styleId="TDC2">
    <w:name w:val="toc 2"/>
    <w:basedOn w:val="Normal"/>
    <w:next w:val="Normal"/>
    <w:autoRedefine/>
    <w:uiPriority w:val="39"/>
    <w:unhideWhenUsed/>
    <w:rsid w:val="00DC382D"/>
    <w:pPr>
      <w:spacing w:after="0"/>
      <w:ind w:left="220"/>
    </w:pPr>
    <w:rPr>
      <w:b/>
    </w:rPr>
  </w:style>
  <w:style w:type="paragraph" w:styleId="TDC3">
    <w:name w:val="toc 3"/>
    <w:basedOn w:val="Normal"/>
    <w:next w:val="Normal"/>
    <w:autoRedefine/>
    <w:uiPriority w:val="39"/>
    <w:unhideWhenUsed/>
    <w:rsid w:val="00DC382D"/>
    <w:pPr>
      <w:spacing w:after="0"/>
      <w:ind w:left="440"/>
    </w:pPr>
  </w:style>
  <w:style w:type="paragraph" w:styleId="TDC4">
    <w:name w:val="toc 4"/>
    <w:basedOn w:val="Normal"/>
    <w:next w:val="Normal"/>
    <w:autoRedefine/>
    <w:uiPriority w:val="39"/>
    <w:unhideWhenUsed/>
    <w:rsid w:val="00DC382D"/>
    <w:pPr>
      <w:spacing w:after="0"/>
      <w:ind w:left="660"/>
    </w:pPr>
    <w:rPr>
      <w:sz w:val="20"/>
      <w:szCs w:val="20"/>
    </w:rPr>
  </w:style>
  <w:style w:type="paragraph" w:styleId="TDC5">
    <w:name w:val="toc 5"/>
    <w:basedOn w:val="Normal"/>
    <w:next w:val="Normal"/>
    <w:autoRedefine/>
    <w:uiPriority w:val="39"/>
    <w:unhideWhenUsed/>
    <w:rsid w:val="00DC382D"/>
    <w:pPr>
      <w:spacing w:after="0"/>
      <w:ind w:left="880"/>
    </w:pPr>
    <w:rPr>
      <w:sz w:val="20"/>
      <w:szCs w:val="20"/>
    </w:rPr>
  </w:style>
  <w:style w:type="paragraph" w:styleId="TDC6">
    <w:name w:val="toc 6"/>
    <w:basedOn w:val="Normal"/>
    <w:next w:val="Normal"/>
    <w:autoRedefine/>
    <w:uiPriority w:val="39"/>
    <w:unhideWhenUsed/>
    <w:rsid w:val="00DC382D"/>
    <w:pPr>
      <w:spacing w:after="0"/>
      <w:ind w:left="1100"/>
    </w:pPr>
    <w:rPr>
      <w:sz w:val="20"/>
      <w:szCs w:val="20"/>
    </w:rPr>
  </w:style>
  <w:style w:type="paragraph" w:styleId="TDC7">
    <w:name w:val="toc 7"/>
    <w:basedOn w:val="Normal"/>
    <w:next w:val="Normal"/>
    <w:autoRedefine/>
    <w:uiPriority w:val="39"/>
    <w:unhideWhenUsed/>
    <w:rsid w:val="00DC382D"/>
    <w:pPr>
      <w:spacing w:after="0"/>
      <w:ind w:left="1320"/>
    </w:pPr>
    <w:rPr>
      <w:sz w:val="20"/>
      <w:szCs w:val="20"/>
    </w:rPr>
  </w:style>
  <w:style w:type="paragraph" w:styleId="TDC8">
    <w:name w:val="toc 8"/>
    <w:basedOn w:val="Normal"/>
    <w:next w:val="Normal"/>
    <w:autoRedefine/>
    <w:uiPriority w:val="39"/>
    <w:unhideWhenUsed/>
    <w:rsid w:val="00DC382D"/>
    <w:pPr>
      <w:spacing w:after="0"/>
      <w:ind w:left="1540"/>
    </w:pPr>
    <w:rPr>
      <w:sz w:val="20"/>
      <w:szCs w:val="20"/>
    </w:rPr>
  </w:style>
  <w:style w:type="paragraph" w:styleId="TDC9">
    <w:name w:val="toc 9"/>
    <w:basedOn w:val="Normal"/>
    <w:next w:val="Normal"/>
    <w:autoRedefine/>
    <w:uiPriority w:val="39"/>
    <w:unhideWhenUsed/>
    <w:rsid w:val="00DC382D"/>
    <w:pPr>
      <w:spacing w:after="0"/>
      <w:ind w:left="1760"/>
    </w:pPr>
    <w:rPr>
      <w:sz w:val="20"/>
      <w:szCs w:val="20"/>
    </w:rPr>
  </w:style>
  <w:style w:type="paragraph" w:styleId="Sinespaciado">
    <w:name w:val="No Spacing"/>
    <w:link w:val="SinespaciadoCar"/>
    <w:uiPriority w:val="1"/>
    <w:qFormat/>
    <w:rsid w:val="00D45B0B"/>
  </w:style>
  <w:style w:type="character" w:customStyle="1" w:styleId="SinespaciadoCar">
    <w:name w:val="Sin espaciado Car"/>
    <w:basedOn w:val="Fuentedeprrafopredeter"/>
    <w:link w:val="Sinespaciado"/>
    <w:uiPriority w:val="1"/>
    <w:rsid w:val="00D45B0B"/>
    <w:rPr>
      <w:sz w:val="22"/>
      <w:szCs w:val="22"/>
      <w:lang w:val="es-CO"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672D10"/>
    <w:rPr>
      <w:rFonts w:ascii="Georgia" w:eastAsia="Georgia" w:hAnsi="Georgia" w:cs="Georgia"/>
      <w:i/>
      <w:color w:val="666666"/>
      <w:sz w:val="48"/>
      <w:szCs w:val="48"/>
      <w:lang w:eastAsia="en-US"/>
    </w:rPr>
  </w:style>
  <w:style w:type="table" w:customStyle="1" w:styleId="a">
    <w:basedOn w:val="Tablanormal"/>
    <w:tblPr>
      <w:tblStyleRowBandSize w:val="1"/>
      <w:tblStyleColBandSize w:val="1"/>
      <w:tblInd w:w="0" w:type="dxa"/>
      <w:tblCellMar>
        <w:top w:w="0" w:type="dxa"/>
        <w:left w:w="108" w:type="dxa"/>
        <w:bottom w:w="0" w:type="dxa"/>
        <w:right w:w="108" w:type="dxa"/>
      </w:tblCellMar>
    </w:tblPr>
  </w:style>
  <w:style w:type="table" w:customStyle="1" w:styleId="a0">
    <w:basedOn w:val="Tablanormal"/>
    <w:tblPr>
      <w:tblStyleRowBandSize w:val="1"/>
      <w:tblStyleColBandSize w:val="1"/>
      <w:tblInd w:w="0" w:type="dxa"/>
      <w:tblCellMar>
        <w:top w:w="0" w:type="dxa"/>
        <w:left w:w="108" w:type="dxa"/>
        <w:bottom w:w="0" w:type="dxa"/>
        <w:right w:w="108" w:type="dxa"/>
      </w:tblCellMar>
    </w:tblPr>
  </w:style>
  <w:style w:type="table" w:customStyle="1" w:styleId="a1">
    <w:basedOn w:val="Tablanormal"/>
    <w:tblPr>
      <w:tblStyleRowBandSize w:val="1"/>
      <w:tblStyleColBandSize w:val="1"/>
      <w:tblInd w:w="0" w:type="dxa"/>
      <w:tblCellMar>
        <w:top w:w="0" w:type="dxa"/>
        <w:left w:w="115" w:type="dxa"/>
        <w:bottom w:w="0" w:type="dxa"/>
        <w:right w:w="115" w:type="dxa"/>
      </w:tblCellMar>
    </w:tblPr>
  </w:style>
  <w:style w:type="table" w:customStyle="1" w:styleId="a2">
    <w:basedOn w:val="Tablanormal"/>
    <w:tblPr>
      <w:tblStyleRowBandSize w:val="1"/>
      <w:tblStyleColBandSize w:val="1"/>
      <w:tblInd w:w="0" w:type="dxa"/>
      <w:tblCellMar>
        <w:top w:w="0" w:type="dxa"/>
        <w:left w:w="108" w:type="dxa"/>
        <w:bottom w:w="0" w:type="dxa"/>
        <w:right w:w="108" w:type="dxa"/>
      </w:tblCellMar>
    </w:tblPr>
  </w:style>
  <w:style w:type="table" w:customStyle="1" w:styleId="a3">
    <w:basedOn w:val="Tablanormal"/>
    <w:tblPr>
      <w:tblStyleRowBandSize w:val="1"/>
      <w:tblStyleColBandSize w:val="1"/>
      <w:tblInd w:w="0" w:type="dxa"/>
      <w:tblCellMar>
        <w:top w:w="0" w:type="dxa"/>
        <w:left w:w="115" w:type="dxa"/>
        <w:bottom w:w="0" w:type="dxa"/>
        <w:right w:w="115" w:type="dxa"/>
      </w:tblCellMar>
    </w:tblPr>
  </w:style>
  <w:style w:type="table" w:customStyle="1" w:styleId="a4">
    <w:basedOn w:val="Tablanormal"/>
    <w:tblPr>
      <w:tblStyleRowBandSize w:val="1"/>
      <w:tblStyleColBandSize w:val="1"/>
      <w:tblInd w:w="0" w:type="dxa"/>
      <w:tblCellMar>
        <w:top w:w="0" w:type="dxa"/>
        <w:left w:w="115" w:type="dxa"/>
        <w:bottom w:w="0" w:type="dxa"/>
        <w:right w:w="115" w:type="dxa"/>
      </w:tblCellMar>
    </w:tblPr>
  </w:style>
  <w:style w:type="table" w:customStyle="1" w:styleId="a5">
    <w:basedOn w:val="Tablanormal"/>
    <w:tblPr>
      <w:tblStyleRowBandSize w:val="1"/>
      <w:tblStyleColBandSize w:val="1"/>
      <w:tblInd w:w="0" w:type="dxa"/>
      <w:tblCellMar>
        <w:top w:w="0" w:type="dxa"/>
        <w:left w:w="115" w:type="dxa"/>
        <w:bottom w:w="0" w:type="dxa"/>
        <w:right w:w="115" w:type="dxa"/>
      </w:tblCellMar>
    </w:tblPr>
  </w:style>
  <w:style w:type="table" w:customStyle="1" w:styleId="a6">
    <w:basedOn w:val="Tablanormal"/>
    <w:tblPr>
      <w:tblStyleRowBandSize w:val="1"/>
      <w:tblStyleColBandSize w:val="1"/>
      <w:tblInd w:w="0" w:type="dxa"/>
      <w:tblCellMar>
        <w:top w:w="0" w:type="dxa"/>
        <w:left w:w="115" w:type="dxa"/>
        <w:bottom w:w="0" w:type="dxa"/>
        <w:right w:w="115" w:type="dxa"/>
      </w:tblCellMar>
    </w:tblPr>
  </w:style>
  <w:style w:type="table" w:customStyle="1" w:styleId="a7">
    <w:basedOn w:val="Tablanormal"/>
    <w:tblPr>
      <w:tblStyleRowBandSize w:val="1"/>
      <w:tblStyleColBandSize w:val="1"/>
      <w:tblInd w:w="0" w:type="dxa"/>
      <w:tblCellMar>
        <w:top w:w="0" w:type="dxa"/>
        <w:left w:w="115" w:type="dxa"/>
        <w:bottom w:w="0" w:type="dxa"/>
        <w:right w:w="115" w:type="dxa"/>
      </w:tblCellMar>
    </w:tblPr>
  </w:style>
  <w:style w:type="table" w:customStyle="1" w:styleId="a8">
    <w:basedOn w:val="Tablanormal"/>
    <w:tblPr>
      <w:tblStyleRowBandSize w:val="1"/>
      <w:tblStyleColBandSize w:val="1"/>
      <w:tblInd w:w="0" w:type="dxa"/>
      <w:tblCellMar>
        <w:top w:w="0" w:type="dxa"/>
        <w:left w:w="115" w:type="dxa"/>
        <w:bottom w:w="0" w:type="dxa"/>
        <w:right w:w="115" w:type="dxa"/>
      </w:tblCellMar>
    </w:tblPr>
  </w:style>
  <w:style w:type="table" w:customStyle="1" w:styleId="a9">
    <w:basedOn w:val="Tablanormal"/>
    <w:tblPr>
      <w:tblStyleRowBandSize w:val="1"/>
      <w:tblStyleColBandSize w:val="1"/>
      <w:tblInd w:w="0" w:type="dxa"/>
      <w:tblCellMar>
        <w:top w:w="0" w:type="dxa"/>
        <w:left w:w="115" w:type="dxa"/>
        <w:bottom w:w="0" w:type="dxa"/>
        <w:right w:w="115" w:type="dxa"/>
      </w:tblCellMar>
    </w:tblPr>
  </w:style>
  <w:style w:type="table" w:customStyle="1" w:styleId="aa">
    <w:basedOn w:val="Tablanormal"/>
    <w:tblPr>
      <w:tblStyleRowBandSize w:val="1"/>
      <w:tblStyleColBandSize w:val="1"/>
      <w:tblInd w:w="0" w:type="dxa"/>
      <w:tblCellMar>
        <w:top w:w="0" w:type="dxa"/>
        <w:left w:w="115" w:type="dxa"/>
        <w:bottom w:w="0" w:type="dxa"/>
        <w:right w:w="115" w:type="dxa"/>
      </w:tblCellMar>
    </w:tblPr>
  </w:style>
  <w:style w:type="table" w:customStyle="1" w:styleId="ab">
    <w:basedOn w:val="Tablanormal"/>
    <w:tblPr>
      <w:tblStyleRowBandSize w:val="1"/>
      <w:tblStyleColBandSize w:val="1"/>
      <w:tblInd w:w="0" w:type="dxa"/>
      <w:tblCellMar>
        <w:top w:w="0" w:type="dxa"/>
        <w:left w:w="115" w:type="dxa"/>
        <w:bottom w:w="0" w:type="dxa"/>
        <w:right w:w="115" w:type="dxa"/>
      </w:tblCellMar>
    </w:tblPr>
  </w:style>
  <w:style w:type="table" w:customStyle="1" w:styleId="ac">
    <w:basedOn w:val="Tablanormal"/>
    <w:tblPr>
      <w:tblStyleRowBandSize w:val="1"/>
      <w:tblStyleColBandSize w:val="1"/>
      <w:tblInd w:w="0" w:type="dxa"/>
      <w:tblCellMar>
        <w:top w:w="0" w:type="dxa"/>
        <w:left w:w="115" w:type="dxa"/>
        <w:bottom w:w="0" w:type="dxa"/>
        <w:right w:w="115" w:type="dxa"/>
      </w:tblCellMar>
    </w:tblPr>
  </w:style>
  <w:style w:type="table" w:customStyle="1" w:styleId="ad">
    <w:basedOn w:val="Tablanormal"/>
    <w:tblPr>
      <w:tblStyleRowBandSize w:val="1"/>
      <w:tblStyleColBandSize w:val="1"/>
      <w:tblInd w:w="0" w:type="dxa"/>
      <w:tblCellMar>
        <w:top w:w="0" w:type="dxa"/>
        <w:left w:w="115" w:type="dxa"/>
        <w:bottom w:w="0" w:type="dxa"/>
        <w:right w:w="115" w:type="dxa"/>
      </w:tblCellMar>
    </w:tblPr>
  </w:style>
  <w:style w:type="table" w:customStyle="1" w:styleId="ae">
    <w:basedOn w:val="Tablanormal"/>
    <w:tblPr>
      <w:tblStyleRowBandSize w:val="1"/>
      <w:tblStyleColBandSize w:val="1"/>
      <w:tblInd w:w="0" w:type="dxa"/>
      <w:tblCellMar>
        <w:top w:w="0" w:type="dxa"/>
        <w:left w:w="115" w:type="dxa"/>
        <w:bottom w:w="0" w:type="dxa"/>
        <w:right w:w="115" w:type="dxa"/>
      </w:tblCellMar>
    </w:tblPr>
  </w:style>
  <w:style w:type="table" w:customStyle="1" w:styleId="af">
    <w:basedOn w:val="Tablanormal"/>
    <w:tblPr>
      <w:tblStyleRowBandSize w:val="1"/>
      <w:tblStyleColBandSize w:val="1"/>
      <w:tblInd w:w="0" w:type="dxa"/>
      <w:tblCellMar>
        <w:top w:w="0" w:type="dxa"/>
        <w:left w:w="115" w:type="dxa"/>
        <w:bottom w:w="0" w:type="dxa"/>
        <w:right w:w="115" w:type="dxa"/>
      </w:tblCellMar>
    </w:tblPr>
  </w:style>
  <w:style w:type="table" w:customStyle="1" w:styleId="af0">
    <w:basedOn w:val="Tablanormal"/>
    <w:tblPr>
      <w:tblStyleRowBandSize w:val="1"/>
      <w:tblStyleColBandSize w:val="1"/>
      <w:tblInd w:w="0" w:type="dxa"/>
      <w:tblCellMar>
        <w:top w:w="0" w:type="dxa"/>
        <w:left w:w="115" w:type="dxa"/>
        <w:bottom w:w="0" w:type="dxa"/>
        <w:right w:w="115" w:type="dxa"/>
      </w:tblCellMar>
    </w:tblPr>
  </w:style>
  <w:style w:type="table" w:customStyle="1" w:styleId="af1">
    <w:basedOn w:val="Tablanormal"/>
    <w:tblPr>
      <w:tblStyleRowBandSize w:val="1"/>
      <w:tblStyleColBandSize w:val="1"/>
      <w:tblInd w:w="0" w:type="dxa"/>
      <w:tblCellMar>
        <w:top w:w="0" w:type="dxa"/>
        <w:left w:w="115" w:type="dxa"/>
        <w:bottom w:w="0" w:type="dxa"/>
        <w:right w:w="115" w:type="dxa"/>
      </w:tblCellMar>
    </w:tblPr>
  </w:style>
  <w:style w:type="table" w:customStyle="1" w:styleId="af2">
    <w:basedOn w:val="Tablanormal"/>
    <w:tblPr>
      <w:tblStyleRowBandSize w:val="1"/>
      <w:tblStyleColBandSize w:val="1"/>
      <w:tblInd w:w="0" w:type="dxa"/>
      <w:tblCellMar>
        <w:top w:w="0" w:type="dxa"/>
        <w:left w:w="115" w:type="dxa"/>
        <w:bottom w:w="0" w:type="dxa"/>
        <w:right w:w="115" w:type="dxa"/>
      </w:tblCellMar>
    </w:tblPr>
  </w:style>
  <w:style w:type="table" w:customStyle="1" w:styleId="af3">
    <w:basedOn w:val="Tablanormal"/>
    <w:tblPr>
      <w:tblStyleRowBandSize w:val="1"/>
      <w:tblStyleColBandSize w:val="1"/>
      <w:tblInd w:w="0" w:type="dxa"/>
      <w:tblCellMar>
        <w:top w:w="0" w:type="dxa"/>
        <w:left w:w="115" w:type="dxa"/>
        <w:bottom w:w="0" w:type="dxa"/>
        <w:right w:w="115" w:type="dxa"/>
      </w:tblCellMar>
    </w:tblPr>
  </w:style>
  <w:style w:type="table" w:customStyle="1" w:styleId="af4">
    <w:basedOn w:val="Tablanormal"/>
    <w:tblPr>
      <w:tblStyleRowBandSize w:val="1"/>
      <w:tblStyleColBandSize w:val="1"/>
      <w:tblInd w:w="0" w:type="dxa"/>
      <w:tblCellMar>
        <w:top w:w="0" w:type="dxa"/>
        <w:left w:w="108" w:type="dxa"/>
        <w:bottom w:w="0" w:type="dxa"/>
        <w:right w:w="108" w:type="dxa"/>
      </w:tblCellMar>
    </w:tblPr>
  </w:style>
  <w:style w:type="table" w:customStyle="1" w:styleId="af5">
    <w:basedOn w:val="Tablanormal"/>
    <w:tblPr>
      <w:tblStyleRowBandSize w:val="1"/>
      <w:tblStyleColBandSize w:val="1"/>
      <w:tblInd w:w="0" w:type="dxa"/>
      <w:tblCellMar>
        <w:top w:w="0" w:type="dxa"/>
        <w:left w:w="108" w:type="dxa"/>
        <w:bottom w:w="0" w:type="dxa"/>
        <w:right w:w="108" w:type="dxa"/>
      </w:tblCellMar>
    </w:tblPr>
  </w:style>
  <w:style w:type="table" w:customStyle="1" w:styleId="af6">
    <w:basedOn w:val="Tablanormal"/>
    <w:tblPr>
      <w:tblStyleRowBandSize w:val="1"/>
      <w:tblStyleColBandSize w:val="1"/>
      <w:tblInd w:w="0" w:type="dxa"/>
      <w:tblCellMar>
        <w:top w:w="0" w:type="dxa"/>
        <w:left w:w="108" w:type="dxa"/>
        <w:bottom w:w="0" w:type="dxa"/>
        <w:right w:w="108" w:type="dxa"/>
      </w:tblCellMar>
    </w:tblPr>
  </w:style>
  <w:style w:type="table" w:customStyle="1" w:styleId="af7">
    <w:basedOn w:val="Tablanormal"/>
    <w:tblPr>
      <w:tblStyleRowBandSize w:val="1"/>
      <w:tblStyleColBandSize w:val="1"/>
      <w:tblInd w:w="0" w:type="dxa"/>
      <w:tblCellMar>
        <w:top w:w="0" w:type="dxa"/>
        <w:left w:w="108" w:type="dxa"/>
        <w:bottom w:w="0" w:type="dxa"/>
        <w:right w:w="108" w:type="dxa"/>
      </w:tblCellMar>
    </w:tblPr>
  </w:style>
  <w:style w:type="table" w:customStyle="1" w:styleId="af8">
    <w:basedOn w:val="Tablanormal"/>
    <w:tblPr>
      <w:tblStyleRowBandSize w:val="1"/>
      <w:tblStyleColBandSize w:val="1"/>
      <w:tblInd w:w="0" w:type="dxa"/>
      <w:tblCellMar>
        <w:top w:w="0" w:type="dxa"/>
        <w:left w:w="108" w:type="dxa"/>
        <w:bottom w:w="0" w:type="dxa"/>
        <w:right w:w="108" w:type="dxa"/>
      </w:tblCellMar>
    </w:tblPr>
  </w:style>
  <w:style w:type="table" w:customStyle="1" w:styleId="af9">
    <w:basedOn w:val="Tablanormal"/>
    <w:tblPr>
      <w:tblStyleRowBandSize w:val="1"/>
      <w:tblStyleColBandSize w:val="1"/>
      <w:tblInd w:w="0" w:type="dxa"/>
      <w:tblCellMar>
        <w:top w:w="0" w:type="dxa"/>
        <w:left w:w="108" w:type="dxa"/>
        <w:bottom w:w="0" w:type="dxa"/>
        <w:right w:w="108" w:type="dxa"/>
      </w:tblCellMar>
    </w:tblPr>
  </w:style>
  <w:style w:type="table" w:customStyle="1" w:styleId="afa">
    <w:basedOn w:val="Tablanormal"/>
    <w:tblPr>
      <w:tblStyleRowBandSize w:val="1"/>
      <w:tblStyleColBandSize w:val="1"/>
      <w:tblInd w:w="0" w:type="dxa"/>
      <w:tblCellMar>
        <w:top w:w="0" w:type="dxa"/>
        <w:left w:w="115" w:type="dxa"/>
        <w:bottom w:w="0" w:type="dxa"/>
        <w:right w:w="115" w:type="dxa"/>
      </w:tblCellMar>
    </w:tblPr>
  </w:style>
  <w:style w:type="table" w:customStyle="1" w:styleId="afb">
    <w:basedOn w:val="Tablanormal"/>
    <w:tblPr>
      <w:tblStyleRowBandSize w:val="1"/>
      <w:tblStyleColBandSize w:val="1"/>
      <w:tblInd w:w="0" w:type="dxa"/>
      <w:tblCellMar>
        <w:top w:w="0" w:type="dxa"/>
        <w:left w:w="115" w:type="dxa"/>
        <w:bottom w:w="0" w:type="dxa"/>
        <w:right w:w="115" w:type="dxa"/>
      </w:tblCellMar>
    </w:tblPr>
  </w:style>
  <w:style w:type="table" w:customStyle="1" w:styleId="afc">
    <w:basedOn w:val="Tablanormal"/>
    <w:tblPr>
      <w:tblStyleRowBandSize w:val="1"/>
      <w:tblStyleColBandSize w:val="1"/>
      <w:tblInd w:w="0" w:type="dxa"/>
      <w:tblCellMar>
        <w:top w:w="0" w:type="dxa"/>
        <w:left w:w="115" w:type="dxa"/>
        <w:bottom w:w="0" w:type="dxa"/>
        <w:right w:w="115" w:type="dxa"/>
      </w:tblCellMar>
    </w:tblPr>
  </w:style>
  <w:style w:type="table" w:customStyle="1" w:styleId="afd">
    <w:basedOn w:val="Tablanormal"/>
    <w:tblPr>
      <w:tblStyleRowBandSize w:val="1"/>
      <w:tblStyleColBandSize w:val="1"/>
      <w:tblInd w:w="0" w:type="dxa"/>
      <w:tblCellMar>
        <w:top w:w="0" w:type="dxa"/>
        <w:left w:w="115" w:type="dxa"/>
        <w:bottom w:w="0" w:type="dxa"/>
        <w:right w:w="115" w:type="dxa"/>
      </w:tblCellMar>
    </w:tblPr>
  </w:style>
  <w:style w:type="table" w:customStyle="1" w:styleId="afe">
    <w:basedOn w:val="Tablanormal"/>
    <w:tblPr>
      <w:tblStyleRowBandSize w:val="1"/>
      <w:tblStyleColBandSize w:val="1"/>
      <w:tblInd w:w="0" w:type="dxa"/>
      <w:tblCellMar>
        <w:top w:w="0" w:type="dxa"/>
        <w:left w:w="115" w:type="dxa"/>
        <w:bottom w:w="0" w:type="dxa"/>
        <w:right w:w="115" w:type="dxa"/>
      </w:tblCellMar>
    </w:tblPr>
  </w:style>
  <w:style w:type="table" w:customStyle="1" w:styleId="aff">
    <w:basedOn w:val="Tablanormal"/>
    <w:tblPr>
      <w:tblStyleRowBandSize w:val="1"/>
      <w:tblStyleColBandSize w:val="1"/>
      <w:tblInd w:w="0" w:type="dxa"/>
      <w:tblCellMar>
        <w:top w:w="0" w:type="dxa"/>
        <w:left w:w="115" w:type="dxa"/>
        <w:bottom w:w="0" w:type="dxa"/>
        <w:right w:w="115" w:type="dxa"/>
      </w:tblCellMar>
    </w:tblPr>
  </w:style>
  <w:style w:type="table" w:customStyle="1" w:styleId="aff0">
    <w:basedOn w:val="Tablanormal"/>
    <w:tblPr>
      <w:tblStyleRowBandSize w:val="1"/>
      <w:tblStyleColBandSize w:val="1"/>
      <w:tblInd w:w="0" w:type="dxa"/>
      <w:tblCellMar>
        <w:top w:w="0" w:type="dxa"/>
        <w:left w:w="115" w:type="dxa"/>
        <w:bottom w:w="0" w:type="dxa"/>
        <w:right w:w="115" w:type="dxa"/>
      </w:tblCellMar>
    </w:tblPr>
  </w:style>
  <w:style w:type="table" w:customStyle="1" w:styleId="aff1">
    <w:basedOn w:val="Tablanormal"/>
    <w:tblPr>
      <w:tblStyleRowBandSize w:val="1"/>
      <w:tblStyleColBandSize w:val="1"/>
      <w:tblInd w:w="0" w:type="dxa"/>
      <w:tblCellMar>
        <w:top w:w="0" w:type="dxa"/>
        <w:left w:w="115" w:type="dxa"/>
        <w:bottom w:w="0" w:type="dxa"/>
        <w:right w:w="115" w:type="dxa"/>
      </w:tblCellMar>
    </w:tblPr>
  </w:style>
  <w:style w:type="table" w:customStyle="1" w:styleId="aff2">
    <w:basedOn w:val="Tablanormal"/>
    <w:tblPr>
      <w:tblStyleRowBandSize w:val="1"/>
      <w:tblStyleColBandSize w:val="1"/>
      <w:tblInd w:w="0" w:type="dxa"/>
      <w:tblCellMar>
        <w:top w:w="0" w:type="dxa"/>
        <w:left w:w="115" w:type="dxa"/>
        <w:bottom w:w="0" w:type="dxa"/>
        <w:right w:w="115" w:type="dxa"/>
      </w:tblCellMar>
    </w:tblPr>
  </w:style>
  <w:style w:type="table" w:customStyle="1" w:styleId="aff3">
    <w:basedOn w:val="Tablanormal"/>
    <w:tblPr>
      <w:tblStyleRowBandSize w:val="1"/>
      <w:tblStyleColBandSize w:val="1"/>
      <w:tblInd w:w="0" w:type="dxa"/>
      <w:tblCellMar>
        <w:top w:w="0" w:type="dxa"/>
        <w:left w:w="115" w:type="dxa"/>
        <w:bottom w:w="0" w:type="dxa"/>
        <w:right w:w="115" w:type="dxa"/>
      </w:tblCellMar>
    </w:tblPr>
  </w:style>
  <w:style w:type="table" w:customStyle="1" w:styleId="aff4">
    <w:basedOn w:val="Tablanormal"/>
    <w:tblPr>
      <w:tblStyleRowBandSize w:val="1"/>
      <w:tblStyleColBandSize w:val="1"/>
      <w:tblInd w:w="0" w:type="dxa"/>
      <w:tblCellMar>
        <w:top w:w="0" w:type="dxa"/>
        <w:left w:w="115" w:type="dxa"/>
        <w:bottom w:w="0" w:type="dxa"/>
        <w:right w:w="115" w:type="dxa"/>
      </w:tblCellMar>
    </w:tblPr>
  </w:style>
  <w:style w:type="table" w:customStyle="1" w:styleId="aff5">
    <w:basedOn w:val="Tablanormal"/>
    <w:tblPr>
      <w:tblStyleRowBandSize w:val="1"/>
      <w:tblStyleColBandSize w:val="1"/>
      <w:tblInd w:w="0" w:type="dxa"/>
      <w:tblCellMar>
        <w:top w:w="0" w:type="dxa"/>
        <w:left w:w="115" w:type="dxa"/>
        <w:bottom w:w="0" w:type="dxa"/>
        <w:right w:w="115" w:type="dxa"/>
      </w:tblCellMar>
    </w:tblPr>
  </w:style>
  <w:style w:type="table" w:customStyle="1" w:styleId="aff6">
    <w:basedOn w:val="Tablanormal"/>
    <w:tblPr>
      <w:tblStyleRowBandSize w:val="1"/>
      <w:tblStyleColBandSize w:val="1"/>
      <w:tblInd w:w="0" w:type="dxa"/>
      <w:tblCellMar>
        <w:top w:w="0" w:type="dxa"/>
        <w:left w:w="108" w:type="dxa"/>
        <w:bottom w:w="0" w:type="dxa"/>
        <w:right w:w="108" w:type="dxa"/>
      </w:tblCellMar>
    </w:tblPr>
  </w:style>
  <w:style w:type="table" w:customStyle="1" w:styleId="aff7">
    <w:basedOn w:val="Tablanormal"/>
    <w:tblPr>
      <w:tblStyleRowBandSize w:val="1"/>
      <w:tblStyleColBandSize w:val="1"/>
      <w:tblInd w:w="0" w:type="dxa"/>
      <w:tblCellMar>
        <w:top w:w="0" w:type="dxa"/>
        <w:left w:w="108" w:type="dxa"/>
        <w:bottom w:w="0" w:type="dxa"/>
        <w:right w:w="108" w:type="dxa"/>
      </w:tblCellMar>
    </w:tblPr>
  </w:style>
  <w:style w:type="table" w:customStyle="1" w:styleId="aff8">
    <w:basedOn w:val="Tablanormal"/>
    <w:tblPr>
      <w:tblStyleRowBandSize w:val="1"/>
      <w:tblStyleColBandSize w:val="1"/>
      <w:tblInd w:w="0" w:type="dxa"/>
      <w:tblCellMar>
        <w:top w:w="0" w:type="dxa"/>
        <w:left w:w="108" w:type="dxa"/>
        <w:bottom w:w="0" w:type="dxa"/>
        <w:right w:w="108" w:type="dxa"/>
      </w:tblCellMar>
    </w:tblPr>
  </w:style>
  <w:style w:type="table" w:customStyle="1" w:styleId="aff9">
    <w:basedOn w:val="Tablanormal"/>
    <w:tblPr>
      <w:tblStyleRowBandSize w:val="1"/>
      <w:tblStyleColBandSize w:val="1"/>
      <w:tblInd w:w="0" w:type="dxa"/>
      <w:tblCellMar>
        <w:top w:w="0" w:type="dxa"/>
        <w:left w:w="108" w:type="dxa"/>
        <w:bottom w:w="0" w:type="dxa"/>
        <w:right w:w="108" w:type="dxa"/>
      </w:tblCellMar>
    </w:tblPr>
  </w:style>
  <w:style w:type="table" w:customStyle="1" w:styleId="affa">
    <w:basedOn w:val="Tablanormal"/>
    <w:tblPr>
      <w:tblStyleRowBandSize w:val="1"/>
      <w:tblStyleColBandSize w:val="1"/>
      <w:tblInd w:w="0" w:type="dxa"/>
      <w:tblCellMar>
        <w:top w:w="0" w:type="dxa"/>
        <w:left w:w="108" w:type="dxa"/>
        <w:bottom w:w="0" w:type="dxa"/>
        <w:right w:w="108" w:type="dxa"/>
      </w:tblCellMar>
    </w:tblPr>
  </w:style>
  <w:style w:type="table" w:customStyle="1" w:styleId="affb">
    <w:basedOn w:val="Tablanormal"/>
    <w:tblPr>
      <w:tblStyleRowBandSize w:val="1"/>
      <w:tblStyleColBandSize w:val="1"/>
      <w:tblInd w:w="0" w:type="dxa"/>
      <w:tblCellMar>
        <w:top w:w="0" w:type="dxa"/>
        <w:left w:w="108" w:type="dxa"/>
        <w:bottom w:w="0" w:type="dxa"/>
        <w:right w:w="108" w:type="dxa"/>
      </w:tblCellMar>
    </w:tblPr>
  </w:style>
  <w:style w:type="table" w:customStyle="1" w:styleId="affc">
    <w:basedOn w:val="Tablanormal"/>
    <w:tblPr>
      <w:tblStyleRowBandSize w:val="1"/>
      <w:tblStyleColBandSize w:val="1"/>
      <w:tblInd w:w="0" w:type="dxa"/>
      <w:tblCellMar>
        <w:top w:w="0" w:type="dxa"/>
        <w:left w:w="108" w:type="dxa"/>
        <w:bottom w:w="0" w:type="dxa"/>
        <w:right w:w="108" w:type="dxa"/>
      </w:tblCellMar>
    </w:tblPr>
  </w:style>
  <w:style w:type="table" w:customStyle="1" w:styleId="affd">
    <w:basedOn w:val="Tablanormal"/>
    <w:tblPr>
      <w:tblStyleRowBandSize w:val="1"/>
      <w:tblStyleColBandSize w:val="1"/>
      <w:tblInd w:w="0" w:type="dxa"/>
      <w:tblCellMar>
        <w:top w:w="0" w:type="dxa"/>
        <w:left w:w="108" w:type="dxa"/>
        <w:bottom w:w="0" w:type="dxa"/>
        <w:right w:w="108" w:type="dxa"/>
      </w:tblCellMar>
    </w:tblPr>
  </w:style>
  <w:style w:type="table" w:customStyle="1" w:styleId="affe">
    <w:basedOn w:val="Tablanormal"/>
    <w:tblPr>
      <w:tblStyleRowBandSize w:val="1"/>
      <w:tblStyleColBandSize w:val="1"/>
      <w:tblInd w:w="0" w:type="dxa"/>
      <w:tblCellMar>
        <w:top w:w="0" w:type="dxa"/>
        <w:left w:w="108" w:type="dxa"/>
        <w:bottom w:w="0" w:type="dxa"/>
        <w:right w:w="108" w:type="dxa"/>
      </w:tblCellMar>
    </w:tblPr>
  </w:style>
  <w:style w:type="table" w:customStyle="1" w:styleId="afff">
    <w:basedOn w:val="Tablanormal"/>
    <w:tblPr>
      <w:tblStyleRowBandSize w:val="1"/>
      <w:tblStyleColBandSize w:val="1"/>
      <w:tblInd w:w="0" w:type="dxa"/>
      <w:tblCellMar>
        <w:top w:w="0" w:type="dxa"/>
        <w:left w:w="108" w:type="dxa"/>
        <w:bottom w:w="0" w:type="dxa"/>
        <w:right w:w="108" w:type="dxa"/>
      </w:tblCellMar>
    </w:tblPr>
  </w:style>
  <w:style w:type="table" w:customStyle="1" w:styleId="afff0">
    <w:basedOn w:val="Tablanormal"/>
    <w:tblPr>
      <w:tblStyleRowBandSize w:val="1"/>
      <w:tblStyleColBandSize w:val="1"/>
      <w:tblInd w:w="0" w:type="dxa"/>
      <w:tblCellMar>
        <w:top w:w="0" w:type="dxa"/>
        <w:left w:w="108" w:type="dxa"/>
        <w:bottom w:w="0" w:type="dxa"/>
        <w:right w:w="108" w:type="dxa"/>
      </w:tblCellMar>
    </w:tblPr>
  </w:style>
  <w:style w:type="table" w:customStyle="1" w:styleId="afff1">
    <w:basedOn w:val="Tablanormal"/>
    <w:tblPr>
      <w:tblStyleRowBandSize w:val="1"/>
      <w:tblStyleColBandSize w:val="1"/>
      <w:tblInd w:w="0" w:type="dxa"/>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4C2819"/>
    <w:rPr>
      <w:color w:val="605E5C"/>
      <w:shd w:val="clear" w:color="auto" w:fill="E1DFDD"/>
    </w:rPr>
  </w:style>
  <w:style w:type="paragraph" w:styleId="Revisin">
    <w:name w:val="Revision"/>
    <w:hidden/>
    <w:uiPriority w:val="99"/>
    <w:semiHidden/>
    <w:rsid w:val="006B7438"/>
    <w:pPr>
      <w:spacing w:after="0" w:line="240" w:lineRule="auto"/>
    </w:pPr>
    <w:rPr>
      <w:rFonts w:eastAsiaTheme="minorHAnsi"/>
      <w:lang w:eastAsia="en-US"/>
    </w:rPr>
  </w:style>
  <w:style w:type="table" w:customStyle="1" w:styleId="afff2">
    <w:basedOn w:val="Tablanormal"/>
    <w:tblPr>
      <w:tblStyleRowBandSize w:val="1"/>
      <w:tblStyleColBandSize w:val="1"/>
      <w:tblInd w:w="0" w:type="dxa"/>
      <w:tblCellMar>
        <w:top w:w="0" w:type="dxa"/>
        <w:left w:w="115" w:type="dxa"/>
        <w:bottom w:w="0" w:type="dxa"/>
        <w:right w:w="115" w:type="dxa"/>
      </w:tblCellMar>
    </w:tblPr>
  </w:style>
  <w:style w:type="table" w:customStyle="1" w:styleId="afff3">
    <w:basedOn w:val="Tablanormal"/>
    <w:tblPr>
      <w:tblStyleRowBandSize w:val="1"/>
      <w:tblStyleColBandSize w:val="1"/>
      <w:tblInd w:w="0" w:type="dxa"/>
      <w:tblCellMar>
        <w:top w:w="0" w:type="dxa"/>
        <w:left w:w="115" w:type="dxa"/>
        <w:bottom w:w="0" w:type="dxa"/>
        <w:right w:w="115" w:type="dxa"/>
      </w:tblCellMar>
    </w:tblPr>
  </w:style>
  <w:style w:type="table" w:customStyle="1" w:styleId="afff4">
    <w:basedOn w:val="Tablanormal"/>
    <w:tblPr>
      <w:tblStyleRowBandSize w:val="1"/>
      <w:tblStyleColBandSize w:val="1"/>
      <w:tblInd w:w="0" w:type="dxa"/>
      <w:tblCellMar>
        <w:top w:w="0" w:type="dxa"/>
        <w:left w:w="115" w:type="dxa"/>
        <w:bottom w:w="0" w:type="dxa"/>
        <w:right w:w="115" w:type="dxa"/>
      </w:tblCellMar>
    </w:tblPr>
  </w:style>
  <w:style w:type="table" w:customStyle="1" w:styleId="afff5">
    <w:basedOn w:val="Tablanormal"/>
    <w:tblPr>
      <w:tblStyleRowBandSize w:val="1"/>
      <w:tblStyleColBandSize w:val="1"/>
      <w:tblInd w:w="0" w:type="dxa"/>
      <w:tblCellMar>
        <w:top w:w="0" w:type="dxa"/>
        <w:left w:w="115" w:type="dxa"/>
        <w:bottom w:w="0" w:type="dxa"/>
        <w:right w:w="115" w:type="dxa"/>
      </w:tblCellMar>
    </w:tblPr>
  </w:style>
  <w:style w:type="table" w:customStyle="1" w:styleId="afff6">
    <w:basedOn w:val="Tablanormal"/>
    <w:tblPr>
      <w:tblStyleRowBandSize w:val="1"/>
      <w:tblStyleColBandSize w:val="1"/>
      <w:tblInd w:w="0" w:type="dxa"/>
      <w:tblCellMar>
        <w:top w:w="0" w:type="dxa"/>
        <w:left w:w="115" w:type="dxa"/>
        <w:bottom w:w="0" w:type="dxa"/>
        <w:right w:w="115" w:type="dxa"/>
      </w:tblCellMar>
    </w:tblPr>
  </w:style>
  <w:style w:type="table" w:customStyle="1" w:styleId="afff7">
    <w:basedOn w:val="Tablanormal"/>
    <w:tblPr>
      <w:tblStyleRowBandSize w:val="1"/>
      <w:tblStyleColBandSize w:val="1"/>
      <w:tblInd w:w="0" w:type="dxa"/>
      <w:tblCellMar>
        <w:top w:w="0" w:type="dxa"/>
        <w:left w:w="115" w:type="dxa"/>
        <w:bottom w:w="0" w:type="dxa"/>
        <w:right w:w="115" w:type="dxa"/>
      </w:tblCellMar>
    </w:tblPr>
  </w:style>
  <w:style w:type="table" w:customStyle="1" w:styleId="afff8">
    <w:basedOn w:val="Tablanormal"/>
    <w:tblPr>
      <w:tblStyleRowBandSize w:val="1"/>
      <w:tblStyleColBandSize w:val="1"/>
      <w:tblInd w:w="0" w:type="dxa"/>
      <w:tblCellMar>
        <w:top w:w="0" w:type="dxa"/>
        <w:left w:w="115" w:type="dxa"/>
        <w:bottom w:w="0" w:type="dxa"/>
        <w:right w:w="115" w:type="dxa"/>
      </w:tblCellMar>
    </w:tblPr>
  </w:style>
  <w:style w:type="table" w:customStyle="1" w:styleId="afff9">
    <w:basedOn w:val="Tablanormal"/>
    <w:tblPr>
      <w:tblStyleRowBandSize w:val="1"/>
      <w:tblStyleColBandSize w:val="1"/>
      <w:tblInd w:w="0" w:type="dxa"/>
      <w:tblCellMar>
        <w:top w:w="0" w:type="dxa"/>
        <w:left w:w="115" w:type="dxa"/>
        <w:bottom w:w="0" w:type="dxa"/>
        <w:right w:w="115" w:type="dxa"/>
      </w:tblCellMar>
    </w:tblPr>
  </w:style>
  <w:style w:type="table" w:customStyle="1" w:styleId="afffa">
    <w:basedOn w:val="Tablanormal"/>
    <w:tblPr>
      <w:tblStyleRowBandSize w:val="1"/>
      <w:tblStyleColBandSize w:val="1"/>
      <w:tblInd w:w="0" w:type="dxa"/>
      <w:tblCellMar>
        <w:top w:w="0" w:type="dxa"/>
        <w:left w:w="115" w:type="dxa"/>
        <w:bottom w:w="0" w:type="dxa"/>
        <w:right w:w="115" w:type="dxa"/>
      </w:tblCellMar>
    </w:tblPr>
  </w:style>
  <w:style w:type="table" w:customStyle="1" w:styleId="afffb">
    <w:basedOn w:val="Tablanormal"/>
    <w:tblPr>
      <w:tblStyleRowBandSize w:val="1"/>
      <w:tblStyleColBandSize w:val="1"/>
      <w:tblInd w:w="0" w:type="dxa"/>
      <w:tblCellMar>
        <w:top w:w="0" w:type="dxa"/>
        <w:left w:w="115" w:type="dxa"/>
        <w:bottom w:w="0" w:type="dxa"/>
        <w:right w:w="115" w:type="dxa"/>
      </w:tblCellMar>
    </w:tblPr>
  </w:style>
  <w:style w:type="table" w:customStyle="1" w:styleId="afffc">
    <w:basedOn w:val="Tablanormal"/>
    <w:tblPr>
      <w:tblStyleRowBandSize w:val="1"/>
      <w:tblStyleColBandSize w:val="1"/>
      <w:tblInd w:w="0" w:type="dxa"/>
      <w:tblCellMar>
        <w:top w:w="0" w:type="dxa"/>
        <w:left w:w="115" w:type="dxa"/>
        <w:bottom w:w="0" w:type="dxa"/>
        <w:right w:w="115" w:type="dxa"/>
      </w:tblCellMar>
    </w:tblPr>
  </w:style>
  <w:style w:type="table" w:customStyle="1" w:styleId="afffd">
    <w:basedOn w:val="Tablanormal"/>
    <w:tblPr>
      <w:tblStyleRowBandSize w:val="1"/>
      <w:tblStyleColBandSize w:val="1"/>
      <w:tblInd w:w="0" w:type="dxa"/>
      <w:tblCellMar>
        <w:top w:w="0" w:type="dxa"/>
        <w:left w:w="115" w:type="dxa"/>
        <w:bottom w:w="0" w:type="dxa"/>
        <w:right w:w="115" w:type="dxa"/>
      </w:tblCellMar>
    </w:tblPr>
  </w:style>
  <w:style w:type="table" w:customStyle="1" w:styleId="afffe">
    <w:basedOn w:val="Tablanormal"/>
    <w:tblPr>
      <w:tblStyleRowBandSize w:val="1"/>
      <w:tblStyleColBandSize w:val="1"/>
      <w:tblInd w:w="0" w:type="dxa"/>
      <w:tblCellMar>
        <w:top w:w="0" w:type="dxa"/>
        <w:left w:w="115" w:type="dxa"/>
        <w:bottom w:w="0" w:type="dxa"/>
        <w:right w:w="115" w:type="dxa"/>
      </w:tblCellMar>
    </w:tblPr>
  </w:style>
  <w:style w:type="table" w:customStyle="1" w:styleId="affff">
    <w:basedOn w:val="Tablanormal"/>
    <w:tblPr>
      <w:tblStyleRowBandSize w:val="1"/>
      <w:tblStyleColBandSize w:val="1"/>
      <w:tblInd w:w="0" w:type="dxa"/>
      <w:tblCellMar>
        <w:top w:w="0" w:type="dxa"/>
        <w:left w:w="115" w:type="dxa"/>
        <w:bottom w:w="0" w:type="dxa"/>
        <w:right w:w="115" w:type="dxa"/>
      </w:tblCellMar>
    </w:tblPr>
  </w:style>
  <w:style w:type="table" w:customStyle="1" w:styleId="affff0">
    <w:basedOn w:val="Tablanormal"/>
    <w:tblPr>
      <w:tblStyleRowBandSize w:val="1"/>
      <w:tblStyleColBandSize w:val="1"/>
      <w:tblInd w:w="0" w:type="dxa"/>
      <w:tblCellMar>
        <w:top w:w="0" w:type="dxa"/>
        <w:left w:w="115" w:type="dxa"/>
        <w:bottom w:w="0" w:type="dxa"/>
        <w:right w:w="115" w:type="dxa"/>
      </w:tblCellMar>
    </w:tblPr>
  </w:style>
  <w:style w:type="table" w:customStyle="1" w:styleId="affff1">
    <w:basedOn w:val="Tablanormal"/>
    <w:tblPr>
      <w:tblStyleRowBandSize w:val="1"/>
      <w:tblStyleColBandSize w:val="1"/>
      <w:tblInd w:w="0" w:type="dxa"/>
      <w:tblCellMar>
        <w:top w:w="0" w:type="dxa"/>
        <w:left w:w="115" w:type="dxa"/>
        <w:bottom w:w="0" w:type="dxa"/>
        <w:right w:w="115" w:type="dxa"/>
      </w:tblCellMar>
    </w:tblPr>
  </w:style>
  <w:style w:type="table" w:customStyle="1" w:styleId="affff2">
    <w:basedOn w:val="Tablanormal"/>
    <w:tblPr>
      <w:tblStyleRowBandSize w:val="1"/>
      <w:tblStyleColBandSize w:val="1"/>
      <w:tblInd w:w="0" w:type="dxa"/>
      <w:tblCellMar>
        <w:top w:w="0" w:type="dxa"/>
        <w:left w:w="115" w:type="dxa"/>
        <w:bottom w:w="0" w:type="dxa"/>
        <w:right w:w="115" w:type="dxa"/>
      </w:tblCellMar>
    </w:tblPr>
  </w:style>
  <w:style w:type="table" w:customStyle="1" w:styleId="affff3">
    <w:basedOn w:val="Tablanormal"/>
    <w:tblPr>
      <w:tblStyleRowBandSize w:val="1"/>
      <w:tblStyleColBandSize w:val="1"/>
      <w:tblInd w:w="0" w:type="dxa"/>
      <w:tblCellMar>
        <w:top w:w="0" w:type="dxa"/>
        <w:left w:w="115" w:type="dxa"/>
        <w:bottom w:w="0" w:type="dxa"/>
        <w:right w:w="115" w:type="dxa"/>
      </w:tblCellMar>
    </w:tblPr>
  </w:style>
  <w:style w:type="table" w:customStyle="1" w:styleId="affff4">
    <w:basedOn w:val="Tablanormal"/>
    <w:tblPr>
      <w:tblStyleRowBandSize w:val="1"/>
      <w:tblStyleColBandSize w:val="1"/>
      <w:tblInd w:w="0" w:type="dxa"/>
      <w:tblCellMar>
        <w:top w:w="0" w:type="dxa"/>
        <w:left w:w="115" w:type="dxa"/>
        <w:bottom w:w="0" w:type="dxa"/>
        <w:right w:w="115" w:type="dxa"/>
      </w:tblCellMar>
    </w:tblPr>
  </w:style>
  <w:style w:type="table" w:customStyle="1" w:styleId="affff5">
    <w:basedOn w:val="Tablanormal"/>
    <w:tblPr>
      <w:tblStyleRowBandSize w:val="1"/>
      <w:tblStyleColBandSize w:val="1"/>
      <w:tblInd w:w="0" w:type="dxa"/>
      <w:tblCellMar>
        <w:top w:w="0" w:type="dxa"/>
        <w:left w:w="115" w:type="dxa"/>
        <w:bottom w:w="0" w:type="dxa"/>
        <w:right w:w="115" w:type="dxa"/>
      </w:tblCellMar>
    </w:tblPr>
  </w:style>
  <w:style w:type="table" w:customStyle="1" w:styleId="affff6">
    <w:basedOn w:val="Tablanormal"/>
    <w:tblPr>
      <w:tblStyleRowBandSize w:val="1"/>
      <w:tblStyleColBandSize w:val="1"/>
      <w:tblInd w:w="0" w:type="dxa"/>
      <w:tblCellMar>
        <w:top w:w="0" w:type="dxa"/>
        <w:left w:w="115" w:type="dxa"/>
        <w:bottom w:w="0" w:type="dxa"/>
        <w:right w:w="115" w:type="dxa"/>
      </w:tblCellMar>
    </w:tblPr>
  </w:style>
  <w:style w:type="table" w:customStyle="1" w:styleId="affff7">
    <w:basedOn w:val="Tablanormal"/>
    <w:tblPr>
      <w:tblStyleRowBandSize w:val="1"/>
      <w:tblStyleColBandSize w:val="1"/>
      <w:tblInd w:w="0" w:type="dxa"/>
      <w:tblCellMar>
        <w:top w:w="0" w:type="dxa"/>
        <w:left w:w="115" w:type="dxa"/>
        <w:bottom w:w="0" w:type="dxa"/>
        <w:right w:w="115" w:type="dxa"/>
      </w:tblCellMar>
    </w:tblPr>
  </w:style>
  <w:style w:type="table" w:customStyle="1" w:styleId="affff8">
    <w:basedOn w:val="Tablanormal"/>
    <w:tblPr>
      <w:tblStyleRowBandSize w:val="1"/>
      <w:tblStyleColBandSize w:val="1"/>
      <w:tblInd w:w="0" w:type="dxa"/>
      <w:tblCellMar>
        <w:top w:w="0" w:type="dxa"/>
        <w:left w:w="115" w:type="dxa"/>
        <w:bottom w:w="0" w:type="dxa"/>
        <w:right w:w="115" w:type="dxa"/>
      </w:tblCellMar>
    </w:tblPr>
  </w:style>
  <w:style w:type="table" w:customStyle="1" w:styleId="affff9">
    <w:basedOn w:val="Tablanormal"/>
    <w:tblPr>
      <w:tblStyleRowBandSize w:val="1"/>
      <w:tblStyleColBandSize w:val="1"/>
      <w:tblInd w:w="0" w:type="dxa"/>
      <w:tblCellMar>
        <w:top w:w="0" w:type="dxa"/>
        <w:left w:w="115" w:type="dxa"/>
        <w:bottom w:w="0" w:type="dxa"/>
        <w:right w:w="115" w:type="dxa"/>
      </w:tblCellMar>
    </w:tblPr>
  </w:style>
  <w:style w:type="table" w:customStyle="1" w:styleId="affffa">
    <w:basedOn w:val="Tablanormal"/>
    <w:tblPr>
      <w:tblStyleRowBandSize w:val="1"/>
      <w:tblStyleColBandSize w:val="1"/>
      <w:tblInd w:w="0" w:type="dxa"/>
      <w:tblCellMar>
        <w:top w:w="0" w:type="dxa"/>
        <w:left w:w="115" w:type="dxa"/>
        <w:bottom w:w="0" w:type="dxa"/>
        <w:right w:w="115" w:type="dxa"/>
      </w:tblCellMar>
    </w:tblPr>
  </w:style>
  <w:style w:type="table" w:customStyle="1" w:styleId="affffb">
    <w:basedOn w:val="Tablanormal"/>
    <w:tblPr>
      <w:tblStyleRowBandSize w:val="1"/>
      <w:tblStyleColBandSize w:val="1"/>
      <w:tblInd w:w="0" w:type="dxa"/>
      <w:tblCellMar>
        <w:top w:w="0" w:type="dxa"/>
        <w:left w:w="115" w:type="dxa"/>
        <w:bottom w:w="0" w:type="dxa"/>
        <w:right w:w="115" w:type="dxa"/>
      </w:tblCellMar>
    </w:tblPr>
  </w:style>
  <w:style w:type="table" w:customStyle="1" w:styleId="affffc">
    <w:basedOn w:val="Tablanormal"/>
    <w:tblPr>
      <w:tblStyleRowBandSize w:val="1"/>
      <w:tblStyleColBandSize w:val="1"/>
      <w:tblInd w:w="0" w:type="dxa"/>
      <w:tblCellMar>
        <w:top w:w="0" w:type="dxa"/>
        <w:left w:w="115" w:type="dxa"/>
        <w:bottom w:w="0" w:type="dxa"/>
        <w:right w:w="115" w:type="dxa"/>
      </w:tblCellMar>
    </w:tblPr>
  </w:style>
  <w:style w:type="table" w:customStyle="1" w:styleId="affffd">
    <w:basedOn w:val="Tablanormal"/>
    <w:tblPr>
      <w:tblStyleRowBandSize w:val="1"/>
      <w:tblStyleColBandSize w:val="1"/>
      <w:tblInd w:w="0" w:type="dxa"/>
      <w:tblCellMar>
        <w:top w:w="0" w:type="dxa"/>
        <w:left w:w="115" w:type="dxa"/>
        <w:bottom w:w="0" w:type="dxa"/>
        <w:right w:w="115" w:type="dxa"/>
      </w:tblCellMar>
    </w:tblPr>
  </w:style>
  <w:style w:type="table" w:customStyle="1" w:styleId="affffe">
    <w:basedOn w:val="Tablanormal"/>
    <w:tblPr>
      <w:tblStyleRowBandSize w:val="1"/>
      <w:tblStyleColBandSize w:val="1"/>
      <w:tblInd w:w="0" w:type="dxa"/>
      <w:tblCellMar>
        <w:top w:w="0" w:type="dxa"/>
        <w:left w:w="115" w:type="dxa"/>
        <w:bottom w:w="0" w:type="dxa"/>
        <w:right w:w="115" w:type="dxa"/>
      </w:tblCellMar>
    </w:tblPr>
  </w:style>
  <w:style w:type="table" w:customStyle="1" w:styleId="afffff">
    <w:basedOn w:val="Tablanormal"/>
    <w:tblPr>
      <w:tblStyleRowBandSize w:val="1"/>
      <w:tblStyleColBandSize w:val="1"/>
      <w:tblInd w:w="0" w:type="dxa"/>
      <w:tblCellMar>
        <w:top w:w="0" w:type="dxa"/>
        <w:left w:w="115" w:type="dxa"/>
        <w:bottom w:w="0" w:type="dxa"/>
        <w:right w:w="115" w:type="dxa"/>
      </w:tblCellMar>
    </w:tblPr>
  </w:style>
  <w:style w:type="table" w:customStyle="1" w:styleId="afffff0">
    <w:basedOn w:val="Tablanormal"/>
    <w:tblPr>
      <w:tblStyleRowBandSize w:val="1"/>
      <w:tblStyleColBandSize w:val="1"/>
      <w:tblInd w:w="0" w:type="dxa"/>
      <w:tblCellMar>
        <w:top w:w="0" w:type="dxa"/>
        <w:left w:w="115" w:type="dxa"/>
        <w:bottom w:w="0" w:type="dxa"/>
        <w:right w:w="115" w:type="dxa"/>
      </w:tblCellMar>
    </w:tblPr>
  </w:style>
  <w:style w:type="table" w:customStyle="1" w:styleId="afffff1">
    <w:basedOn w:val="Tablanormal"/>
    <w:tblPr>
      <w:tblStyleRowBandSize w:val="1"/>
      <w:tblStyleColBandSize w:val="1"/>
      <w:tblInd w:w="0" w:type="dxa"/>
      <w:tblCellMar>
        <w:top w:w="0" w:type="dxa"/>
        <w:left w:w="115" w:type="dxa"/>
        <w:bottom w:w="0" w:type="dxa"/>
        <w:right w:w="115" w:type="dxa"/>
      </w:tblCellMar>
    </w:tblPr>
  </w:style>
  <w:style w:type="table" w:customStyle="1" w:styleId="afffff2">
    <w:basedOn w:val="Tablanormal"/>
    <w:tblPr>
      <w:tblStyleRowBandSize w:val="1"/>
      <w:tblStyleColBandSize w:val="1"/>
      <w:tblInd w:w="0" w:type="dxa"/>
      <w:tblCellMar>
        <w:top w:w="0" w:type="dxa"/>
        <w:left w:w="115" w:type="dxa"/>
        <w:bottom w:w="0" w:type="dxa"/>
        <w:right w:w="115" w:type="dxa"/>
      </w:tblCellMar>
    </w:tblPr>
  </w:style>
  <w:style w:type="table" w:customStyle="1" w:styleId="afffff3">
    <w:basedOn w:val="Tablanormal"/>
    <w:tblPr>
      <w:tblStyleRowBandSize w:val="1"/>
      <w:tblStyleColBandSize w:val="1"/>
      <w:tblInd w:w="0" w:type="dxa"/>
      <w:tblCellMar>
        <w:top w:w="0" w:type="dxa"/>
        <w:left w:w="115" w:type="dxa"/>
        <w:bottom w:w="0" w:type="dxa"/>
        <w:right w:w="115" w:type="dxa"/>
      </w:tblCellMar>
    </w:tblPr>
  </w:style>
  <w:style w:type="table" w:customStyle="1" w:styleId="afffff4">
    <w:basedOn w:val="Tablanormal"/>
    <w:tblPr>
      <w:tblStyleRowBandSize w:val="1"/>
      <w:tblStyleColBandSize w:val="1"/>
      <w:tblInd w:w="0" w:type="dxa"/>
      <w:tblCellMar>
        <w:top w:w="0" w:type="dxa"/>
        <w:left w:w="115" w:type="dxa"/>
        <w:bottom w:w="0" w:type="dxa"/>
        <w:right w:w="115" w:type="dxa"/>
      </w:tblCellMar>
    </w:tblPr>
  </w:style>
  <w:style w:type="table" w:customStyle="1" w:styleId="afffff5">
    <w:basedOn w:val="Tablanormal"/>
    <w:tblPr>
      <w:tblStyleRowBandSize w:val="1"/>
      <w:tblStyleColBandSize w:val="1"/>
      <w:tblInd w:w="0" w:type="dxa"/>
      <w:tblCellMar>
        <w:top w:w="0" w:type="dxa"/>
        <w:left w:w="115" w:type="dxa"/>
        <w:bottom w:w="0" w:type="dxa"/>
        <w:right w:w="115" w:type="dxa"/>
      </w:tblCellMar>
    </w:tblPr>
  </w:style>
  <w:style w:type="table" w:customStyle="1" w:styleId="afffff6">
    <w:basedOn w:val="Tablanormal"/>
    <w:tblPr>
      <w:tblStyleRowBandSize w:val="1"/>
      <w:tblStyleColBandSize w:val="1"/>
      <w:tblInd w:w="0" w:type="dxa"/>
      <w:tblCellMar>
        <w:top w:w="0" w:type="dxa"/>
        <w:left w:w="115" w:type="dxa"/>
        <w:bottom w:w="0" w:type="dxa"/>
        <w:right w:w="115" w:type="dxa"/>
      </w:tblCellMar>
    </w:tblPr>
  </w:style>
  <w:style w:type="table" w:customStyle="1" w:styleId="afffff7">
    <w:basedOn w:val="Tablanormal"/>
    <w:tblPr>
      <w:tblStyleRowBandSize w:val="1"/>
      <w:tblStyleColBandSize w:val="1"/>
      <w:tblInd w:w="0" w:type="dxa"/>
      <w:tblCellMar>
        <w:top w:w="0" w:type="dxa"/>
        <w:left w:w="115" w:type="dxa"/>
        <w:bottom w:w="0" w:type="dxa"/>
        <w:right w:w="115" w:type="dxa"/>
      </w:tblCellMar>
    </w:tblPr>
  </w:style>
  <w:style w:type="table" w:customStyle="1" w:styleId="afffff8">
    <w:basedOn w:val="Tablanormal"/>
    <w:tblPr>
      <w:tblStyleRowBandSize w:val="1"/>
      <w:tblStyleColBandSize w:val="1"/>
      <w:tblInd w:w="0" w:type="dxa"/>
      <w:tblCellMar>
        <w:top w:w="0" w:type="dxa"/>
        <w:left w:w="115" w:type="dxa"/>
        <w:bottom w:w="0" w:type="dxa"/>
        <w:right w:w="115" w:type="dxa"/>
      </w:tblCellMar>
    </w:tblPr>
  </w:style>
  <w:style w:type="table" w:customStyle="1" w:styleId="afffff9">
    <w:basedOn w:val="Tablanormal"/>
    <w:tblPr>
      <w:tblStyleRowBandSize w:val="1"/>
      <w:tblStyleColBandSize w:val="1"/>
      <w:tblInd w:w="0" w:type="dxa"/>
      <w:tblCellMar>
        <w:top w:w="0" w:type="dxa"/>
        <w:left w:w="115" w:type="dxa"/>
        <w:bottom w:w="0" w:type="dxa"/>
        <w:right w:w="115" w:type="dxa"/>
      </w:tblCellMar>
    </w:tblPr>
  </w:style>
  <w:style w:type="table" w:customStyle="1" w:styleId="afffffa">
    <w:basedOn w:val="Tablanormal"/>
    <w:tblPr>
      <w:tblStyleRowBandSize w:val="1"/>
      <w:tblStyleColBandSize w:val="1"/>
      <w:tblInd w:w="0" w:type="dxa"/>
      <w:tblCellMar>
        <w:top w:w="0" w:type="dxa"/>
        <w:left w:w="115" w:type="dxa"/>
        <w:bottom w:w="0" w:type="dxa"/>
        <w:right w:w="115" w:type="dxa"/>
      </w:tblCellMar>
    </w:tblPr>
  </w:style>
  <w:style w:type="table" w:customStyle="1" w:styleId="afffffb">
    <w:basedOn w:val="Tablanormal"/>
    <w:tblPr>
      <w:tblStyleRowBandSize w:val="1"/>
      <w:tblStyleColBandSize w:val="1"/>
      <w:tblInd w:w="0" w:type="dxa"/>
      <w:tblCellMar>
        <w:top w:w="0" w:type="dxa"/>
        <w:left w:w="115" w:type="dxa"/>
        <w:bottom w:w="0" w:type="dxa"/>
        <w:right w:w="115" w:type="dxa"/>
      </w:tblCellMar>
    </w:tblPr>
  </w:style>
  <w:style w:type="table" w:customStyle="1" w:styleId="afffffc">
    <w:basedOn w:val="Tablanormal"/>
    <w:tblPr>
      <w:tblStyleRowBandSize w:val="1"/>
      <w:tblStyleColBandSize w:val="1"/>
      <w:tblInd w:w="0" w:type="dxa"/>
      <w:tblCellMar>
        <w:top w:w="0" w:type="dxa"/>
        <w:left w:w="115" w:type="dxa"/>
        <w:bottom w:w="0" w:type="dxa"/>
        <w:right w:w="115" w:type="dxa"/>
      </w:tblCellMar>
    </w:tblPr>
  </w:style>
  <w:style w:type="table" w:customStyle="1" w:styleId="afffffd">
    <w:basedOn w:val="Tablanormal"/>
    <w:tblPr>
      <w:tblStyleRowBandSize w:val="1"/>
      <w:tblStyleColBandSize w:val="1"/>
      <w:tblInd w:w="0" w:type="dxa"/>
      <w:tblCellMar>
        <w:top w:w="0" w:type="dxa"/>
        <w:left w:w="115" w:type="dxa"/>
        <w:bottom w:w="0" w:type="dxa"/>
        <w:right w:w="115" w:type="dxa"/>
      </w:tblCellMar>
    </w:tblPr>
  </w:style>
  <w:style w:type="table" w:customStyle="1" w:styleId="afffffe">
    <w:basedOn w:val="Tablanormal"/>
    <w:tblPr>
      <w:tblStyleRowBandSize w:val="1"/>
      <w:tblStyleColBandSize w:val="1"/>
      <w:tblInd w:w="0" w:type="dxa"/>
      <w:tblCellMar>
        <w:top w:w="0" w:type="dxa"/>
        <w:left w:w="115" w:type="dxa"/>
        <w:bottom w:w="0" w:type="dxa"/>
        <w:right w:w="115" w:type="dxa"/>
      </w:tblCellMar>
    </w:tblPr>
  </w:style>
  <w:style w:type="table" w:customStyle="1" w:styleId="affffff">
    <w:basedOn w:val="Tablanormal"/>
    <w:tblPr>
      <w:tblStyleRowBandSize w:val="1"/>
      <w:tblStyleColBandSize w:val="1"/>
      <w:tblInd w:w="0" w:type="dxa"/>
      <w:tblCellMar>
        <w:top w:w="0" w:type="dxa"/>
        <w:left w:w="115" w:type="dxa"/>
        <w:bottom w:w="0" w:type="dxa"/>
        <w:right w:w="115" w:type="dxa"/>
      </w:tblCellMar>
    </w:tblPr>
  </w:style>
  <w:style w:type="table" w:customStyle="1" w:styleId="affffff0">
    <w:basedOn w:val="Tablanormal"/>
    <w:tblPr>
      <w:tblStyleRowBandSize w:val="1"/>
      <w:tblStyleColBandSize w:val="1"/>
      <w:tblInd w:w="0" w:type="dxa"/>
      <w:tblCellMar>
        <w:top w:w="0" w:type="dxa"/>
        <w:left w:w="115" w:type="dxa"/>
        <w:bottom w:w="0" w:type="dxa"/>
        <w:right w:w="115" w:type="dxa"/>
      </w:tblCellMar>
    </w:tblPr>
  </w:style>
  <w:style w:type="table" w:customStyle="1" w:styleId="affffff1">
    <w:basedOn w:val="Tablanormal"/>
    <w:tblPr>
      <w:tblStyleRowBandSize w:val="1"/>
      <w:tblStyleColBandSize w:val="1"/>
      <w:tblInd w:w="0" w:type="dxa"/>
      <w:tblCellMar>
        <w:top w:w="0" w:type="dxa"/>
        <w:left w:w="115" w:type="dxa"/>
        <w:bottom w:w="0" w:type="dxa"/>
        <w:right w:w="115" w:type="dxa"/>
      </w:tblCellMar>
    </w:tblPr>
  </w:style>
  <w:style w:type="table" w:customStyle="1" w:styleId="affffff2">
    <w:basedOn w:val="Tablanormal"/>
    <w:tblPr>
      <w:tblStyleRowBandSize w:val="1"/>
      <w:tblStyleColBandSize w:val="1"/>
      <w:tblInd w:w="0" w:type="dxa"/>
      <w:tblCellMar>
        <w:top w:w="0" w:type="dxa"/>
        <w:left w:w="115" w:type="dxa"/>
        <w:bottom w:w="0" w:type="dxa"/>
        <w:right w:w="115" w:type="dxa"/>
      </w:tblCellMar>
    </w:tblPr>
  </w:style>
  <w:style w:type="table" w:customStyle="1" w:styleId="affffff3">
    <w:basedOn w:val="Tablanormal"/>
    <w:tblPr>
      <w:tblStyleRowBandSize w:val="1"/>
      <w:tblStyleColBandSize w:val="1"/>
      <w:tblInd w:w="0" w:type="dxa"/>
      <w:tblCellMar>
        <w:top w:w="0" w:type="dxa"/>
        <w:left w:w="115" w:type="dxa"/>
        <w:bottom w:w="0" w:type="dxa"/>
        <w:right w:w="115" w:type="dxa"/>
      </w:tblCellMar>
    </w:tblPr>
  </w:style>
  <w:style w:type="table" w:customStyle="1" w:styleId="affffff4">
    <w:basedOn w:val="Tablanormal"/>
    <w:tblPr>
      <w:tblStyleRowBandSize w:val="1"/>
      <w:tblStyleColBandSize w:val="1"/>
      <w:tblInd w:w="0" w:type="dxa"/>
      <w:tblCellMar>
        <w:top w:w="0" w:type="dxa"/>
        <w:left w:w="115" w:type="dxa"/>
        <w:bottom w:w="0" w:type="dxa"/>
        <w:right w:w="115" w:type="dxa"/>
      </w:tblCellMar>
    </w:tblPr>
  </w:style>
  <w:style w:type="paragraph" w:styleId="Textonotaalfinal">
    <w:name w:val="endnote text"/>
    <w:basedOn w:val="Normal"/>
    <w:link w:val="TextonotaalfinalCar"/>
    <w:uiPriority w:val="99"/>
    <w:semiHidden/>
    <w:unhideWhenUsed/>
    <w:rsid w:val="00B66E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66E84"/>
    <w:rPr>
      <w:rFonts w:eastAsiaTheme="minorHAnsi"/>
      <w:sz w:val="20"/>
      <w:szCs w:val="20"/>
      <w:lang w:eastAsia="en-US"/>
    </w:rPr>
  </w:style>
  <w:style w:type="character" w:styleId="Refdenotaalfinal">
    <w:name w:val="endnote reference"/>
    <w:basedOn w:val="Fuentedeprrafopredeter"/>
    <w:uiPriority w:val="99"/>
    <w:semiHidden/>
    <w:unhideWhenUsed/>
    <w:rsid w:val="00B66E84"/>
    <w:rPr>
      <w:vertAlign w:val="superscript"/>
    </w:rPr>
  </w:style>
  <w:style w:type="paragraph" w:customStyle="1" w:styleId="pf0">
    <w:name w:val="pf0"/>
    <w:basedOn w:val="Normal"/>
    <w:rsid w:val="002153B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2153B4"/>
    <w:rPr>
      <w:rFonts w:ascii="Segoe UI" w:hAnsi="Segoe UI" w:cs="Segoe UI" w:hint="default"/>
      <w:sz w:val="18"/>
      <w:szCs w:val="18"/>
    </w:rPr>
  </w:style>
  <w:style w:type="paragraph" w:customStyle="1" w:styleId="font--secondary">
    <w:name w:val="font--secondary"/>
    <w:basedOn w:val="Normal"/>
    <w:rsid w:val="00411B8A"/>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GridTableLight">
    <w:name w:val="Grid Table Light"/>
    <w:basedOn w:val="Tablanormal"/>
    <w:uiPriority w:val="40"/>
    <w:rsid w:val="003A6382"/>
    <w:pPr>
      <w:spacing w:after="0" w:line="240" w:lineRule="auto"/>
    </w:pPr>
    <w:rPr>
      <w:rFonts w:asciiTheme="minorHAnsi" w:eastAsiaTheme="minorHAnsi" w:hAnsiTheme="minorHAnsi" w:cstheme="minorBid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A0101B"/>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2"/>
        <w:szCs w:val="22"/>
        <w:lang w:val="es-CO" w:eastAsia="es-CO"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767"/>
    <w:rPr>
      <w:rFonts w:eastAsiaTheme="minorHAnsi"/>
      <w:lang w:eastAsia="en-US"/>
    </w:rPr>
  </w:style>
  <w:style w:type="paragraph" w:styleId="Ttulo1">
    <w:name w:val="heading 1"/>
    <w:basedOn w:val="Normal"/>
    <w:next w:val="Normal"/>
    <w:link w:val="Ttulo1Car"/>
    <w:uiPriority w:val="9"/>
    <w:qFormat/>
    <w:rsid w:val="00DD058B"/>
    <w:pPr>
      <w:keepNext/>
      <w:keepLines/>
      <w:spacing w:before="240" w:after="0" w:line="240" w:lineRule="auto"/>
      <w:contextualSpacing/>
      <w:jc w:val="center"/>
      <w:outlineLvl w:val="0"/>
    </w:pPr>
    <w:rPr>
      <w:rFonts w:asciiTheme="majorHAnsi" w:eastAsiaTheme="majorEastAsia" w:hAnsiTheme="majorHAnsi" w:cstheme="majorBidi"/>
      <w:color w:val="CC3366"/>
      <w:sz w:val="24"/>
      <w:szCs w:val="32"/>
      <w:lang w:val="es-ES_tradnl" w:eastAsia="es-ES"/>
    </w:rPr>
  </w:style>
  <w:style w:type="paragraph" w:styleId="Ttulo2">
    <w:name w:val="heading 2"/>
    <w:basedOn w:val="Normal"/>
    <w:next w:val="Normal"/>
    <w:link w:val="Ttulo2Car"/>
    <w:uiPriority w:val="9"/>
    <w:unhideWhenUsed/>
    <w:qFormat/>
    <w:rsid w:val="001207C5"/>
    <w:pPr>
      <w:keepNext/>
      <w:keepLines/>
      <w:spacing w:before="40" w:after="0" w:line="240" w:lineRule="auto"/>
      <w:outlineLvl w:val="1"/>
    </w:pPr>
    <w:rPr>
      <w:rFonts w:eastAsiaTheme="majorEastAsia" w:cstheme="majorBidi"/>
      <w:b/>
      <w:lang w:val="es-ES_tradnl" w:eastAsia="es-ES"/>
    </w:rPr>
  </w:style>
  <w:style w:type="paragraph" w:styleId="Ttulo3">
    <w:name w:val="heading 3"/>
    <w:basedOn w:val="Normal"/>
    <w:next w:val="Normal"/>
    <w:link w:val="Ttulo3Car"/>
    <w:uiPriority w:val="9"/>
    <w:unhideWhenUsed/>
    <w:qFormat/>
    <w:rsid w:val="00671178"/>
    <w:pPr>
      <w:keepNext/>
      <w:keepLines/>
      <w:spacing w:before="40" w:after="0" w:line="240" w:lineRule="auto"/>
      <w:outlineLvl w:val="2"/>
    </w:pPr>
    <w:rPr>
      <w:rFonts w:eastAsiaTheme="majorEastAsia" w:cstheme="majorBidi"/>
      <w:b/>
      <w:lang w:val="es-ES_tradnl" w:eastAsia="es-ES"/>
    </w:rPr>
  </w:style>
  <w:style w:type="paragraph" w:styleId="Ttulo4">
    <w:name w:val="heading 4"/>
    <w:basedOn w:val="Normal"/>
    <w:next w:val="Normal"/>
    <w:link w:val="Ttulo4Car"/>
    <w:uiPriority w:val="9"/>
    <w:unhideWhenUsed/>
    <w:qFormat/>
    <w:rsid w:val="00190D5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058B"/>
    <w:rPr>
      <w:rFonts w:asciiTheme="majorHAnsi" w:eastAsiaTheme="majorEastAsia" w:hAnsiTheme="majorHAnsi" w:cstheme="majorBidi"/>
      <w:color w:val="CC3366"/>
      <w:sz w:val="24"/>
      <w:szCs w:val="32"/>
      <w:lang w:val="es-ES_tradnl" w:eastAsia="es-ES"/>
    </w:rPr>
  </w:style>
  <w:style w:type="character" w:customStyle="1" w:styleId="Ttulo2Car">
    <w:name w:val="Título 2 Car"/>
    <w:basedOn w:val="Fuentedeprrafopredeter"/>
    <w:link w:val="Ttulo2"/>
    <w:uiPriority w:val="9"/>
    <w:rsid w:val="001207C5"/>
    <w:rPr>
      <w:rFonts w:eastAsiaTheme="majorEastAsia" w:cstheme="majorBidi"/>
      <w:b/>
      <w:sz w:val="22"/>
      <w:szCs w:val="22"/>
    </w:rPr>
  </w:style>
  <w:style w:type="character" w:customStyle="1" w:styleId="Ttulo3Car">
    <w:name w:val="Título 3 Car"/>
    <w:basedOn w:val="Fuentedeprrafopredeter"/>
    <w:link w:val="Ttulo3"/>
    <w:uiPriority w:val="9"/>
    <w:rsid w:val="00671178"/>
    <w:rPr>
      <w:rFonts w:eastAsiaTheme="majorEastAsia" w:cstheme="majorBidi"/>
      <w:b/>
      <w:lang w:val="es-ES_tradnl" w:eastAsia="es-ES"/>
    </w:rPr>
  </w:style>
  <w:style w:type="character" w:customStyle="1" w:styleId="Ttulo4Car">
    <w:name w:val="Título 4 Car"/>
    <w:basedOn w:val="Fuentedeprrafopredeter"/>
    <w:link w:val="Ttulo4"/>
    <w:uiPriority w:val="9"/>
    <w:rsid w:val="00190D5D"/>
    <w:rPr>
      <w:rFonts w:asciiTheme="majorHAnsi" w:eastAsiaTheme="majorEastAsia" w:hAnsiTheme="majorHAnsi" w:cstheme="majorBidi"/>
      <w:b/>
      <w:bCs/>
      <w:i/>
      <w:iCs/>
      <w:color w:val="4F81BD" w:themeColor="accent1"/>
      <w:sz w:val="22"/>
      <w:szCs w:val="22"/>
      <w:lang w:val="es-CO" w:eastAsia="en-US"/>
    </w:rPr>
  </w:style>
  <w:style w:type="character" w:customStyle="1" w:styleId="Ttulo5Car">
    <w:name w:val="Título 5 Car"/>
    <w:basedOn w:val="Fuentedeprrafopredeter"/>
    <w:link w:val="Ttulo5"/>
    <w:uiPriority w:val="9"/>
    <w:semiHidden/>
    <w:rsid w:val="00672D10"/>
    <w:rPr>
      <w:rFonts w:eastAsiaTheme="minorHAnsi"/>
      <w:b/>
      <w:lang w:eastAsia="en-US"/>
    </w:rPr>
  </w:style>
  <w:style w:type="character" w:customStyle="1" w:styleId="Ttulo6Car">
    <w:name w:val="Título 6 Car"/>
    <w:basedOn w:val="Fuentedeprrafopredeter"/>
    <w:link w:val="Ttulo6"/>
    <w:uiPriority w:val="9"/>
    <w:semiHidden/>
    <w:rsid w:val="00672D10"/>
    <w:rPr>
      <w:rFonts w:eastAsiaTheme="minorHAnsi"/>
      <w:b/>
      <w:sz w:val="20"/>
      <w:szCs w:val="20"/>
      <w:lang w:eastAsia="en-US"/>
    </w:rPr>
  </w:style>
  <w:style w:type="paragraph" w:styleId="Ttulo">
    <w:name w:val="Title"/>
    <w:basedOn w:val="Normal"/>
    <w:next w:val="Normal"/>
    <w:link w:val="TtuloCar"/>
    <w:uiPriority w:val="10"/>
    <w:qFormat/>
    <w:pPr>
      <w:keepNext/>
      <w:keepLines/>
      <w:spacing w:before="480" w:after="120"/>
    </w:pPr>
    <w:rPr>
      <w:b/>
      <w:sz w:val="72"/>
      <w:szCs w:val="72"/>
    </w:rPr>
  </w:style>
  <w:style w:type="character" w:customStyle="1" w:styleId="TtuloCar">
    <w:name w:val="Título Car"/>
    <w:basedOn w:val="Fuentedeprrafopredeter"/>
    <w:link w:val="Ttulo"/>
    <w:uiPriority w:val="10"/>
    <w:rsid w:val="00672D10"/>
    <w:rPr>
      <w:rFonts w:eastAsiaTheme="minorHAnsi"/>
      <w:b/>
      <w:sz w:val="72"/>
      <w:szCs w:val="72"/>
      <w:lang w:eastAsia="en-US"/>
    </w:rPr>
  </w:style>
  <w:style w:type="paragraph" w:styleId="Prrafodelista">
    <w:name w:val="List Paragraph"/>
    <w:aliases w:val="Titulo parrafo,References,Bullets,Title Style 1,Numbered List Paragraph,lp1,Cuadrícula media 1 - Énfasis 21,Numeracion iniciativas,ASPECTOS GENERALES,Cuadro 2-1,Párrafo de lista2,List Paragraph1,Dot pt,P‡rrafo de lista,Bullet 1 List"/>
    <w:basedOn w:val="Normal"/>
    <w:link w:val="PrrafodelistaCar"/>
    <w:uiPriority w:val="34"/>
    <w:qFormat/>
    <w:rsid w:val="00C30767"/>
    <w:pPr>
      <w:ind w:left="720"/>
      <w:contextualSpacing/>
    </w:pPr>
  </w:style>
  <w:style w:type="character" w:customStyle="1" w:styleId="PrrafodelistaCar">
    <w:name w:val="Párrafo de lista Car"/>
    <w:aliases w:val="Titulo parrafo Car,References Car,Bullets Car,Title Style 1 Car,Numbered List Paragraph Car,lp1 Car,Cuadrícula media 1 - Énfasis 21 Car,Numeracion iniciativas Car,ASPECTOS GENERALES Car,Cuadro 2-1 Car,Párrafo de lista2 Car"/>
    <w:link w:val="Prrafodelista"/>
    <w:uiPriority w:val="34"/>
    <w:qFormat/>
    <w:locked/>
    <w:rsid w:val="003A6382"/>
    <w:rPr>
      <w:rFonts w:eastAsiaTheme="minorHAnsi"/>
      <w:lang w:eastAsia="en-US"/>
    </w:rPr>
  </w:style>
  <w:style w:type="table" w:styleId="Tablaconcuadrcula">
    <w:name w:val="Table Grid"/>
    <w:basedOn w:val="Tablanormal"/>
    <w:uiPriority w:val="39"/>
    <w:rsid w:val="00C30767"/>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076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pgrafe">
    <w:name w:val="caption"/>
    <w:basedOn w:val="Normal"/>
    <w:next w:val="Normal"/>
    <w:uiPriority w:val="35"/>
    <w:unhideWhenUsed/>
    <w:qFormat/>
    <w:rsid w:val="00C30767"/>
    <w:pPr>
      <w:spacing w:after="200" w:line="240" w:lineRule="auto"/>
    </w:pPr>
    <w:rPr>
      <w:i/>
      <w:iCs/>
      <w:color w:val="1F497D" w:themeColor="text2"/>
      <w:sz w:val="18"/>
      <w:szCs w:val="18"/>
    </w:rPr>
  </w:style>
  <w:style w:type="character" w:styleId="Hipervnculo">
    <w:name w:val="Hyperlink"/>
    <w:basedOn w:val="Fuentedeprrafopredeter"/>
    <w:uiPriority w:val="99"/>
    <w:unhideWhenUsed/>
    <w:rsid w:val="00C30767"/>
    <w:rPr>
      <w:color w:val="0000FF" w:themeColor="hyperlink"/>
      <w:u w:val="single"/>
    </w:rPr>
  </w:style>
  <w:style w:type="character" w:styleId="Enfasis">
    <w:name w:val="Emphasis"/>
    <w:basedOn w:val="Fuentedeprrafopredeter"/>
    <w:uiPriority w:val="20"/>
    <w:qFormat/>
    <w:rsid w:val="00C30767"/>
    <w:rPr>
      <w:i/>
      <w:iCs/>
    </w:rPr>
  </w:style>
  <w:style w:type="paragraph" w:styleId="Textonotapie">
    <w:name w:val="footnote text"/>
    <w:basedOn w:val="Normal"/>
    <w:link w:val="TextonotapieCar"/>
    <w:uiPriority w:val="99"/>
    <w:unhideWhenUsed/>
    <w:rsid w:val="00C30767"/>
    <w:pPr>
      <w:spacing w:after="0" w:line="240" w:lineRule="auto"/>
    </w:pPr>
    <w:rPr>
      <w:sz w:val="20"/>
      <w:szCs w:val="20"/>
    </w:rPr>
  </w:style>
  <w:style w:type="character" w:customStyle="1" w:styleId="TextonotapieCar">
    <w:name w:val="Texto nota pie Car"/>
    <w:basedOn w:val="Fuentedeprrafopredeter"/>
    <w:link w:val="Textonotapie"/>
    <w:uiPriority w:val="99"/>
    <w:rsid w:val="00C30767"/>
    <w:rPr>
      <w:rFonts w:eastAsiaTheme="minorHAnsi"/>
      <w:sz w:val="20"/>
      <w:szCs w:val="20"/>
      <w:lang w:val="es-CO" w:eastAsia="en-US"/>
    </w:rPr>
  </w:style>
  <w:style w:type="character" w:styleId="Refdenotaalpie">
    <w:name w:val="footnote reference"/>
    <w:basedOn w:val="Fuentedeprrafopredeter"/>
    <w:uiPriority w:val="99"/>
    <w:unhideWhenUsed/>
    <w:rsid w:val="00C30767"/>
    <w:rPr>
      <w:vertAlign w:val="superscript"/>
    </w:rPr>
  </w:style>
  <w:style w:type="paragraph" w:styleId="Textodeglobo">
    <w:name w:val="Balloon Text"/>
    <w:basedOn w:val="Normal"/>
    <w:link w:val="TextodegloboCar"/>
    <w:uiPriority w:val="99"/>
    <w:semiHidden/>
    <w:unhideWhenUsed/>
    <w:rsid w:val="00C3076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30767"/>
    <w:rPr>
      <w:rFonts w:ascii="Lucida Grande" w:eastAsiaTheme="minorHAnsi" w:hAnsi="Lucida Grande" w:cs="Lucida Grande"/>
      <w:sz w:val="18"/>
      <w:szCs w:val="18"/>
      <w:lang w:val="es-CO" w:eastAsia="en-US"/>
    </w:rPr>
  </w:style>
  <w:style w:type="character" w:styleId="Textoennegrita">
    <w:name w:val="Strong"/>
    <w:basedOn w:val="Fuentedeprrafopredeter"/>
    <w:uiPriority w:val="22"/>
    <w:qFormat/>
    <w:rsid w:val="00C30767"/>
    <w:rPr>
      <w:b/>
      <w:bCs/>
    </w:rPr>
  </w:style>
  <w:style w:type="character" w:styleId="Refdecomentario">
    <w:name w:val="annotation reference"/>
    <w:basedOn w:val="Fuentedeprrafopredeter"/>
    <w:uiPriority w:val="99"/>
    <w:semiHidden/>
    <w:unhideWhenUsed/>
    <w:rsid w:val="00C30767"/>
    <w:rPr>
      <w:sz w:val="16"/>
      <w:szCs w:val="16"/>
    </w:rPr>
  </w:style>
  <w:style w:type="paragraph" w:styleId="Textocomentario">
    <w:name w:val="annotation text"/>
    <w:basedOn w:val="Normal"/>
    <w:link w:val="TextocomentarioCar"/>
    <w:uiPriority w:val="99"/>
    <w:unhideWhenUsed/>
    <w:rsid w:val="00C30767"/>
    <w:pPr>
      <w:spacing w:after="0" w:line="240" w:lineRule="auto"/>
    </w:pPr>
    <w:rPr>
      <w:rFonts w:eastAsiaTheme="minorEastAsia"/>
      <w:sz w:val="20"/>
      <w:szCs w:val="20"/>
      <w:lang w:val="es-ES_tradnl" w:eastAsia="es-ES"/>
    </w:rPr>
  </w:style>
  <w:style w:type="character" w:customStyle="1" w:styleId="TextocomentarioCar">
    <w:name w:val="Texto comentario Car"/>
    <w:basedOn w:val="Fuentedeprrafopredeter"/>
    <w:link w:val="Textocomentario"/>
    <w:uiPriority w:val="99"/>
    <w:rsid w:val="00C30767"/>
    <w:rPr>
      <w:sz w:val="20"/>
      <w:szCs w:val="20"/>
    </w:rPr>
  </w:style>
  <w:style w:type="character" w:customStyle="1" w:styleId="AsuntodelcomentarioCar">
    <w:name w:val="Asunto del comentario Car"/>
    <w:basedOn w:val="TextocomentarioCar"/>
    <w:link w:val="Asuntodelcomentario"/>
    <w:uiPriority w:val="99"/>
    <w:semiHidden/>
    <w:rsid w:val="00C30767"/>
    <w:rPr>
      <w:b/>
      <w:bCs/>
      <w:sz w:val="20"/>
      <w:szCs w:val="20"/>
    </w:rPr>
  </w:style>
  <w:style w:type="paragraph" w:styleId="Asuntodelcomentario">
    <w:name w:val="annotation subject"/>
    <w:basedOn w:val="Textocomentario"/>
    <w:next w:val="Textocomentario"/>
    <w:link w:val="AsuntodelcomentarioCar"/>
    <w:uiPriority w:val="99"/>
    <w:semiHidden/>
    <w:unhideWhenUsed/>
    <w:rsid w:val="00C30767"/>
    <w:rPr>
      <w:b/>
      <w:bCs/>
    </w:rPr>
  </w:style>
  <w:style w:type="character" w:customStyle="1" w:styleId="apple-converted-space">
    <w:name w:val="apple-converted-space"/>
    <w:basedOn w:val="Fuentedeprrafopredeter"/>
    <w:rsid w:val="0036335F"/>
  </w:style>
  <w:style w:type="paragraph" w:styleId="Encabezado">
    <w:name w:val="header"/>
    <w:basedOn w:val="Normal"/>
    <w:link w:val="EncabezadoCar"/>
    <w:uiPriority w:val="99"/>
    <w:unhideWhenUsed/>
    <w:rsid w:val="000B1ECA"/>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0B1ECA"/>
  </w:style>
  <w:style w:type="paragraph" w:styleId="Piedepgina">
    <w:name w:val="footer"/>
    <w:basedOn w:val="Normal"/>
    <w:link w:val="PiedepginaCar"/>
    <w:uiPriority w:val="99"/>
    <w:unhideWhenUsed/>
    <w:rsid w:val="000B1ECA"/>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0B1ECA"/>
  </w:style>
  <w:style w:type="character" w:styleId="Hipervnculovisitado">
    <w:name w:val="FollowedHyperlink"/>
    <w:basedOn w:val="Fuentedeprrafopredeter"/>
    <w:uiPriority w:val="99"/>
    <w:semiHidden/>
    <w:unhideWhenUsed/>
    <w:rsid w:val="008E4C68"/>
    <w:rPr>
      <w:color w:val="800080" w:themeColor="followedHyperlink"/>
      <w:u w:val="single"/>
    </w:rPr>
  </w:style>
  <w:style w:type="character" w:styleId="Nmerodepgina">
    <w:name w:val="page number"/>
    <w:basedOn w:val="Fuentedeprrafopredeter"/>
    <w:uiPriority w:val="99"/>
    <w:semiHidden/>
    <w:unhideWhenUsed/>
    <w:rsid w:val="00DC382D"/>
  </w:style>
  <w:style w:type="paragraph" w:styleId="Encabezadodetabladecontenido">
    <w:name w:val="TOC Heading"/>
    <w:basedOn w:val="Ttulo1"/>
    <w:next w:val="Normal"/>
    <w:uiPriority w:val="39"/>
    <w:unhideWhenUsed/>
    <w:qFormat/>
    <w:rsid w:val="00DC382D"/>
    <w:pPr>
      <w:spacing w:before="480" w:line="276" w:lineRule="auto"/>
      <w:outlineLvl w:val="9"/>
    </w:pPr>
    <w:rPr>
      <w:b/>
      <w:bCs/>
      <w:sz w:val="28"/>
      <w:szCs w:val="28"/>
      <w:lang w:val="es-CO"/>
    </w:rPr>
  </w:style>
  <w:style w:type="paragraph" w:styleId="TDC1">
    <w:name w:val="toc 1"/>
    <w:basedOn w:val="Normal"/>
    <w:next w:val="Normal"/>
    <w:autoRedefine/>
    <w:uiPriority w:val="39"/>
    <w:unhideWhenUsed/>
    <w:rsid w:val="00DC382D"/>
    <w:pPr>
      <w:spacing w:before="120" w:after="0"/>
    </w:pPr>
    <w:rPr>
      <w:b/>
      <w:sz w:val="24"/>
      <w:szCs w:val="24"/>
    </w:rPr>
  </w:style>
  <w:style w:type="paragraph" w:styleId="TDC2">
    <w:name w:val="toc 2"/>
    <w:basedOn w:val="Normal"/>
    <w:next w:val="Normal"/>
    <w:autoRedefine/>
    <w:uiPriority w:val="39"/>
    <w:unhideWhenUsed/>
    <w:rsid w:val="00DC382D"/>
    <w:pPr>
      <w:spacing w:after="0"/>
      <w:ind w:left="220"/>
    </w:pPr>
    <w:rPr>
      <w:b/>
    </w:rPr>
  </w:style>
  <w:style w:type="paragraph" w:styleId="TDC3">
    <w:name w:val="toc 3"/>
    <w:basedOn w:val="Normal"/>
    <w:next w:val="Normal"/>
    <w:autoRedefine/>
    <w:uiPriority w:val="39"/>
    <w:unhideWhenUsed/>
    <w:rsid w:val="00DC382D"/>
    <w:pPr>
      <w:spacing w:after="0"/>
      <w:ind w:left="440"/>
    </w:pPr>
  </w:style>
  <w:style w:type="paragraph" w:styleId="TDC4">
    <w:name w:val="toc 4"/>
    <w:basedOn w:val="Normal"/>
    <w:next w:val="Normal"/>
    <w:autoRedefine/>
    <w:uiPriority w:val="39"/>
    <w:unhideWhenUsed/>
    <w:rsid w:val="00DC382D"/>
    <w:pPr>
      <w:spacing w:after="0"/>
      <w:ind w:left="660"/>
    </w:pPr>
    <w:rPr>
      <w:sz w:val="20"/>
      <w:szCs w:val="20"/>
    </w:rPr>
  </w:style>
  <w:style w:type="paragraph" w:styleId="TDC5">
    <w:name w:val="toc 5"/>
    <w:basedOn w:val="Normal"/>
    <w:next w:val="Normal"/>
    <w:autoRedefine/>
    <w:uiPriority w:val="39"/>
    <w:unhideWhenUsed/>
    <w:rsid w:val="00DC382D"/>
    <w:pPr>
      <w:spacing w:after="0"/>
      <w:ind w:left="880"/>
    </w:pPr>
    <w:rPr>
      <w:sz w:val="20"/>
      <w:szCs w:val="20"/>
    </w:rPr>
  </w:style>
  <w:style w:type="paragraph" w:styleId="TDC6">
    <w:name w:val="toc 6"/>
    <w:basedOn w:val="Normal"/>
    <w:next w:val="Normal"/>
    <w:autoRedefine/>
    <w:uiPriority w:val="39"/>
    <w:unhideWhenUsed/>
    <w:rsid w:val="00DC382D"/>
    <w:pPr>
      <w:spacing w:after="0"/>
      <w:ind w:left="1100"/>
    </w:pPr>
    <w:rPr>
      <w:sz w:val="20"/>
      <w:szCs w:val="20"/>
    </w:rPr>
  </w:style>
  <w:style w:type="paragraph" w:styleId="TDC7">
    <w:name w:val="toc 7"/>
    <w:basedOn w:val="Normal"/>
    <w:next w:val="Normal"/>
    <w:autoRedefine/>
    <w:uiPriority w:val="39"/>
    <w:unhideWhenUsed/>
    <w:rsid w:val="00DC382D"/>
    <w:pPr>
      <w:spacing w:after="0"/>
      <w:ind w:left="1320"/>
    </w:pPr>
    <w:rPr>
      <w:sz w:val="20"/>
      <w:szCs w:val="20"/>
    </w:rPr>
  </w:style>
  <w:style w:type="paragraph" w:styleId="TDC8">
    <w:name w:val="toc 8"/>
    <w:basedOn w:val="Normal"/>
    <w:next w:val="Normal"/>
    <w:autoRedefine/>
    <w:uiPriority w:val="39"/>
    <w:unhideWhenUsed/>
    <w:rsid w:val="00DC382D"/>
    <w:pPr>
      <w:spacing w:after="0"/>
      <w:ind w:left="1540"/>
    </w:pPr>
    <w:rPr>
      <w:sz w:val="20"/>
      <w:szCs w:val="20"/>
    </w:rPr>
  </w:style>
  <w:style w:type="paragraph" w:styleId="TDC9">
    <w:name w:val="toc 9"/>
    <w:basedOn w:val="Normal"/>
    <w:next w:val="Normal"/>
    <w:autoRedefine/>
    <w:uiPriority w:val="39"/>
    <w:unhideWhenUsed/>
    <w:rsid w:val="00DC382D"/>
    <w:pPr>
      <w:spacing w:after="0"/>
      <w:ind w:left="1760"/>
    </w:pPr>
    <w:rPr>
      <w:sz w:val="20"/>
      <w:szCs w:val="20"/>
    </w:rPr>
  </w:style>
  <w:style w:type="paragraph" w:styleId="Sinespaciado">
    <w:name w:val="No Spacing"/>
    <w:link w:val="SinespaciadoCar"/>
    <w:uiPriority w:val="1"/>
    <w:qFormat/>
    <w:rsid w:val="00D45B0B"/>
  </w:style>
  <w:style w:type="character" w:customStyle="1" w:styleId="SinespaciadoCar">
    <w:name w:val="Sin espaciado Car"/>
    <w:basedOn w:val="Fuentedeprrafopredeter"/>
    <w:link w:val="Sinespaciado"/>
    <w:uiPriority w:val="1"/>
    <w:rsid w:val="00D45B0B"/>
    <w:rPr>
      <w:sz w:val="22"/>
      <w:szCs w:val="22"/>
      <w:lang w:val="es-CO"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672D10"/>
    <w:rPr>
      <w:rFonts w:ascii="Georgia" w:eastAsia="Georgia" w:hAnsi="Georgia" w:cs="Georgia"/>
      <w:i/>
      <w:color w:val="666666"/>
      <w:sz w:val="48"/>
      <w:szCs w:val="48"/>
      <w:lang w:eastAsia="en-US"/>
    </w:rPr>
  </w:style>
  <w:style w:type="table" w:customStyle="1" w:styleId="a">
    <w:basedOn w:val="Tablanormal"/>
    <w:tblPr>
      <w:tblStyleRowBandSize w:val="1"/>
      <w:tblStyleColBandSize w:val="1"/>
      <w:tblInd w:w="0" w:type="dxa"/>
      <w:tblCellMar>
        <w:top w:w="0" w:type="dxa"/>
        <w:left w:w="108" w:type="dxa"/>
        <w:bottom w:w="0" w:type="dxa"/>
        <w:right w:w="108" w:type="dxa"/>
      </w:tblCellMar>
    </w:tblPr>
  </w:style>
  <w:style w:type="table" w:customStyle="1" w:styleId="a0">
    <w:basedOn w:val="Tablanormal"/>
    <w:tblPr>
      <w:tblStyleRowBandSize w:val="1"/>
      <w:tblStyleColBandSize w:val="1"/>
      <w:tblInd w:w="0" w:type="dxa"/>
      <w:tblCellMar>
        <w:top w:w="0" w:type="dxa"/>
        <w:left w:w="108" w:type="dxa"/>
        <w:bottom w:w="0" w:type="dxa"/>
        <w:right w:w="108" w:type="dxa"/>
      </w:tblCellMar>
    </w:tblPr>
  </w:style>
  <w:style w:type="table" w:customStyle="1" w:styleId="a1">
    <w:basedOn w:val="Tablanormal"/>
    <w:tblPr>
      <w:tblStyleRowBandSize w:val="1"/>
      <w:tblStyleColBandSize w:val="1"/>
      <w:tblInd w:w="0" w:type="dxa"/>
      <w:tblCellMar>
        <w:top w:w="0" w:type="dxa"/>
        <w:left w:w="115" w:type="dxa"/>
        <w:bottom w:w="0" w:type="dxa"/>
        <w:right w:w="115" w:type="dxa"/>
      </w:tblCellMar>
    </w:tblPr>
  </w:style>
  <w:style w:type="table" w:customStyle="1" w:styleId="a2">
    <w:basedOn w:val="Tablanormal"/>
    <w:tblPr>
      <w:tblStyleRowBandSize w:val="1"/>
      <w:tblStyleColBandSize w:val="1"/>
      <w:tblInd w:w="0" w:type="dxa"/>
      <w:tblCellMar>
        <w:top w:w="0" w:type="dxa"/>
        <w:left w:w="108" w:type="dxa"/>
        <w:bottom w:w="0" w:type="dxa"/>
        <w:right w:w="108" w:type="dxa"/>
      </w:tblCellMar>
    </w:tblPr>
  </w:style>
  <w:style w:type="table" w:customStyle="1" w:styleId="a3">
    <w:basedOn w:val="Tablanormal"/>
    <w:tblPr>
      <w:tblStyleRowBandSize w:val="1"/>
      <w:tblStyleColBandSize w:val="1"/>
      <w:tblInd w:w="0" w:type="dxa"/>
      <w:tblCellMar>
        <w:top w:w="0" w:type="dxa"/>
        <w:left w:w="115" w:type="dxa"/>
        <w:bottom w:w="0" w:type="dxa"/>
        <w:right w:w="115" w:type="dxa"/>
      </w:tblCellMar>
    </w:tblPr>
  </w:style>
  <w:style w:type="table" w:customStyle="1" w:styleId="a4">
    <w:basedOn w:val="Tablanormal"/>
    <w:tblPr>
      <w:tblStyleRowBandSize w:val="1"/>
      <w:tblStyleColBandSize w:val="1"/>
      <w:tblInd w:w="0" w:type="dxa"/>
      <w:tblCellMar>
        <w:top w:w="0" w:type="dxa"/>
        <w:left w:w="115" w:type="dxa"/>
        <w:bottom w:w="0" w:type="dxa"/>
        <w:right w:w="115" w:type="dxa"/>
      </w:tblCellMar>
    </w:tblPr>
  </w:style>
  <w:style w:type="table" w:customStyle="1" w:styleId="a5">
    <w:basedOn w:val="Tablanormal"/>
    <w:tblPr>
      <w:tblStyleRowBandSize w:val="1"/>
      <w:tblStyleColBandSize w:val="1"/>
      <w:tblInd w:w="0" w:type="dxa"/>
      <w:tblCellMar>
        <w:top w:w="0" w:type="dxa"/>
        <w:left w:w="115" w:type="dxa"/>
        <w:bottom w:w="0" w:type="dxa"/>
        <w:right w:w="115" w:type="dxa"/>
      </w:tblCellMar>
    </w:tblPr>
  </w:style>
  <w:style w:type="table" w:customStyle="1" w:styleId="a6">
    <w:basedOn w:val="Tablanormal"/>
    <w:tblPr>
      <w:tblStyleRowBandSize w:val="1"/>
      <w:tblStyleColBandSize w:val="1"/>
      <w:tblInd w:w="0" w:type="dxa"/>
      <w:tblCellMar>
        <w:top w:w="0" w:type="dxa"/>
        <w:left w:w="115" w:type="dxa"/>
        <w:bottom w:w="0" w:type="dxa"/>
        <w:right w:w="115" w:type="dxa"/>
      </w:tblCellMar>
    </w:tblPr>
  </w:style>
  <w:style w:type="table" w:customStyle="1" w:styleId="a7">
    <w:basedOn w:val="Tablanormal"/>
    <w:tblPr>
      <w:tblStyleRowBandSize w:val="1"/>
      <w:tblStyleColBandSize w:val="1"/>
      <w:tblInd w:w="0" w:type="dxa"/>
      <w:tblCellMar>
        <w:top w:w="0" w:type="dxa"/>
        <w:left w:w="115" w:type="dxa"/>
        <w:bottom w:w="0" w:type="dxa"/>
        <w:right w:w="115" w:type="dxa"/>
      </w:tblCellMar>
    </w:tblPr>
  </w:style>
  <w:style w:type="table" w:customStyle="1" w:styleId="a8">
    <w:basedOn w:val="Tablanormal"/>
    <w:tblPr>
      <w:tblStyleRowBandSize w:val="1"/>
      <w:tblStyleColBandSize w:val="1"/>
      <w:tblInd w:w="0" w:type="dxa"/>
      <w:tblCellMar>
        <w:top w:w="0" w:type="dxa"/>
        <w:left w:w="115" w:type="dxa"/>
        <w:bottom w:w="0" w:type="dxa"/>
        <w:right w:w="115" w:type="dxa"/>
      </w:tblCellMar>
    </w:tblPr>
  </w:style>
  <w:style w:type="table" w:customStyle="1" w:styleId="a9">
    <w:basedOn w:val="Tablanormal"/>
    <w:tblPr>
      <w:tblStyleRowBandSize w:val="1"/>
      <w:tblStyleColBandSize w:val="1"/>
      <w:tblInd w:w="0" w:type="dxa"/>
      <w:tblCellMar>
        <w:top w:w="0" w:type="dxa"/>
        <w:left w:w="115" w:type="dxa"/>
        <w:bottom w:w="0" w:type="dxa"/>
        <w:right w:w="115" w:type="dxa"/>
      </w:tblCellMar>
    </w:tblPr>
  </w:style>
  <w:style w:type="table" w:customStyle="1" w:styleId="aa">
    <w:basedOn w:val="Tablanormal"/>
    <w:tblPr>
      <w:tblStyleRowBandSize w:val="1"/>
      <w:tblStyleColBandSize w:val="1"/>
      <w:tblInd w:w="0" w:type="dxa"/>
      <w:tblCellMar>
        <w:top w:w="0" w:type="dxa"/>
        <w:left w:w="115" w:type="dxa"/>
        <w:bottom w:w="0" w:type="dxa"/>
        <w:right w:w="115" w:type="dxa"/>
      </w:tblCellMar>
    </w:tblPr>
  </w:style>
  <w:style w:type="table" w:customStyle="1" w:styleId="ab">
    <w:basedOn w:val="Tablanormal"/>
    <w:tblPr>
      <w:tblStyleRowBandSize w:val="1"/>
      <w:tblStyleColBandSize w:val="1"/>
      <w:tblInd w:w="0" w:type="dxa"/>
      <w:tblCellMar>
        <w:top w:w="0" w:type="dxa"/>
        <w:left w:w="115" w:type="dxa"/>
        <w:bottom w:w="0" w:type="dxa"/>
        <w:right w:w="115" w:type="dxa"/>
      </w:tblCellMar>
    </w:tblPr>
  </w:style>
  <w:style w:type="table" w:customStyle="1" w:styleId="ac">
    <w:basedOn w:val="Tablanormal"/>
    <w:tblPr>
      <w:tblStyleRowBandSize w:val="1"/>
      <w:tblStyleColBandSize w:val="1"/>
      <w:tblInd w:w="0" w:type="dxa"/>
      <w:tblCellMar>
        <w:top w:w="0" w:type="dxa"/>
        <w:left w:w="115" w:type="dxa"/>
        <w:bottom w:w="0" w:type="dxa"/>
        <w:right w:w="115" w:type="dxa"/>
      </w:tblCellMar>
    </w:tblPr>
  </w:style>
  <w:style w:type="table" w:customStyle="1" w:styleId="ad">
    <w:basedOn w:val="Tablanormal"/>
    <w:tblPr>
      <w:tblStyleRowBandSize w:val="1"/>
      <w:tblStyleColBandSize w:val="1"/>
      <w:tblInd w:w="0" w:type="dxa"/>
      <w:tblCellMar>
        <w:top w:w="0" w:type="dxa"/>
        <w:left w:w="115" w:type="dxa"/>
        <w:bottom w:w="0" w:type="dxa"/>
        <w:right w:w="115" w:type="dxa"/>
      </w:tblCellMar>
    </w:tblPr>
  </w:style>
  <w:style w:type="table" w:customStyle="1" w:styleId="ae">
    <w:basedOn w:val="Tablanormal"/>
    <w:tblPr>
      <w:tblStyleRowBandSize w:val="1"/>
      <w:tblStyleColBandSize w:val="1"/>
      <w:tblInd w:w="0" w:type="dxa"/>
      <w:tblCellMar>
        <w:top w:w="0" w:type="dxa"/>
        <w:left w:w="115" w:type="dxa"/>
        <w:bottom w:w="0" w:type="dxa"/>
        <w:right w:w="115" w:type="dxa"/>
      </w:tblCellMar>
    </w:tblPr>
  </w:style>
  <w:style w:type="table" w:customStyle="1" w:styleId="af">
    <w:basedOn w:val="Tablanormal"/>
    <w:tblPr>
      <w:tblStyleRowBandSize w:val="1"/>
      <w:tblStyleColBandSize w:val="1"/>
      <w:tblInd w:w="0" w:type="dxa"/>
      <w:tblCellMar>
        <w:top w:w="0" w:type="dxa"/>
        <w:left w:w="115" w:type="dxa"/>
        <w:bottom w:w="0" w:type="dxa"/>
        <w:right w:w="115" w:type="dxa"/>
      </w:tblCellMar>
    </w:tblPr>
  </w:style>
  <w:style w:type="table" w:customStyle="1" w:styleId="af0">
    <w:basedOn w:val="Tablanormal"/>
    <w:tblPr>
      <w:tblStyleRowBandSize w:val="1"/>
      <w:tblStyleColBandSize w:val="1"/>
      <w:tblInd w:w="0" w:type="dxa"/>
      <w:tblCellMar>
        <w:top w:w="0" w:type="dxa"/>
        <w:left w:w="115" w:type="dxa"/>
        <w:bottom w:w="0" w:type="dxa"/>
        <w:right w:w="115" w:type="dxa"/>
      </w:tblCellMar>
    </w:tblPr>
  </w:style>
  <w:style w:type="table" w:customStyle="1" w:styleId="af1">
    <w:basedOn w:val="Tablanormal"/>
    <w:tblPr>
      <w:tblStyleRowBandSize w:val="1"/>
      <w:tblStyleColBandSize w:val="1"/>
      <w:tblInd w:w="0" w:type="dxa"/>
      <w:tblCellMar>
        <w:top w:w="0" w:type="dxa"/>
        <w:left w:w="115" w:type="dxa"/>
        <w:bottom w:w="0" w:type="dxa"/>
        <w:right w:w="115" w:type="dxa"/>
      </w:tblCellMar>
    </w:tblPr>
  </w:style>
  <w:style w:type="table" w:customStyle="1" w:styleId="af2">
    <w:basedOn w:val="Tablanormal"/>
    <w:tblPr>
      <w:tblStyleRowBandSize w:val="1"/>
      <w:tblStyleColBandSize w:val="1"/>
      <w:tblInd w:w="0" w:type="dxa"/>
      <w:tblCellMar>
        <w:top w:w="0" w:type="dxa"/>
        <w:left w:w="115" w:type="dxa"/>
        <w:bottom w:w="0" w:type="dxa"/>
        <w:right w:w="115" w:type="dxa"/>
      </w:tblCellMar>
    </w:tblPr>
  </w:style>
  <w:style w:type="table" w:customStyle="1" w:styleId="af3">
    <w:basedOn w:val="Tablanormal"/>
    <w:tblPr>
      <w:tblStyleRowBandSize w:val="1"/>
      <w:tblStyleColBandSize w:val="1"/>
      <w:tblInd w:w="0" w:type="dxa"/>
      <w:tblCellMar>
        <w:top w:w="0" w:type="dxa"/>
        <w:left w:w="115" w:type="dxa"/>
        <w:bottom w:w="0" w:type="dxa"/>
        <w:right w:w="115" w:type="dxa"/>
      </w:tblCellMar>
    </w:tblPr>
  </w:style>
  <w:style w:type="table" w:customStyle="1" w:styleId="af4">
    <w:basedOn w:val="Tablanormal"/>
    <w:tblPr>
      <w:tblStyleRowBandSize w:val="1"/>
      <w:tblStyleColBandSize w:val="1"/>
      <w:tblInd w:w="0" w:type="dxa"/>
      <w:tblCellMar>
        <w:top w:w="0" w:type="dxa"/>
        <w:left w:w="108" w:type="dxa"/>
        <w:bottom w:w="0" w:type="dxa"/>
        <w:right w:w="108" w:type="dxa"/>
      </w:tblCellMar>
    </w:tblPr>
  </w:style>
  <w:style w:type="table" w:customStyle="1" w:styleId="af5">
    <w:basedOn w:val="Tablanormal"/>
    <w:tblPr>
      <w:tblStyleRowBandSize w:val="1"/>
      <w:tblStyleColBandSize w:val="1"/>
      <w:tblInd w:w="0" w:type="dxa"/>
      <w:tblCellMar>
        <w:top w:w="0" w:type="dxa"/>
        <w:left w:w="108" w:type="dxa"/>
        <w:bottom w:w="0" w:type="dxa"/>
        <w:right w:w="108" w:type="dxa"/>
      </w:tblCellMar>
    </w:tblPr>
  </w:style>
  <w:style w:type="table" w:customStyle="1" w:styleId="af6">
    <w:basedOn w:val="Tablanormal"/>
    <w:tblPr>
      <w:tblStyleRowBandSize w:val="1"/>
      <w:tblStyleColBandSize w:val="1"/>
      <w:tblInd w:w="0" w:type="dxa"/>
      <w:tblCellMar>
        <w:top w:w="0" w:type="dxa"/>
        <w:left w:w="108" w:type="dxa"/>
        <w:bottom w:w="0" w:type="dxa"/>
        <w:right w:w="108" w:type="dxa"/>
      </w:tblCellMar>
    </w:tblPr>
  </w:style>
  <w:style w:type="table" w:customStyle="1" w:styleId="af7">
    <w:basedOn w:val="Tablanormal"/>
    <w:tblPr>
      <w:tblStyleRowBandSize w:val="1"/>
      <w:tblStyleColBandSize w:val="1"/>
      <w:tblInd w:w="0" w:type="dxa"/>
      <w:tblCellMar>
        <w:top w:w="0" w:type="dxa"/>
        <w:left w:w="108" w:type="dxa"/>
        <w:bottom w:w="0" w:type="dxa"/>
        <w:right w:w="108" w:type="dxa"/>
      </w:tblCellMar>
    </w:tblPr>
  </w:style>
  <w:style w:type="table" w:customStyle="1" w:styleId="af8">
    <w:basedOn w:val="Tablanormal"/>
    <w:tblPr>
      <w:tblStyleRowBandSize w:val="1"/>
      <w:tblStyleColBandSize w:val="1"/>
      <w:tblInd w:w="0" w:type="dxa"/>
      <w:tblCellMar>
        <w:top w:w="0" w:type="dxa"/>
        <w:left w:w="108" w:type="dxa"/>
        <w:bottom w:w="0" w:type="dxa"/>
        <w:right w:w="108" w:type="dxa"/>
      </w:tblCellMar>
    </w:tblPr>
  </w:style>
  <w:style w:type="table" w:customStyle="1" w:styleId="af9">
    <w:basedOn w:val="Tablanormal"/>
    <w:tblPr>
      <w:tblStyleRowBandSize w:val="1"/>
      <w:tblStyleColBandSize w:val="1"/>
      <w:tblInd w:w="0" w:type="dxa"/>
      <w:tblCellMar>
        <w:top w:w="0" w:type="dxa"/>
        <w:left w:w="108" w:type="dxa"/>
        <w:bottom w:w="0" w:type="dxa"/>
        <w:right w:w="108" w:type="dxa"/>
      </w:tblCellMar>
    </w:tblPr>
  </w:style>
  <w:style w:type="table" w:customStyle="1" w:styleId="afa">
    <w:basedOn w:val="Tablanormal"/>
    <w:tblPr>
      <w:tblStyleRowBandSize w:val="1"/>
      <w:tblStyleColBandSize w:val="1"/>
      <w:tblInd w:w="0" w:type="dxa"/>
      <w:tblCellMar>
        <w:top w:w="0" w:type="dxa"/>
        <w:left w:w="115" w:type="dxa"/>
        <w:bottom w:w="0" w:type="dxa"/>
        <w:right w:w="115" w:type="dxa"/>
      </w:tblCellMar>
    </w:tblPr>
  </w:style>
  <w:style w:type="table" w:customStyle="1" w:styleId="afb">
    <w:basedOn w:val="Tablanormal"/>
    <w:tblPr>
      <w:tblStyleRowBandSize w:val="1"/>
      <w:tblStyleColBandSize w:val="1"/>
      <w:tblInd w:w="0" w:type="dxa"/>
      <w:tblCellMar>
        <w:top w:w="0" w:type="dxa"/>
        <w:left w:w="115" w:type="dxa"/>
        <w:bottom w:w="0" w:type="dxa"/>
        <w:right w:w="115" w:type="dxa"/>
      </w:tblCellMar>
    </w:tblPr>
  </w:style>
  <w:style w:type="table" w:customStyle="1" w:styleId="afc">
    <w:basedOn w:val="Tablanormal"/>
    <w:tblPr>
      <w:tblStyleRowBandSize w:val="1"/>
      <w:tblStyleColBandSize w:val="1"/>
      <w:tblInd w:w="0" w:type="dxa"/>
      <w:tblCellMar>
        <w:top w:w="0" w:type="dxa"/>
        <w:left w:w="115" w:type="dxa"/>
        <w:bottom w:w="0" w:type="dxa"/>
        <w:right w:w="115" w:type="dxa"/>
      </w:tblCellMar>
    </w:tblPr>
  </w:style>
  <w:style w:type="table" w:customStyle="1" w:styleId="afd">
    <w:basedOn w:val="Tablanormal"/>
    <w:tblPr>
      <w:tblStyleRowBandSize w:val="1"/>
      <w:tblStyleColBandSize w:val="1"/>
      <w:tblInd w:w="0" w:type="dxa"/>
      <w:tblCellMar>
        <w:top w:w="0" w:type="dxa"/>
        <w:left w:w="115" w:type="dxa"/>
        <w:bottom w:w="0" w:type="dxa"/>
        <w:right w:w="115" w:type="dxa"/>
      </w:tblCellMar>
    </w:tblPr>
  </w:style>
  <w:style w:type="table" w:customStyle="1" w:styleId="afe">
    <w:basedOn w:val="Tablanormal"/>
    <w:tblPr>
      <w:tblStyleRowBandSize w:val="1"/>
      <w:tblStyleColBandSize w:val="1"/>
      <w:tblInd w:w="0" w:type="dxa"/>
      <w:tblCellMar>
        <w:top w:w="0" w:type="dxa"/>
        <w:left w:w="115" w:type="dxa"/>
        <w:bottom w:w="0" w:type="dxa"/>
        <w:right w:w="115" w:type="dxa"/>
      </w:tblCellMar>
    </w:tblPr>
  </w:style>
  <w:style w:type="table" w:customStyle="1" w:styleId="aff">
    <w:basedOn w:val="Tablanormal"/>
    <w:tblPr>
      <w:tblStyleRowBandSize w:val="1"/>
      <w:tblStyleColBandSize w:val="1"/>
      <w:tblInd w:w="0" w:type="dxa"/>
      <w:tblCellMar>
        <w:top w:w="0" w:type="dxa"/>
        <w:left w:w="115" w:type="dxa"/>
        <w:bottom w:w="0" w:type="dxa"/>
        <w:right w:w="115" w:type="dxa"/>
      </w:tblCellMar>
    </w:tblPr>
  </w:style>
  <w:style w:type="table" w:customStyle="1" w:styleId="aff0">
    <w:basedOn w:val="Tablanormal"/>
    <w:tblPr>
      <w:tblStyleRowBandSize w:val="1"/>
      <w:tblStyleColBandSize w:val="1"/>
      <w:tblInd w:w="0" w:type="dxa"/>
      <w:tblCellMar>
        <w:top w:w="0" w:type="dxa"/>
        <w:left w:w="115" w:type="dxa"/>
        <w:bottom w:w="0" w:type="dxa"/>
        <w:right w:w="115" w:type="dxa"/>
      </w:tblCellMar>
    </w:tblPr>
  </w:style>
  <w:style w:type="table" w:customStyle="1" w:styleId="aff1">
    <w:basedOn w:val="Tablanormal"/>
    <w:tblPr>
      <w:tblStyleRowBandSize w:val="1"/>
      <w:tblStyleColBandSize w:val="1"/>
      <w:tblInd w:w="0" w:type="dxa"/>
      <w:tblCellMar>
        <w:top w:w="0" w:type="dxa"/>
        <w:left w:w="115" w:type="dxa"/>
        <w:bottom w:w="0" w:type="dxa"/>
        <w:right w:w="115" w:type="dxa"/>
      </w:tblCellMar>
    </w:tblPr>
  </w:style>
  <w:style w:type="table" w:customStyle="1" w:styleId="aff2">
    <w:basedOn w:val="Tablanormal"/>
    <w:tblPr>
      <w:tblStyleRowBandSize w:val="1"/>
      <w:tblStyleColBandSize w:val="1"/>
      <w:tblInd w:w="0" w:type="dxa"/>
      <w:tblCellMar>
        <w:top w:w="0" w:type="dxa"/>
        <w:left w:w="115" w:type="dxa"/>
        <w:bottom w:w="0" w:type="dxa"/>
        <w:right w:w="115" w:type="dxa"/>
      </w:tblCellMar>
    </w:tblPr>
  </w:style>
  <w:style w:type="table" w:customStyle="1" w:styleId="aff3">
    <w:basedOn w:val="Tablanormal"/>
    <w:tblPr>
      <w:tblStyleRowBandSize w:val="1"/>
      <w:tblStyleColBandSize w:val="1"/>
      <w:tblInd w:w="0" w:type="dxa"/>
      <w:tblCellMar>
        <w:top w:w="0" w:type="dxa"/>
        <w:left w:w="115" w:type="dxa"/>
        <w:bottom w:w="0" w:type="dxa"/>
        <w:right w:w="115" w:type="dxa"/>
      </w:tblCellMar>
    </w:tblPr>
  </w:style>
  <w:style w:type="table" w:customStyle="1" w:styleId="aff4">
    <w:basedOn w:val="Tablanormal"/>
    <w:tblPr>
      <w:tblStyleRowBandSize w:val="1"/>
      <w:tblStyleColBandSize w:val="1"/>
      <w:tblInd w:w="0" w:type="dxa"/>
      <w:tblCellMar>
        <w:top w:w="0" w:type="dxa"/>
        <w:left w:w="115" w:type="dxa"/>
        <w:bottom w:w="0" w:type="dxa"/>
        <w:right w:w="115" w:type="dxa"/>
      </w:tblCellMar>
    </w:tblPr>
  </w:style>
  <w:style w:type="table" w:customStyle="1" w:styleId="aff5">
    <w:basedOn w:val="Tablanormal"/>
    <w:tblPr>
      <w:tblStyleRowBandSize w:val="1"/>
      <w:tblStyleColBandSize w:val="1"/>
      <w:tblInd w:w="0" w:type="dxa"/>
      <w:tblCellMar>
        <w:top w:w="0" w:type="dxa"/>
        <w:left w:w="115" w:type="dxa"/>
        <w:bottom w:w="0" w:type="dxa"/>
        <w:right w:w="115" w:type="dxa"/>
      </w:tblCellMar>
    </w:tblPr>
  </w:style>
  <w:style w:type="table" w:customStyle="1" w:styleId="aff6">
    <w:basedOn w:val="Tablanormal"/>
    <w:tblPr>
      <w:tblStyleRowBandSize w:val="1"/>
      <w:tblStyleColBandSize w:val="1"/>
      <w:tblInd w:w="0" w:type="dxa"/>
      <w:tblCellMar>
        <w:top w:w="0" w:type="dxa"/>
        <w:left w:w="108" w:type="dxa"/>
        <w:bottom w:w="0" w:type="dxa"/>
        <w:right w:w="108" w:type="dxa"/>
      </w:tblCellMar>
    </w:tblPr>
  </w:style>
  <w:style w:type="table" w:customStyle="1" w:styleId="aff7">
    <w:basedOn w:val="Tablanormal"/>
    <w:tblPr>
      <w:tblStyleRowBandSize w:val="1"/>
      <w:tblStyleColBandSize w:val="1"/>
      <w:tblInd w:w="0" w:type="dxa"/>
      <w:tblCellMar>
        <w:top w:w="0" w:type="dxa"/>
        <w:left w:w="108" w:type="dxa"/>
        <w:bottom w:w="0" w:type="dxa"/>
        <w:right w:w="108" w:type="dxa"/>
      </w:tblCellMar>
    </w:tblPr>
  </w:style>
  <w:style w:type="table" w:customStyle="1" w:styleId="aff8">
    <w:basedOn w:val="Tablanormal"/>
    <w:tblPr>
      <w:tblStyleRowBandSize w:val="1"/>
      <w:tblStyleColBandSize w:val="1"/>
      <w:tblInd w:w="0" w:type="dxa"/>
      <w:tblCellMar>
        <w:top w:w="0" w:type="dxa"/>
        <w:left w:w="108" w:type="dxa"/>
        <w:bottom w:w="0" w:type="dxa"/>
        <w:right w:w="108" w:type="dxa"/>
      </w:tblCellMar>
    </w:tblPr>
  </w:style>
  <w:style w:type="table" w:customStyle="1" w:styleId="aff9">
    <w:basedOn w:val="Tablanormal"/>
    <w:tblPr>
      <w:tblStyleRowBandSize w:val="1"/>
      <w:tblStyleColBandSize w:val="1"/>
      <w:tblInd w:w="0" w:type="dxa"/>
      <w:tblCellMar>
        <w:top w:w="0" w:type="dxa"/>
        <w:left w:w="108" w:type="dxa"/>
        <w:bottom w:w="0" w:type="dxa"/>
        <w:right w:w="108" w:type="dxa"/>
      </w:tblCellMar>
    </w:tblPr>
  </w:style>
  <w:style w:type="table" w:customStyle="1" w:styleId="affa">
    <w:basedOn w:val="Tablanormal"/>
    <w:tblPr>
      <w:tblStyleRowBandSize w:val="1"/>
      <w:tblStyleColBandSize w:val="1"/>
      <w:tblInd w:w="0" w:type="dxa"/>
      <w:tblCellMar>
        <w:top w:w="0" w:type="dxa"/>
        <w:left w:w="108" w:type="dxa"/>
        <w:bottom w:w="0" w:type="dxa"/>
        <w:right w:w="108" w:type="dxa"/>
      </w:tblCellMar>
    </w:tblPr>
  </w:style>
  <w:style w:type="table" w:customStyle="1" w:styleId="affb">
    <w:basedOn w:val="Tablanormal"/>
    <w:tblPr>
      <w:tblStyleRowBandSize w:val="1"/>
      <w:tblStyleColBandSize w:val="1"/>
      <w:tblInd w:w="0" w:type="dxa"/>
      <w:tblCellMar>
        <w:top w:w="0" w:type="dxa"/>
        <w:left w:w="108" w:type="dxa"/>
        <w:bottom w:w="0" w:type="dxa"/>
        <w:right w:w="108" w:type="dxa"/>
      </w:tblCellMar>
    </w:tblPr>
  </w:style>
  <w:style w:type="table" w:customStyle="1" w:styleId="affc">
    <w:basedOn w:val="Tablanormal"/>
    <w:tblPr>
      <w:tblStyleRowBandSize w:val="1"/>
      <w:tblStyleColBandSize w:val="1"/>
      <w:tblInd w:w="0" w:type="dxa"/>
      <w:tblCellMar>
        <w:top w:w="0" w:type="dxa"/>
        <w:left w:w="108" w:type="dxa"/>
        <w:bottom w:w="0" w:type="dxa"/>
        <w:right w:w="108" w:type="dxa"/>
      </w:tblCellMar>
    </w:tblPr>
  </w:style>
  <w:style w:type="table" w:customStyle="1" w:styleId="affd">
    <w:basedOn w:val="Tablanormal"/>
    <w:tblPr>
      <w:tblStyleRowBandSize w:val="1"/>
      <w:tblStyleColBandSize w:val="1"/>
      <w:tblInd w:w="0" w:type="dxa"/>
      <w:tblCellMar>
        <w:top w:w="0" w:type="dxa"/>
        <w:left w:w="108" w:type="dxa"/>
        <w:bottom w:w="0" w:type="dxa"/>
        <w:right w:w="108" w:type="dxa"/>
      </w:tblCellMar>
    </w:tblPr>
  </w:style>
  <w:style w:type="table" w:customStyle="1" w:styleId="affe">
    <w:basedOn w:val="Tablanormal"/>
    <w:tblPr>
      <w:tblStyleRowBandSize w:val="1"/>
      <w:tblStyleColBandSize w:val="1"/>
      <w:tblInd w:w="0" w:type="dxa"/>
      <w:tblCellMar>
        <w:top w:w="0" w:type="dxa"/>
        <w:left w:w="108" w:type="dxa"/>
        <w:bottom w:w="0" w:type="dxa"/>
        <w:right w:w="108" w:type="dxa"/>
      </w:tblCellMar>
    </w:tblPr>
  </w:style>
  <w:style w:type="table" w:customStyle="1" w:styleId="afff">
    <w:basedOn w:val="Tablanormal"/>
    <w:tblPr>
      <w:tblStyleRowBandSize w:val="1"/>
      <w:tblStyleColBandSize w:val="1"/>
      <w:tblInd w:w="0" w:type="dxa"/>
      <w:tblCellMar>
        <w:top w:w="0" w:type="dxa"/>
        <w:left w:w="108" w:type="dxa"/>
        <w:bottom w:w="0" w:type="dxa"/>
        <w:right w:w="108" w:type="dxa"/>
      </w:tblCellMar>
    </w:tblPr>
  </w:style>
  <w:style w:type="table" w:customStyle="1" w:styleId="afff0">
    <w:basedOn w:val="Tablanormal"/>
    <w:tblPr>
      <w:tblStyleRowBandSize w:val="1"/>
      <w:tblStyleColBandSize w:val="1"/>
      <w:tblInd w:w="0" w:type="dxa"/>
      <w:tblCellMar>
        <w:top w:w="0" w:type="dxa"/>
        <w:left w:w="108" w:type="dxa"/>
        <w:bottom w:w="0" w:type="dxa"/>
        <w:right w:w="108" w:type="dxa"/>
      </w:tblCellMar>
    </w:tblPr>
  </w:style>
  <w:style w:type="table" w:customStyle="1" w:styleId="afff1">
    <w:basedOn w:val="Tablanormal"/>
    <w:tblPr>
      <w:tblStyleRowBandSize w:val="1"/>
      <w:tblStyleColBandSize w:val="1"/>
      <w:tblInd w:w="0" w:type="dxa"/>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4C2819"/>
    <w:rPr>
      <w:color w:val="605E5C"/>
      <w:shd w:val="clear" w:color="auto" w:fill="E1DFDD"/>
    </w:rPr>
  </w:style>
  <w:style w:type="paragraph" w:styleId="Revisin">
    <w:name w:val="Revision"/>
    <w:hidden/>
    <w:uiPriority w:val="99"/>
    <w:semiHidden/>
    <w:rsid w:val="006B7438"/>
    <w:pPr>
      <w:spacing w:after="0" w:line="240" w:lineRule="auto"/>
    </w:pPr>
    <w:rPr>
      <w:rFonts w:eastAsiaTheme="minorHAnsi"/>
      <w:lang w:eastAsia="en-US"/>
    </w:rPr>
  </w:style>
  <w:style w:type="table" w:customStyle="1" w:styleId="afff2">
    <w:basedOn w:val="Tablanormal"/>
    <w:tblPr>
      <w:tblStyleRowBandSize w:val="1"/>
      <w:tblStyleColBandSize w:val="1"/>
      <w:tblInd w:w="0" w:type="dxa"/>
      <w:tblCellMar>
        <w:top w:w="0" w:type="dxa"/>
        <w:left w:w="115" w:type="dxa"/>
        <w:bottom w:w="0" w:type="dxa"/>
        <w:right w:w="115" w:type="dxa"/>
      </w:tblCellMar>
    </w:tblPr>
  </w:style>
  <w:style w:type="table" w:customStyle="1" w:styleId="afff3">
    <w:basedOn w:val="Tablanormal"/>
    <w:tblPr>
      <w:tblStyleRowBandSize w:val="1"/>
      <w:tblStyleColBandSize w:val="1"/>
      <w:tblInd w:w="0" w:type="dxa"/>
      <w:tblCellMar>
        <w:top w:w="0" w:type="dxa"/>
        <w:left w:w="115" w:type="dxa"/>
        <w:bottom w:w="0" w:type="dxa"/>
        <w:right w:w="115" w:type="dxa"/>
      </w:tblCellMar>
    </w:tblPr>
  </w:style>
  <w:style w:type="table" w:customStyle="1" w:styleId="afff4">
    <w:basedOn w:val="Tablanormal"/>
    <w:tblPr>
      <w:tblStyleRowBandSize w:val="1"/>
      <w:tblStyleColBandSize w:val="1"/>
      <w:tblInd w:w="0" w:type="dxa"/>
      <w:tblCellMar>
        <w:top w:w="0" w:type="dxa"/>
        <w:left w:w="115" w:type="dxa"/>
        <w:bottom w:w="0" w:type="dxa"/>
        <w:right w:w="115" w:type="dxa"/>
      </w:tblCellMar>
    </w:tblPr>
  </w:style>
  <w:style w:type="table" w:customStyle="1" w:styleId="afff5">
    <w:basedOn w:val="Tablanormal"/>
    <w:tblPr>
      <w:tblStyleRowBandSize w:val="1"/>
      <w:tblStyleColBandSize w:val="1"/>
      <w:tblInd w:w="0" w:type="dxa"/>
      <w:tblCellMar>
        <w:top w:w="0" w:type="dxa"/>
        <w:left w:w="115" w:type="dxa"/>
        <w:bottom w:w="0" w:type="dxa"/>
        <w:right w:w="115" w:type="dxa"/>
      </w:tblCellMar>
    </w:tblPr>
  </w:style>
  <w:style w:type="table" w:customStyle="1" w:styleId="afff6">
    <w:basedOn w:val="Tablanormal"/>
    <w:tblPr>
      <w:tblStyleRowBandSize w:val="1"/>
      <w:tblStyleColBandSize w:val="1"/>
      <w:tblInd w:w="0" w:type="dxa"/>
      <w:tblCellMar>
        <w:top w:w="0" w:type="dxa"/>
        <w:left w:w="115" w:type="dxa"/>
        <w:bottom w:w="0" w:type="dxa"/>
        <w:right w:w="115" w:type="dxa"/>
      </w:tblCellMar>
    </w:tblPr>
  </w:style>
  <w:style w:type="table" w:customStyle="1" w:styleId="afff7">
    <w:basedOn w:val="Tablanormal"/>
    <w:tblPr>
      <w:tblStyleRowBandSize w:val="1"/>
      <w:tblStyleColBandSize w:val="1"/>
      <w:tblInd w:w="0" w:type="dxa"/>
      <w:tblCellMar>
        <w:top w:w="0" w:type="dxa"/>
        <w:left w:w="115" w:type="dxa"/>
        <w:bottom w:w="0" w:type="dxa"/>
        <w:right w:w="115" w:type="dxa"/>
      </w:tblCellMar>
    </w:tblPr>
  </w:style>
  <w:style w:type="table" w:customStyle="1" w:styleId="afff8">
    <w:basedOn w:val="Tablanormal"/>
    <w:tblPr>
      <w:tblStyleRowBandSize w:val="1"/>
      <w:tblStyleColBandSize w:val="1"/>
      <w:tblInd w:w="0" w:type="dxa"/>
      <w:tblCellMar>
        <w:top w:w="0" w:type="dxa"/>
        <w:left w:w="115" w:type="dxa"/>
        <w:bottom w:w="0" w:type="dxa"/>
        <w:right w:w="115" w:type="dxa"/>
      </w:tblCellMar>
    </w:tblPr>
  </w:style>
  <w:style w:type="table" w:customStyle="1" w:styleId="afff9">
    <w:basedOn w:val="Tablanormal"/>
    <w:tblPr>
      <w:tblStyleRowBandSize w:val="1"/>
      <w:tblStyleColBandSize w:val="1"/>
      <w:tblInd w:w="0" w:type="dxa"/>
      <w:tblCellMar>
        <w:top w:w="0" w:type="dxa"/>
        <w:left w:w="115" w:type="dxa"/>
        <w:bottom w:w="0" w:type="dxa"/>
        <w:right w:w="115" w:type="dxa"/>
      </w:tblCellMar>
    </w:tblPr>
  </w:style>
  <w:style w:type="table" w:customStyle="1" w:styleId="afffa">
    <w:basedOn w:val="Tablanormal"/>
    <w:tblPr>
      <w:tblStyleRowBandSize w:val="1"/>
      <w:tblStyleColBandSize w:val="1"/>
      <w:tblInd w:w="0" w:type="dxa"/>
      <w:tblCellMar>
        <w:top w:w="0" w:type="dxa"/>
        <w:left w:w="115" w:type="dxa"/>
        <w:bottom w:w="0" w:type="dxa"/>
        <w:right w:w="115" w:type="dxa"/>
      </w:tblCellMar>
    </w:tblPr>
  </w:style>
  <w:style w:type="table" w:customStyle="1" w:styleId="afffb">
    <w:basedOn w:val="Tablanormal"/>
    <w:tblPr>
      <w:tblStyleRowBandSize w:val="1"/>
      <w:tblStyleColBandSize w:val="1"/>
      <w:tblInd w:w="0" w:type="dxa"/>
      <w:tblCellMar>
        <w:top w:w="0" w:type="dxa"/>
        <w:left w:w="115" w:type="dxa"/>
        <w:bottom w:w="0" w:type="dxa"/>
        <w:right w:w="115" w:type="dxa"/>
      </w:tblCellMar>
    </w:tblPr>
  </w:style>
  <w:style w:type="table" w:customStyle="1" w:styleId="afffc">
    <w:basedOn w:val="Tablanormal"/>
    <w:tblPr>
      <w:tblStyleRowBandSize w:val="1"/>
      <w:tblStyleColBandSize w:val="1"/>
      <w:tblInd w:w="0" w:type="dxa"/>
      <w:tblCellMar>
        <w:top w:w="0" w:type="dxa"/>
        <w:left w:w="115" w:type="dxa"/>
        <w:bottom w:w="0" w:type="dxa"/>
        <w:right w:w="115" w:type="dxa"/>
      </w:tblCellMar>
    </w:tblPr>
  </w:style>
  <w:style w:type="table" w:customStyle="1" w:styleId="afffd">
    <w:basedOn w:val="Tablanormal"/>
    <w:tblPr>
      <w:tblStyleRowBandSize w:val="1"/>
      <w:tblStyleColBandSize w:val="1"/>
      <w:tblInd w:w="0" w:type="dxa"/>
      <w:tblCellMar>
        <w:top w:w="0" w:type="dxa"/>
        <w:left w:w="115" w:type="dxa"/>
        <w:bottom w:w="0" w:type="dxa"/>
        <w:right w:w="115" w:type="dxa"/>
      </w:tblCellMar>
    </w:tblPr>
  </w:style>
  <w:style w:type="table" w:customStyle="1" w:styleId="afffe">
    <w:basedOn w:val="Tablanormal"/>
    <w:tblPr>
      <w:tblStyleRowBandSize w:val="1"/>
      <w:tblStyleColBandSize w:val="1"/>
      <w:tblInd w:w="0" w:type="dxa"/>
      <w:tblCellMar>
        <w:top w:w="0" w:type="dxa"/>
        <w:left w:w="115" w:type="dxa"/>
        <w:bottom w:w="0" w:type="dxa"/>
        <w:right w:w="115" w:type="dxa"/>
      </w:tblCellMar>
    </w:tblPr>
  </w:style>
  <w:style w:type="table" w:customStyle="1" w:styleId="affff">
    <w:basedOn w:val="Tablanormal"/>
    <w:tblPr>
      <w:tblStyleRowBandSize w:val="1"/>
      <w:tblStyleColBandSize w:val="1"/>
      <w:tblInd w:w="0" w:type="dxa"/>
      <w:tblCellMar>
        <w:top w:w="0" w:type="dxa"/>
        <w:left w:w="115" w:type="dxa"/>
        <w:bottom w:w="0" w:type="dxa"/>
        <w:right w:w="115" w:type="dxa"/>
      </w:tblCellMar>
    </w:tblPr>
  </w:style>
  <w:style w:type="table" w:customStyle="1" w:styleId="affff0">
    <w:basedOn w:val="Tablanormal"/>
    <w:tblPr>
      <w:tblStyleRowBandSize w:val="1"/>
      <w:tblStyleColBandSize w:val="1"/>
      <w:tblInd w:w="0" w:type="dxa"/>
      <w:tblCellMar>
        <w:top w:w="0" w:type="dxa"/>
        <w:left w:w="115" w:type="dxa"/>
        <w:bottom w:w="0" w:type="dxa"/>
        <w:right w:w="115" w:type="dxa"/>
      </w:tblCellMar>
    </w:tblPr>
  </w:style>
  <w:style w:type="table" w:customStyle="1" w:styleId="affff1">
    <w:basedOn w:val="Tablanormal"/>
    <w:tblPr>
      <w:tblStyleRowBandSize w:val="1"/>
      <w:tblStyleColBandSize w:val="1"/>
      <w:tblInd w:w="0" w:type="dxa"/>
      <w:tblCellMar>
        <w:top w:w="0" w:type="dxa"/>
        <w:left w:w="115" w:type="dxa"/>
        <w:bottom w:w="0" w:type="dxa"/>
        <w:right w:w="115" w:type="dxa"/>
      </w:tblCellMar>
    </w:tblPr>
  </w:style>
  <w:style w:type="table" w:customStyle="1" w:styleId="affff2">
    <w:basedOn w:val="Tablanormal"/>
    <w:tblPr>
      <w:tblStyleRowBandSize w:val="1"/>
      <w:tblStyleColBandSize w:val="1"/>
      <w:tblInd w:w="0" w:type="dxa"/>
      <w:tblCellMar>
        <w:top w:w="0" w:type="dxa"/>
        <w:left w:w="115" w:type="dxa"/>
        <w:bottom w:w="0" w:type="dxa"/>
        <w:right w:w="115" w:type="dxa"/>
      </w:tblCellMar>
    </w:tblPr>
  </w:style>
  <w:style w:type="table" w:customStyle="1" w:styleId="affff3">
    <w:basedOn w:val="Tablanormal"/>
    <w:tblPr>
      <w:tblStyleRowBandSize w:val="1"/>
      <w:tblStyleColBandSize w:val="1"/>
      <w:tblInd w:w="0" w:type="dxa"/>
      <w:tblCellMar>
        <w:top w:w="0" w:type="dxa"/>
        <w:left w:w="115" w:type="dxa"/>
        <w:bottom w:w="0" w:type="dxa"/>
        <w:right w:w="115" w:type="dxa"/>
      </w:tblCellMar>
    </w:tblPr>
  </w:style>
  <w:style w:type="table" w:customStyle="1" w:styleId="affff4">
    <w:basedOn w:val="Tablanormal"/>
    <w:tblPr>
      <w:tblStyleRowBandSize w:val="1"/>
      <w:tblStyleColBandSize w:val="1"/>
      <w:tblInd w:w="0" w:type="dxa"/>
      <w:tblCellMar>
        <w:top w:w="0" w:type="dxa"/>
        <w:left w:w="115" w:type="dxa"/>
        <w:bottom w:w="0" w:type="dxa"/>
        <w:right w:w="115" w:type="dxa"/>
      </w:tblCellMar>
    </w:tblPr>
  </w:style>
  <w:style w:type="table" w:customStyle="1" w:styleId="affff5">
    <w:basedOn w:val="Tablanormal"/>
    <w:tblPr>
      <w:tblStyleRowBandSize w:val="1"/>
      <w:tblStyleColBandSize w:val="1"/>
      <w:tblInd w:w="0" w:type="dxa"/>
      <w:tblCellMar>
        <w:top w:w="0" w:type="dxa"/>
        <w:left w:w="115" w:type="dxa"/>
        <w:bottom w:w="0" w:type="dxa"/>
        <w:right w:w="115" w:type="dxa"/>
      </w:tblCellMar>
    </w:tblPr>
  </w:style>
  <w:style w:type="table" w:customStyle="1" w:styleId="affff6">
    <w:basedOn w:val="Tablanormal"/>
    <w:tblPr>
      <w:tblStyleRowBandSize w:val="1"/>
      <w:tblStyleColBandSize w:val="1"/>
      <w:tblInd w:w="0" w:type="dxa"/>
      <w:tblCellMar>
        <w:top w:w="0" w:type="dxa"/>
        <w:left w:w="115" w:type="dxa"/>
        <w:bottom w:w="0" w:type="dxa"/>
        <w:right w:w="115" w:type="dxa"/>
      </w:tblCellMar>
    </w:tblPr>
  </w:style>
  <w:style w:type="table" w:customStyle="1" w:styleId="affff7">
    <w:basedOn w:val="Tablanormal"/>
    <w:tblPr>
      <w:tblStyleRowBandSize w:val="1"/>
      <w:tblStyleColBandSize w:val="1"/>
      <w:tblInd w:w="0" w:type="dxa"/>
      <w:tblCellMar>
        <w:top w:w="0" w:type="dxa"/>
        <w:left w:w="115" w:type="dxa"/>
        <w:bottom w:w="0" w:type="dxa"/>
        <w:right w:w="115" w:type="dxa"/>
      </w:tblCellMar>
    </w:tblPr>
  </w:style>
  <w:style w:type="table" w:customStyle="1" w:styleId="affff8">
    <w:basedOn w:val="Tablanormal"/>
    <w:tblPr>
      <w:tblStyleRowBandSize w:val="1"/>
      <w:tblStyleColBandSize w:val="1"/>
      <w:tblInd w:w="0" w:type="dxa"/>
      <w:tblCellMar>
        <w:top w:w="0" w:type="dxa"/>
        <w:left w:w="115" w:type="dxa"/>
        <w:bottom w:w="0" w:type="dxa"/>
        <w:right w:w="115" w:type="dxa"/>
      </w:tblCellMar>
    </w:tblPr>
  </w:style>
  <w:style w:type="table" w:customStyle="1" w:styleId="affff9">
    <w:basedOn w:val="Tablanormal"/>
    <w:tblPr>
      <w:tblStyleRowBandSize w:val="1"/>
      <w:tblStyleColBandSize w:val="1"/>
      <w:tblInd w:w="0" w:type="dxa"/>
      <w:tblCellMar>
        <w:top w:w="0" w:type="dxa"/>
        <w:left w:w="115" w:type="dxa"/>
        <w:bottom w:w="0" w:type="dxa"/>
        <w:right w:w="115" w:type="dxa"/>
      </w:tblCellMar>
    </w:tblPr>
  </w:style>
  <w:style w:type="table" w:customStyle="1" w:styleId="affffa">
    <w:basedOn w:val="Tablanormal"/>
    <w:tblPr>
      <w:tblStyleRowBandSize w:val="1"/>
      <w:tblStyleColBandSize w:val="1"/>
      <w:tblInd w:w="0" w:type="dxa"/>
      <w:tblCellMar>
        <w:top w:w="0" w:type="dxa"/>
        <w:left w:w="115" w:type="dxa"/>
        <w:bottom w:w="0" w:type="dxa"/>
        <w:right w:w="115" w:type="dxa"/>
      </w:tblCellMar>
    </w:tblPr>
  </w:style>
  <w:style w:type="table" w:customStyle="1" w:styleId="affffb">
    <w:basedOn w:val="Tablanormal"/>
    <w:tblPr>
      <w:tblStyleRowBandSize w:val="1"/>
      <w:tblStyleColBandSize w:val="1"/>
      <w:tblInd w:w="0" w:type="dxa"/>
      <w:tblCellMar>
        <w:top w:w="0" w:type="dxa"/>
        <w:left w:w="115" w:type="dxa"/>
        <w:bottom w:w="0" w:type="dxa"/>
        <w:right w:w="115" w:type="dxa"/>
      </w:tblCellMar>
    </w:tblPr>
  </w:style>
  <w:style w:type="table" w:customStyle="1" w:styleId="affffc">
    <w:basedOn w:val="Tablanormal"/>
    <w:tblPr>
      <w:tblStyleRowBandSize w:val="1"/>
      <w:tblStyleColBandSize w:val="1"/>
      <w:tblInd w:w="0" w:type="dxa"/>
      <w:tblCellMar>
        <w:top w:w="0" w:type="dxa"/>
        <w:left w:w="115" w:type="dxa"/>
        <w:bottom w:w="0" w:type="dxa"/>
        <w:right w:w="115" w:type="dxa"/>
      </w:tblCellMar>
    </w:tblPr>
  </w:style>
  <w:style w:type="table" w:customStyle="1" w:styleId="affffd">
    <w:basedOn w:val="Tablanormal"/>
    <w:tblPr>
      <w:tblStyleRowBandSize w:val="1"/>
      <w:tblStyleColBandSize w:val="1"/>
      <w:tblInd w:w="0" w:type="dxa"/>
      <w:tblCellMar>
        <w:top w:w="0" w:type="dxa"/>
        <w:left w:w="115" w:type="dxa"/>
        <w:bottom w:w="0" w:type="dxa"/>
        <w:right w:w="115" w:type="dxa"/>
      </w:tblCellMar>
    </w:tblPr>
  </w:style>
  <w:style w:type="table" w:customStyle="1" w:styleId="affffe">
    <w:basedOn w:val="Tablanormal"/>
    <w:tblPr>
      <w:tblStyleRowBandSize w:val="1"/>
      <w:tblStyleColBandSize w:val="1"/>
      <w:tblInd w:w="0" w:type="dxa"/>
      <w:tblCellMar>
        <w:top w:w="0" w:type="dxa"/>
        <w:left w:w="115" w:type="dxa"/>
        <w:bottom w:w="0" w:type="dxa"/>
        <w:right w:w="115" w:type="dxa"/>
      </w:tblCellMar>
    </w:tblPr>
  </w:style>
  <w:style w:type="table" w:customStyle="1" w:styleId="afffff">
    <w:basedOn w:val="Tablanormal"/>
    <w:tblPr>
      <w:tblStyleRowBandSize w:val="1"/>
      <w:tblStyleColBandSize w:val="1"/>
      <w:tblInd w:w="0" w:type="dxa"/>
      <w:tblCellMar>
        <w:top w:w="0" w:type="dxa"/>
        <w:left w:w="115" w:type="dxa"/>
        <w:bottom w:w="0" w:type="dxa"/>
        <w:right w:w="115" w:type="dxa"/>
      </w:tblCellMar>
    </w:tblPr>
  </w:style>
  <w:style w:type="table" w:customStyle="1" w:styleId="afffff0">
    <w:basedOn w:val="Tablanormal"/>
    <w:tblPr>
      <w:tblStyleRowBandSize w:val="1"/>
      <w:tblStyleColBandSize w:val="1"/>
      <w:tblInd w:w="0" w:type="dxa"/>
      <w:tblCellMar>
        <w:top w:w="0" w:type="dxa"/>
        <w:left w:w="115" w:type="dxa"/>
        <w:bottom w:w="0" w:type="dxa"/>
        <w:right w:w="115" w:type="dxa"/>
      </w:tblCellMar>
    </w:tblPr>
  </w:style>
  <w:style w:type="table" w:customStyle="1" w:styleId="afffff1">
    <w:basedOn w:val="Tablanormal"/>
    <w:tblPr>
      <w:tblStyleRowBandSize w:val="1"/>
      <w:tblStyleColBandSize w:val="1"/>
      <w:tblInd w:w="0" w:type="dxa"/>
      <w:tblCellMar>
        <w:top w:w="0" w:type="dxa"/>
        <w:left w:w="115" w:type="dxa"/>
        <w:bottom w:w="0" w:type="dxa"/>
        <w:right w:w="115" w:type="dxa"/>
      </w:tblCellMar>
    </w:tblPr>
  </w:style>
  <w:style w:type="table" w:customStyle="1" w:styleId="afffff2">
    <w:basedOn w:val="Tablanormal"/>
    <w:tblPr>
      <w:tblStyleRowBandSize w:val="1"/>
      <w:tblStyleColBandSize w:val="1"/>
      <w:tblInd w:w="0" w:type="dxa"/>
      <w:tblCellMar>
        <w:top w:w="0" w:type="dxa"/>
        <w:left w:w="115" w:type="dxa"/>
        <w:bottom w:w="0" w:type="dxa"/>
        <w:right w:w="115" w:type="dxa"/>
      </w:tblCellMar>
    </w:tblPr>
  </w:style>
  <w:style w:type="table" w:customStyle="1" w:styleId="afffff3">
    <w:basedOn w:val="Tablanormal"/>
    <w:tblPr>
      <w:tblStyleRowBandSize w:val="1"/>
      <w:tblStyleColBandSize w:val="1"/>
      <w:tblInd w:w="0" w:type="dxa"/>
      <w:tblCellMar>
        <w:top w:w="0" w:type="dxa"/>
        <w:left w:w="115" w:type="dxa"/>
        <w:bottom w:w="0" w:type="dxa"/>
        <w:right w:w="115" w:type="dxa"/>
      </w:tblCellMar>
    </w:tblPr>
  </w:style>
  <w:style w:type="table" w:customStyle="1" w:styleId="afffff4">
    <w:basedOn w:val="Tablanormal"/>
    <w:tblPr>
      <w:tblStyleRowBandSize w:val="1"/>
      <w:tblStyleColBandSize w:val="1"/>
      <w:tblInd w:w="0" w:type="dxa"/>
      <w:tblCellMar>
        <w:top w:w="0" w:type="dxa"/>
        <w:left w:w="115" w:type="dxa"/>
        <w:bottom w:w="0" w:type="dxa"/>
        <w:right w:w="115" w:type="dxa"/>
      </w:tblCellMar>
    </w:tblPr>
  </w:style>
  <w:style w:type="table" w:customStyle="1" w:styleId="afffff5">
    <w:basedOn w:val="Tablanormal"/>
    <w:tblPr>
      <w:tblStyleRowBandSize w:val="1"/>
      <w:tblStyleColBandSize w:val="1"/>
      <w:tblInd w:w="0" w:type="dxa"/>
      <w:tblCellMar>
        <w:top w:w="0" w:type="dxa"/>
        <w:left w:w="115" w:type="dxa"/>
        <w:bottom w:w="0" w:type="dxa"/>
        <w:right w:w="115" w:type="dxa"/>
      </w:tblCellMar>
    </w:tblPr>
  </w:style>
  <w:style w:type="table" w:customStyle="1" w:styleId="afffff6">
    <w:basedOn w:val="Tablanormal"/>
    <w:tblPr>
      <w:tblStyleRowBandSize w:val="1"/>
      <w:tblStyleColBandSize w:val="1"/>
      <w:tblInd w:w="0" w:type="dxa"/>
      <w:tblCellMar>
        <w:top w:w="0" w:type="dxa"/>
        <w:left w:w="115" w:type="dxa"/>
        <w:bottom w:w="0" w:type="dxa"/>
        <w:right w:w="115" w:type="dxa"/>
      </w:tblCellMar>
    </w:tblPr>
  </w:style>
  <w:style w:type="table" w:customStyle="1" w:styleId="afffff7">
    <w:basedOn w:val="Tablanormal"/>
    <w:tblPr>
      <w:tblStyleRowBandSize w:val="1"/>
      <w:tblStyleColBandSize w:val="1"/>
      <w:tblInd w:w="0" w:type="dxa"/>
      <w:tblCellMar>
        <w:top w:w="0" w:type="dxa"/>
        <w:left w:w="115" w:type="dxa"/>
        <w:bottom w:w="0" w:type="dxa"/>
        <w:right w:w="115" w:type="dxa"/>
      </w:tblCellMar>
    </w:tblPr>
  </w:style>
  <w:style w:type="table" w:customStyle="1" w:styleId="afffff8">
    <w:basedOn w:val="Tablanormal"/>
    <w:tblPr>
      <w:tblStyleRowBandSize w:val="1"/>
      <w:tblStyleColBandSize w:val="1"/>
      <w:tblInd w:w="0" w:type="dxa"/>
      <w:tblCellMar>
        <w:top w:w="0" w:type="dxa"/>
        <w:left w:w="115" w:type="dxa"/>
        <w:bottom w:w="0" w:type="dxa"/>
        <w:right w:w="115" w:type="dxa"/>
      </w:tblCellMar>
    </w:tblPr>
  </w:style>
  <w:style w:type="table" w:customStyle="1" w:styleId="afffff9">
    <w:basedOn w:val="Tablanormal"/>
    <w:tblPr>
      <w:tblStyleRowBandSize w:val="1"/>
      <w:tblStyleColBandSize w:val="1"/>
      <w:tblInd w:w="0" w:type="dxa"/>
      <w:tblCellMar>
        <w:top w:w="0" w:type="dxa"/>
        <w:left w:w="115" w:type="dxa"/>
        <w:bottom w:w="0" w:type="dxa"/>
        <w:right w:w="115" w:type="dxa"/>
      </w:tblCellMar>
    </w:tblPr>
  </w:style>
  <w:style w:type="table" w:customStyle="1" w:styleId="afffffa">
    <w:basedOn w:val="Tablanormal"/>
    <w:tblPr>
      <w:tblStyleRowBandSize w:val="1"/>
      <w:tblStyleColBandSize w:val="1"/>
      <w:tblInd w:w="0" w:type="dxa"/>
      <w:tblCellMar>
        <w:top w:w="0" w:type="dxa"/>
        <w:left w:w="115" w:type="dxa"/>
        <w:bottom w:w="0" w:type="dxa"/>
        <w:right w:w="115" w:type="dxa"/>
      </w:tblCellMar>
    </w:tblPr>
  </w:style>
  <w:style w:type="table" w:customStyle="1" w:styleId="afffffb">
    <w:basedOn w:val="Tablanormal"/>
    <w:tblPr>
      <w:tblStyleRowBandSize w:val="1"/>
      <w:tblStyleColBandSize w:val="1"/>
      <w:tblInd w:w="0" w:type="dxa"/>
      <w:tblCellMar>
        <w:top w:w="0" w:type="dxa"/>
        <w:left w:w="115" w:type="dxa"/>
        <w:bottom w:w="0" w:type="dxa"/>
        <w:right w:w="115" w:type="dxa"/>
      </w:tblCellMar>
    </w:tblPr>
  </w:style>
  <w:style w:type="table" w:customStyle="1" w:styleId="afffffc">
    <w:basedOn w:val="Tablanormal"/>
    <w:tblPr>
      <w:tblStyleRowBandSize w:val="1"/>
      <w:tblStyleColBandSize w:val="1"/>
      <w:tblInd w:w="0" w:type="dxa"/>
      <w:tblCellMar>
        <w:top w:w="0" w:type="dxa"/>
        <w:left w:w="115" w:type="dxa"/>
        <w:bottom w:w="0" w:type="dxa"/>
        <w:right w:w="115" w:type="dxa"/>
      </w:tblCellMar>
    </w:tblPr>
  </w:style>
  <w:style w:type="table" w:customStyle="1" w:styleId="afffffd">
    <w:basedOn w:val="Tablanormal"/>
    <w:tblPr>
      <w:tblStyleRowBandSize w:val="1"/>
      <w:tblStyleColBandSize w:val="1"/>
      <w:tblInd w:w="0" w:type="dxa"/>
      <w:tblCellMar>
        <w:top w:w="0" w:type="dxa"/>
        <w:left w:w="115" w:type="dxa"/>
        <w:bottom w:w="0" w:type="dxa"/>
        <w:right w:w="115" w:type="dxa"/>
      </w:tblCellMar>
    </w:tblPr>
  </w:style>
  <w:style w:type="table" w:customStyle="1" w:styleId="afffffe">
    <w:basedOn w:val="Tablanormal"/>
    <w:tblPr>
      <w:tblStyleRowBandSize w:val="1"/>
      <w:tblStyleColBandSize w:val="1"/>
      <w:tblInd w:w="0" w:type="dxa"/>
      <w:tblCellMar>
        <w:top w:w="0" w:type="dxa"/>
        <w:left w:w="115" w:type="dxa"/>
        <w:bottom w:w="0" w:type="dxa"/>
        <w:right w:w="115" w:type="dxa"/>
      </w:tblCellMar>
    </w:tblPr>
  </w:style>
  <w:style w:type="table" w:customStyle="1" w:styleId="affffff">
    <w:basedOn w:val="Tablanormal"/>
    <w:tblPr>
      <w:tblStyleRowBandSize w:val="1"/>
      <w:tblStyleColBandSize w:val="1"/>
      <w:tblInd w:w="0" w:type="dxa"/>
      <w:tblCellMar>
        <w:top w:w="0" w:type="dxa"/>
        <w:left w:w="115" w:type="dxa"/>
        <w:bottom w:w="0" w:type="dxa"/>
        <w:right w:w="115" w:type="dxa"/>
      </w:tblCellMar>
    </w:tblPr>
  </w:style>
  <w:style w:type="table" w:customStyle="1" w:styleId="affffff0">
    <w:basedOn w:val="Tablanormal"/>
    <w:tblPr>
      <w:tblStyleRowBandSize w:val="1"/>
      <w:tblStyleColBandSize w:val="1"/>
      <w:tblInd w:w="0" w:type="dxa"/>
      <w:tblCellMar>
        <w:top w:w="0" w:type="dxa"/>
        <w:left w:w="115" w:type="dxa"/>
        <w:bottom w:w="0" w:type="dxa"/>
        <w:right w:w="115" w:type="dxa"/>
      </w:tblCellMar>
    </w:tblPr>
  </w:style>
  <w:style w:type="table" w:customStyle="1" w:styleId="affffff1">
    <w:basedOn w:val="Tablanormal"/>
    <w:tblPr>
      <w:tblStyleRowBandSize w:val="1"/>
      <w:tblStyleColBandSize w:val="1"/>
      <w:tblInd w:w="0" w:type="dxa"/>
      <w:tblCellMar>
        <w:top w:w="0" w:type="dxa"/>
        <w:left w:w="115" w:type="dxa"/>
        <w:bottom w:w="0" w:type="dxa"/>
        <w:right w:w="115" w:type="dxa"/>
      </w:tblCellMar>
    </w:tblPr>
  </w:style>
  <w:style w:type="table" w:customStyle="1" w:styleId="affffff2">
    <w:basedOn w:val="Tablanormal"/>
    <w:tblPr>
      <w:tblStyleRowBandSize w:val="1"/>
      <w:tblStyleColBandSize w:val="1"/>
      <w:tblInd w:w="0" w:type="dxa"/>
      <w:tblCellMar>
        <w:top w:w="0" w:type="dxa"/>
        <w:left w:w="115" w:type="dxa"/>
        <w:bottom w:w="0" w:type="dxa"/>
        <w:right w:w="115" w:type="dxa"/>
      </w:tblCellMar>
    </w:tblPr>
  </w:style>
  <w:style w:type="table" w:customStyle="1" w:styleId="affffff3">
    <w:basedOn w:val="Tablanormal"/>
    <w:tblPr>
      <w:tblStyleRowBandSize w:val="1"/>
      <w:tblStyleColBandSize w:val="1"/>
      <w:tblInd w:w="0" w:type="dxa"/>
      <w:tblCellMar>
        <w:top w:w="0" w:type="dxa"/>
        <w:left w:w="115" w:type="dxa"/>
        <w:bottom w:w="0" w:type="dxa"/>
        <w:right w:w="115" w:type="dxa"/>
      </w:tblCellMar>
    </w:tblPr>
  </w:style>
  <w:style w:type="table" w:customStyle="1" w:styleId="affffff4">
    <w:basedOn w:val="Tablanormal"/>
    <w:tblPr>
      <w:tblStyleRowBandSize w:val="1"/>
      <w:tblStyleColBandSize w:val="1"/>
      <w:tblInd w:w="0" w:type="dxa"/>
      <w:tblCellMar>
        <w:top w:w="0" w:type="dxa"/>
        <w:left w:w="115" w:type="dxa"/>
        <w:bottom w:w="0" w:type="dxa"/>
        <w:right w:w="115" w:type="dxa"/>
      </w:tblCellMar>
    </w:tblPr>
  </w:style>
  <w:style w:type="paragraph" w:styleId="Textonotaalfinal">
    <w:name w:val="endnote text"/>
    <w:basedOn w:val="Normal"/>
    <w:link w:val="TextonotaalfinalCar"/>
    <w:uiPriority w:val="99"/>
    <w:semiHidden/>
    <w:unhideWhenUsed/>
    <w:rsid w:val="00B66E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66E84"/>
    <w:rPr>
      <w:rFonts w:eastAsiaTheme="minorHAnsi"/>
      <w:sz w:val="20"/>
      <w:szCs w:val="20"/>
      <w:lang w:eastAsia="en-US"/>
    </w:rPr>
  </w:style>
  <w:style w:type="character" w:styleId="Refdenotaalfinal">
    <w:name w:val="endnote reference"/>
    <w:basedOn w:val="Fuentedeprrafopredeter"/>
    <w:uiPriority w:val="99"/>
    <w:semiHidden/>
    <w:unhideWhenUsed/>
    <w:rsid w:val="00B66E84"/>
    <w:rPr>
      <w:vertAlign w:val="superscript"/>
    </w:rPr>
  </w:style>
  <w:style w:type="paragraph" w:customStyle="1" w:styleId="pf0">
    <w:name w:val="pf0"/>
    <w:basedOn w:val="Normal"/>
    <w:rsid w:val="002153B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2153B4"/>
    <w:rPr>
      <w:rFonts w:ascii="Segoe UI" w:hAnsi="Segoe UI" w:cs="Segoe UI" w:hint="default"/>
      <w:sz w:val="18"/>
      <w:szCs w:val="18"/>
    </w:rPr>
  </w:style>
  <w:style w:type="paragraph" w:customStyle="1" w:styleId="font--secondary">
    <w:name w:val="font--secondary"/>
    <w:basedOn w:val="Normal"/>
    <w:rsid w:val="00411B8A"/>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GridTableLight">
    <w:name w:val="Grid Table Light"/>
    <w:basedOn w:val="Tablanormal"/>
    <w:uiPriority w:val="40"/>
    <w:rsid w:val="003A6382"/>
    <w:pPr>
      <w:spacing w:after="0" w:line="240" w:lineRule="auto"/>
    </w:pPr>
    <w:rPr>
      <w:rFonts w:asciiTheme="minorHAnsi" w:eastAsiaTheme="minorHAnsi" w:hAnsiTheme="minorHAnsi" w:cstheme="minorBid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A01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35694">
      <w:bodyDiv w:val="1"/>
      <w:marLeft w:val="0"/>
      <w:marRight w:val="0"/>
      <w:marTop w:val="0"/>
      <w:marBottom w:val="0"/>
      <w:divBdr>
        <w:top w:val="none" w:sz="0" w:space="0" w:color="auto"/>
        <w:left w:val="none" w:sz="0" w:space="0" w:color="auto"/>
        <w:bottom w:val="none" w:sz="0" w:space="0" w:color="auto"/>
        <w:right w:val="none" w:sz="0" w:space="0" w:color="auto"/>
      </w:divBdr>
    </w:div>
    <w:div w:id="148833687">
      <w:bodyDiv w:val="1"/>
      <w:marLeft w:val="0"/>
      <w:marRight w:val="0"/>
      <w:marTop w:val="0"/>
      <w:marBottom w:val="0"/>
      <w:divBdr>
        <w:top w:val="none" w:sz="0" w:space="0" w:color="auto"/>
        <w:left w:val="none" w:sz="0" w:space="0" w:color="auto"/>
        <w:bottom w:val="none" w:sz="0" w:space="0" w:color="auto"/>
        <w:right w:val="none" w:sz="0" w:space="0" w:color="auto"/>
      </w:divBdr>
    </w:div>
    <w:div w:id="160199326">
      <w:bodyDiv w:val="1"/>
      <w:marLeft w:val="0"/>
      <w:marRight w:val="0"/>
      <w:marTop w:val="0"/>
      <w:marBottom w:val="0"/>
      <w:divBdr>
        <w:top w:val="none" w:sz="0" w:space="0" w:color="auto"/>
        <w:left w:val="none" w:sz="0" w:space="0" w:color="auto"/>
        <w:bottom w:val="none" w:sz="0" w:space="0" w:color="auto"/>
        <w:right w:val="none" w:sz="0" w:space="0" w:color="auto"/>
      </w:divBdr>
    </w:div>
    <w:div w:id="216943074">
      <w:bodyDiv w:val="1"/>
      <w:marLeft w:val="0"/>
      <w:marRight w:val="0"/>
      <w:marTop w:val="0"/>
      <w:marBottom w:val="0"/>
      <w:divBdr>
        <w:top w:val="none" w:sz="0" w:space="0" w:color="auto"/>
        <w:left w:val="none" w:sz="0" w:space="0" w:color="auto"/>
        <w:bottom w:val="none" w:sz="0" w:space="0" w:color="auto"/>
        <w:right w:val="none" w:sz="0" w:space="0" w:color="auto"/>
      </w:divBdr>
    </w:div>
    <w:div w:id="241062929">
      <w:bodyDiv w:val="1"/>
      <w:marLeft w:val="0"/>
      <w:marRight w:val="0"/>
      <w:marTop w:val="0"/>
      <w:marBottom w:val="0"/>
      <w:divBdr>
        <w:top w:val="none" w:sz="0" w:space="0" w:color="auto"/>
        <w:left w:val="none" w:sz="0" w:space="0" w:color="auto"/>
        <w:bottom w:val="none" w:sz="0" w:space="0" w:color="auto"/>
        <w:right w:val="none" w:sz="0" w:space="0" w:color="auto"/>
      </w:divBdr>
    </w:div>
    <w:div w:id="328171277">
      <w:bodyDiv w:val="1"/>
      <w:marLeft w:val="0"/>
      <w:marRight w:val="0"/>
      <w:marTop w:val="0"/>
      <w:marBottom w:val="0"/>
      <w:divBdr>
        <w:top w:val="none" w:sz="0" w:space="0" w:color="auto"/>
        <w:left w:val="none" w:sz="0" w:space="0" w:color="auto"/>
        <w:bottom w:val="none" w:sz="0" w:space="0" w:color="auto"/>
        <w:right w:val="none" w:sz="0" w:space="0" w:color="auto"/>
      </w:divBdr>
    </w:div>
    <w:div w:id="367729835">
      <w:bodyDiv w:val="1"/>
      <w:marLeft w:val="0"/>
      <w:marRight w:val="0"/>
      <w:marTop w:val="0"/>
      <w:marBottom w:val="0"/>
      <w:divBdr>
        <w:top w:val="none" w:sz="0" w:space="0" w:color="auto"/>
        <w:left w:val="none" w:sz="0" w:space="0" w:color="auto"/>
        <w:bottom w:val="none" w:sz="0" w:space="0" w:color="auto"/>
        <w:right w:val="none" w:sz="0" w:space="0" w:color="auto"/>
      </w:divBdr>
    </w:div>
    <w:div w:id="373043463">
      <w:bodyDiv w:val="1"/>
      <w:marLeft w:val="0"/>
      <w:marRight w:val="0"/>
      <w:marTop w:val="0"/>
      <w:marBottom w:val="0"/>
      <w:divBdr>
        <w:top w:val="none" w:sz="0" w:space="0" w:color="auto"/>
        <w:left w:val="none" w:sz="0" w:space="0" w:color="auto"/>
        <w:bottom w:val="none" w:sz="0" w:space="0" w:color="auto"/>
        <w:right w:val="none" w:sz="0" w:space="0" w:color="auto"/>
      </w:divBdr>
    </w:div>
    <w:div w:id="413937668">
      <w:bodyDiv w:val="1"/>
      <w:marLeft w:val="0"/>
      <w:marRight w:val="0"/>
      <w:marTop w:val="0"/>
      <w:marBottom w:val="0"/>
      <w:divBdr>
        <w:top w:val="none" w:sz="0" w:space="0" w:color="auto"/>
        <w:left w:val="none" w:sz="0" w:space="0" w:color="auto"/>
        <w:bottom w:val="none" w:sz="0" w:space="0" w:color="auto"/>
        <w:right w:val="none" w:sz="0" w:space="0" w:color="auto"/>
      </w:divBdr>
    </w:div>
    <w:div w:id="457408045">
      <w:bodyDiv w:val="1"/>
      <w:marLeft w:val="0"/>
      <w:marRight w:val="0"/>
      <w:marTop w:val="0"/>
      <w:marBottom w:val="0"/>
      <w:divBdr>
        <w:top w:val="none" w:sz="0" w:space="0" w:color="auto"/>
        <w:left w:val="none" w:sz="0" w:space="0" w:color="auto"/>
        <w:bottom w:val="none" w:sz="0" w:space="0" w:color="auto"/>
        <w:right w:val="none" w:sz="0" w:space="0" w:color="auto"/>
      </w:divBdr>
    </w:div>
    <w:div w:id="466896968">
      <w:bodyDiv w:val="1"/>
      <w:marLeft w:val="0"/>
      <w:marRight w:val="0"/>
      <w:marTop w:val="0"/>
      <w:marBottom w:val="0"/>
      <w:divBdr>
        <w:top w:val="none" w:sz="0" w:space="0" w:color="auto"/>
        <w:left w:val="none" w:sz="0" w:space="0" w:color="auto"/>
        <w:bottom w:val="none" w:sz="0" w:space="0" w:color="auto"/>
        <w:right w:val="none" w:sz="0" w:space="0" w:color="auto"/>
      </w:divBdr>
    </w:div>
    <w:div w:id="476262832">
      <w:bodyDiv w:val="1"/>
      <w:marLeft w:val="0"/>
      <w:marRight w:val="0"/>
      <w:marTop w:val="0"/>
      <w:marBottom w:val="0"/>
      <w:divBdr>
        <w:top w:val="none" w:sz="0" w:space="0" w:color="auto"/>
        <w:left w:val="none" w:sz="0" w:space="0" w:color="auto"/>
        <w:bottom w:val="none" w:sz="0" w:space="0" w:color="auto"/>
        <w:right w:val="none" w:sz="0" w:space="0" w:color="auto"/>
      </w:divBdr>
    </w:div>
    <w:div w:id="476801056">
      <w:bodyDiv w:val="1"/>
      <w:marLeft w:val="0"/>
      <w:marRight w:val="0"/>
      <w:marTop w:val="0"/>
      <w:marBottom w:val="0"/>
      <w:divBdr>
        <w:top w:val="none" w:sz="0" w:space="0" w:color="auto"/>
        <w:left w:val="none" w:sz="0" w:space="0" w:color="auto"/>
        <w:bottom w:val="none" w:sz="0" w:space="0" w:color="auto"/>
        <w:right w:val="none" w:sz="0" w:space="0" w:color="auto"/>
      </w:divBdr>
    </w:div>
    <w:div w:id="496961348">
      <w:bodyDiv w:val="1"/>
      <w:marLeft w:val="0"/>
      <w:marRight w:val="0"/>
      <w:marTop w:val="0"/>
      <w:marBottom w:val="0"/>
      <w:divBdr>
        <w:top w:val="none" w:sz="0" w:space="0" w:color="auto"/>
        <w:left w:val="none" w:sz="0" w:space="0" w:color="auto"/>
        <w:bottom w:val="none" w:sz="0" w:space="0" w:color="auto"/>
        <w:right w:val="none" w:sz="0" w:space="0" w:color="auto"/>
      </w:divBdr>
    </w:div>
    <w:div w:id="525295519">
      <w:bodyDiv w:val="1"/>
      <w:marLeft w:val="0"/>
      <w:marRight w:val="0"/>
      <w:marTop w:val="0"/>
      <w:marBottom w:val="0"/>
      <w:divBdr>
        <w:top w:val="none" w:sz="0" w:space="0" w:color="auto"/>
        <w:left w:val="none" w:sz="0" w:space="0" w:color="auto"/>
        <w:bottom w:val="none" w:sz="0" w:space="0" w:color="auto"/>
        <w:right w:val="none" w:sz="0" w:space="0" w:color="auto"/>
      </w:divBdr>
    </w:div>
    <w:div w:id="562958125">
      <w:bodyDiv w:val="1"/>
      <w:marLeft w:val="0"/>
      <w:marRight w:val="0"/>
      <w:marTop w:val="0"/>
      <w:marBottom w:val="0"/>
      <w:divBdr>
        <w:top w:val="none" w:sz="0" w:space="0" w:color="auto"/>
        <w:left w:val="none" w:sz="0" w:space="0" w:color="auto"/>
        <w:bottom w:val="none" w:sz="0" w:space="0" w:color="auto"/>
        <w:right w:val="none" w:sz="0" w:space="0" w:color="auto"/>
      </w:divBdr>
    </w:div>
    <w:div w:id="568923863">
      <w:bodyDiv w:val="1"/>
      <w:marLeft w:val="0"/>
      <w:marRight w:val="0"/>
      <w:marTop w:val="0"/>
      <w:marBottom w:val="0"/>
      <w:divBdr>
        <w:top w:val="none" w:sz="0" w:space="0" w:color="auto"/>
        <w:left w:val="none" w:sz="0" w:space="0" w:color="auto"/>
        <w:bottom w:val="none" w:sz="0" w:space="0" w:color="auto"/>
        <w:right w:val="none" w:sz="0" w:space="0" w:color="auto"/>
      </w:divBdr>
    </w:div>
    <w:div w:id="615335217">
      <w:bodyDiv w:val="1"/>
      <w:marLeft w:val="0"/>
      <w:marRight w:val="0"/>
      <w:marTop w:val="0"/>
      <w:marBottom w:val="0"/>
      <w:divBdr>
        <w:top w:val="none" w:sz="0" w:space="0" w:color="auto"/>
        <w:left w:val="none" w:sz="0" w:space="0" w:color="auto"/>
        <w:bottom w:val="none" w:sz="0" w:space="0" w:color="auto"/>
        <w:right w:val="none" w:sz="0" w:space="0" w:color="auto"/>
      </w:divBdr>
    </w:div>
    <w:div w:id="624847173">
      <w:bodyDiv w:val="1"/>
      <w:marLeft w:val="0"/>
      <w:marRight w:val="0"/>
      <w:marTop w:val="0"/>
      <w:marBottom w:val="0"/>
      <w:divBdr>
        <w:top w:val="none" w:sz="0" w:space="0" w:color="auto"/>
        <w:left w:val="none" w:sz="0" w:space="0" w:color="auto"/>
        <w:bottom w:val="none" w:sz="0" w:space="0" w:color="auto"/>
        <w:right w:val="none" w:sz="0" w:space="0" w:color="auto"/>
      </w:divBdr>
    </w:div>
    <w:div w:id="724182499">
      <w:bodyDiv w:val="1"/>
      <w:marLeft w:val="0"/>
      <w:marRight w:val="0"/>
      <w:marTop w:val="0"/>
      <w:marBottom w:val="0"/>
      <w:divBdr>
        <w:top w:val="none" w:sz="0" w:space="0" w:color="auto"/>
        <w:left w:val="none" w:sz="0" w:space="0" w:color="auto"/>
        <w:bottom w:val="none" w:sz="0" w:space="0" w:color="auto"/>
        <w:right w:val="none" w:sz="0" w:space="0" w:color="auto"/>
      </w:divBdr>
    </w:div>
    <w:div w:id="736979794">
      <w:bodyDiv w:val="1"/>
      <w:marLeft w:val="0"/>
      <w:marRight w:val="0"/>
      <w:marTop w:val="0"/>
      <w:marBottom w:val="0"/>
      <w:divBdr>
        <w:top w:val="none" w:sz="0" w:space="0" w:color="auto"/>
        <w:left w:val="none" w:sz="0" w:space="0" w:color="auto"/>
        <w:bottom w:val="none" w:sz="0" w:space="0" w:color="auto"/>
        <w:right w:val="none" w:sz="0" w:space="0" w:color="auto"/>
      </w:divBdr>
    </w:div>
    <w:div w:id="751585902">
      <w:bodyDiv w:val="1"/>
      <w:marLeft w:val="0"/>
      <w:marRight w:val="0"/>
      <w:marTop w:val="0"/>
      <w:marBottom w:val="0"/>
      <w:divBdr>
        <w:top w:val="none" w:sz="0" w:space="0" w:color="auto"/>
        <w:left w:val="none" w:sz="0" w:space="0" w:color="auto"/>
        <w:bottom w:val="none" w:sz="0" w:space="0" w:color="auto"/>
        <w:right w:val="none" w:sz="0" w:space="0" w:color="auto"/>
      </w:divBdr>
    </w:div>
    <w:div w:id="937256109">
      <w:bodyDiv w:val="1"/>
      <w:marLeft w:val="0"/>
      <w:marRight w:val="0"/>
      <w:marTop w:val="0"/>
      <w:marBottom w:val="0"/>
      <w:divBdr>
        <w:top w:val="none" w:sz="0" w:space="0" w:color="auto"/>
        <w:left w:val="none" w:sz="0" w:space="0" w:color="auto"/>
        <w:bottom w:val="none" w:sz="0" w:space="0" w:color="auto"/>
        <w:right w:val="none" w:sz="0" w:space="0" w:color="auto"/>
      </w:divBdr>
    </w:div>
    <w:div w:id="949168796">
      <w:bodyDiv w:val="1"/>
      <w:marLeft w:val="0"/>
      <w:marRight w:val="0"/>
      <w:marTop w:val="0"/>
      <w:marBottom w:val="0"/>
      <w:divBdr>
        <w:top w:val="none" w:sz="0" w:space="0" w:color="auto"/>
        <w:left w:val="none" w:sz="0" w:space="0" w:color="auto"/>
        <w:bottom w:val="none" w:sz="0" w:space="0" w:color="auto"/>
        <w:right w:val="none" w:sz="0" w:space="0" w:color="auto"/>
      </w:divBdr>
    </w:div>
    <w:div w:id="995688777">
      <w:bodyDiv w:val="1"/>
      <w:marLeft w:val="0"/>
      <w:marRight w:val="0"/>
      <w:marTop w:val="0"/>
      <w:marBottom w:val="0"/>
      <w:divBdr>
        <w:top w:val="none" w:sz="0" w:space="0" w:color="auto"/>
        <w:left w:val="none" w:sz="0" w:space="0" w:color="auto"/>
        <w:bottom w:val="none" w:sz="0" w:space="0" w:color="auto"/>
        <w:right w:val="none" w:sz="0" w:space="0" w:color="auto"/>
      </w:divBdr>
    </w:div>
    <w:div w:id="1014261882">
      <w:bodyDiv w:val="1"/>
      <w:marLeft w:val="0"/>
      <w:marRight w:val="0"/>
      <w:marTop w:val="0"/>
      <w:marBottom w:val="0"/>
      <w:divBdr>
        <w:top w:val="none" w:sz="0" w:space="0" w:color="auto"/>
        <w:left w:val="none" w:sz="0" w:space="0" w:color="auto"/>
        <w:bottom w:val="none" w:sz="0" w:space="0" w:color="auto"/>
        <w:right w:val="none" w:sz="0" w:space="0" w:color="auto"/>
      </w:divBdr>
    </w:div>
    <w:div w:id="1040595843">
      <w:bodyDiv w:val="1"/>
      <w:marLeft w:val="0"/>
      <w:marRight w:val="0"/>
      <w:marTop w:val="0"/>
      <w:marBottom w:val="0"/>
      <w:divBdr>
        <w:top w:val="none" w:sz="0" w:space="0" w:color="auto"/>
        <w:left w:val="none" w:sz="0" w:space="0" w:color="auto"/>
        <w:bottom w:val="none" w:sz="0" w:space="0" w:color="auto"/>
        <w:right w:val="none" w:sz="0" w:space="0" w:color="auto"/>
      </w:divBdr>
    </w:div>
    <w:div w:id="1053314469">
      <w:bodyDiv w:val="1"/>
      <w:marLeft w:val="0"/>
      <w:marRight w:val="0"/>
      <w:marTop w:val="0"/>
      <w:marBottom w:val="0"/>
      <w:divBdr>
        <w:top w:val="none" w:sz="0" w:space="0" w:color="auto"/>
        <w:left w:val="none" w:sz="0" w:space="0" w:color="auto"/>
        <w:bottom w:val="none" w:sz="0" w:space="0" w:color="auto"/>
        <w:right w:val="none" w:sz="0" w:space="0" w:color="auto"/>
      </w:divBdr>
    </w:div>
    <w:div w:id="1061172283">
      <w:bodyDiv w:val="1"/>
      <w:marLeft w:val="0"/>
      <w:marRight w:val="0"/>
      <w:marTop w:val="0"/>
      <w:marBottom w:val="0"/>
      <w:divBdr>
        <w:top w:val="none" w:sz="0" w:space="0" w:color="auto"/>
        <w:left w:val="none" w:sz="0" w:space="0" w:color="auto"/>
        <w:bottom w:val="none" w:sz="0" w:space="0" w:color="auto"/>
        <w:right w:val="none" w:sz="0" w:space="0" w:color="auto"/>
      </w:divBdr>
    </w:div>
    <w:div w:id="1061371695">
      <w:bodyDiv w:val="1"/>
      <w:marLeft w:val="0"/>
      <w:marRight w:val="0"/>
      <w:marTop w:val="0"/>
      <w:marBottom w:val="0"/>
      <w:divBdr>
        <w:top w:val="none" w:sz="0" w:space="0" w:color="auto"/>
        <w:left w:val="none" w:sz="0" w:space="0" w:color="auto"/>
        <w:bottom w:val="none" w:sz="0" w:space="0" w:color="auto"/>
        <w:right w:val="none" w:sz="0" w:space="0" w:color="auto"/>
      </w:divBdr>
    </w:div>
    <w:div w:id="1115175067">
      <w:bodyDiv w:val="1"/>
      <w:marLeft w:val="0"/>
      <w:marRight w:val="0"/>
      <w:marTop w:val="0"/>
      <w:marBottom w:val="0"/>
      <w:divBdr>
        <w:top w:val="none" w:sz="0" w:space="0" w:color="auto"/>
        <w:left w:val="none" w:sz="0" w:space="0" w:color="auto"/>
        <w:bottom w:val="none" w:sz="0" w:space="0" w:color="auto"/>
        <w:right w:val="none" w:sz="0" w:space="0" w:color="auto"/>
      </w:divBdr>
    </w:div>
    <w:div w:id="1123039773">
      <w:bodyDiv w:val="1"/>
      <w:marLeft w:val="0"/>
      <w:marRight w:val="0"/>
      <w:marTop w:val="0"/>
      <w:marBottom w:val="0"/>
      <w:divBdr>
        <w:top w:val="none" w:sz="0" w:space="0" w:color="auto"/>
        <w:left w:val="none" w:sz="0" w:space="0" w:color="auto"/>
        <w:bottom w:val="none" w:sz="0" w:space="0" w:color="auto"/>
        <w:right w:val="none" w:sz="0" w:space="0" w:color="auto"/>
      </w:divBdr>
    </w:div>
    <w:div w:id="1156529572">
      <w:bodyDiv w:val="1"/>
      <w:marLeft w:val="0"/>
      <w:marRight w:val="0"/>
      <w:marTop w:val="0"/>
      <w:marBottom w:val="0"/>
      <w:divBdr>
        <w:top w:val="none" w:sz="0" w:space="0" w:color="auto"/>
        <w:left w:val="none" w:sz="0" w:space="0" w:color="auto"/>
        <w:bottom w:val="none" w:sz="0" w:space="0" w:color="auto"/>
        <w:right w:val="none" w:sz="0" w:space="0" w:color="auto"/>
      </w:divBdr>
    </w:div>
    <w:div w:id="1159468175">
      <w:bodyDiv w:val="1"/>
      <w:marLeft w:val="0"/>
      <w:marRight w:val="0"/>
      <w:marTop w:val="0"/>
      <w:marBottom w:val="0"/>
      <w:divBdr>
        <w:top w:val="none" w:sz="0" w:space="0" w:color="auto"/>
        <w:left w:val="none" w:sz="0" w:space="0" w:color="auto"/>
        <w:bottom w:val="none" w:sz="0" w:space="0" w:color="auto"/>
        <w:right w:val="none" w:sz="0" w:space="0" w:color="auto"/>
      </w:divBdr>
    </w:div>
    <w:div w:id="1188064289">
      <w:bodyDiv w:val="1"/>
      <w:marLeft w:val="0"/>
      <w:marRight w:val="0"/>
      <w:marTop w:val="0"/>
      <w:marBottom w:val="0"/>
      <w:divBdr>
        <w:top w:val="none" w:sz="0" w:space="0" w:color="auto"/>
        <w:left w:val="none" w:sz="0" w:space="0" w:color="auto"/>
        <w:bottom w:val="none" w:sz="0" w:space="0" w:color="auto"/>
        <w:right w:val="none" w:sz="0" w:space="0" w:color="auto"/>
      </w:divBdr>
    </w:div>
    <w:div w:id="1224027418">
      <w:bodyDiv w:val="1"/>
      <w:marLeft w:val="0"/>
      <w:marRight w:val="0"/>
      <w:marTop w:val="0"/>
      <w:marBottom w:val="0"/>
      <w:divBdr>
        <w:top w:val="none" w:sz="0" w:space="0" w:color="auto"/>
        <w:left w:val="none" w:sz="0" w:space="0" w:color="auto"/>
        <w:bottom w:val="none" w:sz="0" w:space="0" w:color="auto"/>
        <w:right w:val="none" w:sz="0" w:space="0" w:color="auto"/>
      </w:divBdr>
    </w:div>
    <w:div w:id="1274288261">
      <w:bodyDiv w:val="1"/>
      <w:marLeft w:val="0"/>
      <w:marRight w:val="0"/>
      <w:marTop w:val="0"/>
      <w:marBottom w:val="0"/>
      <w:divBdr>
        <w:top w:val="none" w:sz="0" w:space="0" w:color="auto"/>
        <w:left w:val="none" w:sz="0" w:space="0" w:color="auto"/>
        <w:bottom w:val="none" w:sz="0" w:space="0" w:color="auto"/>
        <w:right w:val="none" w:sz="0" w:space="0" w:color="auto"/>
      </w:divBdr>
    </w:div>
    <w:div w:id="1280911875">
      <w:bodyDiv w:val="1"/>
      <w:marLeft w:val="0"/>
      <w:marRight w:val="0"/>
      <w:marTop w:val="0"/>
      <w:marBottom w:val="0"/>
      <w:divBdr>
        <w:top w:val="none" w:sz="0" w:space="0" w:color="auto"/>
        <w:left w:val="none" w:sz="0" w:space="0" w:color="auto"/>
        <w:bottom w:val="none" w:sz="0" w:space="0" w:color="auto"/>
        <w:right w:val="none" w:sz="0" w:space="0" w:color="auto"/>
      </w:divBdr>
    </w:div>
    <w:div w:id="1309048547">
      <w:bodyDiv w:val="1"/>
      <w:marLeft w:val="0"/>
      <w:marRight w:val="0"/>
      <w:marTop w:val="0"/>
      <w:marBottom w:val="0"/>
      <w:divBdr>
        <w:top w:val="none" w:sz="0" w:space="0" w:color="auto"/>
        <w:left w:val="none" w:sz="0" w:space="0" w:color="auto"/>
        <w:bottom w:val="none" w:sz="0" w:space="0" w:color="auto"/>
        <w:right w:val="none" w:sz="0" w:space="0" w:color="auto"/>
      </w:divBdr>
    </w:div>
    <w:div w:id="1313289008">
      <w:bodyDiv w:val="1"/>
      <w:marLeft w:val="0"/>
      <w:marRight w:val="0"/>
      <w:marTop w:val="0"/>
      <w:marBottom w:val="0"/>
      <w:divBdr>
        <w:top w:val="none" w:sz="0" w:space="0" w:color="auto"/>
        <w:left w:val="none" w:sz="0" w:space="0" w:color="auto"/>
        <w:bottom w:val="none" w:sz="0" w:space="0" w:color="auto"/>
        <w:right w:val="none" w:sz="0" w:space="0" w:color="auto"/>
      </w:divBdr>
    </w:div>
    <w:div w:id="1339582375">
      <w:bodyDiv w:val="1"/>
      <w:marLeft w:val="0"/>
      <w:marRight w:val="0"/>
      <w:marTop w:val="0"/>
      <w:marBottom w:val="0"/>
      <w:divBdr>
        <w:top w:val="none" w:sz="0" w:space="0" w:color="auto"/>
        <w:left w:val="none" w:sz="0" w:space="0" w:color="auto"/>
        <w:bottom w:val="none" w:sz="0" w:space="0" w:color="auto"/>
        <w:right w:val="none" w:sz="0" w:space="0" w:color="auto"/>
      </w:divBdr>
    </w:div>
    <w:div w:id="1347630874">
      <w:bodyDiv w:val="1"/>
      <w:marLeft w:val="0"/>
      <w:marRight w:val="0"/>
      <w:marTop w:val="0"/>
      <w:marBottom w:val="0"/>
      <w:divBdr>
        <w:top w:val="none" w:sz="0" w:space="0" w:color="auto"/>
        <w:left w:val="none" w:sz="0" w:space="0" w:color="auto"/>
        <w:bottom w:val="none" w:sz="0" w:space="0" w:color="auto"/>
        <w:right w:val="none" w:sz="0" w:space="0" w:color="auto"/>
      </w:divBdr>
    </w:div>
    <w:div w:id="1355107542">
      <w:bodyDiv w:val="1"/>
      <w:marLeft w:val="0"/>
      <w:marRight w:val="0"/>
      <w:marTop w:val="0"/>
      <w:marBottom w:val="0"/>
      <w:divBdr>
        <w:top w:val="none" w:sz="0" w:space="0" w:color="auto"/>
        <w:left w:val="none" w:sz="0" w:space="0" w:color="auto"/>
        <w:bottom w:val="none" w:sz="0" w:space="0" w:color="auto"/>
        <w:right w:val="none" w:sz="0" w:space="0" w:color="auto"/>
      </w:divBdr>
    </w:div>
    <w:div w:id="1357467773">
      <w:bodyDiv w:val="1"/>
      <w:marLeft w:val="0"/>
      <w:marRight w:val="0"/>
      <w:marTop w:val="0"/>
      <w:marBottom w:val="0"/>
      <w:divBdr>
        <w:top w:val="none" w:sz="0" w:space="0" w:color="auto"/>
        <w:left w:val="none" w:sz="0" w:space="0" w:color="auto"/>
        <w:bottom w:val="none" w:sz="0" w:space="0" w:color="auto"/>
        <w:right w:val="none" w:sz="0" w:space="0" w:color="auto"/>
      </w:divBdr>
    </w:div>
    <w:div w:id="1358847584">
      <w:bodyDiv w:val="1"/>
      <w:marLeft w:val="0"/>
      <w:marRight w:val="0"/>
      <w:marTop w:val="0"/>
      <w:marBottom w:val="0"/>
      <w:divBdr>
        <w:top w:val="none" w:sz="0" w:space="0" w:color="auto"/>
        <w:left w:val="none" w:sz="0" w:space="0" w:color="auto"/>
        <w:bottom w:val="none" w:sz="0" w:space="0" w:color="auto"/>
        <w:right w:val="none" w:sz="0" w:space="0" w:color="auto"/>
      </w:divBdr>
    </w:div>
    <w:div w:id="1386371096">
      <w:bodyDiv w:val="1"/>
      <w:marLeft w:val="0"/>
      <w:marRight w:val="0"/>
      <w:marTop w:val="0"/>
      <w:marBottom w:val="0"/>
      <w:divBdr>
        <w:top w:val="none" w:sz="0" w:space="0" w:color="auto"/>
        <w:left w:val="none" w:sz="0" w:space="0" w:color="auto"/>
        <w:bottom w:val="none" w:sz="0" w:space="0" w:color="auto"/>
        <w:right w:val="none" w:sz="0" w:space="0" w:color="auto"/>
      </w:divBdr>
    </w:div>
    <w:div w:id="1401562311">
      <w:bodyDiv w:val="1"/>
      <w:marLeft w:val="0"/>
      <w:marRight w:val="0"/>
      <w:marTop w:val="0"/>
      <w:marBottom w:val="0"/>
      <w:divBdr>
        <w:top w:val="none" w:sz="0" w:space="0" w:color="auto"/>
        <w:left w:val="none" w:sz="0" w:space="0" w:color="auto"/>
        <w:bottom w:val="none" w:sz="0" w:space="0" w:color="auto"/>
        <w:right w:val="none" w:sz="0" w:space="0" w:color="auto"/>
      </w:divBdr>
    </w:div>
    <w:div w:id="1454599052">
      <w:bodyDiv w:val="1"/>
      <w:marLeft w:val="0"/>
      <w:marRight w:val="0"/>
      <w:marTop w:val="0"/>
      <w:marBottom w:val="0"/>
      <w:divBdr>
        <w:top w:val="none" w:sz="0" w:space="0" w:color="auto"/>
        <w:left w:val="none" w:sz="0" w:space="0" w:color="auto"/>
        <w:bottom w:val="none" w:sz="0" w:space="0" w:color="auto"/>
        <w:right w:val="none" w:sz="0" w:space="0" w:color="auto"/>
      </w:divBdr>
    </w:div>
    <w:div w:id="1508128775">
      <w:bodyDiv w:val="1"/>
      <w:marLeft w:val="0"/>
      <w:marRight w:val="0"/>
      <w:marTop w:val="0"/>
      <w:marBottom w:val="0"/>
      <w:divBdr>
        <w:top w:val="none" w:sz="0" w:space="0" w:color="auto"/>
        <w:left w:val="none" w:sz="0" w:space="0" w:color="auto"/>
        <w:bottom w:val="none" w:sz="0" w:space="0" w:color="auto"/>
        <w:right w:val="none" w:sz="0" w:space="0" w:color="auto"/>
      </w:divBdr>
    </w:div>
    <w:div w:id="1518034869">
      <w:bodyDiv w:val="1"/>
      <w:marLeft w:val="0"/>
      <w:marRight w:val="0"/>
      <w:marTop w:val="0"/>
      <w:marBottom w:val="0"/>
      <w:divBdr>
        <w:top w:val="none" w:sz="0" w:space="0" w:color="auto"/>
        <w:left w:val="none" w:sz="0" w:space="0" w:color="auto"/>
        <w:bottom w:val="none" w:sz="0" w:space="0" w:color="auto"/>
        <w:right w:val="none" w:sz="0" w:space="0" w:color="auto"/>
      </w:divBdr>
    </w:div>
    <w:div w:id="1624800047">
      <w:bodyDiv w:val="1"/>
      <w:marLeft w:val="0"/>
      <w:marRight w:val="0"/>
      <w:marTop w:val="0"/>
      <w:marBottom w:val="0"/>
      <w:divBdr>
        <w:top w:val="none" w:sz="0" w:space="0" w:color="auto"/>
        <w:left w:val="none" w:sz="0" w:space="0" w:color="auto"/>
        <w:bottom w:val="none" w:sz="0" w:space="0" w:color="auto"/>
        <w:right w:val="none" w:sz="0" w:space="0" w:color="auto"/>
      </w:divBdr>
    </w:div>
    <w:div w:id="1657565107">
      <w:bodyDiv w:val="1"/>
      <w:marLeft w:val="0"/>
      <w:marRight w:val="0"/>
      <w:marTop w:val="0"/>
      <w:marBottom w:val="0"/>
      <w:divBdr>
        <w:top w:val="none" w:sz="0" w:space="0" w:color="auto"/>
        <w:left w:val="none" w:sz="0" w:space="0" w:color="auto"/>
        <w:bottom w:val="none" w:sz="0" w:space="0" w:color="auto"/>
        <w:right w:val="none" w:sz="0" w:space="0" w:color="auto"/>
      </w:divBdr>
    </w:div>
    <w:div w:id="1698651328">
      <w:bodyDiv w:val="1"/>
      <w:marLeft w:val="0"/>
      <w:marRight w:val="0"/>
      <w:marTop w:val="0"/>
      <w:marBottom w:val="0"/>
      <w:divBdr>
        <w:top w:val="none" w:sz="0" w:space="0" w:color="auto"/>
        <w:left w:val="none" w:sz="0" w:space="0" w:color="auto"/>
        <w:bottom w:val="none" w:sz="0" w:space="0" w:color="auto"/>
        <w:right w:val="none" w:sz="0" w:space="0" w:color="auto"/>
      </w:divBdr>
    </w:div>
    <w:div w:id="1821266296">
      <w:bodyDiv w:val="1"/>
      <w:marLeft w:val="0"/>
      <w:marRight w:val="0"/>
      <w:marTop w:val="0"/>
      <w:marBottom w:val="0"/>
      <w:divBdr>
        <w:top w:val="none" w:sz="0" w:space="0" w:color="auto"/>
        <w:left w:val="none" w:sz="0" w:space="0" w:color="auto"/>
        <w:bottom w:val="none" w:sz="0" w:space="0" w:color="auto"/>
        <w:right w:val="none" w:sz="0" w:space="0" w:color="auto"/>
      </w:divBdr>
    </w:div>
    <w:div w:id="1901553395">
      <w:bodyDiv w:val="1"/>
      <w:marLeft w:val="0"/>
      <w:marRight w:val="0"/>
      <w:marTop w:val="0"/>
      <w:marBottom w:val="0"/>
      <w:divBdr>
        <w:top w:val="none" w:sz="0" w:space="0" w:color="auto"/>
        <w:left w:val="none" w:sz="0" w:space="0" w:color="auto"/>
        <w:bottom w:val="none" w:sz="0" w:space="0" w:color="auto"/>
        <w:right w:val="none" w:sz="0" w:space="0" w:color="auto"/>
      </w:divBdr>
    </w:div>
    <w:div w:id="2038923121">
      <w:bodyDiv w:val="1"/>
      <w:marLeft w:val="0"/>
      <w:marRight w:val="0"/>
      <w:marTop w:val="0"/>
      <w:marBottom w:val="0"/>
      <w:divBdr>
        <w:top w:val="none" w:sz="0" w:space="0" w:color="auto"/>
        <w:left w:val="none" w:sz="0" w:space="0" w:color="auto"/>
        <w:bottom w:val="none" w:sz="0" w:space="0" w:color="auto"/>
        <w:right w:val="none" w:sz="0" w:space="0" w:color="auto"/>
      </w:divBdr>
    </w:div>
    <w:div w:id="2047102371">
      <w:bodyDiv w:val="1"/>
      <w:marLeft w:val="0"/>
      <w:marRight w:val="0"/>
      <w:marTop w:val="0"/>
      <w:marBottom w:val="0"/>
      <w:divBdr>
        <w:top w:val="none" w:sz="0" w:space="0" w:color="auto"/>
        <w:left w:val="none" w:sz="0" w:space="0" w:color="auto"/>
        <w:bottom w:val="none" w:sz="0" w:space="0" w:color="auto"/>
        <w:right w:val="none" w:sz="0" w:space="0" w:color="auto"/>
      </w:divBdr>
    </w:div>
    <w:div w:id="208340844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hyperlink" Target="http://cifras.unidadvictimas.gov.co/" TargetMode="External"/><Relationship Id="rId47" Type="http://schemas.openxmlformats.org/officeDocument/2006/relationships/image" Target="media/image31.emf"/><Relationship Id="rId63" Type="http://schemas.openxmlformats.org/officeDocument/2006/relationships/image" Target="media/image42.emf"/><Relationship Id="rId68" Type="http://schemas.openxmlformats.org/officeDocument/2006/relationships/image" Target="media/image47.png"/><Relationship Id="rId84" Type="http://schemas.openxmlformats.org/officeDocument/2006/relationships/image" Target="media/image58.png"/><Relationship Id="rId89" Type="http://schemas.openxmlformats.org/officeDocument/2006/relationships/hyperlink" Target="https://www.dane.gov.co/files/investigaciones/boletines/educacion/bol_EDUC_20.pdf" TargetMode="External"/><Relationship Id="rId16" Type="http://schemas.openxmlformats.org/officeDocument/2006/relationships/hyperlink" Target="#_Tabla_de_contenido"/><Relationship Id="rId107" Type="http://schemas.openxmlformats.org/officeDocument/2006/relationships/customXml" Target="../customXml/item4.xml"/><Relationship Id="rId102" Type="http://schemas.openxmlformats.org/officeDocument/2006/relationships/image" Target="media/image65.png"/><Relationship Id="rId11" Type="http://schemas.openxmlformats.org/officeDocument/2006/relationships/header" Target="header1.xml"/><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hyperlink" Target="http://cifras.unidadvictimas.gov.co" TargetMode="External"/><Relationship Id="rId58" Type="http://schemas.openxmlformats.org/officeDocument/2006/relationships/image" Target="media/image37.emf"/><Relationship Id="rId74" Type="http://schemas.openxmlformats.org/officeDocument/2006/relationships/image" Target="media/image51.png"/><Relationship Id="rId79" Type="http://schemas.microsoft.com/office/2007/relationships/hdphoto" Target="media/hdphoto5.wdp"/><Relationship Id="rId5" Type="http://schemas.microsoft.com/office/2007/relationships/stylesWithEffects" Target="stylesWithEffects.xml"/><Relationship Id="rId90" Type="http://schemas.openxmlformats.org/officeDocument/2006/relationships/image" Target="media/image59.emf"/><Relationship Id="rId95" Type="http://schemas.openxmlformats.org/officeDocument/2006/relationships/hyperlink" Target="https://www.dane.gov.co/files/investigaciones/boletines/educacion/bol_EDUC_20.pdf" TargetMode="External"/><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29.emf"/><Relationship Id="rId48" Type="http://schemas.openxmlformats.org/officeDocument/2006/relationships/hyperlink" Target="http://cifras.unidadvictimas.gov.co" TargetMode="External"/><Relationship Id="rId64" Type="http://schemas.openxmlformats.org/officeDocument/2006/relationships/image" Target="media/image43.emf"/><Relationship Id="rId69" Type="http://schemas.microsoft.com/office/2007/relationships/hdphoto" Target="media/hdphoto1.wdp"/><Relationship Id="rId80" Type="http://schemas.openxmlformats.org/officeDocument/2006/relationships/image" Target="media/image54.png"/><Relationship Id="rId85" Type="http://schemas.openxmlformats.org/officeDocument/2006/relationships/hyperlink" Target="https://www.dane.gov.co/index.php/estadisticas-por-tema/educacion/poblacion-escolarizada/educacion-formal/historico-educacion" TargetMode="External"/><Relationship Id="rId103" Type="http://schemas.openxmlformats.org/officeDocument/2006/relationships/header" Target="header3.xm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0.emf"/><Relationship Id="rId38" Type="http://schemas.openxmlformats.org/officeDocument/2006/relationships/image" Target="media/image25.emf"/><Relationship Id="rId59" Type="http://schemas.openxmlformats.org/officeDocument/2006/relationships/image" Target="media/image38.emf"/><Relationship Id="rId108" Type="http://schemas.openxmlformats.org/officeDocument/2006/relationships/customXml" Target="../customXml/item5.xml"/><Relationship Id="rId54" Type="http://schemas.openxmlformats.org/officeDocument/2006/relationships/image" Target="media/image35.emf"/><Relationship Id="rId70" Type="http://schemas.openxmlformats.org/officeDocument/2006/relationships/image" Target="media/image48.png"/><Relationship Id="rId75" Type="http://schemas.microsoft.com/office/2007/relationships/hdphoto" Target="media/hdphoto3.wdp"/><Relationship Id="rId91" Type="http://schemas.openxmlformats.org/officeDocument/2006/relationships/hyperlink" Target="https://www.dane.gov.co/files/investigaciones/boletines/educacion/bol_EDUC_20.pdf" TargetMode="External"/><Relationship Id="rId96" Type="http://schemas.openxmlformats.org/officeDocument/2006/relationships/image" Target="media/image61.png"/><Relationship Id="rId20" Type="http://schemas.openxmlformats.org/officeDocument/2006/relationships/image" Target="media/image8.emf"/><Relationship Id="rId41" Type="http://schemas.openxmlformats.org/officeDocument/2006/relationships/image" Target="media/image28.emf"/><Relationship Id="rId62" Type="http://schemas.openxmlformats.org/officeDocument/2006/relationships/image" Target="media/image41.emf"/><Relationship Id="rId83" Type="http://schemas.openxmlformats.org/officeDocument/2006/relationships/image" Target="media/image57.png"/><Relationship Id="rId88" Type="http://schemas.openxmlformats.org/officeDocument/2006/relationships/hyperlink" Target="https://www.dane.gov.co/index.php/estadisticas-por-tema/educacion/poblacion-escolarizada/educacion-formal/historico-educacio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36" Type="http://schemas.openxmlformats.org/officeDocument/2006/relationships/image" Target="media/image23.emf"/><Relationship Id="rId57" Type="http://schemas.openxmlformats.org/officeDocument/2006/relationships/hyperlink" Target="http://cifras.unidadvictimas.gov.co" TargetMode="Externa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2.emf"/><Relationship Id="rId106" Type="http://schemas.openxmlformats.org/officeDocument/2006/relationships/customXml" Target="../customXml/item3.xml"/><Relationship Id="rId101" Type="http://schemas.openxmlformats.org/officeDocument/2006/relationships/hyperlink" Target="http://www.genderindex.org/country/colombia" TargetMode="External"/><Relationship Id="rId10" Type="http://schemas.openxmlformats.org/officeDocument/2006/relationships/image" Target="media/image1.png"/><Relationship Id="rId31" Type="http://schemas.openxmlformats.org/officeDocument/2006/relationships/image" Target="media/image18.emf"/><Relationship Id="rId52" Type="http://schemas.openxmlformats.org/officeDocument/2006/relationships/image" Target="media/image34.emf"/><Relationship Id="rId73" Type="http://schemas.openxmlformats.org/officeDocument/2006/relationships/image" Target="media/image50.png"/><Relationship Id="rId78" Type="http://schemas.openxmlformats.org/officeDocument/2006/relationships/image" Target="media/image53.png"/><Relationship Id="rId94" Type="http://schemas.openxmlformats.org/officeDocument/2006/relationships/hyperlink" Target="https://www.dane.gov.co/index.php/estadisticas-por-tema/educacion/poblacion-escolarizada/educacion-formal/historico-educacion" TargetMode="External"/><Relationship Id="rId99" Type="http://schemas.openxmlformats.org/officeDocument/2006/relationships/image" Target="media/image64.png"/><Relationship Id="rId44" Type="http://schemas.openxmlformats.org/officeDocument/2006/relationships/hyperlink" Target="http://cifras.unidadvictimas.gov.co" TargetMode="External"/><Relationship Id="rId60" Type="http://schemas.openxmlformats.org/officeDocument/2006/relationships/image" Target="media/image39.emf"/><Relationship Id="rId65" Type="http://schemas.openxmlformats.org/officeDocument/2006/relationships/image" Target="media/image44.emf"/><Relationship Id="rId81" Type="http://schemas.openxmlformats.org/officeDocument/2006/relationships/image" Target="media/image55.png"/><Relationship Id="rId86" Type="http://schemas.openxmlformats.org/officeDocument/2006/relationships/hyperlink" Target="https://www.dane.gov.co/files/investigaciones/boletines/educacion/bol_EDUC_18.pdf"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6.emf"/><Relationship Id="rId104" Type="http://schemas.openxmlformats.org/officeDocument/2006/relationships/fontTable" Target="fontTable.xml"/><Relationship Id="rId34" Type="http://schemas.openxmlformats.org/officeDocument/2006/relationships/image" Target="media/image21.emf"/><Relationship Id="rId50" Type="http://schemas.openxmlformats.org/officeDocument/2006/relationships/hyperlink" Target="http://cifras.unidadvictimas.gov.co/" TargetMode="External"/><Relationship Id="rId55" Type="http://schemas.openxmlformats.org/officeDocument/2006/relationships/hyperlink" Target="http://cifras.unidadvictimas.gov.co" TargetMode="External"/><Relationship Id="rId76" Type="http://schemas.openxmlformats.org/officeDocument/2006/relationships/image" Target="media/image52.png"/><Relationship Id="rId97" Type="http://schemas.openxmlformats.org/officeDocument/2006/relationships/image" Target="media/image62.png"/><Relationship Id="rId7" Type="http://schemas.openxmlformats.org/officeDocument/2006/relationships/webSettings" Target="webSettings.xml"/><Relationship Id="rId71" Type="http://schemas.openxmlformats.org/officeDocument/2006/relationships/image" Target="media/image49.png"/><Relationship Id="rId92" Type="http://schemas.openxmlformats.org/officeDocument/2006/relationships/image" Target="media/image60.emf"/><Relationship Id="rId2" Type="http://schemas.openxmlformats.org/officeDocument/2006/relationships/customXml" Target="../customXml/item2.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7.emf"/><Relationship Id="rId45" Type="http://schemas.openxmlformats.org/officeDocument/2006/relationships/image" Target="media/image30.emf"/><Relationship Id="rId66" Type="http://schemas.openxmlformats.org/officeDocument/2006/relationships/image" Target="media/image45.png"/><Relationship Id="rId87" Type="http://schemas.openxmlformats.org/officeDocument/2006/relationships/hyperlink" Target="https://www.dane.gov.co/files/investigaciones/boletines/educacion/bol_EDUC_20.pdf" TargetMode="External"/><Relationship Id="rId61" Type="http://schemas.openxmlformats.org/officeDocument/2006/relationships/image" Target="media/image40.emf"/><Relationship Id="rId82" Type="http://schemas.openxmlformats.org/officeDocument/2006/relationships/image" Target="media/image56.png"/><Relationship Id="rId19" Type="http://schemas.openxmlformats.org/officeDocument/2006/relationships/image" Target="media/image7.emf"/><Relationship Id="rId105" Type="http://schemas.openxmlformats.org/officeDocument/2006/relationships/theme" Target="theme/theme1.xml"/><Relationship Id="rId14" Type="http://schemas.openxmlformats.org/officeDocument/2006/relationships/header" Target="header2.xml"/><Relationship Id="rId30" Type="http://schemas.openxmlformats.org/officeDocument/2006/relationships/hyperlink" Target="http://tratadepersonas.mininterior.gov.co/trata-de-personas/estadisticas" TargetMode="External"/><Relationship Id="rId35" Type="http://schemas.openxmlformats.org/officeDocument/2006/relationships/image" Target="media/image22.png"/><Relationship Id="rId56" Type="http://schemas.openxmlformats.org/officeDocument/2006/relationships/image" Target="media/image36.emf"/><Relationship Id="rId77" Type="http://schemas.microsoft.com/office/2007/relationships/hdphoto" Target="media/hdphoto4.wdp"/><Relationship Id="rId100" Type="http://schemas.openxmlformats.org/officeDocument/2006/relationships/hyperlink" Target="http://www.genderindex.org/country/colombia" TargetMode="External"/><Relationship Id="rId8" Type="http://schemas.openxmlformats.org/officeDocument/2006/relationships/footnotes" Target="footnotes.xml"/><Relationship Id="rId51" Type="http://schemas.openxmlformats.org/officeDocument/2006/relationships/image" Target="media/image33.emf"/><Relationship Id="rId72" Type="http://schemas.microsoft.com/office/2007/relationships/hdphoto" Target="media/hdphoto2.wdp"/><Relationship Id="rId93" Type="http://schemas.openxmlformats.org/officeDocument/2006/relationships/hyperlink" Target="https://www.dane.gov.co/files/investigaciones/boletines/educacion/bol_EDUC_20.pdf" TargetMode="External"/><Relationship Id="rId98" Type="http://schemas.openxmlformats.org/officeDocument/2006/relationships/image" Target="media/image63.png"/><Relationship Id="rId3" Type="http://schemas.openxmlformats.org/officeDocument/2006/relationships/numbering" Target="numbering.xml"/><Relationship Id="rId25" Type="http://schemas.openxmlformats.org/officeDocument/2006/relationships/image" Target="media/image13.emf"/><Relationship Id="rId46" Type="http://schemas.openxmlformats.org/officeDocument/2006/relationships/hyperlink" Target="http://cifras.unidadvictimas.gov.co" TargetMode="External"/><Relationship Id="rId67" Type="http://schemas.openxmlformats.org/officeDocument/2006/relationships/image" Target="media/image46.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46" Type="http://schemas.openxmlformats.org/officeDocument/2006/relationships/hyperlink" Target="https://app.powerbi.com/view?r=eyJrIjoiYjY5MDAzYzUtMjViOS00YjRiLWEzN2YtMTUyODQ0NGIyMDJhIiwidCI6ImJmYjdlMTNhLTdmYjctNDAxNi04MzBjLWQzNzE2ZThkZDhiOCJ9&amp;pageName=ReportSection6c59896d000b0ac7de98" TargetMode="External"/><Relationship Id="rId47" Type="http://schemas.openxmlformats.org/officeDocument/2006/relationships/hyperlink" Target="https://www.dane.gov.co/files/investigaciones/boletines/encspa/bt-encspa-2019.pdf" TargetMode="External"/><Relationship Id="rId48" Type="http://schemas.openxmlformats.org/officeDocument/2006/relationships/hyperlink" Target="http://rssvr2.sispro.gov.co/reportesasis2/" TargetMode="External"/><Relationship Id="rId49" Type="http://schemas.openxmlformats.org/officeDocument/2006/relationships/hyperlink" Target="https://www.ins.gov.co/buscador-eventos/Informesdeevento/C%C3%81NCER%20DE%20MAMA%20Y%20CUELLO%20UTERINO_2018.pdf" TargetMode="External"/><Relationship Id="rId20" Type="http://schemas.openxmlformats.org/officeDocument/2006/relationships/hyperlink" Target="https://www.icbf.gov.co/sites/default/files/estadisticas_violencia_sexual.pdf" TargetMode="External"/><Relationship Id="rId21" Type="http://schemas.openxmlformats.org/officeDocument/2006/relationships/hyperlink" Target="https://www.mintrabajo.gov.co/web/guest/politica-publica-para-la-prevencion-y-erradicacion-de-la-explotacion-sexual-comercial-de-ninas-ninos-y-adolescentes" TargetMode="External"/><Relationship Id="rId22" Type="http://schemas.openxmlformats.org/officeDocument/2006/relationships/hyperlink" Target="https://www.mintrabajo.gov.co/web/guest/politica-publica-para-la-prevencion-y-erradicacion-de-la-explotacion-sexual-comercial-de-ninas-ninos-y-adolescentes" TargetMode="External"/><Relationship Id="rId23" Type="http://schemas.openxmlformats.org/officeDocument/2006/relationships/hyperlink" Target="https://co.usembassy.gov/es/our-relationship-es/official-reports-es/informe-sobre-la-trata-de-personas-2020/" TargetMode="External"/><Relationship Id="rId24" Type="http://schemas.openxmlformats.org/officeDocument/2006/relationships/hyperlink" Target="https://tratadepersonas.mininterior.gov.co/observatorio-del-delito-trata-de-personas/casos-de-trata-de-personas" TargetMode="External"/><Relationship Id="rId25" Type="http://schemas.openxmlformats.org/officeDocument/2006/relationships/hyperlink" Target="http://www.who.int/mediacentre/factsheets/fs241/es/" TargetMode="External"/><Relationship Id="rId26" Type="http://schemas.openxmlformats.org/officeDocument/2006/relationships/hyperlink" Target="https://www.onic.org.co/noticias/937-hoy-8-de-febrero-dia-internacional-cero-contra-la-mutilacion-genital-femenina" TargetMode="External"/><Relationship Id="rId27" Type="http://schemas.openxmlformats.org/officeDocument/2006/relationships/hyperlink" Target="https://www.onic.org.co/comunicados-onic/3608-dia-internacional-de-tolerancia-cero-con-la-mutilacion-genital-femenina-2" TargetMode="External"/><Relationship Id="rId28" Type="http://schemas.openxmlformats.org/officeDocument/2006/relationships/hyperlink" Target="https://www.sismamujer.org/wp-content/uploads/2021/01/Boleti%CC%81n-22-3.pdf" TargetMode="External"/><Relationship Id="rId29" Type="http://schemas.openxmlformats.org/officeDocument/2006/relationships/hyperlink" Target="https://www.medicinalegal.gov.co/cifras-estadisticas/forensis" TargetMode="External"/><Relationship Id="rId50" Type="http://schemas.openxmlformats.org/officeDocument/2006/relationships/hyperlink" Target="https://www.minsalud.gov.co/Documents/General/20161212_B_ENDS%202015_Metodos_anticonceptivos.pdf" TargetMode="External"/><Relationship Id="rId51" Type="http://schemas.openxmlformats.org/officeDocument/2006/relationships/hyperlink" Target="https://www.ins.gov.co/Noticias/Paginas/INS-revela-qu%C3%A9-tan-bien-o-mal-nutridos-est%C3%A1n-los-colombianos.aspx" TargetMode="External"/><Relationship Id="rId1" Type="http://schemas.openxmlformats.org/officeDocument/2006/relationships/hyperlink" Target="https://www.dane.gov.co/index.php/estadisticas-por-tema/demografia-y-poblacion/censo-nacional-de-poblacion-y-vivenda-2018" TargetMode="External"/><Relationship Id="rId2" Type="http://schemas.openxmlformats.org/officeDocument/2006/relationships/hyperlink" Target="https://www.dane.gov.co/files/investigaciones/genero/publicaciones/mujeres-y-hombre-brechas-de-genero-colombia-informe.pdf" TargetMode="External"/><Relationship Id="rId3" Type="http://schemas.openxmlformats.org/officeDocument/2006/relationships/hyperlink" Target="http://profamilia.org.co/docs/ENDS%20%20TOMO%20I.pdf" TargetMode="External"/><Relationship Id="rId4" Type="http://schemas.openxmlformats.org/officeDocument/2006/relationships/hyperlink" Target="https://www.dane.gov.co/files/investigaciones/poblacion/migraciones/Anuario_2019_movimientos-internacionales.pdf" TargetMode="External"/><Relationship Id="rId5" Type="http://schemas.openxmlformats.org/officeDocument/2006/relationships/hyperlink" Target="https://zero.uexternado.edu.co/la-migracion-femenina-en-colombia-experiencias-locales-para-el-abordaje-de-la-trata-de-personas/" TargetMode="External"/><Relationship Id="rId30" Type="http://schemas.openxmlformats.org/officeDocument/2006/relationships/hyperlink" Target="https://www.minjusticia.gov.co/Sala-de-prensa/PublicacionesMinJusticia/CAPSULA%20MUJERES%20PRIVADAS%20DE%20LA%20LIBERTAD.pdf" TargetMode="External"/><Relationship Id="rId31" Type="http://schemas.openxmlformats.org/officeDocument/2006/relationships/hyperlink" Target="https://www.icrc.org/es/document/informe-carceles-y-mujeres-en-colombia" TargetMode="External"/><Relationship Id="rId32" Type="http://schemas.openxmlformats.org/officeDocument/2006/relationships/hyperlink" Target="https://www2.unwomen.org/-/media/field%20office%20colombia/documentos/publicaciones/2017/10/internas%20farc-ep.pdf?la=es&amp;vs=4845" TargetMode="External"/><Relationship Id="rId9" Type="http://schemas.openxmlformats.org/officeDocument/2006/relationships/hyperlink" Target="https://www.medicinalegal.gov.co/cifras-estadisticas/forensis" TargetMode="External"/><Relationship Id="rId6" Type="http://schemas.openxmlformats.org/officeDocument/2006/relationships/hyperlink" Target="https://zero.uexternado.edu.co/la-migracion-femenina-en-colombia-experiencias-locales-para-el-abordaje-de-la-trata-de-personas/" TargetMode="External"/><Relationship Id="rId7" Type="http://schemas.openxmlformats.org/officeDocument/2006/relationships/hyperlink" Target="http://www.equidadmujer.gov.co/consejeria/Paginas/organizaciones-mujeres.aspx" TargetMode="External"/><Relationship Id="rId8" Type="http://schemas.openxmlformats.org/officeDocument/2006/relationships/hyperlink" Target="https://www.mininterior.gov.co/la-institucion/normatividad/decreto-762-del-7-de-mayo-de-2018-politica-publica-garantia-de-los-derechos-sectores-sociales-lgbti" TargetMode="External"/><Relationship Id="rId33" Type="http://schemas.openxmlformats.org/officeDocument/2006/relationships/hyperlink" Target="https://www.unwomen.org/es/what-we-do/peace-and-security/global-norms-and-standards" TargetMode="External"/><Relationship Id="rId34" Type="http://schemas.openxmlformats.org/officeDocument/2006/relationships/hyperlink" Target="https://undocs.org/es/S/RES/2467(2019)" TargetMode="External"/><Relationship Id="rId35" Type="http://schemas.openxmlformats.org/officeDocument/2006/relationships/hyperlink" Target="https://nacionesunidas.org.co/noticias/actualidad-colombia/mi-cuerpo-dice-la-verdad-es-solidaridad-dignidad-y-cuidado/" TargetMode="External"/><Relationship Id="rId36" Type="http://schemas.openxmlformats.org/officeDocument/2006/relationships/hyperlink" Target="https://www.icrc.org/es/document/la-situacion-humanitaria-en-colombia-se-agravo-en-2018" TargetMode="External"/><Relationship Id="rId10" Type="http://schemas.openxmlformats.org/officeDocument/2006/relationships/hyperlink" Target="https://www.medicinalegal.gov.co/documents/20143/386932/Forensis+2018.pdf/be4816a4-3da3-1ff0-2779-e7b5e3962d60" TargetMode="External"/><Relationship Id="rId11" Type="http://schemas.openxmlformats.org/officeDocument/2006/relationships/hyperlink" Target="https://www.medicinalegal.gov.co/documents/20143/386932/Forensis+2018.pdf/be4816a4-3da3-1ff0-2779-e7b5e3962d60" TargetMode="External"/><Relationship Id="rId12" Type="http://schemas.openxmlformats.org/officeDocument/2006/relationships/hyperlink" Target="https://www.medicinalegal.gov.co/documents/20143/535304/Informaci%C3%B3n+de+lesiones+de+causa+externa+y+desaparecidos.+Colombia%2C+2019.xlsx/9e6d246a-20dd-c525-e1b9-ec5548d91fd5" TargetMode="External"/><Relationship Id="rId13" Type="http://schemas.openxmlformats.org/officeDocument/2006/relationships/hyperlink" Target="https://www.eltiempo.com/justicia/delitos/cifras-de-estadisticas-sobre-denuncias-y-demandas-por-cuotas-de-alimentos-para-los-hijos-561999" TargetMode="External"/><Relationship Id="rId14" Type="http://schemas.openxmlformats.org/officeDocument/2006/relationships/hyperlink" Target="https://www.medicinalegal.gov.co/documents/20143/535304/6-Ex%C3%A1menes+m%C3%A9dico+legales+por+presunto+delito+sexual.+Colombia%2C+2019.xlsx/b24aed71-3dcf-3289-4487-6b3f305ddba8" TargetMode="External"/><Relationship Id="rId15" Type="http://schemas.openxmlformats.org/officeDocument/2006/relationships/hyperlink" Target="https://www.medicinalegal.gov.co/documents/20143/535304/6-Ex%C3%A1menes+m%C3%A9dico+legales+por+presunto+delito+sexual.+Colombia%2C+2019.xlsx/b24aed71-3dcf-3289-4487-6b3f305ddba8" TargetMode="External"/><Relationship Id="rId16" Type="http://schemas.openxmlformats.org/officeDocument/2006/relationships/hyperlink" Target="https://www.medicinalegal.gov.co/documents/20143/386932/Forensis+2018.pdf/be4816a4-3da3-1ff0-2779-e7b5e3962d60" TargetMode="External"/><Relationship Id="rId17" Type="http://schemas.openxmlformats.org/officeDocument/2006/relationships/hyperlink" Target="https://www.medicinalegal.gov.co/documents/20143/262076/Forensis+2017+Interactivo.pdf/0a09fedb-f5e8-11f8-71ed-2d3b475e9b82" TargetMode="External"/><Relationship Id="rId18" Type="http://schemas.openxmlformats.org/officeDocument/2006/relationships/hyperlink" Target="https://www.unwomen.org/es/what-we-do/ending-violence-against-women/research-and-data" TargetMode="External"/><Relationship Id="rId19" Type="http://schemas.openxmlformats.org/officeDocument/2006/relationships/hyperlink" Target="https://www.icbf.gov.co/programas-y-estrategias/proteccion/programas-especializados-y-otras-estrategias/violencia-sexual" TargetMode="External"/><Relationship Id="rId37" Type="http://schemas.openxmlformats.org/officeDocument/2006/relationships/hyperlink" Target="https://www.minsalud.gov.co/proteccionsocial/Paginas/cifras-aseguramiento-salud.aspx" TargetMode="External"/><Relationship Id="rId38" Type="http://schemas.openxmlformats.org/officeDocument/2006/relationships/hyperlink" Target="https://www.minsalud.gov.co/sites/rid/Lists/BibliotecaDigital/RIDE/DE/PS/boletines-poblacionales-genero.pdf" TargetMode="External"/><Relationship Id="rId39" Type="http://schemas.openxmlformats.org/officeDocument/2006/relationships/hyperlink" Target="https://www.minsalud.gov.co/sites/rid/Lists/BibliotecaDigital/RIDE/VS/ED/GCFI/indicadores-basicos-salud-2018.pdf" TargetMode="External"/><Relationship Id="rId40" Type="http://schemas.openxmlformats.org/officeDocument/2006/relationships/hyperlink" Target="https://www.minsalud.gov.co/sites/rid/Lists/BibliotecaDigital/RIDE/VS/ED/GCFI/indicadores-basicos-salud-2018.pdf" TargetMode="External"/><Relationship Id="rId41" Type="http://schemas.openxmlformats.org/officeDocument/2006/relationships/hyperlink" Target="https://www.minsalud.gov.co/salud/publica/PET/Paginas/malaria.aspx" TargetMode="External"/><Relationship Id="rId42" Type="http://schemas.openxmlformats.org/officeDocument/2006/relationships/hyperlink" Target="https://www.ins.gov.co/buscador-eventos/Informesdeevento/ZIKA%202017.pdf" TargetMode="External"/><Relationship Id="rId43" Type="http://schemas.openxmlformats.org/officeDocument/2006/relationships/hyperlink" Target="https://www.ins.gov.co/buscador-eventos/Informesdeevento/ZIKA%202017.pdf" TargetMode="External"/><Relationship Id="rId44" Type="http://schemas.openxmlformats.org/officeDocument/2006/relationships/hyperlink" Target="https://www.ins.gov.co/buscador-eventos/BoletinEpidemiologico/2019%20Bolet%C3%ADn%20epidemiol%C3%B3gico%20semana%2030.pdf" TargetMode="External"/><Relationship Id="rId45" Type="http://schemas.openxmlformats.org/officeDocument/2006/relationships/hyperlink" Target="https://www.dane.gov.co/files/investigaciones/poblacion/defunciones-covid19/boletin-defunciones-covid-2020-02mar-2021-09ma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0P5AO+UjtN0gqoe1HPf6YMk9Ow==">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ONU18</b:Tag>
    <b:SourceType>Report</b:SourceType>
    <b:Guid>{CB77CB4B-C3A2-4571-B09C-5A575F28DD72}</b:Guid>
    <b:Title>Mujeres y Hombres: Brechas de Género en Colombia</b:Title>
    <b:Year>2018</b:Year>
    <b:City>Colombia</b:City>
    <b:Author>
      <b:Author>
        <b:Corporate>ONU Mujeres</b:Corporate>
      </b:Author>
    </b:Author>
    <b:URL>https://www.dane.gov.co/files/investigaciones/genero/publicaciones/mujeres-y-hombre-brechas-de-genero-colombia-informe.pdf</b:URL>
    <b:RefOrder>1</b:RefOrder>
  </b:Source>
  <b:Source>
    <b:Tag>Zer20</b:Tag>
    <b:SourceType>ElectronicSource</b:SourceType>
    <b:Guid>{71F0FD4F-8CB8-4A3E-AAAF-56977F9CF9E3}</b:Guid>
    <b:Title>La migración femenina en Colombia: experiencias locales para el abordaje de la trata de personas</b:Title>
    <b:Year>2020</b:Year>
    <b:City>Bogotá</b:City>
    <b:URL>https://zero.uexternado.edu.co/la-migracion-femenina-en-colombia-experiencias-locales-para-el-abordaje-de-la-trata-de-personas/#:~:text=Seg%C3%BAn%20la%20ONU%5B1%5D%2C,4).</b:URL>
    <b:Author>
      <b:Author>
        <b:Corporate>Zero Externado</b:Corporate>
      </b:Author>
    </b:Author>
    <b:CountryRegion>Colombia</b:CountryRegion>
    <b:RefOrder>2</b:RefOrder>
  </b:Source>
  <b:Source>
    <b:Tag>DAN18</b:Tag>
    <b:SourceType>DocumentFromInternetSite</b:SourceType>
    <b:Guid>{E705A7C4-8EDE-4425-80CD-337CDE42A7AD}</b:Guid>
    <b:Title>Censo Nacional de Población y Vivienda Nacional</b:Title>
    <b:Year>2018</b:Year>
    <b:Author>
      <b:Author>
        <b:Corporate>DANE</b:Corporate>
      </b:Author>
    </b:Author>
    <b:InternetSiteTitle>DANE</b:InternetSiteTitle>
    <b:URL>https://www.dane.gov.co/index.php/estadisticas-por-tema/demografia-y-poblacion/censo-nacional-de-poblacion-y-vivenda-2018</b:URL>
    <b:RefOrder>34</b:RefOrder>
  </b:Source>
  <b:Source>
    <b:Tag>Sis</b:Tag>
    <b:SourceType>InternetSite</b:SourceType>
    <b:Guid>{882B5F05-DFCD-4719-9BBE-66FC684AAB2F}</b:Guid>
    <b:Title>¿Quienes Somos?</b:Title>
    <b:InternetSiteTitle>Sisma Mujer</b:InternetSiteTitle>
    <b:URL>https://www.sismamujer.org/sobre-nosotras/nuestra-mision-y-vision/#</b:URL>
    <b:Author>
      <b:Author>
        <b:Corporate>Sisma Mujer</b:Corporate>
      </b:Author>
    </b:Author>
    <b:RefOrder>35</b:RefOrder>
  </b:Source>
  <b:Source>
    <b:Tag>Con18</b:Tag>
    <b:SourceType>DocumentFromInternetSite</b:SourceType>
    <b:Guid>{0064C0E0-97E0-4322-9CBA-E20556F79012}</b:Guid>
    <b:Title>Decreto 762 de 2018</b:Title>
    <b:InternetSiteTitle>Ministerio del Interior</b:InternetSiteTitle>
    <b:Year>2018</b:Year>
    <b:Month>Mayo</b:Month>
    <b:Day>7</b:Day>
    <b:URL>https://www.mininterior.gov.co/la-institucion/normatividad/decreto-762-del-7-de-mayo-de-2018-politica-publica-garantia-de-los-derechos-sectores-sociales-lgbti</b:URL>
    <b:Author>
      <b:Author>
        <b:Corporate>Congreso de la República</b:Corporate>
      </b:Author>
    </b:Author>
    <b:RefOrder>36</b:RefOrder>
  </b:Source>
  <b:Source>
    <b:Tag>Ins19</b:Tag>
    <b:SourceType>InternetSite</b:SourceType>
    <b:Guid>{14DF93FE-0788-4288-A5C8-65211F311792}</b:Guid>
    <b:Title>Forensis</b:Title>
    <b:InternetSiteTitle>Instituto Nacional de Medicina Legal y Ciencias Forenses</b:InternetSiteTitle>
    <b:Year>2019</b:Year>
    <b:URL>https://www.medicinalegal.gov.co/cifras-estadisticas/forensis</b:URL>
    <b:Author>
      <b:Author>
        <b:Corporate>Instituto Nacional de Medicina Legal y Ciencias Forenses</b:Corporate>
      </b:Author>
    </b:Author>
    <b:RefOrder>6</b:RefOrder>
  </b:Source>
  <b:Source>
    <b:Tag>Duq21</b:Tag>
    <b:SourceType>ArticleInAPeriodical</b:SourceType>
    <b:Guid>{92DE7BF1-66F8-4B6A-A182-5AE2FFA59855}</b:Guid>
    <b:Title>Cada día se interponen 80 demandas por alimentos contra padres</b:Title>
    <b:Year>2021</b:Year>
    <b:Month>Enero</b:Month>
    <b:Day>22</b:Day>
    <b:URL>https://www.eltiempo.com/justicia/delitos/cifras-de-estadisticas-sobre-denuncias-y-demandas-por-cuotas-de-alimentos-para-los-hijos-561999</b:URL>
    <b:Author>
      <b:Author>
        <b:Corporate>EL TIEMPO</b:Corporate>
      </b:Author>
    </b:Author>
    <b:PeriodicalTitle>EL TIEMPO</b:PeriodicalTitle>
    <b:RefOrder>7</b:RefOrder>
  </b:Source>
  <b:Source>
    <b:Tag>ONU19</b:Tag>
    <b:SourceType>InternetSite</b:SourceType>
    <b:Guid>{F953B463-89C2-45D4-AE2B-C029200AF9C0}</b:Guid>
    <b:Title>Investigación y recogida de datos: Poner fin a la violencia contra las mujeres</b:Title>
    <b:Year>2019</b:Year>
    <b:Author>
      <b:Author>
        <b:Corporate>ONU Mujeres</b:Corporate>
      </b:Author>
    </b:Author>
    <b:InternetSiteTitle>ONU mujeres</b:InternetSiteTitle>
    <b:URL>https://www.unwomen.org/es/what-we-do/ending-violence-against-women/research-and-data</b:URL>
    <b:RefOrder>8</b:RefOrder>
  </b:Source>
  <b:Source>
    <b:Tag>ICB19</b:Tag>
    <b:SourceType>InternetSite</b:SourceType>
    <b:Guid>{69C3C3A6-1983-4794-A76B-B31AF40558B0}</b:Guid>
    <b:Author>
      <b:Author>
        <b:Corporate>ICBF</b:Corporate>
      </b:Author>
    </b:Author>
    <b:Title>Programas especializados y otras estrategias </b:Title>
    <b:InternetSiteTitle>Instituto Colombiano de Bienestar Familiar</b:InternetSiteTitle>
    <b:Year>2019</b:Year>
    <b:URL>https://www.icbf.gov.co/programas-y-estrategias/proteccion/programas-especializados-y-otras-estrategias/violencia-sexual</b:URL>
    <b:RefOrder>9</b:RefOrder>
  </b:Source>
  <b:Source>
    <b:Tag>Min18</b:Tag>
    <b:SourceType>DocumentFromInternetSite</b:SourceType>
    <b:Guid>{FAC43F15-B369-45C8-825F-DB5853DD4F93}</b:Guid>
    <b:Title>Política Publica para la Prevención y Erradicación de la Explotación Sexual Comercial de Niñas, Niños y Adolescentes- ESCNNA</b:Title>
    <b:InternetSiteTitle>MinTrabajo</b:InternetSiteTitle>
    <b:Year>2018</b:Year>
    <b:URL>https://www.mintrabajo.gov.co/web/guest/politica-publica-para-la-prevencion-y-erradicacion-de-la-explotacion-sexual-comercial-de-ninas-ninos-y-adolescentes</b:URL>
    <b:Author>
      <b:Author>
        <b:Corporate>Ministerio de Trabajo</b:Corporate>
      </b:Author>
    </b:Author>
    <b:RefOrder>10</b:RefOrder>
  </b:Source>
  <b:Source>
    <b:Tag>Placeholder2</b:Tag>
    <b:SourceType>DocumentFromInternetSite</b:SourceType>
    <b:Guid>{9B64AFE5-B489-42F2-A31D-A89FEC0B0F47}</b:Guid>
    <b:RefOrder>37</b:RefOrder>
  </b:Source>
  <b:Source>
    <b:Tag>Min20</b:Tag>
    <b:SourceType>InternetSite</b:SourceType>
    <b:Guid>{5758786C-9949-4691-898B-C85F38CAB418}</b:Guid>
    <b:Title>Informes Estadísticos</b:Title>
    <b:InternetSiteTitle>Trata de Personas</b:InternetSiteTitle>
    <b:Year>2020</b:Year>
    <b:Month>Diciembre</b:Month>
    <b:Day>10</b:Day>
    <b:URL>http://tratadepersonas.mininterior.gov.co/observatorio-del-delito-trata-de-personas/informes-estadisticos</b:URL>
    <b:Author>
      <b:Author>
        <b:Corporate>Ministerio del Interior</b:Corporate>
      </b:Author>
    </b:Author>
    <b:RefOrder>11</b:RefOrder>
  </b:Source>
  <b:Source>
    <b:Tag>ONI16</b:Tag>
    <b:SourceType>InternetSite</b:SourceType>
    <b:Guid>{BBC6A51F-80E1-46B1-BAB1-CAAAE7D8F7C5}</b:Guid>
    <b:Author>
      <b:Author>
        <b:Corporate>ONIC</b:Corporate>
      </b:Author>
    </b:Author>
    <b:Title>Hoy 8 de Febrero Día Internacional 'Cero contra la Mutilación Genital Femenina'</b:Title>
    <b:InternetSiteTitle>ONIC Noticias</b:InternetSiteTitle>
    <b:Year>2016</b:Year>
    <b:URL>https://www.onic.org.co/noticias/937-hoy-8-de-febrero-dia-internacional-cero-contra-la-mutilacion-genital-femenina</b:URL>
    <b:RefOrder>12</b:RefOrder>
  </b:Source>
  <b:Source>
    <b:Tag>ONI20</b:Tag>
    <b:SourceType>InternetSite</b:SourceType>
    <b:Guid>{E9BFCE78-903D-455A-8F6E-9C93F715A451}</b:Guid>
    <b:Author>
      <b:Author>
        <b:Corporate>ONIC</b:Corporate>
      </b:Author>
    </b:Author>
    <b:Title>Día Internacional de Tolerancia Cero con la Mutilación Genital Femenina</b:Title>
    <b:InternetSiteTitle>ONIC noticias</b:InternetSiteTitle>
    <b:Year>2020</b:Year>
    <b:Month>Febrero</b:Month>
    <b:Day>6</b:Day>
    <b:URL>https://www.onic.org.co/comunicados-onic/3608-dia-internacional-de-tolerancia-cero-con-la-mutilacion-genital-femenina-2</b:URL>
    <b:RefOrder>13</b:RefOrder>
  </b:Source>
  <b:Source>
    <b:Tag>SIS20</b:Tag>
    <b:SourceType>DocumentFromInternetSite</b:SourceType>
    <b:Guid>{4309A13A-932C-43A8-B48C-5B26CEAB93A4}</b:Guid>
    <b:Title>Violencias hacia las Mujeres y Niñas en Colombia durante el 2019-2020</b:Title>
    <b:InternetSiteTitle>Sisma Mujer</b:InternetSiteTitle>
    <b:Year>2020</b:Year>
    <b:URL>https://www.sismamujer.org/wp-content/uploads/2021/01/Boleti%CC%81n-22-3.pdf</b:URL>
    <b:Author>
      <b:Author>
        <b:Corporate>SISMA Mujer</b:Corporate>
      </b:Author>
    </b:Author>
    <b:RefOrder>38</b:RefOrder>
  </b:Source>
  <b:Source>
    <b:Tag>INP20</b:Tag>
    <b:SourceType>DocumentFromInternetSite</b:SourceType>
    <b:Guid>{ED80B3CF-7FA3-48BC-8FD5-F857592419A0}</b:Guid>
    <b:Author>
      <b:Author>
        <b:Corporate>INPEC</b:Corporate>
      </b:Author>
    </b:Author>
    <b:Title>Situación demográfica penitenciaria y carcelaria de las mujeres privadas de la libertad</b:Title>
    <b:InternetSiteTitle>INPEC</b:InternetSiteTitle>
    <b:Year>2020</b:Year>
    <b:URL>https://www.minjusticia.gov.co/Sala-de-prensa/PublicacionesMinJusticia/CAPSULA%20MUJERES%20PRIVADAS%20DE%20LA%20LIBERTAD.pdf</b:URL>
    <b:RefOrder>14</b:RefOrder>
  </b:Source>
  <b:Source>
    <b:Tag>PNU18</b:Tag>
    <b:SourceType>Report</b:SourceType>
    <b:Guid>{429EC4EC-080D-4792-80BD-55FCD3CB1A99}</b:Guid>
    <b:Author>
      <b:Author>
        <b:Corporate>PNUD</b:Corporate>
      </b:Author>
    </b:Author>
    <b:Title>Balance de la Participación Política de las Mujeres en las Elecciones Legislativas 2018</b:Title>
    <b:Year>2018</b:Year>
    <b:Publisher>Programa de las Naciones Unidas para el Desarrollo</b:Publisher>
    <b:City>Bogotá</b:City>
    <b:RefOrder>32</b:RefOrder>
  </b:Source>
  <b:Source>
    <b:Tag>Pre20</b:Tag>
    <b:SourceType>InternetSite</b:SourceType>
    <b:Guid>{31D1D12F-51C8-49BF-9298-1714E1BB0B47}</b:Guid>
    <b:Author>
      <b:Author>
        <b:Corporate>Presidencia de la Republica</b:Corporate>
      </b:Author>
    </b:Author>
    <b:Title>Proyecto de decreto Sistema Nacional de Mujeres</b:Title>
    <b:Year>2020</b:Year>
    <b:City>Bogotá</b:City>
    <b:InternetSiteTitle>Presidencia de la Republica.gov.co</b:InternetSiteTitle>
    <b:URL>https://dapre.presidencia.gov.co/AtencionCiudadana/convocatorias-consultas/consulta-proyecto-decreto-sistema-nacional-mujeres-210310</b:URL>
    <b:RefOrder>3</b:RefOrder>
  </b:Source>
  <b:Source>
    <b:Tag>UAB17</b:Tag>
    <b:SourceType>Report</b:SourceType>
    <b:Guid>{3F446D14-1DE5-417A-95BE-06F3C25EB80B}</b:Guid>
    <b:Author>
      <b:Author>
        <b:Corporate>UAB</b:Corporate>
      </b:Author>
    </b:Author>
    <b:Title>Movimiento en Colombia: la voz de la diversidad de Género, logros y desafíos</b:Title>
    <b:Year>2017</b:Year>
    <b:Publisher>Universidad Autonoma de Bucaramanga</b:Publisher>
    <b:City>Bucaramanga</b:City>
    <b:RefOrder>4</b:RefOrder>
  </b:Source>
  <b:Source>
    <b:Tag>Min21</b:Tag>
    <b:SourceType>InternetSite</b:SourceType>
    <b:Guid>{8C5354E3-D9C5-47B5-83ED-E9092CC78365}</b:Guid>
    <b:Title> Cifras de aseguramiento en salud</b:Title>
    <b:InternetSiteTitle>MinSalud</b:InternetSiteTitle>
    <b:Year>2021</b:Year>
    <b:URL>https://www.minsalud.gov.co/proteccionsocial/Paginas/cifras-aseguramiento-salud.aspx</b:URL>
    <b:Author>
      <b:Author>
        <b:Corporate>Ministerio de Salud y Protección Social</b:Corporate>
      </b:Author>
    </b:Author>
    <b:RefOrder>16</b:RefOrder>
  </b:Source>
  <b:Source>
    <b:Tag>Min181</b:Tag>
    <b:SourceType>DocumentFromInternetSite</b:SourceType>
    <b:Guid>{6A3AF33E-F367-4B77-9111-9C95D3C6BFD9}</b:Guid>
    <b:Author>
      <b:Author>
        <b:Corporate>Ministerio de Salud y Protección Social</b:Corporate>
      </b:Author>
    </b:Author>
    <b:Title>Indicadores básicos de salud 2018 Situación de Salud en Colombia</b:Title>
    <b:InternetSiteTitle>MinSalud</b:InternetSiteTitle>
    <b:Year>2018</b:Year>
    <b:URL>https://www.minsalud.gov.co/sites/rid/Lists/BibliotecaDigital/RIDE/VS/ED/GCFI/indicadores-basicos-salud-2018.pdf</b:URL>
    <b:RefOrder>17</b:RefOrder>
  </b:Source>
  <b:Source>
    <b:Tag>Ins17</b:Tag>
    <b:SourceType>DocumentFromInternetSite</b:SourceType>
    <b:Guid>{80340D70-4876-4203-B0CD-7040333362AC}</b:Guid>
    <b:Author>
      <b:Author>
        <b:Corporate>Instituto Nacional de Salud</b:Corporate>
      </b:Author>
    </b:Author>
    <b:Title>Informe de Evento por Virus Zika, Colombia</b:Title>
    <b:InternetSiteTitle>Instituo Nacional de Salud</b:InternetSiteTitle>
    <b:Year>2017</b:Year>
    <b:URL>https://www.ins.gov.co/buscador-eventos/Informesdeevento/ZIKA%202017.pdf</b:URL>
    <b:RefOrder>18</b:RefOrder>
  </b:Source>
  <b:Source>
    <b:Tag>Ins191</b:Tag>
    <b:SourceType>DocumentFromInternetSite</b:SourceType>
    <b:Guid>{AED178D8-0901-47EB-8AF1-BCD35711E580}</b:Guid>
    <b:Author>
      <b:Author>
        <b:Corporate>Instituto Nacional de Salud</b:Corporate>
      </b:Author>
    </b:Author>
    <b:Title>Boletín Semanal N°30</b:Title>
    <b:InternetSiteTitle>Instituo Nacional de Salud</b:InternetSiteTitle>
    <b:Year>2019</b:Year>
    <b:URL>https://www.ins.gov.co/buscador-eventos/BoletinEpidemiologico/2019%20Bolet%C3%ADn%20epidemiol%C3%B3gico%20semana%2030.pdf</b:URL>
    <b:RefOrder>19</b:RefOrder>
  </b:Source>
  <b:Source>
    <b:Tag>ICF18</b:Tag>
    <b:SourceType>Report</b:SourceType>
    <b:Guid>{363188F3-8250-124A-B70B-57A608FFEDF0}</b:Guid>
    <b:Author>
      <b:Author>
        <b:Corporate>ICFES</b:Corporate>
      </b:Author>
    </b:Author>
    <b:Title>Informe Nacional de resultados para Colombia - PISA 2018</b:Title>
    <b:City>Bogotá D.C.</b:City>
    <b:Publisher>Ministerio de Educación Nacional</b:Publisher>
    <b:Year>2018</b:Year>
    <b:RefOrder>25</b:RefOrder>
  </b:Source>
  <b:Source>
    <b:Tag>UNE18</b:Tag>
    <b:SourceType>InternetSite</b:SourceType>
    <b:Guid>{FE1B922C-8075-9847-B6CA-6CE40941D12A}</b:Guid>
    <b:Title>Datosmacro.com</b:Title>
    <b:Year>2018</b:Year>
    <b:Author>
      <b:Author>
        <b:Corporate>UNESCO</b:Corporate>
      </b:Author>
    </b:Author>
    <b:URL>https://datosmacro.expansion.com/demografia/tasa-alfabetizacion/colombia</b:URL>
    <b:Month>junio</b:Month>
    <b:Day>18</b:Day>
    <b:RefOrder>26</b:RefOrder>
  </b:Source>
  <b:Source>
    <b:Tag>DAN18a</b:Tag>
    <b:SourceType>Report</b:SourceType>
    <b:Guid>{3E4DFE11-0D8C-3E4E-83D2-5B986A4B8489}</b:Guid>
    <b:Title>Boletín técnico educación formal</b:Title>
    <b:Year>2018b</b:Year>
    <b:Author>
      <b:Author>
        <b:Corporate>DANE</b:Corporate>
      </b:Author>
    </b:Author>
    <b:Publisher>Departamento Administrativo Nacional de Estadística</b:Publisher>
    <b:City>Bogotá</b:City>
    <b:RefOrder>27</b:RefOrder>
  </b:Source>
  <b:Source>
    <b:Tag>DAN20</b:Tag>
    <b:SourceType>Report</b:SourceType>
    <b:Guid>{C0596019-9848-784E-A9B6-DBDEBECEF451}</b:Guid>
    <b:Author>
      <b:Author>
        <b:Corporate>DANE</b:Corporate>
      </b:Author>
    </b:Author>
    <b:Title>Boletín Técnico Educación Formal (EDUC) 2020</b:Title>
    <b:Publisher>Departamento Administrativo Nacional de Estadística</b:Publisher>
    <b:City>Bogotá</b:City>
    <b:Year>2020</b:Year>
    <b:RefOrder>28</b:RefOrder>
  </b:Source>
  <b:Source>
    <b:Tag>ONU181</b:Tag>
    <b:SourceType>Report</b:SourceType>
    <b:Guid>{B4CE51E8-22CF-4FC0-AAF2-13EB774D95BA}</b:Guid>
    <b:Author>
      <b:Author>
        <b:Corporate>ONU Mujeres</b:Corporate>
      </b:Author>
    </b:Author>
    <b:Title>100 MEDIDAS QUE INCORPORAN LA PERSPECTIVA DE GÉNERO EN EL ACUERDO DE PAZ EN COLOMBIA</b:Title>
    <b:Year>2018</b:Year>
    <b:RefOrder>15</b:RefOrder>
  </b:Source>
  <b:Source>
    <b:Tag>DAN191</b:Tag>
    <b:SourceType>Report</b:SourceType>
    <b:Guid>{F28D6728-11FD-E447-8BFC-7AF636276EED}</b:Guid>
    <b:Author>
      <b:Author>
        <b:NameList>
          <b:Person>
            <b:Last>Herrera- Idarraga</b:Last>
            <b:First>Paula</b:First>
          </b:Person>
          <b:Person>
            <b:Last>Tribin</b:Last>
            <b:Middle>Maria</b:Middle>
            <b:First>Ana </b:First>
          </b:Person>
          <b:Person>
            <b:Last>DANE</b:Last>
          </b:Person>
        </b:NameList>
      </b:Author>
    </b:Author>
    <b:Title>COVID 19 Brechas de Género en el Mercado Laboral</b:Title>
    <b:Publisher>Departamento Administrativo Nacional de Estadística</b:Publisher>
    <b:City>Bogotá D.C.</b:City>
    <b:Year>2019</b:Year>
    <b:RefOrder>29</b:RefOrder>
  </b:Source>
  <b:Source>
    <b:Tag>DAN201</b:Tag>
    <b:SourceType>Report</b:SourceType>
    <b:Guid>{DC69985A-89AA-6C42-9F0C-388E698B3EF7}</b:Guid>
    <b:Author>
      <b:Author>
        <b:Corporate>DANE</b:Corporate>
      </b:Author>
    </b:Author>
    <b:Title>Participación de las mujeres colombianas en el mercado laboral</b:Title>
    <b:Publisher>Departamento Administrativo Nacional de Estadística</b:Publisher>
    <b:City>Bogotá D.C.</b:City>
    <b:Year>2020b</b:Year>
    <b:RefOrder>30</b:RefOrder>
  </b:Source>
  <b:Source>
    <b:Tag>Dir18</b:Tag>
    <b:SourceType>Report</b:SourceType>
    <b:Guid>{555271D4-87D8-4649-933C-62F3B6D43F8F}</b:Guid>
    <b:Author>
      <b:Author>
        <b:Corporate>Dirección de Mujer Rural, Ministerio de Agricultura de Colombia</b:Corporate>
      </b:Author>
    </b:Author>
    <b:Title>Situación de las mujeres rurales en Colombia</b:Title>
    <b:Year>2018</b:Year>
    <b:City>Bogotá</b:City>
    <b:Publisher>Ministerio de Agricultura y Desarrollo Rural</b:Publisher>
    <b:RefOrder>31</b:RefOrder>
  </b:Source>
  <b:Source>
    <b:Tag>Onu18</b:Tag>
    <b:SourceType>ArticleInAPeriodical</b:SourceType>
    <b:Guid>{479571FD-C3A4-4F1E-A7B7-C73F9D505D64}</b:Guid>
    <b:Author>
      <b:Author>
        <b:Corporate>Onu Mujeres</b:Corporate>
      </b:Author>
    </b:Author>
    <b:Title>El progreso de las mujeres en Colombia</b:Title>
    <b:Year>2018</b:Year>
    <b:RefOrder>33</b:RefOrder>
  </b:Source>
  <b:Source>
    <b:Tag>DAN19</b:Tag>
    <b:SourceType>Report</b:SourceType>
    <b:Guid>{F9B69424-CE75-425A-AF09-A82645FB5A61}</b:Guid>
    <b:Title>Encuesta Nacional de Consumo de Sustancias Psicoactivas.</b:Title>
    <b:Year>2019</b:Year>
    <b:URL>https://www.dane.gov.co/files/investigaciones/boletines/encspa/bt-encspa-2019.pdf</b:URL>
    <b:Author>
      <b:Author>
        <b:Corporate>DANE</b:Corporate>
      </b:Author>
    </b:Author>
    <b:City>Colombia</b:City>
    <b:RefOrder>20</b:RefOrder>
  </b:Source>
  <b:Source>
    <b:Tag>Min182</b:Tag>
    <b:SourceType>Report</b:SourceType>
    <b:Guid>{A884C646-D93A-4BB4-B3BC-8DC52565C1C0}</b:Guid>
    <b:Author>
      <b:Author>
        <b:Corporate>Ministerio de Salud y Protección Social</b:Corporate>
      </b:Author>
    </b:Author>
    <b:Title>INFORME DE EVENTO CÁNCER DE MAMA Y CUELLO UTERINO</b:Title>
    <b:Year>2018</b:Year>
    <b:City>Colombia</b:City>
    <b:URL>https://www.ins.gov.co/buscador-eventos/Informesdeevento/C%C3%81NCER%20DE%20MAMA%20Y%20CUELLO%20UTERINO_2018.pdf</b:URL>
    <b:RefOrder>21</b:RefOrder>
  </b:Source>
  <b:Source>
    <b:Tag>Min16</b:Tag>
    <b:SourceType>Report</b:SourceType>
    <b:Guid>{851E7823-A1E5-4184-9C54-32517B048F54}</b:Guid>
    <b:Author>
      <b:Author>
        <b:Corporate>Ministerio de Salud y Protección Social</b:Corporate>
      </b:Author>
    </b:Author>
    <b:Title>Conocimiento y uso de los métodos anticonceptivos entre los colombianos</b:Title>
    <b:Year>2016</b:Year>
    <b:City>Colombia</b:City>
    <b:URL>https://www.minsalud.gov.co/Documents/General/20161212_B_ENDS%202015_Metodos_anticonceptivos.pdf</b:URL>
    <b:RefOrder>22</b:RefOrder>
  </b:Source>
  <b:Source>
    <b:Tag>SIS19</b:Tag>
    <b:SourceType>InternetSite</b:SourceType>
    <b:Guid>{4D437E2B-40F1-4390-9797-9233AA8964DB}</b:Guid>
    <b:Title>Reporte ASIS</b:Title>
    <b:Year>2019</b:Year>
    <b:Author>
      <b:Author>
        <b:Corporate>SISPRO</b:Corporate>
      </b:Author>
    </b:Author>
    <b:InternetSiteTitle>Sistema de Integrado de Información de la Protección Social</b:InternetSiteTitle>
    <b:URL>http://rssvr2.sispro.gov.co/reportesasis2/</b:URL>
    <b:RefOrder>23</b:RefOrder>
  </b:Source>
  <b:Source>
    <b:Tag>Ins192</b:Tag>
    <b:SourceType>InternetSite</b:SourceType>
    <b:Guid>{9B42EF6F-78CB-4DA0-9496-76437EBBE0F0}</b:Guid>
    <b:Author>
      <b:Author>
        <b:Corporate>Instituto Nacional de Salud</b:Corporate>
      </b:Author>
    </b:Author>
    <b:Title>INS revela qué tan bien o mal nutridos están los colombianos</b:Title>
    <b:InternetSiteTitle>Instituto Nacional de Salud</b:InternetSiteTitle>
    <b:Year>2019</b:Year>
    <b:URL>https://www.ins.gov.co/Noticias/Paginas/INS-revela-qu%C3%A9-tan-bien-o-mal-nutridos-est%C3%A1n-los-colombianos.aspx</b:URL>
    <b:RefOrder>24</b:RefOrder>
  </b:Source>
  <b:Source>
    <b:Tag>Con21</b:Tag>
    <b:SourceType>InternetSite</b:SourceType>
    <b:Guid>{65FB5B57-D64B-4551-94C3-6CC177545078}</b:Guid>
    <b:Author>
      <b:Author>
        <b:Corporate>Congreso de la República de Colombia</b:Corporate>
      </b:Author>
    </b:Author>
    <b:Title>Senado de la Republica</b:Title>
    <b:Year>2021</b:Year>
    <b:InternetSiteTitle>Comisión Legal para la Equidad de la Mujere</b:InternetSiteTitle>
    <b:Month>Junio</b:Month>
    <b:Day>25</b:Day>
    <b:URL>http://www.senado.gov.co/index.php/comisiones/comisiones-legales/equidad-de-la-mujer</b:URL>
    <b:RefOrder>39</b:RefOrder>
  </b:Source>
  <b:Source>
    <b:Tag>Ram</b:Tag>
    <b:SourceType>InternetSite</b:SourceType>
    <b:Guid>{DC268D94-3D96-4706-9B7C-4261B7481F0E}</b:Guid>
    <b:Author>
      <b:Author>
        <b:Corporate>Rama Judicial República de Colombia</b:Corporate>
      </b:Author>
    </b:Author>
    <b:Title>Rama Judicial</b:Title>
    <b:InternetSiteTitle>Comisión Nacional de Género de la Rama Judicial</b:InternetSiteTitle>
    <b:Year>2021</b:Year>
    <b:Month>Junio</b:Month>
    <b:Day>25</b:Day>
    <b:URL>https://www.ramajudicial.gov.co/web/comision-nacional-de-genero/presentacion</b:URL>
    <b:RefOrder>40</b:RefOrder>
  </b:Source>
  <b:Source>
    <b:Tag>Cor21</b:Tag>
    <b:SourceType>Report</b:SourceType>
    <b:Guid>{B7B984EF-E6CB-4404-9DCA-5E67B7904AE8}</b:Guid>
    <b:Title>Día Internacional por los derechos de las mujeres (8 de marzo de 2021)</b:Title>
    <b:Year>2021</b:Year>
    <b:Author>
      <b:Author>
        <b:Corporate>Corporación Sisma Mujer</b:Corporate>
      </b:Author>
    </b:Author>
    <b:Publisher>Carolina Mosquera Vera</b:Publisher>
    <b:City>Bogotá Colombia</b:City>
    <b:RefOrder>5</b:RefOrder>
  </b:Source>
  <b:Source>
    <b:Tag>ICB9b</b:Tag>
    <b:SourceType>Report</b:SourceType>
    <b:Guid>{28955A1E-1E66-46FC-9EC4-45D74DAE726D}</b:Guid>
    <b:Author>
      <b:Author>
        <b:Corporate>ICBF</b:Corporate>
      </b:Author>
    </b:Author>
    <b:Title>Violencias contra las niñas, niños y adolescentes en Colombia</b:Title>
    <b:Year>2019b</b:Year>
    <b:Publisher>Observatorio de Bienestar de la Niñez</b:Publisher>
    <b:RefOrder>10</b:RefOrder>
  </b:Source>
  <b:Source>
    <b:Tag>UAR18</b:Tag>
    <b:SourceType>Report</b:SourceType>
    <b:Guid>{E21B948A-2CDD-4D7F-9B25-08D8DD6FFC59}</b:Guid>
    <b:Author>
      <b:Author>
        <b:Corporate>UARIV</b:Corporate>
      </b:Author>
    </b:Author>
    <b:Title>Colombia: en 2018 hubo 243.547 víctimas del conflicto armado</b:Title>
    <b:Year>2018</b:Year>
    <b:City>Bogotá</b:City>
    <b:RefOrder>17</b:RefOrder>
  </b:Source>
  <b:Source>
    <b:Tag>SIS0b</b:Tag>
    <b:SourceType>Report</b:SourceType>
    <b:Guid>{8FFE37A8-2FD8-4D9A-A729-AB0B200830C5}</b:Guid>
    <b:Author>
      <b:Author>
        <b:Corporate>SISDHES</b:Corporate>
      </b:Author>
    </b:Author>
    <b:Title>El Desplazamiento Forzado no cesa en tiempos de COVID</b:Title>
    <b:Year>2020b</b:Year>
    <b:Publisher>SISTEMA DE INFORMACIÓN SOBRE DERECHOS HUMANOS Y DESPLAZAMIENTO</b:Publisher>
    <b:RefOrder>18</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4D96AAA2-0EE6-4D41-9471-AD0E3064D9AE}"/>
</file>

<file path=customXml/itemProps3.xml><?xml version="1.0" encoding="utf-8"?>
<ds:datastoreItem xmlns:ds="http://schemas.openxmlformats.org/officeDocument/2006/customXml" ds:itemID="{7B4239C3-093D-FE42-B76E-F434598C5737}"/>
</file>

<file path=customXml/itemProps4.xml><?xml version="1.0" encoding="utf-8"?>
<ds:datastoreItem xmlns:ds="http://schemas.openxmlformats.org/officeDocument/2006/customXml" ds:itemID="{1E5276CC-17AF-4A15-AD7C-65C96FB6C8E9}"/>
</file>

<file path=customXml/itemProps5.xml><?xml version="1.0" encoding="utf-8"?>
<ds:datastoreItem xmlns:ds="http://schemas.openxmlformats.org/officeDocument/2006/customXml" ds:itemID="{6890AEAB-285D-4F1A-9DAC-692D337177D7}"/>
</file>

<file path=docProps/app.xml><?xml version="1.0" encoding="utf-8"?>
<Properties xmlns="http://schemas.openxmlformats.org/officeDocument/2006/extended-properties" xmlns:vt="http://schemas.openxmlformats.org/officeDocument/2006/docPropsVTypes">
  <Template>Normal.dotm</Template>
  <TotalTime>134</TotalTime>
  <Pages>104</Pages>
  <Words>44982</Words>
  <Characters>247404</Characters>
  <Application>Microsoft Macintosh Word</Application>
  <DocSecurity>0</DocSecurity>
  <Lines>2061</Lines>
  <Paragraphs>583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Pinilla Orozco</dc:creator>
  <cp:keywords/>
  <dc:description/>
  <cp:lastModifiedBy>Chris</cp:lastModifiedBy>
  <cp:revision>14</cp:revision>
  <dcterms:created xsi:type="dcterms:W3CDTF">2021-07-23T06:04:00Z</dcterms:created>
  <dcterms:modified xsi:type="dcterms:W3CDTF">2021-07-28T18:18:00Z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