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94684" w14:textId="77777777" w:rsidR="00F32F6B" w:rsidRPr="00F32F6B" w:rsidRDefault="00F32F6B" w:rsidP="00F32F6B">
      <w:pPr>
        <w:jc w:val="center"/>
        <w:rPr>
          <w:rFonts w:asciiTheme="minorHAnsi" w:hAnsiTheme="minorHAnsi" w:cstheme="minorHAnsi"/>
          <w:color w:val="002060"/>
          <w:lang w:val="es-ES"/>
        </w:rPr>
      </w:pPr>
      <w:bookmarkStart w:id="0" w:name="_GoBack"/>
      <w:bookmarkEnd w:id="0"/>
      <w:r w:rsidRPr="00F32F6B">
        <w:rPr>
          <w:rFonts w:asciiTheme="minorHAnsi" w:hAnsiTheme="minorHAnsi" w:cstheme="minorHAnsi"/>
          <w:color w:val="002060"/>
          <w:lang w:val="es-ES"/>
        </w:rPr>
        <w:t>Plan de Acción sobre la Igualdad de Género III — 2021-2025</w:t>
      </w:r>
    </w:p>
    <w:p w14:paraId="0E7B748E" w14:textId="64778D67" w:rsidR="00F32F6B" w:rsidRPr="00F32F6B" w:rsidRDefault="00F32F6B" w:rsidP="00F32F6B">
      <w:pPr>
        <w:jc w:val="center"/>
        <w:rPr>
          <w:rFonts w:asciiTheme="minorHAnsi" w:hAnsiTheme="minorHAnsi" w:cstheme="minorHAnsi"/>
          <w:color w:val="002060"/>
          <w:lang w:val="es-ES"/>
        </w:rPr>
      </w:pPr>
      <w:r w:rsidRPr="00F32F6B">
        <w:rPr>
          <w:rFonts w:asciiTheme="minorHAnsi" w:hAnsiTheme="minorHAnsi" w:cstheme="minorHAnsi"/>
          <w:color w:val="002060"/>
          <w:lang w:val="es-ES"/>
        </w:rPr>
        <w:t>Plan de implementación a nivel nacional — CLIP ECUADOR</w:t>
      </w:r>
    </w:p>
    <w:p w14:paraId="73EADE5B" w14:textId="77777777" w:rsidR="00AB013C" w:rsidRPr="00F32F6B" w:rsidRDefault="00AB013C" w:rsidP="00AB013C">
      <w:pPr>
        <w:rPr>
          <w:rFonts w:asciiTheme="minorHAnsi" w:hAnsiTheme="minorHAnsi" w:cstheme="minorHAnsi"/>
          <w:color w:val="002060"/>
          <w:lang w:val="es-ES_tradnl"/>
        </w:rPr>
      </w:pPr>
    </w:p>
    <w:p w14:paraId="553118E4" w14:textId="5794D099" w:rsidR="000B1AB0" w:rsidRPr="00F32F6B" w:rsidRDefault="000B1AB0" w:rsidP="00E303B3">
      <w:pPr>
        <w:ind w:left="720" w:hanging="720"/>
        <w:rPr>
          <w:rFonts w:asciiTheme="minorHAnsi" w:hAnsiTheme="minorHAnsi" w:cstheme="minorHAnsi"/>
          <w:color w:val="002060"/>
          <w:lang w:val="es-ES"/>
        </w:rPr>
      </w:pPr>
    </w:p>
    <w:p w14:paraId="03135B65" w14:textId="18A5F50E" w:rsidR="000B1AB0" w:rsidRPr="00F32F6B" w:rsidRDefault="000B1AB0" w:rsidP="00E303B3">
      <w:pPr>
        <w:ind w:left="720" w:hanging="720"/>
        <w:rPr>
          <w:rFonts w:asciiTheme="minorHAnsi" w:hAnsiTheme="minorHAnsi" w:cstheme="minorHAnsi"/>
          <w:color w:val="002060"/>
          <w:lang w:val="es-ES"/>
        </w:rPr>
      </w:pPr>
    </w:p>
    <w:p w14:paraId="31B6D8E1" w14:textId="19E615D2" w:rsidR="000B1AB0" w:rsidRPr="00F32F6B" w:rsidRDefault="00F32F6B" w:rsidP="00A542FD">
      <w:pPr>
        <w:pStyle w:val="ListParagraph"/>
        <w:numPr>
          <w:ilvl w:val="0"/>
          <w:numId w:val="4"/>
        </w:numPr>
        <w:rPr>
          <w:rFonts w:asciiTheme="minorHAnsi" w:hAnsiTheme="minorHAnsi" w:cstheme="minorHAnsi"/>
          <w:color w:val="002060"/>
          <w:lang w:val="es-ES"/>
        </w:rPr>
      </w:pPr>
      <w:r w:rsidRPr="00F32F6B">
        <w:rPr>
          <w:rFonts w:asciiTheme="minorHAnsi" w:hAnsiTheme="minorHAnsi" w:cstheme="minorHAnsi"/>
          <w:color w:val="002060"/>
          <w:lang w:val="es-ES"/>
        </w:rPr>
        <w:t>Contexto de la acción de la UE en materia de igualdad de género y empoderamiento de las mujeres en el país</w:t>
      </w:r>
    </w:p>
    <w:p w14:paraId="4EB46512" w14:textId="77777777" w:rsidR="004666AD" w:rsidRDefault="004666AD" w:rsidP="00437B62">
      <w:pPr>
        <w:spacing w:line="276" w:lineRule="auto"/>
        <w:ind w:hanging="2"/>
        <w:jc w:val="both"/>
        <w:rPr>
          <w:rFonts w:asciiTheme="majorHAnsi" w:hAnsiTheme="majorHAnsi" w:cstheme="majorHAnsi"/>
          <w:color w:val="002060"/>
          <w:sz w:val="22"/>
          <w:szCs w:val="22"/>
          <w:lang w:val="es-ES_tradnl"/>
        </w:rPr>
      </w:pPr>
    </w:p>
    <w:p w14:paraId="76A5CE4F" w14:textId="77777777" w:rsidR="004666AD" w:rsidRDefault="004666AD" w:rsidP="00437B62">
      <w:pPr>
        <w:spacing w:line="276" w:lineRule="auto"/>
        <w:ind w:hanging="2"/>
        <w:jc w:val="both"/>
        <w:rPr>
          <w:rFonts w:asciiTheme="majorHAnsi" w:hAnsiTheme="majorHAnsi" w:cstheme="majorHAnsi"/>
          <w:color w:val="002060"/>
          <w:sz w:val="22"/>
          <w:szCs w:val="22"/>
          <w:lang w:val="es-ES_tradnl"/>
        </w:rPr>
      </w:pPr>
    </w:p>
    <w:p w14:paraId="6EC1D207" w14:textId="77777777" w:rsidR="004666AD" w:rsidRPr="004666AD" w:rsidRDefault="004666AD" w:rsidP="004666AD">
      <w:pPr>
        <w:spacing w:line="276" w:lineRule="auto"/>
        <w:ind w:firstLine="720"/>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En marzo 2021 arrancó la Iniciativa UE Spotlight que se implementa por ONU mujeres y que contribuirá al avance en materia de género trabajando de la mano con el Gobierno y la Sociedad Civil. Distintos esfuerzos de otros donantes y agencias europeas se traducen en apoyo al gobierno para la implementación de la Ley Orgánica Integral para prevenir y erradicar la Violencia contra las Mujeres, así como a partir de apoyo directo a la sociedad civil a través de convocatorias que priorizan la igualdad, el empoderamiento y la lucha contra toda forma de discriminación y violencia.</w:t>
      </w:r>
    </w:p>
    <w:p w14:paraId="1CA3436B" w14:textId="77777777" w:rsidR="004666AD" w:rsidRPr="004666AD" w:rsidRDefault="004666AD" w:rsidP="004666AD">
      <w:pPr>
        <w:spacing w:line="276" w:lineRule="auto"/>
        <w:jc w:val="both"/>
        <w:rPr>
          <w:rFonts w:asciiTheme="majorHAnsi" w:hAnsiTheme="majorHAnsi" w:cstheme="majorHAnsi"/>
          <w:color w:val="002060"/>
          <w:sz w:val="22"/>
          <w:szCs w:val="22"/>
          <w:lang w:val="es-ES_tradnl"/>
        </w:rPr>
      </w:pPr>
    </w:p>
    <w:p w14:paraId="30F94BF5" w14:textId="07CF7F1C" w:rsidR="004666AD" w:rsidRPr="004666AD" w:rsidRDefault="004666AD" w:rsidP="004666AD">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La igualdad de género es un valor fundamental y una prioridad política para la UE en todos los ámbitos. </w:t>
      </w:r>
    </w:p>
    <w:p w14:paraId="651B98CD" w14:textId="77777777" w:rsidR="004666AD" w:rsidRDefault="004666AD" w:rsidP="00437B62">
      <w:pPr>
        <w:spacing w:line="276" w:lineRule="auto"/>
        <w:ind w:hanging="2"/>
        <w:jc w:val="both"/>
        <w:rPr>
          <w:rFonts w:asciiTheme="majorHAnsi" w:hAnsiTheme="majorHAnsi" w:cstheme="majorHAnsi"/>
          <w:color w:val="002060"/>
          <w:sz w:val="22"/>
          <w:szCs w:val="22"/>
          <w:lang w:val="es-ES_tradnl"/>
        </w:rPr>
      </w:pPr>
    </w:p>
    <w:p w14:paraId="0D655EDA" w14:textId="61A4E448" w:rsidR="00437B62" w:rsidRDefault="00437B62" w:rsidP="009C4453">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Los derechos de las mujeres en el Ecuador se consolidan como una lucha dentro de los movimientos de izquierda en la región. Es importante recordar que el proceso de consolidación de las democracias en América Latina y el Caribe, tuvo un periodo extendido de dictaduras conservadoras, que afectaron la articulación del movimiento social, sobre todo entre los años 50 y 80 </w:t>
      </w:r>
      <w:r w:rsidRPr="004666AD">
        <w:rPr>
          <w:rFonts w:asciiTheme="majorHAnsi" w:hAnsiTheme="majorHAnsi" w:cstheme="majorHAnsi"/>
          <w:color w:val="002060"/>
          <w:sz w:val="22"/>
          <w:szCs w:val="22"/>
          <w:lang w:val="es-ES_tradnl"/>
        </w:rPr>
        <w:fldChar w:fldCharType="begin"/>
      </w:r>
      <w:r w:rsidRPr="004666AD">
        <w:rPr>
          <w:rFonts w:asciiTheme="majorHAnsi" w:hAnsiTheme="majorHAnsi" w:cstheme="majorHAnsi"/>
          <w:color w:val="002060"/>
          <w:sz w:val="22"/>
          <w:szCs w:val="22"/>
          <w:lang w:val="es-ES_tradnl"/>
        </w:rPr>
        <w:instrText xml:space="preserve"> ADDIN ZOTERO_ITEM CSL_CITATION {"citationID":"aCCjbQvV","properties":{"formattedCitation":"(Restrepo, 2016)","plainCitation":"(Restrepo, 2016)","noteIndex":0},"citationItems":[{"id":74,"uris":["http://zotero.org/users/local/LKorTKFc/items/ER89AZXF"],"uri":["http://zotero.org/users/local/LKorTKFc/items/ER89AZXF"],"itemData":{"id":74,"type":"article","publisher":"Tesis Doctora en Estudios Latinoamericanos, UNAM, México","title":"Tras los rastros del proyecto sociopolítico feminista: Encuentros Feministas Latinoamericanos y del Caribe 1981-2014.","author":[{"family":"Restrepo","given":"Laura"}],"issued":{"date-parts":[["2016"]]}}}],"schema":"https://github.com/citation-style-language/schema/raw/master/csl-citation.json"} </w:instrText>
      </w:r>
      <w:r w:rsidRPr="004666AD">
        <w:rPr>
          <w:rFonts w:asciiTheme="majorHAnsi" w:hAnsiTheme="majorHAnsi" w:cstheme="majorHAnsi"/>
          <w:color w:val="002060"/>
          <w:sz w:val="22"/>
          <w:szCs w:val="22"/>
          <w:lang w:val="es-ES_tradnl"/>
        </w:rPr>
        <w:fldChar w:fldCharType="separate"/>
      </w:r>
      <w:r w:rsidRPr="004666AD">
        <w:rPr>
          <w:rFonts w:asciiTheme="majorHAnsi" w:hAnsiTheme="majorHAnsi" w:cstheme="majorHAnsi"/>
          <w:noProof/>
          <w:color w:val="002060"/>
          <w:sz w:val="22"/>
          <w:szCs w:val="22"/>
          <w:lang w:val="es-ES_tradnl"/>
        </w:rPr>
        <w:t>(Restrepo, 2016)</w:t>
      </w:r>
      <w:r w:rsidRPr="004666AD">
        <w:rPr>
          <w:rFonts w:asciiTheme="majorHAnsi" w:hAnsiTheme="majorHAnsi" w:cstheme="majorHAnsi"/>
          <w:color w:val="002060"/>
          <w:sz w:val="22"/>
          <w:szCs w:val="22"/>
          <w:lang w:val="es-ES_tradnl"/>
        </w:rPr>
        <w:fldChar w:fldCharType="end"/>
      </w:r>
      <w:r w:rsidRPr="004666AD">
        <w:rPr>
          <w:rFonts w:asciiTheme="majorHAnsi" w:hAnsiTheme="majorHAnsi" w:cstheme="majorHAnsi"/>
          <w:color w:val="002060"/>
          <w:sz w:val="22"/>
          <w:szCs w:val="22"/>
          <w:lang w:val="es-ES_tradnl"/>
        </w:rPr>
        <w:t xml:space="preserve">. </w:t>
      </w:r>
    </w:p>
    <w:p w14:paraId="0DD6942C" w14:textId="77777777" w:rsidR="009C4453" w:rsidRPr="004666AD" w:rsidRDefault="009C4453" w:rsidP="009C4453">
      <w:pPr>
        <w:spacing w:line="276" w:lineRule="auto"/>
        <w:ind w:hanging="2"/>
        <w:jc w:val="both"/>
        <w:rPr>
          <w:rFonts w:asciiTheme="majorHAnsi" w:hAnsiTheme="majorHAnsi" w:cstheme="majorHAnsi"/>
          <w:color w:val="002060"/>
          <w:sz w:val="22"/>
          <w:szCs w:val="22"/>
          <w:lang w:val="es-ES_tradnl"/>
        </w:rPr>
      </w:pPr>
    </w:p>
    <w:p w14:paraId="04F4960F"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Fue apenas hacia finales de los años 80 en que se empiezan a consolidar políticas a favor del avance de los derechos de las mujeres, impulsados por las organizaciones de mujeres conformadas en esa década, cuya lucha logró incidir en espacios de política internacional, desde donde se lograron establecer estándares exigentes para los gobiernos; en esto se destaca en particular la aprobación y ratificación de la Convención para la Eliminación de todas las formas de Discriminación a la Mujer (CEDAW), años más tarde el Ecuador se adhiere a la Convención Interamericana para Prevenir, Sancionar y Erradicar la Violencia contra la Mujer (Belém do Pará) y suscribe  la Plataforma de Acción de Beijing, estos dos instrumentos en 1995.</w:t>
      </w:r>
    </w:p>
    <w:p w14:paraId="362D6E27"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p>
    <w:p w14:paraId="07E7AA8F"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Para el Ecuador, los años 90 marcaron un hito respecto a los derechos de las mujeres en la gobernanza nacional. En 1994 se crean las Comisarías de la Mujer y en 1995 se aprueba la Ley contra la Violencia a la Mujer y la Familia, conocida hasta ahora como la Ley 103; dicha normativa reconocía a la violencia intrafamiliar como un problema público y que trascendía el espacio privado. En este mismo año se aprueba la Ley de Maternidad Gratuita y Atención a la infancia y con ello se formaban los “Comités de Usuarias” primer espacio de vigilancia a la implementación a la normativa y a la política pública de salud, y se promueve la participación ciudadana de las mujeres. </w:t>
      </w:r>
    </w:p>
    <w:p w14:paraId="5D86E200"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1A9900BB"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Para finales de la década de los 90, el Ecuador marca uno de sus grandes hitos el cual fue la consolidación de una institucionalidad pública que garantice la igualdad de género, con la creación del Mecanismo de la Mujer, llamado en ese momento, Consejo Nacional de las Mujeres (CONAMU), creado en 1997, bajo Decreto Ejecutivo. Este mismo año se logró la aprobación de la Ley de Amparo Laboral, en la que se planteó la primera acción afirmativa del 20% de cuota en mujeres en juzgados y notarías.</w:t>
      </w:r>
    </w:p>
    <w:p w14:paraId="5BA9E0E0" w14:textId="3E4C1828" w:rsidR="00437B62" w:rsidRPr="004666AD" w:rsidRDefault="00437B62" w:rsidP="004666AD">
      <w:pPr>
        <w:spacing w:before="240" w:after="240" w:line="276" w:lineRule="auto"/>
        <w:jc w:val="both"/>
        <w:rPr>
          <w:rFonts w:asciiTheme="majorHAnsi" w:hAnsiTheme="majorHAnsi" w:cstheme="majorHAnsi"/>
          <w:i/>
          <w:color w:val="002060"/>
          <w:sz w:val="22"/>
          <w:szCs w:val="22"/>
          <w:lang w:val="es-ES_tradnl"/>
        </w:rPr>
      </w:pPr>
      <w:r w:rsidRPr="004666AD">
        <w:rPr>
          <w:rFonts w:asciiTheme="majorHAnsi" w:hAnsiTheme="majorHAnsi" w:cstheme="majorHAnsi"/>
          <w:color w:val="002060"/>
          <w:sz w:val="22"/>
          <w:szCs w:val="22"/>
          <w:lang w:val="es-ES_tradnl"/>
        </w:rPr>
        <w:lastRenderedPageBreak/>
        <w:t xml:space="preserve">Cabe mencionar que paralelamente al tiempo en el que se lograba institucionalizar los compromisos por la lucha contra la violencia en el ámbito doméstico, dos años después de la implementación de la Ley 103, se despenaliza la homosexualidad (1997). </w:t>
      </w:r>
    </w:p>
    <w:p w14:paraId="2B892EC6" w14:textId="77777777" w:rsidR="00437B62" w:rsidRPr="004666AD" w:rsidRDefault="00437B62" w:rsidP="00437B62">
      <w:pPr>
        <w:spacing w:before="240" w:after="240"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En un siguiente momento en el trabajo por la erradicación de la violencia de género en el país, el Presidente de la República firmó el Decreto 620 el 10 de septiembre de 2007, mediante la cual dispone la construcción del Plan Nacional para la Erradicación de la Violencia de Género contra niñas, niños, adolescentes y mujeres. La implementación del PNEVG se destaca por la creación de la campaña “Reacciona Ecuador el Machismo es Violencia”, por la primera encuesta de violencia, y por la conformación de mesas provinciales para el seguimiento de casos y la definición de rutas de respuesta. Las acciones se orientaron en el marco de la violencia de género en el ámbito intrafamiliar.</w:t>
      </w:r>
    </w:p>
    <w:p w14:paraId="48D42E95" w14:textId="77777777" w:rsidR="00437B62" w:rsidRPr="004666AD" w:rsidRDefault="00437B62" w:rsidP="00437B62">
      <w:pPr>
        <w:spacing w:before="240" w:after="240"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Hasta el año 2013 existieron 20 comisarías de la mujer y la familia las cuales dependían del Ministerio de Gobierno, Policía y Cultos. Sus actuaciones eran de carácter administrativo, lo cual no les exigía aplicar estándares que se exigen en procesos judiciales, como son una reparación integral, el conocimiento de la verdad de los hechos y la restitución, indemnización, rehabilitación, garantía de no repetición y satisfacción del derecho violado. En el 2008 se aprobó la Constitución que se encuentra vigente hasta la fecha,  en la cual se determinaron disposiciones frente a las cuales la Ley 103 resultaban incompatible, considerando que las competencias de las Comisarías, parte del entonces Ministerio de Gobierno, debían pasar a la función judicial. El cambio principal que se contempló fue que la administración de justicia fuera exclusivamente de las y los jueces, con el fin de fortalecer la seguridad jurídica.</w:t>
      </w:r>
    </w:p>
    <w:p w14:paraId="0F0BDD01" w14:textId="0784F01C" w:rsidR="00437B62" w:rsidRPr="004666AD" w:rsidRDefault="00437B62" w:rsidP="00437B62">
      <w:pPr>
        <w:spacing w:line="276" w:lineRule="auto"/>
        <w:ind w:left="-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En este nuevo marco jurídico, el Consejo de la Judicatura, órgano de gobierno, administrativo y disciplinario de la Función Judicial</w:t>
      </w:r>
      <w:r w:rsidR="004666AD">
        <w:rPr>
          <w:rFonts w:asciiTheme="majorHAnsi" w:hAnsiTheme="majorHAnsi" w:cstheme="majorHAnsi"/>
          <w:color w:val="002060"/>
          <w:sz w:val="22"/>
          <w:szCs w:val="22"/>
          <w:lang w:val="es-ES_tradnl"/>
        </w:rPr>
        <w:t xml:space="preserve">, </w:t>
      </w:r>
      <w:r w:rsidRPr="004666AD">
        <w:rPr>
          <w:rFonts w:asciiTheme="majorHAnsi" w:hAnsiTheme="majorHAnsi" w:cstheme="majorHAnsi"/>
          <w:color w:val="002060"/>
          <w:sz w:val="22"/>
          <w:szCs w:val="22"/>
          <w:lang w:val="es-ES_tradnl"/>
        </w:rPr>
        <w:t>dispuso la creación de unidades judiciales especializadas en violencia contra la mujer y la familia, con competencia cantonal</w:t>
      </w:r>
      <w:r w:rsidR="004666AD">
        <w:rPr>
          <w:rFonts w:asciiTheme="majorHAnsi" w:hAnsiTheme="majorHAnsi" w:cstheme="majorHAnsi"/>
          <w:color w:val="002060"/>
          <w:sz w:val="22"/>
          <w:szCs w:val="22"/>
          <w:lang w:val="es-ES_tradnl"/>
        </w:rPr>
        <w:t>.</w:t>
      </w:r>
      <w:r w:rsidRPr="004666AD">
        <w:rPr>
          <w:rFonts w:asciiTheme="majorHAnsi" w:hAnsiTheme="majorHAnsi" w:cstheme="majorHAnsi"/>
          <w:color w:val="002060"/>
          <w:sz w:val="22"/>
          <w:szCs w:val="22"/>
          <w:lang w:val="es-ES_tradnl"/>
        </w:rPr>
        <w:t xml:space="preserve"> </w:t>
      </w:r>
    </w:p>
    <w:p w14:paraId="552A1ECB"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p>
    <w:p w14:paraId="4BEC2AC3" w14:textId="11FC14FA"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De este modo podemos ver que el ámbito jurídico-político desde el cual se ha trabajado con mayor énfasis la lucha contra la violencia de género, ha sido desde la legislatura, es decir mediante la elaboración de leyes que amplíen la respuesta punitiva del Estado. Es así que en el año 2014 entra en vigencia el Código Orgánico Integral Penal (COIP), en el cual se incorporan a como infracciones penales, las contravenciones; se amplía el tipo penal para incluir como víctimas o agresoras a todas las personas del núcleo familiar; y se incluyen los delitos de discriminación y femicidio. </w:t>
      </w:r>
    </w:p>
    <w:p w14:paraId="3E314C96"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p>
    <w:p w14:paraId="0453F6DB" w14:textId="77777777" w:rsidR="00437B62" w:rsidRPr="004666AD" w:rsidRDefault="00437B62" w:rsidP="00437B62">
      <w:pPr>
        <w:spacing w:line="276" w:lineRule="auto"/>
        <w:ind w:hanging="2"/>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Estas reformas buscan avanzar en la garantía de derechos, promoviendo la igualdad y no discriminación, tomando en cuenta que el Código Civil era una normativa que no había tenido reformas de fondo desde hace muchos años, pues mantenía normas del siglo XIX, en las cuales se había desconocido el espacio de deben ocupar las mujeres.</w:t>
      </w:r>
    </w:p>
    <w:p w14:paraId="2431D34D" w14:textId="77777777" w:rsidR="00437B62" w:rsidRPr="004666AD" w:rsidRDefault="00437B62" w:rsidP="00437B62">
      <w:pPr>
        <w:ind w:hanging="2"/>
        <w:jc w:val="both"/>
        <w:rPr>
          <w:rFonts w:asciiTheme="majorHAnsi" w:hAnsiTheme="majorHAnsi" w:cstheme="majorHAnsi"/>
          <w:color w:val="002060"/>
          <w:sz w:val="22"/>
          <w:szCs w:val="22"/>
          <w:lang w:val="es-ES_tradnl"/>
        </w:rPr>
      </w:pPr>
    </w:p>
    <w:p w14:paraId="2683FD1A"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A pesar de las importantes reformas jurídicas e institucionales, los nudos críticos permanecen, y más aún, la violencia contra las mujeres no se logra erradicar y las brechas de igualdad no se reducen de forma sustancial. Esto mantuvo en la agenda del movimiento de mujeres, plantear la aprobación de una Ley, como una nueva propuesta que arranca en el año 2018, y abre puertas para que se dirijan esfuerzos a trabajar por el avance de los derechos de las mujeres, desde otros ámbitos, como son el ambiental, intercultural, de cuidados y, laboral. Así, en febrero 2018 entra en vigencia la Ley Orgánica para Prevenir y Erradicar la Violencia contra las Mujeres. Respecto al rol de la función Ejecutiva, la Ley </w:t>
      </w:r>
      <w:r w:rsidRPr="004666AD">
        <w:rPr>
          <w:rFonts w:asciiTheme="majorHAnsi" w:hAnsiTheme="majorHAnsi" w:cstheme="majorHAnsi"/>
          <w:color w:val="002060"/>
          <w:sz w:val="22"/>
          <w:szCs w:val="22"/>
          <w:lang w:val="es-ES_tradnl"/>
        </w:rPr>
        <w:lastRenderedPageBreak/>
        <w:t xml:space="preserve">plantea uno de los más grandes desafíos para la formulación de políticas públicas en el Ecuador. Siendo una Ley integral, plantea la necesidad de abordar la respuesta a la erradicación de la violencia, más allá del enfoque penal. En este aspecto, los avances han sido contar con: Modelo de gestión del Sistema Nacional, Modelo de Atención de Servicios de Protección Integra, Plan de Respuesta Integral, Modelo de Gestión y Atención de Casas de Acogida, Norma Técnica para la Atención en Acogimiento a Víctimas de Trata, Tráfico y Explotación, y los lineamientos de atención para SPI en casos de Trata, Tráfico, Reglamento para MAPI, Modelo de Ordenanza para construcción o fortalecimiento de los sistemas locales </w:t>
      </w:r>
      <w:r w:rsidRPr="004666AD">
        <w:rPr>
          <w:rFonts w:asciiTheme="majorHAnsi" w:hAnsiTheme="majorHAnsi" w:cstheme="majorHAnsi"/>
          <w:color w:val="002060"/>
          <w:sz w:val="22"/>
          <w:szCs w:val="22"/>
          <w:lang w:val="es-ES_tradnl"/>
        </w:rPr>
        <w:fldChar w:fldCharType="begin"/>
      </w:r>
      <w:r w:rsidRPr="004666AD">
        <w:rPr>
          <w:rFonts w:asciiTheme="majorHAnsi" w:hAnsiTheme="majorHAnsi" w:cstheme="majorHAnsi"/>
          <w:color w:val="002060"/>
          <w:sz w:val="22"/>
          <w:szCs w:val="22"/>
          <w:lang w:val="es-ES_tradnl"/>
        </w:rPr>
        <w:instrText xml:space="preserve"> ADDIN ZOTERO_ITEM CSL_CITATION {"citationID":"V6nktwGE","properties":{"formattedCitation":"(Secretar\\uc0\\u237{}a de Derechos Humanos, 2021)","plainCitation":"(Secretaría de Derechos Humanos, 2021)","noteIndex":0},"citationItems":[{"id":77,"uris":["http://zotero.org/users/local/LKorTKFc/items/IJSY5B88"],"uri":["http://zotero.org/users/local/LKorTKFc/items/IJSY5B88"],"itemData":{"id":77,"type":"report","event-place":"Ecuador","publisher-place":"Ecuador","title":"Informe de Gestión","author":[{"family":"Secretaría de Derechos Humanos","given":""}],"issued":{"date-parts":[["2021"]]}}}],"schema":"https://github.com/citation-style-language/schema/raw/master/csl-citation.json"} </w:instrText>
      </w:r>
      <w:r w:rsidRPr="004666AD">
        <w:rPr>
          <w:rFonts w:asciiTheme="majorHAnsi" w:hAnsiTheme="majorHAnsi" w:cstheme="majorHAnsi"/>
          <w:color w:val="002060"/>
          <w:sz w:val="22"/>
          <w:szCs w:val="22"/>
          <w:lang w:val="es-ES_tradnl"/>
        </w:rPr>
        <w:fldChar w:fldCharType="separate"/>
      </w:r>
      <w:r w:rsidRPr="004666AD">
        <w:rPr>
          <w:rFonts w:asciiTheme="majorHAnsi" w:hAnsiTheme="majorHAnsi" w:cstheme="majorHAnsi"/>
          <w:color w:val="002060"/>
          <w:sz w:val="22"/>
          <w:szCs w:val="22"/>
          <w:lang w:val="es-ES"/>
        </w:rPr>
        <w:t>(Secretaría de Derechos Humanos, 2021)</w:t>
      </w:r>
      <w:r w:rsidRPr="004666AD">
        <w:rPr>
          <w:rFonts w:asciiTheme="majorHAnsi" w:hAnsiTheme="majorHAnsi" w:cstheme="majorHAnsi"/>
          <w:color w:val="002060"/>
          <w:sz w:val="22"/>
          <w:szCs w:val="22"/>
          <w:lang w:val="es-ES_tradnl"/>
        </w:rPr>
        <w:fldChar w:fldCharType="end"/>
      </w:r>
      <w:r w:rsidRPr="004666AD">
        <w:rPr>
          <w:rFonts w:asciiTheme="majorHAnsi" w:hAnsiTheme="majorHAnsi" w:cstheme="majorHAnsi"/>
          <w:color w:val="002060"/>
          <w:sz w:val="22"/>
          <w:szCs w:val="22"/>
          <w:lang w:val="es-ES_tradnl"/>
        </w:rPr>
        <w:t>.</w:t>
      </w:r>
    </w:p>
    <w:p w14:paraId="0D169C8F"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19BBBA4C" w14:textId="07490D71"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En la actualidad, el Ecuador tiene al año 2020 una población de alrededor de 17.23 millones de habitantes y se prevé que para el 2025, supere los 17,5 millones.</w:t>
      </w:r>
      <w:r w:rsidR="004666AD">
        <w:rPr>
          <w:rFonts w:asciiTheme="majorHAnsi" w:hAnsiTheme="majorHAnsi" w:cstheme="majorHAnsi"/>
          <w:color w:val="002060"/>
          <w:sz w:val="22"/>
          <w:szCs w:val="22"/>
          <w:lang w:val="es-ES_tradnl"/>
        </w:rPr>
        <w:t xml:space="preserve"> Contando con </w:t>
      </w:r>
      <w:r w:rsidRPr="004666AD">
        <w:rPr>
          <w:rFonts w:asciiTheme="majorHAnsi" w:hAnsiTheme="majorHAnsi" w:cstheme="majorHAnsi"/>
          <w:color w:val="002060"/>
          <w:sz w:val="22"/>
          <w:szCs w:val="22"/>
          <w:lang w:val="es-ES_tradnl"/>
        </w:rPr>
        <w:t>una de las Constituciones más progresistas de la región</w:t>
      </w:r>
      <w:r w:rsidR="004666AD">
        <w:rPr>
          <w:rFonts w:asciiTheme="majorHAnsi" w:hAnsiTheme="majorHAnsi" w:cstheme="majorHAnsi"/>
          <w:color w:val="002060"/>
          <w:sz w:val="22"/>
          <w:szCs w:val="22"/>
          <w:lang w:val="es-ES_tradnl"/>
        </w:rPr>
        <w:t>, e</w:t>
      </w:r>
      <w:r w:rsidRPr="004666AD">
        <w:rPr>
          <w:rFonts w:asciiTheme="majorHAnsi" w:hAnsiTheme="majorHAnsi" w:cstheme="majorHAnsi"/>
          <w:color w:val="002060"/>
          <w:sz w:val="22"/>
          <w:szCs w:val="22"/>
          <w:lang w:val="es-ES_tradnl"/>
        </w:rPr>
        <w:t xml:space="preserve">l país ha avanzado mucho en materia de derechos sociales y económicos en los últimos años. </w:t>
      </w:r>
    </w:p>
    <w:p w14:paraId="23D3F13E"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14DA8A07"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La situación de los derechos humanos en Ecuador en 2020 se vio muy afectada por el brote de COVID-19, lo que provocó una disminución de las oportunidades de goce de los derechos económicos y sociales básicos. La difícil situación generalizada tuvo un impacto particularmente fuerte en los grupos vulnerables, como mujeres, niñas y niños, pueblos indígenas, afroecuatorianos y montubios, ecuatorianos de ascendencia africana, LGBTIQ, personas con discapacidad, migrantes y refugiadas.</w:t>
      </w:r>
    </w:p>
    <w:p w14:paraId="1EEDF25B"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29774F4C"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El impacto económico de la pandemia provocó importantes pérdidas de puestos de trabajo y afectó las posibilidades de generar ingresos para los empleados en el sector informal (60% de la población activa antes de la pandemia), con un impacto particularmente fuerte en los migrantes que no cuentan con los mismos beneficios sociales que los ciudadanos.</w:t>
      </w:r>
    </w:p>
    <w:p w14:paraId="6129DFF6" w14:textId="77777777" w:rsidR="00437B62" w:rsidRPr="004666AD" w:rsidRDefault="00437B62" w:rsidP="00437B62">
      <w:pPr>
        <w:rPr>
          <w:rFonts w:asciiTheme="majorHAnsi" w:hAnsiTheme="majorHAnsi" w:cstheme="majorHAnsi"/>
          <w:color w:val="002060"/>
          <w:sz w:val="22"/>
          <w:szCs w:val="22"/>
          <w:lang w:val="es-ES_tradnl"/>
        </w:rPr>
      </w:pPr>
    </w:p>
    <w:p w14:paraId="1E81D9E7"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En mayo 2021 arranca el nuevo gobierno con la Presidencia de Guillermo Lasso. Inmediatamente gana popularidad a partir de una estrategia eficiente para la vacunación de la población contra el COVID 19, la creación de una Subsecretaria de Diversidades Sexuales, y la propuesta del </w:t>
      </w:r>
      <w:r w:rsidRPr="004666AD">
        <w:rPr>
          <w:rFonts w:asciiTheme="majorHAnsi" w:hAnsiTheme="majorHAnsi" w:cstheme="majorHAnsi"/>
          <w:i/>
          <w:color w:val="002060"/>
          <w:sz w:val="22"/>
          <w:szCs w:val="22"/>
          <w:lang w:val="es-ES_tradnl"/>
        </w:rPr>
        <w:t>Gobierno del Encuentro</w:t>
      </w:r>
      <w:r w:rsidRPr="004666AD">
        <w:rPr>
          <w:rFonts w:asciiTheme="majorHAnsi" w:hAnsiTheme="majorHAnsi" w:cstheme="majorHAnsi"/>
          <w:color w:val="002060"/>
          <w:sz w:val="22"/>
          <w:szCs w:val="22"/>
          <w:lang w:val="es-ES_tradnl"/>
        </w:rPr>
        <w:t>, con el enorme desafío de la crisis de empleabilidad, de la inconformidad y agotamiento de las propuestas de avanzada de la Constitución y, con un movimiento indígena que recupera su rol como interlocutor político. Sin embargo, los desafíos frente a la situación de desempleo y subempleo mantienen un estado de insatisfacción colectiva, pues esto impacta en la posibilidad de un ejercicio pleno de los derechos humanos de las personas, sobre todo de las que se encuentren en mayores condiciones de vulnerabilidad.</w:t>
      </w:r>
    </w:p>
    <w:p w14:paraId="30F6CC68"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070C840E" w14:textId="72DFA769" w:rsidR="00437B62" w:rsidRPr="004666AD" w:rsidRDefault="00437B62" w:rsidP="00A542FD">
      <w:pPr>
        <w:pStyle w:val="ListParagraph"/>
        <w:numPr>
          <w:ilvl w:val="0"/>
          <w:numId w:val="4"/>
        </w:numPr>
        <w:rPr>
          <w:rFonts w:asciiTheme="minorHAnsi" w:hAnsiTheme="minorHAnsi" w:cstheme="minorHAnsi"/>
          <w:color w:val="002060"/>
          <w:lang w:val="es-ES"/>
        </w:rPr>
      </w:pPr>
      <w:r w:rsidRPr="004666AD">
        <w:rPr>
          <w:rFonts w:asciiTheme="minorHAnsi" w:hAnsiTheme="minorHAnsi" w:cstheme="minorHAnsi"/>
          <w:color w:val="002060"/>
          <w:lang w:val="es-ES"/>
        </w:rPr>
        <w:t>Mirada feminista crítica del contexto social y político para el avance en la igualdad de género y el rol de la cooperación internacional</w:t>
      </w:r>
    </w:p>
    <w:p w14:paraId="0632D180" w14:textId="77777777" w:rsidR="00437B62" w:rsidRPr="004666AD" w:rsidRDefault="00437B62" w:rsidP="00437B62">
      <w:pPr>
        <w:rPr>
          <w:rFonts w:asciiTheme="majorHAnsi" w:hAnsiTheme="majorHAnsi" w:cstheme="majorHAnsi"/>
          <w:color w:val="002060"/>
          <w:sz w:val="22"/>
          <w:szCs w:val="22"/>
          <w:lang w:val="es-ES_tradnl"/>
        </w:rPr>
      </w:pPr>
    </w:p>
    <w:p w14:paraId="7BAA4C3C" w14:textId="32C16782" w:rsidR="00437B62" w:rsidRPr="004666AD" w:rsidRDefault="00664376" w:rsidP="00664376">
      <w:pPr>
        <w:spacing w:line="276" w:lineRule="auto"/>
        <w:jc w:val="both"/>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L</w:t>
      </w:r>
      <w:r w:rsidR="00437B62" w:rsidRPr="004666AD">
        <w:rPr>
          <w:rFonts w:asciiTheme="majorHAnsi" w:hAnsiTheme="majorHAnsi" w:cstheme="majorHAnsi"/>
          <w:color w:val="002060"/>
          <w:sz w:val="22"/>
          <w:szCs w:val="22"/>
          <w:lang w:val="es-ES_tradnl"/>
        </w:rPr>
        <w:t>as dificultades y desafíos que enfrenta el Ecuador, no han variado en las últimas décadas. Incluso se podrá observar que las recomendaciones preliminares del Comité CEDAW a partir del último informe realizado en noviembre 2021, no difieren sustancialmente de las que ha realizado al país previamente. A esto se suman dos situaciones urgentes, que son la reactivación de la economía pos-COVID 19 y el reto de priorizar las acciones para los grupos que se han visto más afectados, incluyendo la priorización de la sostenibilidad. Si bien los derechos humanos son indivisibles e inalienables, en la región, esto se ha traducido sobre todo, en la elaboración de leyes y la formulación de políticas públicas</w:t>
      </w:r>
      <w:r>
        <w:rPr>
          <w:rFonts w:asciiTheme="majorHAnsi" w:hAnsiTheme="majorHAnsi" w:cstheme="majorHAnsi"/>
          <w:color w:val="002060"/>
          <w:sz w:val="22"/>
          <w:szCs w:val="22"/>
          <w:lang w:val="es-ES_tradnl"/>
        </w:rPr>
        <w:t>.</w:t>
      </w:r>
    </w:p>
    <w:p w14:paraId="4F3B95A7" w14:textId="77777777" w:rsidR="00437B62" w:rsidRPr="004666AD" w:rsidRDefault="00437B62" w:rsidP="00437B62">
      <w:pPr>
        <w:jc w:val="both"/>
        <w:rPr>
          <w:rFonts w:asciiTheme="majorHAnsi" w:hAnsiTheme="majorHAnsi" w:cstheme="majorHAnsi"/>
          <w:color w:val="002060"/>
          <w:sz w:val="22"/>
          <w:szCs w:val="22"/>
          <w:lang w:val="es-ES_tradnl"/>
        </w:rPr>
      </w:pPr>
    </w:p>
    <w:p w14:paraId="44DBA47F" w14:textId="51DBF773" w:rsidR="00437B62" w:rsidRPr="00664376" w:rsidRDefault="00437B62" w:rsidP="00664376">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En este sentido, es importante reconocer que el desafío clave previo a contar con la posibilidad de potenciar la democracia en términos de igualdad y no discriminación, e incluso junto con la cooperación internacional, es generar procesos de aprendizaje que respondan a las particularidades del país; esto eso, a partir de una mirada decolonial, intercultural, e interseccional. Así, como respuesta a este gran desafío, se plantea una </w:t>
      </w:r>
      <w:r w:rsidRPr="004666AD">
        <w:rPr>
          <w:rFonts w:asciiTheme="majorHAnsi" w:hAnsiTheme="majorHAnsi" w:cstheme="majorHAnsi"/>
          <w:b/>
          <w:color w:val="002060"/>
          <w:sz w:val="22"/>
          <w:szCs w:val="22"/>
          <w:lang w:val="es-ES_tradnl"/>
        </w:rPr>
        <w:t>fase de exploración política crítica</w:t>
      </w:r>
      <w:r w:rsidRPr="004666AD">
        <w:rPr>
          <w:rFonts w:asciiTheme="majorHAnsi" w:hAnsiTheme="majorHAnsi" w:cstheme="majorHAnsi"/>
          <w:color w:val="002060"/>
          <w:sz w:val="22"/>
          <w:szCs w:val="22"/>
          <w:lang w:val="es-ES_tradnl"/>
        </w:rPr>
        <w:t>, para la formulación de políticas publicas eficaces y eficientes</w:t>
      </w:r>
      <w:r w:rsidR="00664376">
        <w:rPr>
          <w:rFonts w:asciiTheme="majorHAnsi" w:hAnsiTheme="majorHAnsi" w:cstheme="majorHAnsi"/>
          <w:color w:val="002060"/>
          <w:sz w:val="22"/>
          <w:szCs w:val="22"/>
          <w:lang w:val="es-ES_tradnl"/>
        </w:rPr>
        <w:t>.</w:t>
      </w:r>
    </w:p>
    <w:p w14:paraId="394275AD" w14:textId="77777777" w:rsidR="00437B62" w:rsidRPr="00664376" w:rsidRDefault="00437B62" w:rsidP="00437B62">
      <w:pPr>
        <w:spacing w:line="276" w:lineRule="auto"/>
        <w:jc w:val="both"/>
        <w:rPr>
          <w:rFonts w:asciiTheme="majorHAnsi" w:hAnsiTheme="majorHAnsi" w:cstheme="majorHAnsi"/>
          <w:color w:val="002060"/>
          <w:sz w:val="22"/>
          <w:szCs w:val="22"/>
          <w:lang w:val="es-ES"/>
        </w:rPr>
      </w:pPr>
    </w:p>
    <w:p w14:paraId="45A94A02" w14:textId="78FD811A" w:rsidR="00437B62" w:rsidRDefault="00437B62" w:rsidP="00437B62">
      <w:p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 xml:space="preserve">A partir de un trabajo de análisis </w:t>
      </w:r>
      <w:r w:rsidR="00664376">
        <w:rPr>
          <w:rFonts w:asciiTheme="majorHAnsi" w:hAnsiTheme="majorHAnsi" w:cstheme="majorHAnsi"/>
          <w:color w:val="002060"/>
          <w:sz w:val="22"/>
          <w:szCs w:val="22"/>
          <w:lang w:val="es-ES"/>
        </w:rPr>
        <w:t>crítico</w:t>
      </w:r>
      <w:r w:rsidRPr="004666AD">
        <w:rPr>
          <w:rFonts w:asciiTheme="majorHAnsi" w:hAnsiTheme="majorHAnsi" w:cstheme="majorHAnsi"/>
          <w:color w:val="002060"/>
          <w:sz w:val="22"/>
          <w:szCs w:val="22"/>
          <w:lang w:val="es-ES"/>
        </w:rPr>
        <w:t>, se destacan las siguientes recomendaciones en términos de un ecosistema flexible de financiamiento, diversificado y tolerante al riesgo:</w:t>
      </w:r>
    </w:p>
    <w:p w14:paraId="304EB90F" w14:textId="77777777" w:rsidR="00664376" w:rsidRPr="004666AD" w:rsidRDefault="00664376" w:rsidP="00437B62">
      <w:pPr>
        <w:jc w:val="both"/>
        <w:rPr>
          <w:rFonts w:asciiTheme="majorHAnsi" w:hAnsiTheme="majorHAnsi" w:cstheme="majorHAnsi"/>
          <w:color w:val="002060"/>
          <w:sz w:val="22"/>
          <w:szCs w:val="22"/>
          <w:lang w:val="es-ES"/>
        </w:rPr>
      </w:pPr>
    </w:p>
    <w:p w14:paraId="0A89189B" w14:textId="77777777" w:rsidR="00437B62" w:rsidRPr="004666AD" w:rsidRDefault="00437B62" w:rsidP="00A542FD">
      <w:pPr>
        <w:pStyle w:val="ListParagraph"/>
        <w:numPr>
          <w:ilvl w:val="0"/>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 xml:space="preserve">Asegurar que lxs beneficiarixs e implementadorxs, cuenten con acceso de financiamiento a largo plazo que permitan contar con proyectos estables. </w:t>
      </w:r>
    </w:p>
    <w:p w14:paraId="488198AC"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Cultivar un ecosistema diverso sobre fuentes de financiamiento.</w:t>
      </w:r>
    </w:p>
    <w:p w14:paraId="2ECAD853"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Financiar con mayor flexibilidad para permitir a beneficiarixs o implementadorxs que se adapten a cambios.</w:t>
      </w:r>
    </w:p>
    <w:p w14:paraId="36D9B9D3" w14:textId="77777777" w:rsidR="00437B62" w:rsidRPr="004666AD" w:rsidRDefault="00437B62" w:rsidP="00A542FD">
      <w:pPr>
        <w:pStyle w:val="ListParagraph"/>
        <w:numPr>
          <w:ilvl w:val="0"/>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Comunicar activamente a beneficiarixs e implementadorxs que se reconoce la intención de ejecución a largo plazo y que los cambios se dan de forma gradual.</w:t>
      </w:r>
    </w:p>
    <w:p w14:paraId="59BAAD0A"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Permanecer accesibles a los beneficiarixs o implementadorxs, y fomentar apoyo no monetario.</w:t>
      </w:r>
    </w:p>
    <w:p w14:paraId="698D4D38"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Desarrollar conjuntamente mecanismos de seguimiento y evaluación para comprender el impacto hacia el largo plazo.</w:t>
      </w:r>
    </w:p>
    <w:p w14:paraId="6CD84F75" w14:textId="77777777" w:rsidR="00437B62" w:rsidRPr="004666AD" w:rsidRDefault="00437B62" w:rsidP="00A542FD">
      <w:pPr>
        <w:pStyle w:val="ListParagraph"/>
        <w:numPr>
          <w:ilvl w:val="0"/>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Considerar ampliar el financiamiento a organizaciones individuales y actorxs clave hacia redes, impacto colectivos, etc.</w:t>
      </w:r>
    </w:p>
    <w:p w14:paraId="416D2DD8"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Articularse con otros financiadores.</w:t>
      </w:r>
    </w:p>
    <w:p w14:paraId="14849881" w14:textId="77777777" w:rsidR="00437B62" w:rsidRPr="004666AD" w:rsidRDefault="00437B62" w:rsidP="00A542FD">
      <w:pPr>
        <w:pStyle w:val="ListParagraph"/>
        <w:numPr>
          <w:ilvl w:val="0"/>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Asegurar diversidad de actorxs y voces y enfatizar en que se prioriza la inclusión.</w:t>
      </w:r>
    </w:p>
    <w:p w14:paraId="3DDB48F5" w14:textId="77777777" w:rsidR="00437B62" w:rsidRPr="004666AD" w:rsidRDefault="00437B62" w:rsidP="00A542FD">
      <w:pPr>
        <w:pStyle w:val="ListParagraph"/>
        <w:numPr>
          <w:ilvl w:val="1"/>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Confirmar que organizaciones de mujeres y feministas no excluyan a personas trans.</w:t>
      </w:r>
    </w:p>
    <w:p w14:paraId="208AAC68" w14:textId="77777777" w:rsidR="00437B62" w:rsidRPr="004666AD" w:rsidRDefault="00437B62" w:rsidP="00A542FD">
      <w:pPr>
        <w:pStyle w:val="ListParagraph"/>
        <w:numPr>
          <w:ilvl w:val="0"/>
          <w:numId w:val="1"/>
        </w:numPr>
        <w:jc w:val="both"/>
        <w:rPr>
          <w:rFonts w:asciiTheme="majorHAnsi" w:hAnsiTheme="majorHAnsi" w:cstheme="majorHAnsi"/>
          <w:color w:val="002060"/>
          <w:sz w:val="22"/>
          <w:szCs w:val="22"/>
          <w:lang w:val="es-ES"/>
        </w:rPr>
      </w:pPr>
      <w:r w:rsidRPr="004666AD">
        <w:rPr>
          <w:rFonts w:asciiTheme="majorHAnsi" w:hAnsiTheme="majorHAnsi" w:cstheme="majorHAnsi"/>
          <w:color w:val="002060"/>
          <w:sz w:val="22"/>
          <w:szCs w:val="22"/>
          <w:lang w:val="es-ES"/>
        </w:rPr>
        <w:t>Reconocer el alcance del donante, para incentivar agendas propias, desde una mirada decolonial.</w:t>
      </w:r>
    </w:p>
    <w:p w14:paraId="0304DD9D" w14:textId="77777777" w:rsidR="00437B62" w:rsidRPr="004666AD" w:rsidRDefault="00437B62" w:rsidP="00437B62">
      <w:pPr>
        <w:jc w:val="both"/>
        <w:rPr>
          <w:rFonts w:asciiTheme="majorHAnsi" w:hAnsiTheme="majorHAnsi" w:cstheme="majorHAnsi"/>
          <w:color w:val="002060"/>
          <w:sz w:val="22"/>
          <w:szCs w:val="22"/>
          <w:lang w:val="es-ES"/>
        </w:rPr>
      </w:pPr>
    </w:p>
    <w:p w14:paraId="6CB67C9D"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 xml:space="preserve">El objetivo de las recomendaciones es orientar hacia una optimización de los recursos, para lograr cambios graduales y sostenibles, que generen un impacto real y no únicamente coyuntural. Además, que en el proceso, no se refuercen otras condiciones de desigualdad contra grupos que generalmente no se comprenden dentro de  proyectos con enfoque de género. Asimismo, reconociendo que el Ecuador continua con un proceso de reducción de la institucionalidad, y debilitamiento del rol de las instancias orientadas a fortalecer un sistema de derechos humanos, es necesario evaluar las restricciones que existen para brindar apoyo directo a organizaciones o colectivos, sobre todo lo que se encuentren en fases de arranque. </w:t>
      </w:r>
    </w:p>
    <w:p w14:paraId="2FD7962A"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7CA88EDD" w14:textId="3E07DD13"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Algunas organizaciones han realizado investigaciones importantes, que brinda</w:t>
      </w:r>
      <w:r w:rsidR="00664376">
        <w:rPr>
          <w:rFonts w:asciiTheme="majorHAnsi" w:hAnsiTheme="majorHAnsi" w:cstheme="majorHAnsi"/>
          <w:color w:val="002060"/>
          <w:sz w:val="22"/>
          <w:szCs w:val="22"/>
          <w:lang w:val="es-ES_tradnl"/>
        </w:rPr>
        <w:t>n</w:t>
      </w:r>
      <w:r w:rsidRPr="004666AD">
        <w:rPr>
          <w:rFonts w:asciiTheme="majorHAnsi" w:hAnsiTheme="majorHAnsi" w:cstheme="majorHAnsi"/>
          <w:color w:val="002060"/>
          <w:sz w:val="22"/>
          <w:szCs w:val="22"/>
          <w:lang w:val="es-ES_tradnl"/>
        </w:rPr>
        <w:t xml:space="preserve"> los insumos necesarios para plantear acciones de incidencia y de transformación. Sin embargo, estas generalmente se han limitado a presentar su información al Estado para que sea éste el que plantee las acciones de respuesta. En este nuevo momento, se sugiere incentivar a las organizaciones para que a partir de los esfuerzos ya realizados, se planteen una </w:t>
      </w:r>
      <w:r w:rsidRPr="004666AD">
        <w:rPr>
          <w:rFonts w:asciiTheme="majorHAnsi" w:hAnsiTheme="majorHAnsi" w:cstheme="majorHAnsi"/>
          <w:b/>
          <w:color w:val="002060"/>
          <w:sz w:val="22"/>
          <w:szCs w:val="22"/>
          <w:lang w:val="es-ES_tradnl"/>
        </w:rPr>
        <w:t>fase de asesoría política estratégica, para una incidencia y acciones para la transformación al mediano y largo plazo</w:t>
      </w:r>
      <w:r w:rsidRPr="004666AD">
        <w:rPr>
          <w:rFonts w:asciiTheme="majorHAnsi" w:hAnsiTheme="majorHAnsi" w:cstheme="majorHAnsi"/>
          <w:color w:val="002060"/>
          <w:sz w:val="22"/>
          <w:szCs w:val="22"/>
          <w:lang w:val="es-ES_tradnl"/>
        </w:rPr>
        <w:t xml:space="preserve">. En el contexto de pandemia, las organizaciones sociales evidenciar su alta capacidad de articulación y eficacia en la articulación así como la confianza de las personas en las organizaciones; lo que las coloca como un sector no solo complementario al gobierno, sino como co-gobernante. </w:t>
      </w:r>
    </w:p>
    <w:p w14:paraId="697DAAAB"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099D5F7C" w14:textId="338B7408" w:rsidR="00437B62" w:rsidRPr="004666AD" w:rsidRDefault="00437B62" w:rsidP="00664376">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El fortalecimiento de las organizaciones se torna aún más urgente cuando observamos la tendencia que adquiere el gobierno actual.  El 09 de diciembre terminó el primer debate sobre el proyecto de Ley que presentó la </w:t>
      </w:r>
      <w:r w:rsidRPr="004666AD">
        <w:rPr>
          <w:rFonts w:asciiTheme="majorHAnsi" w:hAnsiTheme="majorHAnsi" w:cstheme="majorHAnsi"/>
          <w:bCs/>
          <w:color w:val="002060"/>
          <w:sz w:val="22"/>
          <w:szCs w:val="22"/>
          <w:lang w:val="es-ES_tradnl"/>
        </w:rPr>
        <w:t>Defensoría del Pueblo</w:t>
      </w:r>
      <w:r w:rsidRPr="004666AD">
        <w:rPr>
          <w:rFonts w:asciiTheme="majorHAnsi" w:hAnsiTheme="majorHAnsi" w:cstheme="majorHAnsi"/>
          <w:color w:val="002060"/>
          <w:sz w:val="22"/>
          <w:szCs w:val="22"/>
          <w:lang w:val="es-ES_tradnl"/>
        </w:rPr>
        <w:t> el 28 de junio pasado, conforme a la sentencia de la </w:t>
      </w:r>
      <w:r w:rsidRPr="004666AD">
        <w:rPr>
          <w:rFonts w:asciiTheme="majorHAnsi" w:hAnsiTheme="majorHAnsi" w:cstheme="majorHAnsi"/>
          <w:bCs/>
          <w:color w:val="002060"/>
          <w:sz w:val="22"/>
          <w:szCs w:val="22"/>
          <w:lang w:val="es-ES_tradnl"/>
        </w:rPr>
        <w:t>Corte Constitucional</w:t>
      </w:r>
      <w:r w:rsidRPr="004666AD">
        <w:rPr>
          <w:rFonts w:asciiTheme="majorHAnsi" w:hAnsiTheme="majorHAnsi" w:cstheme="majorHAnsi"/>
          <w:color w:val="002060"/>
          <w:sz w:val="22"/>
          <w:szCs w:val="22"/>
          <w:lang w:val="es-ES_tradnl"/>
        </w:rPr>
        <w:t> que el 28 de abril despenalizó el aborto por violación y requirió a la Legislatura una regulación.  Si bien existen algunos temas de fondo que están en discusión y que de acuerdo a la forma en la que se apruebe, permitirán mayor o menor libertad a las mujeres, a decidir sobre sus cuerpos en contextos de violación, se analiza que la propuesta de Ley será aprobada en este gobierno, por ser disposición de la Corte Constitucional, y que si bien es un avance indispensable hacia el aborto libre, puede ser motivo para que el gobierno actual no invierta esfuerzos significativos para lograr mayores avances en los derechos de las mujeres, menos aún de las mujeres LBTQ, en el resto de su gestión.  Entonces, frente a una decisión “soberana” sobre qué tipo de servicio público se construye, es importante que se potencie una sociedad civil co-gobernante</w:t>
      </w:r>
      <w:r w:rsidR="00664376">
        <w:rPr>
          <w:rFonts w:asciiTheme="majorHAnsi" w:hAnsiTheme="majorHAnsi" w:cstheme="majorHAnsi"/>
          <w:color w:val="002060"/>
          <w:sz w:val="22"/>
          <w:szCs w:val="22"/>
          <w:lang w:val="es-ES_tradnl"/>
        </w:rPr>
        <w:t>.</w:t>
      </w:r>
    </w:p>
    <w:p w14:paraId="7564BE68" w14:textId="77777777" w:rsidR="00437B62" w:rsidRPr="004666AD" w:rsidRDefault="00437B62" w:rsidP="00437B62">
      <w:pPr>
        <w:rPr>
          <w:rFonts w:asciiTheme="majorHAnsi" w:hAnsiTheme="majorHAnsi" w:cstheme="majorHAnsi"/>
          <w:color w:val="002060"/>
          <w:sz w:val="22"/>
          <w:szCs w:val="22"/>
          <w:lang w:val="es-ES_tradnl"/>
        </w:rPr>
      </w:pPr>
    </w:p>
    <w:p w14:paraId="34E99BFC"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De este modo, se plantean los siguientes lineamientos estratégicos desde una mirada feminista crítica del contexto social y político para el avance en la igualdad de género y el rol de la cooperación internacional:</w:t>
      </w:r>
    </w:p>
    <w:p w14:paraId="0111E44C" w14:textId="77777777" w:rsidR="00437B62" w:rsidRPr="004666AD" w:rsidRDefault="00437B62" w:rsidP="00437B62">
      <w:pPr>
        <w:spacing w:line="276" w:lineRule="auto"/>
        <w:jc w:val="both"/>
        <w:rPr>
          <w:rFonts w:asciiTheme="majorHAnsi" w:hAnsiTheme="majorHAnsi" w:cstheme="majorHAnsi"/>
          <w:color w:val="002060"/>
          <w:sz w:val="22"/>
          <w:szCs w:val="22"/>
          <w:lang w:val="es-ES_tradnl"/>
        </w:rPr>
      </w:pPr>
    </w:p>
    <w:p w14:paraId="266FF19B" w14:textId="77777777" w:rsidR="00437B62" w:rsidRPr="004666AD" w:rsidRDefault="00437B62" w:rsidP="00A542FD">
      <w:pPr>
        <w:pStyle w:val="ListParagraph"/>
        <w:numPr>
          <w:ilvl w:val="0"/>
          <w:numId w:val="2"/>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b/>
          <w:color w:val="002060"/>
          <w:sz w:val="22"/>
          <w:szCs w:val="22"/>
          <w:lang w:val="es-ES_tradnl"/>
        </w:rPr>
        <w:t xml:space="preserve">Fase de exploración política crítica: dirigida al financista o inversionista: </w:t>
      </w:r>
      <w:r w:rsidRPr="004666AD">
        <w:rPr>
          <w:rFonts w:asciiTheme="majorHAnsi" w:hAnsiTheme="majorHAnsi" w:cstheme="majorHAnsi"/>
          <w:color w:val="002060"/>
          <w:sz w:val="22"/>
          <w:szCs w:val="22"/>
          <w:lang w:val="es-ES_tradnl"/>
        </w:rPr>
        <w:t>orientada a la institución financista, donde su “punto de partida” sea una agenda de aprendizaje, a partir de una mirada decolonial, intercultural, e interseccional, a partir de las siguientes consideraciones:</w:t>
      </w:r>
    </w:p>
    <w:p w14:paraId="2F94916A"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Reconocer la información cualitativa y cuantitativa levantada por organizaciones sociales como insumos suficientes para motivar la formulación de propuestas (políticas públicas, servicios, normativa).</w:t>
      </w:r>
    </w:p>
    <w:p w14:paraId="719B6722"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Plantear procesos de pirámide inversa, es decir, priorizar la formulación de propuestas de lo local, comunitario, organizativo, para luego escalar hacia grupos más amplios, provincia, región, etc.</w:t>
      </w:r>
    </w:p>
    <w:p w14:paraId="71D080D1"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Elaborar un mapeo de actores de sociedad civil que se encuentren trabajando en procesos innovadores, por eje.</w:t>
      </w:r>
    </w:p>
    <w:p w14:paraId="66EAC517"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Elaborar una estrategia de inversión y financiamiento integral y sostenible.</w:t>
      </w:r>
    </w:p>
    <w:p w14:paraId="5797E43D"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Elaborar marcos conceptuales y metodologías técnicas para la dirección de proyectos, donde los sujetos mujeres se comprendan en su diversidad y particularidad, como son mujeres de pueblo y nacionalidades, afro, montubias, rurales, campesinas, urbanas, emprendedoras, empresarias, servidoras públicas, en trabajo informal, en trabajo remunerado del hogar,  sindicalistas, activistas, defensoras de territorio, LBTQ, entre otras.</w:t>
      </w:r>
    </w:p>
    <w:p w14:paraId="791BCCAD"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Abordar marco conceptuales y metodologías técnicas para la dirección de proyectos desde una mirada integral, que comprenda el enfoque de género, anticorrupción, y sostenibilidad.</w:t>
      </w:r>
    </w:p>
    <w:p w14:paraId="3A8804DB"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Delimitar, como una acción contraria a condicionar, a que los resultados de los proyectos incluyan un periodo importante dirigido a fases de aprendizaje y evaluación política.</w:t>
      </w:r>
    </w:p>
    <w:p w14:paraId="0F2F10B7" w14:textId="77777777" w:rsidR="00437B62" w:rsidRPr="004666AD" w:rsidRDefault="00437B62" w:rsidP="00A542FD">
      <w:pPr>
        <w:pStyle w:val="ListParagraph"/>
        <w:numPr>
          <w:ilvl w:val="0"/>
          <w:numId w:val="3"/>
        </w:numPr>
        <w:spacing w:line="276" w:lineRule="auto"/>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Desarrollar un área de incidencia y trabajo con la empresa privada.</w:t>
      </w:r>
    </w:p>
    <w:p w14:paraId="1BA0F714" w14:textId="77777777" w:rsidR="00437B62" w:rsidRPr="004666AD" w:rsidRDefault="00437B62" w:rsidP="00437B62">
      <w:pPr>
        <w:jc w:val="both"/>
        <w:rPr>
          <w:rFonts w:asciiTheme="majorHAnsi" w:hAnsiTheme="majorHAnsi" w:cstheme="majorHAnsi"/>
          <w:color w:val="002060"/>
          <w:sz w:val="22"/>
          <w:szCs w:val="22"/>
          <w:lang w:val="es-ES_tradnl"/>
        </w:rPr>
      </w:pPr>
    </w:p>
    <w:p w14:paraId="09336F65" w14:textId="77777777" w:rsidR="00437B62" w:rsidRPr="004666AD" w:rsidRDefault="00437B62" w:rsidP="00A542FD">
      <w:pPr>
        <w:pStyle w:val="ListParagraph"/>
        <w:numPr>
          <w:ilvl w:val="0"/>
          <w:numId w:val="2"/>
        </w:numPr>
        <w:spacing w:line="276" w:lineRule="auto"/>
        <w:jc w:val="both"/>
        <w:rPr>
          <w:rFonts w:asciiTheme="majorHAnsi" w:hAnsiTheme="majorHAnsi" w:cstheme="majorHAnsi"/>
          <w:b/>
          <w:color w:val="002060"/>
          <w:sz w:val="22"/>
          <w:szCs w:val="22"/>
          <w:lang w:val="es-ES_tradnl"/>
        </w:rPr>
      </w:pPr>
      <w:r w:rsidRPr="004666AD">
        <w:rPr>
          <w:rFonts w:asciiTheme="majorHAnsi" w:hAnsiTheme="majorHAnsi" w:cstheme="majorHAnsi"/>
          <w:b/>
          <w:color w:val="002060"/>
          <w:sz w:val="22"/>
          <w:szCs w:val="22"/>
          <w:lang w:val="es-ES_tradnl"/>
        </w:rPr>
        <w:t xml:space="preserve">Fase de asesoría política estratégica, para una incidencia y acciones para la transformación al mediano y largo plazo: </w:t>
      </w:r>
      <w:r w:rsidRPr="004666AD">
        <w:rPr>
          <w:rFonts w:asciiTheme="majorHAnsi" w:hAnsiTheme="majorHAnsi" w:cstheme="majorHAnsi"/>
          <w:color w:val="002060"/>
          <w:sz w:val="22"/>
          <w:szCs w:val="22"/>
          <w:lang w:val="es-ES_tradnl"/>
        </w:rPr>
        <w:t xml:space="preserve">orientada a lxs beneficiarixs o implementadorxs, en la cual se plantee </w:t>
      </w:r>
      <w:r w:rsidRPr="004666AD">
        <w:rPr>
          <w:rFonts w:asciiTheme="majorHAnsi" w:hAnsiTheme="majorHAnsi" w:cstheme="majorHAnsi"/>
          <w:color w:val="002060"/>
          <w:sz w:val="22"/>
          <w:szCs w:val="22"/>
          <w:lang w:val="es-ES_tradnl"/>
        </w:rPr>
        <w:lastRenderedPageBreak/>
        <w:t>un análisis situado de las estrategias diferenciadas entre grupos anti-derechos y pro-derechos, en el país y la región, potenciar su rol como co-gobernantes:</w:t>
      </w:r>
    </w:p>
    <w:p w14:paraId="154520DA"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Replantear los procesos de formación hacia metodologías de vocerías en derechos humanos, aterrizados a las particularidades de cada grupo, ciudad, etc.</w:t>
      </w:r>
    </w:p>
    <w:p w14:paraId="180A16A7"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Identificar oportunidades de transferencia de fondos en proyectos de autonomía económica sostenible e inclusiva, a partir de estudio de mercado en un contexto de economía popular y solidaria.</w:t>
      </w:r>
    </w:p>
    <w:p w14:paraId="5613B4C5"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Transversalizar el enfoque de cuidados para todos los proyectos, a partir de una conceptualización integral de la economía de cuidados, de modo que tanto la gestión financiera como técnica evidencie este sector como parte de la gestión integral de los proyectos.</w:t>
      </w:r>
    </w:p>
    <w:p w14:paraId="4D0ADAEF"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Generar capacidad de gestión de fondos en las organizaciones de base, como una proceso de aprendizaje gradual.</w:t>
      </w:r>
    </w:p>
    <w:p w14:paraId="347DD5D9"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Motivar espacios para planificar acciones de articulación a mediano y largo plazo, que estén sujetos a observancia de lxs actorxs sociales, de modo que se prioricen las metas por sobre situaciones coyunturales que generen rupturas en las organizaciones.</w:t>
      </w:r>
    </w:p>
    <w:p w14:paraId="5A81A332" w14:textId="77777777" w:rsidR="00437B62" w:rsidRPr="004666AD" w:rsidRDefault="00437B62" w:rsidP="00A542FD">
      <w:pPr>
        <w:pStyle w:val="ListParagraph"/>
        <w:numPr>
          <w:ilvl w:val="1"/>
          <w:numId w:val="2"/>
        </w:numPr>
        <w:spacing w:line="276" w:lineRule="auto"/>
        <w:ind w:left="1134"/>
        <w:jc w:val="both"/>
        <w:rPr>
          <w:rFonts w:asciiTheme="majorHAnsi" w:hAnsiTheme="majorHAnsi" w:cstheme="majorHAnsi"/>
          <w:color w:val="002060"/>
          <w:sz w:val="22"/>
          <w:szCs w:val="22"/>
          <w:lang w:val="es-ES_tradnl"/>
        </w:rPr>
      </w:pPr>
      <w:r w:rsidRPr="004666AD">
        <w:rPr>
          <w:rFonts w:asciiTheme="majorHAnsi" w:hAnsiTheme="majorHAnsi" w:cstheme="majorHAnsi"/>
          <w:color w:val="002060"/>
          <w:sz w:val="22"/>
          <w:szCs w:val="22"/>
          <w:lang w:val="es-ES_tradnl"/>
        </w:rPr>
        <w:t>Condicionar la participación en espacios de gobierno, a que sean de participación real y no una participación aparente.</w:t>
      </w:r>
    </w:p>
    <w:p w14:paraId="05648EC8" w14:textId="7DC652EA" w:rsidR="000B1AB0" w:rsidRPr="004666AD" w:rsidRDefault="000B1AB0" w:rsidP="00E303B3">
      <w:pPr>
        <w:ind w:left="720" w:hanging="720"/>
        <w:rPr>
          <w:rFonts w:asciiTheme="majorHAnsi" w:hAnsiTheme="majorHAnsi" w:cstheme="majorHAnsi"/>
          <w:color w:val="002060"/>
          <w:sz w:val="22"/>
          <w:szCs w:val="22"/>
          <w:lang w:val="es-ES_tradnl"/>
        </w:rPr>
      </w:pPr>
    </w:p>
    <w:p w14:paraId="3C67C70E" w14:textId="744C3B3A" w:rsidR="000B1AB0" w:rsidRPr="004666AD" w:rsidRDefault="000B1AB0" w:rsidP="00E303B3">
      <w:pPr>
        <w:ind w:left="720" w:hanging="720"/>
        <w:rPr>
          <w:rFonts w:asciiTheme="majorHAnsi" w:hAnsiTheme="majorHAnsi" w:cstheme="majorHAnsi"/>
          <w:color w:val="002060"/>
          <w:sz w:val="22"/>
          <w:szCs w:val="22"/>
          <w:lang w:val="es-ES"/>
        </w:rPr>
      </w:pPr>
    </w:p>
    <w:p w14:paraId="21B88D31" w14:textId="01070173" w:rsidR="000B1AB0" w:rsidRPr="00664376" w:rsidRDefault="00664376" w:rsidP="00A542FD">
      <w:pPr>
        <w:pStyle w:val="ListParagraph"/>
        <w:numPr>
          <w:ilvl w:val="0"/>
          <w:numId w:val="2"/>
        </w:numPr>
        <w:spacing w:line="276" w:lineRule="auto"/>
        <w:jc w:val="both"/>
        <w:rPr>
          <w:rFonts w:asciiTheme="minorHAnsi" w:hAnsiTheme="minorHAnsi" w:cstheme="minorHAnsi"/>
          <w:color w:val="002060"/>
          <w:sz w:val="22"/>
          <w:szCs w:val="22"/>
          <w:lang w:val="es-ES"/>
        </w:rPr>
      </w:pPr>
      <w:r w:rsidRPr="00664376">
        <w:rPr>
          <w:rFonts w:asciiTheme="minorHAnsi" w:hAnsiTheme="minorHAnsi" w:cstheme="minorHAnsi"/>
          <w:color w:val="002060"/>
          <w:sz w:val="22"/>
          <w:szCs w:val="22"/>
          <w:lang w:val="es-ES_tradnl"/>
        </w:rPr>
        <w:t>Ámbitos temáticos de intervención y objetivos seleccionados</w:t>
      </w:r>
    </w:p>
    <w:p w14:paraId="0D8187CB" w14:textId="77777777" w:rsidR="00664376" w:rsidRDefault="00664376" w:rsidP="00664376">
      <w:pPr>
        <w:spacing w:line="276" w:lineRule="auto"/>
        <w:jc w:val="both"/>
        <w:rPr>
          <w:rFonts w:asciiTheme="majorHAnsi" w:hAnsiTheme="majorHAnsi" w:cstheme="majorHAnsi"/>
          <w:color w:val="002060"/>
          <w:sz w:val="22"/>
          <w:szCs w:val="22"/>
          <w:lang w:val="es-ES_tradnl"/>
        </w:rPr>
      </w:pPr>
    </w:p>
    <w:p w14:paraId="055D81DF" w14:textId="7175D0E3" w:rsidR="00664376" w:rsidRPr="00664376" w:rsidRDefault="00664376" w:rsidP="00664376">
      <w:pPr>
        <w:spacing w:line="276" w:lineRule="auto"/>
        <w:jc w:val="both"/>
        <w:rPr>
          <w:rFonts w:asciiTheme="minorHAnsi" w:hAnsiTheme="minorHAnsi" w:cstheme="minorHAnsi"/>
          <w:color w:val="002060"/>
          <w:sz w:val="22"/>
          <w:szCs w:val="22"/>
          <w:lang w:val="es-ES"/>
        </w:rPr>
      </w:pPr>
      <w:r>
        <w:rPr>
          <w:rFonts w:asciiTheme="majorHAnsi" w:hAnsiTheme="majorHAnsi" w:cstheme="majorHAnsi"/>
          <w:color w:val="002060"/>
          <w:sz w:val="22"/>
          <w:szCs w:val="22"/>
          <w:lang w:val="es-ES_tradnl"/>
        </w:rPr>
        <w:t xml:space="preserve">La propuesta se construye a partir de </w:t>
      </w:r>
      <w:r w:rsidRPr="00664376">
        <w:rPr>
          <w:rFonts w:asciiTheme="majorHAnsi" w:hAnsiTheme="majorHAnsi" w:cstheme="majorHAnsi"/>
          <w:color w:val="002060"/>
          <w:sz w:val="22"/>
          <w:szCs w:val="22"/>
          <w:lang w:val="es-ES_tradnl"/>
        </w:rPr>
        <w:t>los seis ejes de intervención estratégica para la UE, que son:</w:t>
      </w:r>
    </w:p>
    <w:p w14:paraId="6F4C0CB8" w14:textId="77777777" w:rsidR="00664376" w:rsidRPr="00664376" w:rsidRDefault="00664376" w:rsidP="00664376">
      <w:pPr>
        <w:spacing w:line="276" w:lineRule="auto"/>
        <w:jc w:val="both"/>
        <w:rPr>
          <w:rFonts w:asciiTheme="majorHAnsi" w:hAnsiTheme="majorHAnsi" w:cstheme="majorHAnsi"/>
          <w:color w:val="002060"/>
          <w:sz w:val="22"/>
          <w:szCs w:val="22"/>
          <w:lang w:val="es-ES_tradnl"/>
        </w:rPr>
      </w:pPr>
    </w:p>
    <w:p w14:paraId="5390DE56"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Trabajar por la erradicación de todas las formas de violencia por motivos de género.</w:t>
      </w:r>
    </w:p>
    <w:p w14:paraId="77AE6DDE"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Promocionar la salud y los derechos sexuales y derechos reproductivos. </w:t>
      </w:r>
    </w:p>
    <w:p w14:paraId="79B9DBAD"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Promocionar derechos económicos, sociales y el empoderamiento de niñas y mujeres.</w:t>
      </w:r>
    </w:p>
    <w:p w14:paraId="6A2D69C4"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Promocionar participación y liderazgo en condiciones de igualdad real y formal.</w:t>
      </w:r>
    </w:p>
    <w:p w14:paraId="6B3F7006"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Integrar las agendas y/o planes de mujeres, paz y seguridad. </w:t>
      </w:r>
    </w:p>
    <w:p w14:paraId="7BB97EA0" w14:textId="77777777" w:rsidR="00664376" w:rsidRPr="00664376" w:rsidRDefault="00664376" w:rsidP="00A542FD">
      <w:pPr>
        <w:numPr>
          <w:ilvl w:val="0"/>
          <w:numId w:val="5"/>
        </w:numPr>
        <w:spacing w:line="276" w:lineRule="auto"/>
        <w:jc w:val="both"/>
        <w:textAlignment w:val="baseline"/>
        <w:rPr>
          <w:rFonts w:asciiTheme="majorHAnsi" w:hAnsiTheme="majorHAnsi" w:cstheme="majorHAnsi"/>
          <w:color w:val="002060"/>
          <w:sz w:val="22"/>
          <w:szCs w:val="22"/>
          <w:lang w:val="es-ES_tradnl"/>
        </w:rPr>
      </w:pPr>
      <w:r w:rsidRPr="00664376">
        <w:rPr>
          <w:rFonts w:asciiTheme="majorHAnsi" w:hAnsiTheme="majorHAnsi" w:cstheme="majorHAnsi"/>
          <w:color w:val="002060"/>
          <w:sz w:val="22"/>
          <w:szCs w:val="22"/>
          <w:lang w:val="es-ES_tradnl"/>
        </w:rPr>
        <w:t>Trabajar por la mitigación y adaptación al cambio climático, ambiente, así como procesos de Digitalización. </w:t>
      </w:r>
    </w:p>
    <w:p w14:paraId="5965996D" w14:textId="29BBDE10" w:rsidR="000B1AB0" w:rsidRPr="00664376" w:rsidRDefault="000B1AB0" w:rsidP="00E303B3">
      <w:pPr>
        <w:ind w:left="720" w:hanging="720"/>
        <w:rPr>
          <w:rFonts w:asciiTheme="majorHAnsi" w:hAnsiTheme="majorHAnsi" w:cstheme="majorHAnsi"/>
          <w:color w:val="002060"/>
          <w:sz w:val="22"/>
          <w:szCs w:val="22"/>
          <w:lang w:val="es-ES_tradnl"/>
        </w:rPr>
      </w:pPr>
    </w:p>
    <w:p w14:paraId="2742E222" w14:textId="4FDB889A" w:rsidR="000B1AB0" w:rsidRDefault="000B1AB0" w:rsidP="00E303B3">
      <w:pPr>
        <w:ind w:left="720" w:hanging="720"/>
        <w:rPr>
          <w:rFonts w:asciiTheme="majorHAnsi" w:hAnsiTheme="majorHAnsi" w:cstheme="majorHAnsi"/>
          <w:color w:val="002060"/>
          <w:sz w:val="22"/>
          <w:szCs w:val="22"/>
          <w:lang w:val="es-ES_tradnl"/>
        </w:rPr>
      </w:pPr>
    </w:p>
    <w:p w14:paraId="34146AC4" w14:textId="3113B27F" w:rsidR="00664376" w:rsidRPr="00664376" w:rsidRDefault="00664376" w:rsidP="00A542FD">
      <w:pPr>
        <w:pStyle w:val="ListParagraph"/>
        <w:numPr>
          <w:ilvl w:val="0"/>
          <w:numId w:val="2"/>
        </w:numPr>
        <w:spacing w:line="276" w:lineRule="auto"/>
        <w:jc w:val="both"/>
        <w:rPr>
          <w:rFonts w:asciiTheme="minorHAnsi" w:hAnsiTheme="minorHAnsi" w:cstheme="minorHAnsi"/>
          <w:color w:val="002060"/>
          <w:sz w:val="22"/>
          <w:szCs w:val="22"/>
          <w:lang w:val="es-ES_tradnl"/>
        </w:rPr>
      </w:pPr>
      <w:r w:rsidRPr="00664376">
        <w:rPr>
          <w:rFonts w:asciiTheme="minorHAnsi" w:hAnsiTheme="minorHAnsi" w:cstheme="minorHAnsi"/>
          <w:color w:val="002060"/>
          <w:sz w:val="22"/>
          <w:szCs w:val="22"/>
          <w:lang w:val="es-ES_tradnl"/>
        </w:rPr>
        <w:t>Accion</w:t>
      </w:r>
      <w:r w:rsidR="002E1949">
        <w:rPr>
          <w:rFonts w:asciiTheme="minorHAnsi" w:hAnsiTheme="minorHAnsi" w:cstheme="minorHAnsi"/>
          <w:color w:val="002060"/>
          <w:sz w:val="22"/>
          <w:szCs w:val="22"/>
          <w:lang w:val="es-ES_tradnl"/>
        </w:rPr>
        <w:t>es</w:t>
      </w:r>
      <w:r w:rsidRPr="00664376">
        <w:rPr>
          <w:rFonts w:asciiTheme="minorHAnsi" w:hAnsiTheme="minorHAnsi" w:cstheme="minorHAnsi"/>
          <w:color w:val="002060"/>
          <w:sz w:val="22"/>
          <w:szCs w:val="22"/>
          <w:lang w:val="es-ES_tradnl"/>
        </w:rPr>
        <w:t xml:space="preserve"> estratégicas para transversalizar el enfoque de género en los ejes de intervención</w:t>
      </w:r>
    </w:p>
    <w:p w14:paraId="6892B722" w14:textId="5F887655" w:rsidR="000B1AB0" w:rsidRPr="004666AD" w:rsidRDefault="000B1AB0" w:rsidP="00E303B3">
      <w:pPr>
        <w:ind w:left="720" w:hanging="720"/>
        <w:rPr>
          <w:rFonts w:asciiTheme="majorHAnsi" w:hAnsiTheme="majorHAnsi" w:cstheme="majorHAnsi"/>
          <w:color w:val="002060"/>
          <w:sz w:val="22"/>
          <w:szCs w:val="22"/>
          <w:lang w:val="es-ES"/>
        </w:rPr>
      </w:pPr>
    </w:p>
    <w:p w14:paraId="12B4739B" w14:textId="2C1B3372" w:rsidR="00664376" w:rsidRDefault="008978C5" w:rsidP="002E1949">
      <w:pPr>
        <w:tabs>
          <w:tab w:val="center" w:pos="4588"/>
        </w:tabs>
        <w:spacing w:line="276" w:lineRule="auto"/>
        <w:ind w:hanging="2"/>
        <w:jc w:val="both"/>
        <w:rPr>
          <w:rFonts w:asciiTheme="majorHAnsi" w:hAnsiTheme="majorHAnsi" w:cstheme="majorHAnsi"/>
          <w:color w:val="002060"/>
          <w:lang w:val="es-ES"/>
        </w:rPr>
      </w:pPr>
      <w:r>
        <w:rPr>
          <w:rFonts w:asciiTheme="majorHAnsi" w:hAnsiTheme="majorHAnsi" w:cstheme="majorHAnsi"/>
          <w:color w:val="002060"/>
          <w:lang w:val="es-ES"/>
        </w:rPr>
        <w:t>A partir de las acciones estratégicas para una operación eficiente y efectiva, que se plantea en el acápite 2, a continuación se presentan acciones específicas para apoyar el desarrollo de la institucionalidad y la formulación de políticas públicas que brindan respuesta de los ejes de intervención de interés de la Unión Europea.</w:t>
      </w:r>
    </w:p>
    <w:p w14:paraId="4E7DB8A3" w14:textId="77777777" w:rsidR="008978C5" w:rsidRDefault="008978C5" w:rsidP="002E1949">
      <w:pPr>
        <w:tabs>
          <w:tab w:val="center" w:pos="4588"/>
        </w:tabs>
        <w:spacing w:line="276" w:lineRule="auto"/>
        <w:ind w:hanging="2"/>
        <w:jc w:val="both"/>
        <w:rPr>
          <w:rFonts w:asciiTheme="majorHAnsi" w:hAnsiTheme="majorHAnsi" w:cstheme="majorHAnsi"/>
          <w:color w:val="002060"/>
          <w:lang w:val="es-ES"/>
        </w:rPr>
      </w:pPr>
    </w:p>
    <w:p w14:paraId="55755496" w14:textId="310B6E05" w:rsidR="002E1949" w:rsidRDefault="002E1949"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Pr="002E1949">
        <w:rPr>
          <w:rFonts w:asciiTheme="majorHAnsi" w:hAnsiTheme="majorHAnsi" w:cstheme="majorHAnsi"/>
          <w:b/>
          <w:color w:val="002060"/>
          <w:sz w:val="22"/>
          <w:szCs w:val="22"/>
          <w:lang w:val="es-ES_tradnl"/>
        </w:rPr>
        <w:t>Trabajar por la erradicación de todas las formas de violencia por motivos de género.</w:t>
      </w:r>
    </w:p>
    <w:p w14:paraId="1E887AD4" w14:textId="0D26E2F1" w:rsidR="002E1949" w:rsidRDefault="008978C5"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sidRPr="008978C5">
        <w:rPr>
          <w:rFonts w:asciiTheme="majorHAnsi" w:hAnsiTheme="majorHAnsi" w:cstheme="majorHAnsi"/>
          <w:color w:val="002060"/>
          <w:sz w:val="22"/>
          <w:szCs w:val="22"/>
          <w:lang w:val="es-ES_tradnl"/>
        </w:rPr>
        <w:t>Seguimiento y evaluación de la implementación de la iniciativa Spotlight, con mayor apertura a la participación de organizaciones diversas de sociedad civil de mujeres y personas LGBT</w:t>
      </w:r>
      <w:r>
        <w:rPr>
          <w:rFonts w:asciiTheme="majorHAnsi" w:hAnsiTheme="majorHAnsi" w:cstheme="majorHAnsi"/>
          <w:color w:val="002060"/>
          <w:sz w:val="22"/>
          <w:szCs w:val="22"/>
          <w:lang w:val="es-ES_tradnl"/>
        </w:rPr>
        <w:t>I</w:t>
      </w:r>
      <w:r w:rsidRPr="008978C5">
        <w:rPr>
          <w:rFonts w:asciiTheme="majorHAnsi" w:hAnsiTheme="majorHAnsi" w:cstheme="majorHAnsi"/>
          <w:color w:val="002060"/>
          <w:sz w:val="22"/>
          <w:szCs w:val="22"/>
          <w:lang w:val="es-ES_tradnl"/>
        </w:rPr>
        <w:t>.</w:t>
      </w:r>
    </w:p>
    <w:p w14:paraId="27DCFFB5" w14:textId="0A3DEE55" w:rsidR="008978C5" w:rsidRDefault="008978C5"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lastRenderedPageBreak/>
        <w:t>Apoyo técnico- estratégico de los procesos de formación de las diferentes instituciones, con énfasis en el Consejo de la judicatura y que ha realizado varios módulos de formación con el apoyo de diversas instituciones de cooperación.</w:t>
      </w:r>
    </w:p>
    <w:p w14:paraId="04ECDCC5" w14:textId="48B97B1D" w:rsidR="008978C5" w:rsidRPr="008978C5" w:rsidRDefault="008978C5"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 xml:space="preserve">Evaluar la pertinencia del desarrollo de una plataforma de formación virtual técnica para servidoras y servidores judiciales, lo que implica la formación de fiscales, defensores, y peritos. Es decir aterrizar la formación conceptual de género para el perfil profesional específico </w:t>
      </w:r>
      <w:r w:rsidRPr="008978C5">
        <w:rPr>
          <w:rFonts w:asciiTheme="majorHAnsi" w:hAnsiTheme="majorHAnsi" w:cstheme="majorHAnsi"/>
          <w:color w:val="002060"/>
          <w:sz w:val="22"/>
          <w:szCs w:val="22"/>
          <w:lang w:val="es-ES_tradnl"/>
        </w:rPr>
        <w:t>en todo el proceso de atención y acceso a la justicia.</w:t>
      </w:r>
    </w:p>
    <w:p w14:paraId="56FD622D" w14:textId="445AFAE3" w:rsidR="002E1949" w:rsidRDefault="008978C5"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sidRPr="008978C5">
        <w:rPr>
          <w:rFonts w:asciiTheme="majorHAnsi" w:hAnsiTheme="majorHAnsi" w:cstheme="majorHAnsi"/>
          <w:color w:val="002060"/>
          <w:sz w:val="22"/>
          <w:szCs w:val="22"/>
          <w:lang w:val="es-ES_tradnl"/>
        </w:rPr>
        <w:t>Considerar apoyo técnico específico para la creación de una fiscalía especializada para la atención de casos de violencia y delitos de odio, por motivos de identidad de género orientación sexual. Esto se plantea considerando la imposibilidad de erradicar la existencia de las denominadas “clínicas desehomosexualización”.</w:t>
      </w:r>
    </w:p>
    <w:p w14:paraId="2D878484" w14:textId="73246F35" w:rsidR="004861E8" w:rsidRDefault="004861E8"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Coordinar con la CONAIE, para el fortalecimiento de la justicia indígena, a partir de procesos de debate, discusión en grupos focales, y formación. Esto permitirá además del desarrollo de herramientas técnicas que orienten, a modo de guía, sobre la atención a diversos casos de violencia de género, en respecto al derecho a la autodeterminación.</w:t>
      </w:r>
    </w:p>
    <w:p w14:paraId="57CB2BBB" w14:textId="7025816E" w:rsidR="004861E8" w:rsidRDefault="004861E8"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Realizar un acercamiento a las instancias que coordinen a las instituciones de educación superior / o directamente con la Red de educación superior y género, de modo que se desarrolle un sílabus para que se exija que en varias carreras se incorpore formación en el enfoque de género, aterrizado de forma técnica a las necesidades de las profesiones en específico. Las carreras claves serían derecho, medicina, sociología, psicología, antropología, economía, y pedagogía.</w:t>
      </w:r>
    </w:p>
    <w:p w14:paraId="4DA73319" w14:textId="52EABFB7" w:rsidR="002E1949" w:rsidRDefault="004861E8"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Evaluar las necesidades de apoyo con el Ministerio del Trabajo, quien se encuentra trabajando de forma cercana con ONU mujeres, para un plan de implementación del Convenio 190 de la OIT, el cual se refiere a la implementación de políticas y acciones para contar con espacios de trabajo libres de violencia.</w:t>
      </w:r>
    </w:p>
    <w:p w14:paraId="12C99EC2" w14:textId="3E469531" w:rsidR="00AF12FD" w:rsidRPr="00AF12FD" w:rsidRDefault="00AF12FD" w:rsidP="00A542FD">
      <w:pPr>
        <w:pStyle w:val="ListParagraph"/>
        <w:numPr>
          <w:ilvl w:val="0"/>
          <w:numId w:val="6"/>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 xml:space="preserve">Respecto educativo, brindar apoyo al Ministerio de Educación, para el desarrollo, y fortalecimientos de la </w:t>
      </w:r>
      <w:r w:rsidRPr="00AF12FD">
        <w:rPr>
          <w:rFonts w:asciiTheme="majorHAnsi" w:hAnsiTheme="majorHAnsi" w:cstheme="majorHAnsi"/>
          <w:b/>
          <w:color w:val="002060"/>
          <w:sz w:val="22"/>
          <w:szCs w:val="22"/>
          <w:lang w:val="es-ES_tradnl"/>
        </w:rPr>
        <w:t>Estrategia nacional para la prevención y erradicación de la violencia sexual en el ámbito educativo.</w:t>
      </w:r>
    </w:p>
    <w:p w14:paraId="34D64A8C" w14:textId="77777777" w:rsidR="00AF12FD" w:rsidRPr="002A7DFC" w:rsidRDefault="00AF12FD" w:rsidP="002A7DFC">
      <w:pPr>
        <w:spacing w:line="276" w:lineRule="auto"/>
        <w:jc w:val="both"/>
        <w:textAlignment w:val="baseline"/>
        <w:rPr>
          <w:rFonts w:asciiTheme="majorHAnsi" w:hAnsiTheme="majorHAnsi" w:cstheme="majorHAnsi"/>
          <w:color w:val="002060"/>
          <w:sz w:val="22"/>
          <w:szCs w:val="22"/>
          <w:lang w:val="es-ES_tradnl"/>
        </w:rPr>
      </w:pPr>
    </w:p>
    <w:p w14:paraId="113ADC88" w14:textId="2A917402" w:rsidR="002E1949" w:rsidRDefault="008978C5"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002E1949" w:rsidRPr="002E1949">
        <w:rPr>
          <w:rFonts w:asciiTheme="majorHAnsi" w:hAnsiTheme="majorHAnsi" w:cstheme="majorHAnsi"/>
          <w:b/>
          <w:color w:val="002060"/>
          <w:sz w:val="22"/>
          <w:szCs w:val="22"/>
          <w:lang w:val="es-ES_tradnl"/>
        </w:rPr>
        <w:t>Promocionar la salud y los derechos sexuales y derechos reproductivos. </w:t>
      </w:r>
    </w:p>
    <w:p w14:paraId="291C312B" w14:textId="7A7A1B62" w:rsidR="008978C5" w:rsidRPr="0055011C" w:rsidRDefault="008978C5" w:rsidP="00A542FD">
      <w:pPr>
        <w:pStyle w:val="ListParagraph"/>
        <w:numPr>
          <w:ilvl w:val="0"/>
          <w:numId w:val="7"/>
        </w:numPr>
        <w:spacing w:line="276" w:lineRule="auto"/>
        <w:jc w:val="both"/>
        <w:textAlignment w:val="baseline"/>
        <w:rPr>
          <w:rFonts w:asciiTheme="majorHAnsi" w:hAnsiTheme="majorHAnsi" w:cstheme="majorHAnsi"/>
          <w:color w:val="002060"/>
          <w:sz w:val="22"/>
          <w:szCs w:val="22"/>
          <w:lang w:val="es-ES_tradnl"/>
        </w:rPr>
      </w:pPr>
      <w:r w:rsidRPr="0055011C">
        <w:rPr>
          <w:rFonts w:asciiTheme="majorHAnsi" w:hAnsiTheme="majorHAnsi" w:cstheme="majorHAnsi"/>
          <w:color w:val="002060"/>
          <w:sz w:val="22"/>
          <w:szCs w:val="22"/>
          <w:lang w:val="es-ES_tradnl"/>
        </w:rPr>
        <w:t>Actualmente, la Asamblea Nacional se encuentra debatiendo sobre la ley para un aborto libre y seguro, a partir de la aprobación que se realice de esta normativa que debe ser aprobada por disposición constitucional, se deberá realizar un una acción de difusión, y socialización masiva a nivel nacional, con énfasis en los sectores que menor acceso tienen a la información, así como a servicios de salud. Esto deberá considerar también las formas de difusión en las diversas lenguas de los pueblos y nacionalidades, comprendiendo además que algunas de ellas son predominantemente orales.</w:t>
      </w:r>
    </w:p>
    <w:p w14:paraId="17B30EDA" w14:textId="77777777" w:rsidR="004861E8" w:rsidRPr="0055011C" w:rsidRDefault="008978C5" w:rsidP="00A542FD">
      <w:pPr>
        <w:pStyle w:val="ListParagraph"/>
        <w:numPr>
          <w:ilvl w:val="0"/>
          <w:numId w:val="7"/>
        </w:numPr>
        <w:spacing w:line="276" w:lineRule="auto"/>
        <w:jc w:val="both"/>
        <w:textAlignment w:val="baseline"/>
        <w:rPr>
          <w:rFonts w:asciiTheme="majorHAnsi" w:hAnsiTheme="majorHAnsi" w:cstheme="majorHAnsi"/>
          <w:color w:val="002060"/>
          <w:sz w:val="22"/>
          <w:szCs w:val="22"/>
          <w:lang w:val="es-ES_tradnl"/>
        </w:rPr>
      </w:pPr>
      <w:r w:rsidRPr="0055011C">
        <w:rPr>
          <w:rFonts w:asciiTheme="majorHAnsi" w:hAnsiTheme="majorHAnsi" w:cstheme="majorHAnsi"/>
          <w:color w:val="002060"/>
          <w:sz w:val="22"/>
          <w:szCs w:val="22"/>
          <w:lang w:val="es-ES_tradnl"/>
        </w:rPr>
        <w:t xml:space="preserve">El </w:t>
      </w:r>
      <w:r w:rsidR="004861E8" w:rsidRPr="0055011C">
        <w:rPr>
          <w:rFonts w:asciiTheme="majorHAnsi" w:hAnsiTheme="majorHAnsi" w:cstheme="majorHAnsi"/>
          <w:color w:val="002060"/>
          <w:sz w:val="22"/>
          <w:szCs w:val="22"/>
          <w:lang w:val="es-ES_tradnl"/>
        </w:rPr>
        <w:t>MSP</w:t>
      </w:r>
      <w:r w:rsidRPr="0055011C">
        <w:rPr>
          <w:rFonts w:asciiTheme="majorHAnsi" w:hAnsiTheme="majorHAnsi" w:cstheme="majorHAnsi"/>
          <w:color w:val="002060"/>
          <w:sz w:val="22"/>
          <w:szCs w:val="22"/>
          <w:lang w:val="es-ES_tradnl"/>
        </w:rPr>
        <w:t xml:space="preserve"> cuenta con servicios de salud inclus</w:t>
      </w:r>
      <w:r w:rsidR="004861E8" w:rsidRPr="0055011C">
        <w:rPr>
          <w:rFonts w:asciiTheme="majorHAnsi" w:hAnsiTheme="majorHAnsi" w:cstheme="majorHAnsi"/>
          <w:color w:val="002060"/>
          <w:sz w:val="22"/>
          <w:szCs w:val="22"/>
          <w:lang w:val="es-ES_tradnl"/>
        </w:rPr>
        <w:t>i</w:t>
      </w:r>
      <w:r w:rsidRPr="0055011C">
        <w:rPr>
          <w:rFonts w:asciiTheme="majorHAnsi" w:hAnsiTheme="majorHAnsi" w:cstheme="majorHAnsi"/>
          <w:color w:val="002060"/>
          <w:sz w:val="22"/>
          <w:szCs w:val="22"/>
          <w:lang w:val="es-ES_tradnl"/>
        </w:rPr>
        <w:t>vos, los cuales son claves potenciar y fortalecer.</w:t>
      </w:r>
    </w:p>
    <w:p w14:paraId="0421EBCF" w14:textId="57FB41D8" w:rsidR="004861E8" w:rsidRPr="0055011C" w:rsidRDefault="004861E8" w:rsidP="00A542FD">
      <w:pPr>
        <w:pStyle w:val="ListParagraph"/>
        <w:numPr>
          <w:ilvl w:val="0"/>
          <w:numId w:val="7"/>
        </w:numPr>
        <w:spacing w:line="276" w:lineRule="auto"/>
        <w:jc w:val="both"/>
        <w:textAlignment w:val="baseline"/>
        <w:rPr>
          <w:rFonts w:asciiTheme="majorHAnsi" w:hAnsiTheme="majorHAnsi" w:cstheme="majorHAnsi"/>
          <w:color w:val="002060"/>
          <w:sz w:val="22"/>
          <w:szCs w:val="22"/>
          <w:lang w:val="es-ES_tradnl"/>
        </w:rPr>
      </w:pPr>
      <w:r w:rsidRPr="0055011C">
        <w:rPr>
          <w:rFonts w:asciiTheme="majorHAnsi" w:hAnsiTheme="majorHAnsi" w:cstheme="majorHAnsi"/>
          <w:color w:val="002060"/>
          <w:sz w:val="22"/>
          <w:szCs w:val="22"/>
          <w:lang w:val="es-ES_tradnl"/>
        </w:rPr>
        <w:t xml:space="preserve">Brindar apoyo técnico para que el MSP formule la </w:t>
      </w:r>
      <w:r w:rsidRPr="0055011C">
        <w:rPr>
          <w:rFonts w:asciiTheme="majorHAnsi" w:hAnsiTheme="majorHAnsi" w:cstheme="majorHAnsi"/>
          <w:b/>
          <w:color w:val="002060"/>
          <w:sz w:val="22"/>
          <w:szCs w:val="22"/>
          <w:lang w:val="es-ES_tradnl"/>
        </w:rPr>
        <w:t>Estrategia Intersectorial de Prevención de Embarazo en Niñas y Adolescentes</w:t>
      </w:r>
      <w:r w:rsidRPr="0055011C">
        <w:rPr>
          <w:rFonts w:asciiTheme="majorHAnsi" w:hAnsiTheme="majorHAnsi" w:cstheme="majorHAnsi"/>
          <w:color w:val="002060"/>
          <w:sz w:val="22"/>
          <w:szCs w:val="22"/>
          <w:lang w:val="es-ES_tradnl"/>
        </w:rPr>
        <w:t xml:space="preserve">. </w:t>
      </w:r>
    </w:p>
    <w:p w14:paraId="464163D5" w14:textId="36A3F816" w:rsidR="008978C5" w:rsidRDefault="004861E8" w:rsidP="00A542FD">
      <w:pPr>
        <w:pStyle w:val="ListParagraph"/>
        <w:numPr>
          <w:ilvl w:val="0"/>
          <w:numId w:val="7"/>
        </w:numPr>
        <w:spacing w:line="276" w:lineRule="auto"/>
        <w:jc w:val="both"/>
        <w:textAlignment w:val="baseline"/>
        <w:rPr>
          <w:rFonts w:asciiTheme="majorHAnsi" w:hAnsiTheme="majorHAnsi" w:cstheme="majorHAnsi"/>
          <w:color w:val="002060"/>
          <w:sz w:val="22"/>
          <w:szCs w:val="22"/>
          <w:lang w:val="es-ES_tradnl"/>
        </w:rPr>
      </w:pPr>
      <w:r w:rsidRPr="0055011C">
        <w:rPr>
          <w:rFonts w:asciiTheme="majorHAnsi" w:hAnsiTheme="majorHAnsi" w:cstheme="majorHAnsi"/>
          <w:color w:val="002060"/>
          <w:sz w:val="22"/>
          <w:szCs w:val="22"/>
          <w:lang w:val="es-ES_tradnl"/>
        </w:rPr>
        <w:t xml:space="preserve">Brindar apoyo para la actualización de la </w:t>
      </w:r>
      <w:r w:rsidRPr="0055011C">
        <w:rPr>
          <w:rFonts w:asciiTheme="majorHAnsi" w:hAnsiTheme="majorHAnsi" w:cstheme="majorHAnsi"/>
          <w:b/>
          <w:color w:val="002060"/>
          <w:sz w:val="22"/>
          <w:szCs w:val="22"/>
          <w:lang w:val="es-ES_tradnl"/>
        </w:rPr>
        <w:t>Encuesta Nacional de Salud y Nutrición (ENASUT)</w:t>
      </w:r>
      <w:r w:rsidRPr="0055011C">
        <w:rPr>
          <w:rFonts w:asciiTheme="majorHAnsi" w:hAnsiTheme="majorHAnsi" w:cstheme="majorHAnsi"/>
          <w:color w:val="002060"/>
          <w:sz w:val="22"/>
          <w:szCs w:val="22"/>
          <w:lang w:val="es-ES_tradnl"/>
        </w:rPr>
        <w:t>, la misma que se debe actualizar en el 2023, y en la cual hay la posibilidad de generar información específica sobre temas que no se han incluido previamente. La generación de información en el país, es un desafío permanente, y en situaciones de crisis económicas, generalmente pierde la prioridad en el presupuesto nacional.</w:t>
      </w:r>
    </w:p>
    <w:p w14:paraId="4B714181" w14:textId="77777777" w:rsidR="00AF12FD" w:rsidRPr="0055011C" w:rsidRDefault="00AF12FD" w:rsidP="00AF12FD">
      <w:pPr>
        <w:pStyle w:val="ListParagraph"/>
        <w:spacing w:line="276" w:lineRule="auto"/>
        <w:ind w:left="1080"/>
        <w:jc w:val="both"/>
        <w:textAlignment w:val="baseline"/>
        <w:rPr>
          <w:rFonts w:asciiTheme="majorHAnsi" w:hAnsiTheme="majorHAnsi" w:cstheme="majorHAnsi"/>
          <w:color w:val="002060"/>
          <w:sz w:val="22"/>
          <w:szCs w:val="22"/>
          <w:lang w:val="es-ES_tradnl"/>
        </w:rPr>
      </w:pPr>
    </w:p>
    <w:p w14:paraId="7008ECC9" w14:textId="77777777" w:rsidR="008978C5" w:rsidRPr="002E1949" w:rsidRDefault="008978C5" w:rsidP="002E1949">
      <w:pPr>
        <w:spacing w:line="276" w:lineRule="auto"/>
        <w:jc w:val="both"/>
        <w:textAlignment w:val="baseline"/>
        <w:rPr>
          <w:rFonts w:asciiTheme="majorHAnsi" w:hAnsiTheme="majorHAnsi" w:cstheme="majorHAnsi"/>
          <w:b/>
          <w:color w:val="002060"/>
          <w:sz w:val="22"/>
          <w:szCs w:val="22"/>
          <w:lang w:val="es-ES_tradnl"/>
        </w:rPr>
      </w:pPr>
    </w:p>
    <w:p w14:paraId="1A2AFF50" w14:textId="48BDDD8C" w:rsidR="002E1949" w:rsidRDefault="008978C5"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002E1949" w:rsidRPr="002E1949">
        <w:rPr>
          <w:rFonts w:asciiTheme="majorHAnsi" w:hAnsiTheme="majorHAnsi" w:cstheme="majorHAnsi"/>
          <w:b/>
          <w:color w:val="002060"/>
          <w:sz w:val="22"/>
          <w:szCs w:val="22"/>
          <w:lang w:val="es-ES_tradnl"/>
        </w:rPr>
        <w:t>Promocionar derechos económicos, sociales y el empoderamiento de niñas y mujeres.</w:t>
      </w:r>
    </w:p>
    <w:p w14:paraId="2752A4BE" w14:textId="1B748014" w:rsidR="00C95E90" w:rsidRDefault="0055011C" w:rsidP="00A542FD">
      <w:pPr>
        <w:pStyle w:val="ListParagraph"/>
        <w:numPr>
          <w:ilvl w:val="0"/>
          <w:numId w:val="9"/>
        </w:numPr>
        <w:spacing w:line="276" w:lineRule="auto"/>
        <w:jc w:val="both"/>
        <w:textAlignment w:val="baseline"/>
        <w:rPr>
          <w:rFonts w:asciiTheme="majorHAnsi" w:hAnsiTheme="majorHAnsi" w:cstheme="majorHAnsi"/>
          <w:color w:val="002060"/>
          <w:sz w:val="22"/>
          <w:szCs w:val="22"/>
          <w:lang w:val="es-ES_tradnl"/>
        </w:rPr>
      </w:pPr>
      <w:r w:rsidRPr="0055011C">
        <w:rPr>
          <w:rFonts w:asciiTheme="majorHAnsi" w:hAnsiTheme="majorHAnsi" w:cstheme="majorHAnsi"/>
          <w:color w:val="002060"/>
          <w:sz w:val="22"/>
          <w:szCs w:val="22"/>
          <w:lang w:val="es-ES_tradnl"/>
        </w:rPr>
        <w:t xml:space="preserve">El MIES como el órgano rector de la política social, debe repotenciar, y resignificar las políticas que tiene respecto al trabajo de cuidados. Éstas son contrataciones para situaciones de cuidado específicas. Frente a esto, es indispensable cumplir con la disposición constitucional de la creación de un </w:t>
      </w:r>
      <w:r w:rsidRPr="0055011C">
        <w:rPr>
          <w:rFonts w:asciiTheme="majorHAnsi" w:hAnsiTheme="majorHAnsi" w:cstheme="majorHAnsi"/>
          <w:b/>
          <w:color w:val="002060"/>
          <w:sz w:val="22"/>
          <w:szCs w:val="22"/>
          <w:lang w:val="es-ES_tradnl"/>
        </w:rPr>
        <w:t>Sistema Nacional de Cuidados</w:t>
      </w:r>
      <w:r w:rsidRPr="0055011C">
        <w:rPr>
          <w:rFonts w:asciiTheme="majorHAnsi" w:hAnsiTheme="majorHAnsi" w:cstheme="majorHAnsi"/>
          <w:color w:val="002060"/>
          <w:sz w:val="22"/>
          <w:szCs w:val="22"/>
          <w:lang w:val="es-ES_tradnl"/>
        </w:rPr>
        <w:t>. Se recomienda que este parta de propuestas de organización social de cuidados a nivel desconcentrado, es decir que se plantea un aprendizaje a partir de lo local para construir una propuesta nacional que reconozca e incorpore la diversidad de situaciones, necesidades y formas de organización social en el país.</w:t>
      </w:r>
      <w:r>
        <w:rPr>
          <w:rFonts w:asciiTheme="majorHAnsi" w:hAnsiTheme="majorHAnsi" w:cstheme="majorHAnsi"/>
          <w:color w:val="002060"/>
          <w:sz w:val="22"/>
          <w:szCs w:val="22"/>
          <w:lang w:val="es-ES_tradnl"/>
        </w:rPr>
        <w:t xml:space="preserve"> </w:t>
      </w:r>
      <w:r w:rsidR="00C95E90">
        <w:rPr>
          <w:rFonts w:asciiTheme="majorHAnsi" w:hAnsiTheme="majorHAnsi" w:cstheme="majorHAnsi"/>
          <w:color w:val="002060"/>
          <w:sz w:val="22"/>
          <w:szCs w:val="22"/>
          <w:lang w:val="es-ES_tradnl"/>
        </w:rPr>
        <w:t>La creación del sistema Nacional de cuidados, debe contemplar un sistema de monitoreo y evolución.</w:t>
      </w:r>
    </w:p>
    <w:p w14:paraId="5F623EE1" w14:textId="54697982" w:rsidR="00E766C7" w:rsidRPr="00C95E90" w:rsidRDefault="00E766C7" w:rsidP="00A542FD">
      <w:pPr>
        <w:pStyle w:val="ListParagraph"/>
        <w:numPr>
          <w:ilvl w:val="0"/>
          <w:numId w:val="9"/>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 xml:space="preserve">En términos de derechos económicos y laborales, apoyar la creación de un </w:t>
      </w:r>
      <w:r w:rsidRPr="00E766C7">
        <w:rPr>
          <w:rFonts w:asciiTheme="majorHAnsi" w:hAnsiTheme="majorHAnsi" w:cstheme="majorHAnsi"/>
          <w:b/>
          <w:color w:val="002060"/>
          <w:sz w:val="22"/>
          <w:szCs w:val="22"/>
          <w:lang w:val="es-ES_tradnl"/>
        </w:rPr>
        <w:t>Observatorio de Género sobre políticas económica, laborales y tributaria</w:t>
      </w:r>
      <w:r>
        <w:rPr>
          <w:rFonts w:asciiTheme="majorHAnsi" w:hAnsiTheme="majorHAnsi" w:cstheme="majorHAnsi"/>
          <w:b/>
          <w:color w:val="002060"/>
          <w:sz w:val="22"/>
          <w:szCs w:val="22"/>
          <w:lang w:val="es-ES_tradnl"/>
        </w:rPr>
        <w:t>s</w:t>
      </w:r>
      <w:r>
        <w:rPr>
          <w:rFonts w:asciiTheme="majorHAnsi" w:hAnsiTheme="majorHAnsi" w:cstheme="majorHAnsi"/>
          <w:color w:val="002060"/>
          <w:sz w:val="22"/>
          <w:szCs w:val="22"/>
          <w:lang w:val="es-ES_tradnl"/>
        </w:rPr>
        <w:t xml:space="preserve">, que contemple una metodología para la democratización del conocimiento y socialización del contenido de propuestas de ley de índole económica, laboral y tributaria. </w:t>
      </w:r>
    </w:p>
    <w:p w14:paraId="0944B49E" w14:textId="77777777" w:rsidR="004861E8" w:rsidRPr="002E1949" w:rsidRDefault="004861E8" w:rsidP="002E1949">
      <w:pPr>
        <w:spacing w:line="276" w:lineRule="auto"/>
        <w:jc w:val="both"/>
        <w:textAlignment w:val="baseline"/>
        <w:rPr>
          <w:rFonts w:asciiTheme="majorHAnsi" w:hAnsiTheme="majorHAnsi" w:cstheme="majorHAnsi"/>
          <w:b/>
          <w:color w:val="002060"/>
          <w:sz w:val="22"/>
          <w:szCs w:val="22"/>
          <w:lang w:val="es-ES_tradnl"/>
        </w:rPr>
      </w:pPr>
    </w:p>
    <w:p w14:paraId="7E91527C" w14:textId="2C266E67" w:rsidR="002E1949" w:rsidRDefault="008978C5"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002E1949" w:rsidRPr="002E1949">
        <w:rPr>
          <w:rFonts w:asciiTheme="majorHAnsi" w:hAnsiTheme="majorHAnsi" w:cstheme="majorHAnsi"/>
          <w:b/>
          <w:color w:val="002060"/>
          <w:sz w:val="22"/>
          <w:szCs w:val="22"/>
          <w:lang w:val="es-ES_tradnl"/>
        </w:rPr>
        <w:t>Promocionar participación y liderazgo en condiciones de igualdad real y formal.</w:t>
      </w:r>
    </w:p>
    <w:p w14:paraId="59662448" w14:textId="1F57FF27" w:rsidR="00C95E90" w:rsidRPr="00C95E90" w:rsidRDefault="00C95E90" w:rsidP="00A542FD">
      <w:pPr>
        <w:pStyle w:val="ListParagraph"/>
        <w:numPr>
          <w:ilvl w:val="0"/>
          <w:numId w:val="8"/>
        </w:numPr>
        <w:spacing w:line="276" w:lineRule="auto"/>
        <w:jc w:val="both"/>
        <w:textAlignment w:val="baseline"/>
        <w:rPr>
          <w:rFonts w:asciiTheme="majorHAnsi" w:hAnsiTheme="majorHAnsi" w:cstheme="majorHAnsi"/>
          <w:color w:val="002060"/>
          <w:sz w:val="22"/>
          <w:szCs w:val="22"/>
          <w:lang w:val="es-ES_tradnl"/>
        </w:rPr>
      </w:pPr>
      <w:r w:rsidRPr="00C95E90">
        <w:rPr>
          <w:rFonts w:asciiTheme="majorHAnsi" w:hAnsiTheme="majorHAnsi" w:cstheme="majorHAnsi"/>
          <w:color w:val="002060"/>
          <w:sz w:val="22"/>
          <w:szCs w:val="22"/>
          <w:lang w:val="es-ES_tradnl"/>
        </w:rPr>
        <w:t xml:space="preserve">El </w:t>
      </w:r>
      <w:r w:rsidR="00E766C7">
        <w:rPr>
          <w:rFonts w:asciiTheme="majorHAnsi" w:hAnsiTheme="majorHAnsi" w:cstheme="majorHAnsi"/>
          <w:color w:val="002060"/>
          <w:sz w:val="22"/>
          <w:szCs w:val="22"/>
          <w:lang w:val="es-ES_tradnl"/>
        </w:rPr>
        <w:t>C</w:t>
      </w:r>
      <w:r w:rsidRPr="00C95E90">
        <w:rPr>
          <w:rFonts w:asciiTheme="majorHAnsi" w:hAnsiTheme="majorHAnsi" w:cstheme="majorHAnsi"/>
          <w:color w:val="002060"/>
          <w:sz w:val="22"/>
          <w:szCs w:val="22"/>
          <w:lang w:val="es-ES_tradnl"/>
        </w:rPr>
        <w:t xml:space="preserve">ódigo de la </w:t>
      </w:r>
      <w:r w:rsidR="00E766C7">
        <w:rPr>
          <w:rFonts w:asciiTheme="majorHAnsi" w:hAnsiTheme="majorHAnsi" w:cstheme="majorHAnsi"/>
          <w:color w:val="002060"/>
          <w:sz w:val="22"/>
          <w:szCs w:val="22"/>
          <w:lang w:val="es-ES_tradnl"/>
        </w:rPr>
        <w:t>D</w:t>
      </w:r>
      <w:r w:rsidRPr="00C95E90">
        <w:rPr>
          <w:rFonts w:asciiTheme="majorHAnsi" w:hAnsiTheme="majorHAnsi" w:cstheme="majorHAnsi"/>
          <w:color w:val="002060"/>
          <w:sz w:val="22"/>
          <w:szCs w:val="22"/>
          <w:lang w:val="es-ES_tradnl"/>
        </w:rPr>
        <w:t xml:space="preserve">emocracia dispone que los partidos cuente con </w:t>
      </w:r>
      <w:r w:rsidRPr="00E766C7">
        <w:rPr>
          <w:rFonts w:asciiTheme="majorHAnsi" w:hAnsiTheme="majorHAnsi" w:cstheme="majorHAnsi"/>
          <w:b/>
          <w:color w:val="002060"/>
          <w:sz w:val="22"/>
          <w:szCs w:val="22"/>
          <w:lang w:val="es-ES_tradnl"/>
        </w:rPr>
        <w:t>escuelas de formación política</w:t>
      </w:r>
      <w:r w:rsidRPr="00C95E90">
        <w:rPr>
          <w:rFonts w:asciiTheme="majorHAnsi" w:hAnsiTheme="majorHAnsi" w:cstheme="majorHAnsi"/>
          <w:color w:val="002060"/>
          <w:sz w:val="22"/>
          <w:szCs w:val="22"/>
          <w:lang w:val="es-ES_tradnl"/>
        </w:rPr>
        <w:t>. En este sentido se sugiere que se brinde apoyo a partir de un módulo de formación, o una estrategia de formación, aterrizada en la formación política, es decir que no se limite a la formación teórica. Para que los movimientos y organizaciones y partidos políticos puedan incorporar directamente en sus escuelas de formación política.</w:t>
      </w:r>
    </w:p>
    <w:p w14:paraId="6347B5FC" w14:textId="0DE430BF" w:rsidR="00C95E90" w:rsidRPr="00C95E90" w:rsidRDefault="00C95E90" w:rsidP="00A542FD">
      <w:pPr>
        <w:pStyle w:val="ListParagraph"/>
        <w:numPr>
          <w:ilvl w:val="0"/>
          <w:numId w:val="8"/>
        </w:numPr>
        <w:spacing w:line="276" w:lineRule="auto"/>
        <w:jc w:val="both"/>
        <w:textAlignment w:val="baseline"/>
        <w:rPr>
          <w:rFonts w:asciiTheme="majorHAnsi" w:hAnsiTheme="majorHAnsi" w:cstheme="majorHAnsi"/>
          <w:color w:val="002060"/>
          <w:sz w:val="22"/>
          <w:szCs w:val="22"/>
          <w:lang w:val="es-ES_tradnl"/>
        </w:rPr>
      </w:pPr>
      <w:r w:rsidRPr="00C95E90">
        <w:rPr>
          <w:rFonts w:asciiTheme="majorHAnsi" w:hAnsiTheme="majorHAnsi" w:cstheme="majorHAnsi"/>
          <w:color w:val="002060"/>
          <w:sz w:val="22"/>
          <w:szCs w:val="22"/>
          <w:lang w:val="es-ES_tradnl"/>
        </w:rPr>
        <w:t xml:space="preserve">Apoyar a la formación de una </w:t>
      </w:r>
      <w:r w:rsidRPr="00E766C7">
        <w:rPr>
          <w:rFonts w:asciiTheme="majorHAnsi" w:hAnsiTheme="majorHAnsi" w:cstheme="majorHAnsi"/>
          <w:b/>
          <w:color w:val="002060"/>
          <w:sz w:val="22"/>
          <w:szCs w:val="22"/>
          <w:lang w:val="es-ES_tradnl"/>
        </w:rPr>
        <w:t>Red de mujeres políticas en cargos de elección popular</w:t>
      </w:r>
      <w:r w:rsidRPr="00C95E90">
        <w:rPr>
          <w:rFonts w:asciiTheme="majorHAnsi" w:hAnsiTheme="majorHAnsi" w:cstheme="majorHAnsi"/>
          <w:color w:val="002060"/>
          <w:sz w:val="22"/>
          <w:szCs w:val="22"/>
          <w:lang w:val="es-ES_tradnl"/>
        </w:rPr>
        <w:t>, para fortalecer sus conocimientos y por lo tanto su gestión en términos de formulación de políticas igualdad.</w:t>
      </w:r>
      <w:r>
        <w:rPr>
          <w:rFonts w:asciiTheme="majorHAnsi" w:hAnsiTheme="majorHAnsi" w:cstheme="majorHAnsi"/>
          <w:color w:val="002060"/>
          <w:sz w:val="22"/>
          <w:szCs w:val="22"/>
          <w:lang w:val="es-ES_tradnl"/>
        </w:rPr>
        <w:t xml:space="preserve"> Para esto, considerar la diversidad de mujeres políticas en cargos de elección popular, su parte étnica</w:t>
      </w:r>
      <w:r w:rsidR="00D76D01">
        <w:rPr>
          <w:rFonts w:asciiTheme="majorHAnsi" w:hAnsiTheme="majorHAnsi" w:cstheme="majorHAnsi"/>
          <w:color w:val="002060"/>
          <w:sz w:val="22"/>
          <w:szCs w:val="22"/>
          <w:lang w:val="es-ES_tradnl"/>
        </w:rPr>
        <w:t xml:space="preserve"> y el Estado inter</w:t>
      </w:r>
      <w:r w:rsidR="00E766C7">
        <w:rPr>
          <w:rFonts w:asciiTheme="majorHAnsi" w:hAnsiTheme="majorHAnsi" w:cstheme="majorHAnsi"/>
          <w:color w:val="002060"/>
          <w:sz w:val="22"/>
          <w:szCs w:val="22"/>
          <w:lang w:val="es-ES_tradnl"/>
        </w:rPr>
        <w:t>c</w:t>
      </w:r>
      <w:r w:rsidR="00D76D01">
        <w:rPr>
          <w:rFonts w:asciiTheme="majorHAnsi" w:hAnsiTheme="majorHAnsi" w:cstheme="majorHAnsi"/>
          <w:color w:val="002060"/>
          <w:sz w:val="22"/>
          <w:szCs w:val="22"/>
          <w:lang w:val="es-ES_tradnl"/>
        </w:rPr>
        <w:t>ultural.</w:t>
      </w:r>
    </w:p>
    <w:p w14:paraId="6D09090E" w14:textId="77777777" w:rsidR="00C95E90" w:rsidRPr="002E1949" w:rsidRDefault="00C95E90" w:rsidP="002E1949">
      <w:pPr>
        <w:spacing w:line="276" w:lineRule="auto"/>
        <w:jc w:val="both"/>
        <w:textAlignment w:val="baseline"/>
        <w:rPr>
          <w:rFonts w:asciiTheme="majorHAnsi" w:hAnsiTheme="majorHAnsi" w:cstheme="majorHAnsi"/>
          <w:b/>
          <w:color w:val="002060"/>
          <w:sz w:val="22"/>
          <w:szCs w:val="22"/>
          <w:lang w:val="es-ES_tradnl"/>
        </w:rPr>
      </w:pPr>
    </w:p>
    <w:p w14:paraId="2816689E" w14:textId="7F4CEC6E" w:rsidR="002E1949" w:rsidRDefault="008978C5"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002E1949" w:rsidRPr="002E1949">
        <w:rPr>
          <w:rFonts w:asciiTheme="majorHAnsi" w:hAnsiTheme="majorHAnsi" w:cstheme="majorHAnsi"/>
          <w:b/>
          <w:color w:val="002060"/>
          <w:sz w:val="22"/>
          <w:szCs w:val="22"/>
          <w:lang w:val="es-ES_tradnl"/>
        </w:rPr>
        <w:t>Integrar las agendas y/o planes de mujeres, paz y seguridad. </w:t>
      </w:r>
    </w:p>
    <w:p w14:paraId="45172847" w14:textId="2471106C" w:rsidR="00D76D01" w:rsidRDefault="00D76D01" w:rsidP="002E1949">
      <w:pPr>
        <w:spacing w:line="276" w:lineRule="auto"/>
        <w:jc w:val="both"/>
        <w:textAlignment w:val="baseline"/>
        <w:rPr>
          <w:rFonts w:asciiTheme="majorHAnsi" w:hAnsiTheme="majorHAnsi" w:cstheme="majorHAnsi"/>
          <w:b/>
          <w:color w:val="002060"/>
          <w:sz w:val="22"/>
          <w:szCs w:val="22"/>
          <w:lang w:val="es-ES_tradnl"/>
        </w:rPr>
      </w:pPr>
    </w:p>
    <w:p w14:paraId="208FD6E7" w14:textId="770EB55F" w:rsidR="00D76D01" w:rsidRDefault="00D76D01" w:rsidP="00A542FD">
      <w:pPr>
        <w:pStyle w:val="ListParagraph"/>
        <w:numPr>
          <w:ilvl w:val="0"/>
          <w:numId w:val="10"/>
        </w:numPr>
        <w:spacing w:line="276" w:lineRule="auto"/>
        <w:jc w:val="both"/>
        <w:textAlignment w:val="baseline"/>
        <w:rPr>
          <w:rFonts w:asciiTheme="majorHAnsi" w:hAnsiTheme="majorHAnsi" w:cstheme="majorHAnsi"/>
          <w:color w:val="002060"/>
          <w:sz w:val="22"/>
          <w:szCs w:val="22"/>
          <w:lang w:val="es-ES_tradnl"/>
        </w:rPr>
      </w:pPr>
      <w:r w:rsidRPr="00D76D01">
        <w:rPr>
          <w:rFonts w:asciiTheme="majorHAnsi" w:hAnsiTheme="majorHAnsi" w:cstheme="majorHAnsi"/>
          <w:color w:val="002060"/>
          <w:sz w:val="22"/>
          <w:szCs w:val="22"/>
          <w:lang w:val="es-ES_tradnl"/>
        </w:rPr>
        <w:t>Brindar apoyo para la integración de una política de seguridad en la planificación urbana, con miras a la construcción de espacios públicos seguros para mujeres en toda su diversidad y para personas LGBT. El espacio público comprendido como espacio para la recreación, el tránsito, y la comercialización, esto último como es el caso de ferias y mercados.</w:t>
      </w:r>
      <w:r>
        <w:rPr>
          <w:rFonts w:asciiTheme="majorHAnsi" w:hAnsiTheme="majorHAnsi" w:cstheme="majorHAnsi"/>
          <w:color w:val="002060"/>
          <w:sz w:val="22"/>
          <w:szCs w:val="22"/>
          <w:lang w:val="es-ES_tradnl"/>
        </w:rPr>
        <w:t xml:space="preserve"> En este sentido, se sugiere además plantear la metodología de ciudades laboratorio, de modo que a partir de experiencias concretas, se pueda compartir aprendizajes y experiencias para propuestas a nivel nacional. Esto es importante considerando que las ferias y mercados son un espacio estratégico para las mujeres indígenas mujeres campesinas, cuyo mayor desafío para sostener su autonomía económica, es la posibilidad de comercialización de sus productos.</w:t>
      </w:r>
      <w:r w:rsidR="00BD367D">
        <w:rPr>
          <w:rFonts w:asciiTheme="majorHAnsi" w:hAnsiTheme="majorHAnsi" w:cstheme="majorHAnsi"/>
          <w:color w:val="002060"/>
          <w:sz w:val="22"/>
          <w:szCs w:val="22"/>
          <w:lang w:val="es-ES_tradnl"/>
        </w:rPr>
        <w:t xml:space="preserve"> </w:t>
      </w:r>
    </w:p>
    <w:p w14:paraId="0A50E42B" w14:textId="79228318" w:rsidR="00BD367D" w:rsidRDefault="00BD367D" w:rsidP="00A542FD">
      <w:pPr>
        <w:pStyle w:val="ListParagraph"/>
        <w:numPr>
          <w:ilvl w:val="0"/>
          <w:numId w:val="10"/>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Es importante hacer énfasis en diferentes localidades de la Frontera Norte, donde frente a la complejidad de la noción de seguridad, es importante resignificar, y planificar desde los gobiernos locales, el acceso y uso del espacio público, como están como para mujeres en toda su diversidad y a lo largo de su ciclo de vida.</w:t>
      </w:r>
    </w:p>
    <w:p w14:paraId="1178493B" w14:textId="77777777" w:rsidR="00D76D01" w:rsidRPr="00D76D01" w:rsidRDefault="00D76D01" w:rsidP="00D76D01">
      <w:pPr>
        <w:spacing w:line="276" w:lineRule="auto"/>
        <w:ind w:left="720"/>
        <w:jc w:val="both"/>
        <w:textAlignment w:val="baseline"/>
        <w:rPr>
          <w:rFonts w:asciiTheme="majorHAnsi" w:hAnsiTheme="majorHAnsi" w:cstheme="majorHAnsi"/>
          <w:color w:val="002060"/>
          <w:sz w:val="22"/>
          <w:szCs w:val="22"/>
          <w:lang w:val="es-ES_tradnl"/>
        </w:rPr>
      </w:pPr>
    </w:p>
    <w:p w14:paraId="7EB83BC1" w14:textId="3C0C33F8" w:rsidR="002E1949" w:rsidRDefault="008978C5" w:rsidP="002E1949">
      <w:pPr>
        <w:spacing w:line="276" w:lineRule="auto"/>
        <w:jc w:val="both"/>
        <w:textAlignment w:val="baseline"/>
        <w:rPr>
          <w:rFonts w:asciiTheme="majorHAnsi" w:hAnsiTheme="majorHAnsi" w:cstheme="majorHAnsi"/>
          <w:b/>
          <w:color w:val="002060"/>
          <w:sz w:val="22"/>
          <w:szCs w:val="22"/>
          <w:lang w:val="es-ES_tradnl"/>
        </w:rPr>
      </w:pPr>
      <w:r>
        <w:rPr>
          <w:rFonts w:asciiTheme="majorHAnsi" w:hAnsiTheme="majorHAnsi" w:cstheme="majorHAnsi"/>
          <w:b/>
          <w:color w:val="002060"/>
          <w:sz w:val="22"/>
          <w:szCs w:val="22"/>
          <w:lang w:val="es-ES_tradnl"/>
        </w:rPr>
        <w:t xml:space="preserve">Eje de intervención - </w:t>
      </w:r>
      <w:r w:rsidR="002E1949" w:rsidRPr="002E1949">
        <w:rPr>
          <w:rFonts w:asciiTheme="majorHAnsi" w:hAnsiTheme="majorHAnsi" w:cstheme="majorHAnsi"/>
          <w:b/>
          <w:color w:val="002060"/>
          <w:sz w:val="22"/>
          <w:szCs w:val="22"/>
          <w:lang w:val="es-ES_tradnl"/>
        </w:rPr>
        <w:t>Trabajar por la mitigación y adaptación al cambio climático, ambiente, así como procesos de Digitalización. </w:t>
      </w:r>
    </w:p>
    <w:p w14:paraId="3B327B80" w14:textId="4F7207A3" w:rsidR="00BD367D" w:rsidRPr="00BD367D" w:rsidRDefault="00BD367D" w:rsidP="00A542FD">
      <w:pPr>
        <w:pStyle w:val="ListParagraph"/>
        <w:numPr>
          <w:ilvl w:val="0"/>
          <w:numId w:val="11"/>
        </w:numPr>
        <w:spacing w:line="276" w:lineRule="auto"/>
        <w:jc w:val="both"/>
        <w:textAlignment w:val="baseline"/>
        <w:rPr>
          <w:rFonts w:asciiTheme="majorHAnsi" w:hAnsiTheme="majorHAnsi" w:cstheme="majorHAnsi"/>
          <w:color w:val="002060"/>
          <w:sz w:val="22"/>
          <w:szCs w:val="22"/>
          <w:lang w:val="es-ES_tradnl"/>
        </w:rPr>
      </w:pPr>
      <w:r>
        <w:rPr>
          <w:rFonts w:asciiTheme="majorHAnsi" w:hAnsiTheme="majorHAnsi" w:cstheme="majorHAnsi"/>
          <w:color w:val="002060"/>
          <w:sz w:val="22"/>
          <w:szCs w:val="22"/>
          <w:lang w:val="es-ES_tradnl"/>
        </w:rPr>
        <w:t xml:space="preserve">Es clave en este eje considerar que el MAATE se encuentra en la segunda fase de construcción del </w:t>
      </w:r>
      <w:r w:rsidRPr="00BD367D">
        <w:rPr>
          <w:rFonts w:asciiTheme="majorHAnsi" w:hAnsiTheme="majorHAnsi" w:cstheme="majorHAnsi"/>
          <w:b/>
          <w:color w:val="002060"/>
          <w:sz w:val="22"/>
          <w:szCs w:val="22"/>
          <w:lang w:val="es-ES_tradnl"/>
        </w:rPr>
        <w:t>Plan de acción de Género y Cambio Climático</w:t>
      </w:r>
      <w:r>
        <w:rPr>
          <w:rFonts w:asciiTheme="majorHAnsi" w:hAnsiTheme="majorHAnsi" w:cstheme="majorHAnsi"/>
          <w:color w:val="002060"/>
          <w:sz w:val="22"/>
          <w:szCs w:val="22"/>
          <w:lang w:val="es-ES_tradnl"/>
        </w:rPr>
        <w:t xml:space="preserve">. El apoyo debe ser directo a que la construcción de este plan debe de forma participativa y con el mayor apoyo técnico para que </w:t>
      </w:r>
      <w:r w:rsidRPr="00BD367D">
        <w:rPr>
          <w:rFonts w:asciiTheme="majorHAnsi" w:hAnsiTheme="majorHAnsi" w:cstheme="majorHAnsi"/>
          <w:color w:val="002060"/>
          <w:sz w:val="22"/>
          <w:szCs w:val="22"/>
          <w:lang w:val="es-ES_tradnl"/>
        </w:rPr>
        <w:t>responda y exija que los sectores de la presión modificación al cambio climático incorporen de forma sustancial el enfoque de género.</w:t>
      </w:r>
    </w:p>
    <w:p w14:paraId="649BE84E" w14:textId="3DDF7EAC" w:rsidR="00BD367D" w:rsidRPr="00BD367D" w:rsidRDefault="00BD367D" w:rsidP="00A542FD">
      <w:pPr>
        <w:pStyle w:val="ListParagraph"/>
        <w:numPr>
          <w:ilvl w:val="0"/>
          <w:numId w:val="11"/>
        </w:numPr>
        <w:spacing w:line="276" w:lineRule="auto"/>
        <w:jc w:val="both"/>
        <w:textAlignment w:val="baseline"/>
        <w:rPr>
          <w:rFonts w:asciiTheme="majorHAnsi" w:hAnsiTheme="majorHAnsi" w:cstheme="majorHAnsi"/>
          <w:color w:val="002060"/>
          <w:sz w:val="22"/>
          <w:szCs w:val="22"/>
          <w:lang w:val="es-ES_tradnl"/>
        </w:rPr>
      </w:pPr>
      <w:r w:rsidRPr="00BD367D">
        <w:rPr>
          <w:rFonts w:asciiTheme="majorHAnsi" w:hAnsiTheme="majorHAnsi" w:cstheme="majorHAnsi"/>
          <w:color w:val="002060"/>
          <w:sz w:val="22"/>
          <w:szCs w:val="22"/>
          <w:lang w:val="es-ES_tradnl"/>
        </w:rPr>
        <w:t>De todos los ejes, este es el que mayor cercanía podría incentivar con el sector privado, con el cual es trabajar de forma más contundente la incorporación del enfoque de género, que vaya más allá de la promoción de mujeres en cargos directivos, e incorpore políticas relacionadas a la conciliación de la vida familiar y laboral, a la formación y apoyo en la formación de personas que se encuentran en condiciones de vulnerabilidad y sin apoyo no tendría oportunidades de acceder a procesos de formación y profesionalización.</w:t>
      </w:r>
    </w:p>
    <w:p w14:paraId="0168BB4B" w14:textId="77777777" w:rsidR="00664376" w:rsidRDefault="00664376" w:rsidP="00F32F6B">
      <w:pPr>
        <w:tabs>
          <w:tab w:val="center" w:pos="4588"/>
        </w:tabs>
        <w:spacing w:line="276" w:lineRule="auto"/>
        <w:ind w:hanging="2"/>
        <w:jc w:val="right"/>
        <w:rPr>
          <w:rFonts w:asciiTheme="majorHAnsi" w:hAnsiTheme="majorHAnsi" w:cstheme="majorHAnsi"/>
          <w:color w:val="002060"/>
          <w:lang w:val="es-ES"/>
        </w:rPr>
      </w:pPr>
    </w:p>
    <w:p w14:paraId="6FB3D12F" w14:textId="77777777" w:rsidR="00664376" w:rsidRDefault="00664376" w:rsidP="00F32F6B">
      <w:pPr>
        <w:tabs>
          <w:tab w:val="center" w:pos="4588"/>
        </w:tabs>
        <w:spacing w:line="276" w:lineRule="auto"/>
        <w:ind w:hanging="2"/>
        <w:jc w:val="right"/>
        <w:rPr>
          <w:rFonts w:asciiTheme="majorHAnsi" w:hAnsiTheme="majorHAnsi" w:cstheme="majorHAnsi"/>
          <w:color w:val="002060"/>
          <w:lang w:val="es-ES"/>
        </w:rPr>
      </w:pPr>
    </w:p>
    <w:p w14:paraId="6026A60E" w14:textId="29E5CB45" w:rsidR="00F32F6B" w:rsidRPr="00F32F6B" w:rsidRDefault="00F32F6B" w:rsidP="00F32F6B">
      <w:pPr>
        <w:tabs>
          <w:tab w:val="center" w:pos="4588"/>
        </w:tabs>
        <w:spacing w:line="276" w:lineRule="auto"/>
        <w:ind w:hanging="2"/>
        <w:jc w:val="right"/>
        <w:rPr>
          <w:rFonts w:asciiTheme="majorHAnsi" w:hAnsiTheme="majorHAnsi" w:cstheme="majorHAnsi"/>
          <w:color w:val="002060"/>
          <w:lang w:val="es-ES"/>
        </w:rPr>
      </w:pPr>
      <w:r w:rsidRPr="00F32F6B">
        <w:rPr>
          <w:rFonts w:asciiTheme="majorHAnsi" w:hAnsiTheme="majorHAnsi" w:cstheme="majorHAnsi"/>
          <w:color w:val="002060"/>
          <w:lang w:val="es-ES"/>
        </w:rPr>
        <w:t>Consultora: Ibeth Orellana N</w:t>
      </w:r>
    </w:p>
    <w:p w14:paraId="45BD5BAD" w14:textId="77777777" w:rsidR="00F32F6B" w:rsidRPr="00F32F6B" w:rsidRDefault="00F32F6B" w:rsidP="00F32F6B">
      <w:pPr>
        <w:tabs>
          <w:tab w:val="center" w:pos="4588"/>
        </w:tabs>
        <w:spacing w:line="276" w:lineRule="auto"/>
        <w:ind w:hanging="2"/>
        <w:jc w:val="right"/>
        <w:rPr>
          <w:rFonts w:asciiTheme="majorHAnsi" w:hAnsiTheme="majorHAnsi" w:cstheme="majorHAnsi"/>
          <w:color w:val="002060"/>
          <w:lang w:val="es-ES"/>
        </w:rPr>
      </w:pPr>
      <w:r w:rsidRPr="00F32F6B">
        <w:rPr>
          <w:rFonts w:asciiTheme="majorHAnsi" w:hAnsiTheme="majorHAnsi" w:cstheme="majorHAnsi"/>
          <w:color w:val="002060"/>
          <w:lang w:val="es-ES"/>
        </w:rPr>
        <w:t>Contrato No. LA/2021/423-045</w:t>
      </w:r>
    </w:p>
    <w:p w14:paraId="0C72C79B" w14:textId="77777777" w:rsidR="00F32F6B" w:rsidRPr="00F32F6B" w:rsidRDefault="00F32F6B" w:rsidP="00F32F6B">
      <w:pPr>
        <w:tabs>
          <w:tab w:val="center" w:pos="4588"/>
        </w:tabs>
        <w:spacing w:line="276" w:lineRule="auto"/>
        <w:ind w:hanging="2"/>
        <w:jc w:val="right"/>
        <w:rPr>
          <w:rFonts w:asciiTheme="majorHAnsi" w:hAnsiTheme="majorHAnsi" w:cstheme="majorHAnsi"/>
          <w:color w:val="002060"/>
          <w:lang w:val="es-ES"/>
        </w:rPr>
      </w:pPr>
      <w:r w:rsidRPr="00F32F6B">
        <w:rPr>
          <w:rFonts w:asciiTheme="majorHAnsi" w:hAnsiTheme="majorHAnsi" w:cstheme="majorHAnsi"/>
          <w:color w:val="002060"/>
          <w:lang w:val="es-ES"/>
        </w:rPr>
        <w:t>Fecha: Enero 2022</w:t>
      </w:r>
    </w:p>
    <w:p w14:paraId="2A602AED" w14:textId="77777777" w:rsidR="00F32F6B" w:rsidRPr="00F32F6B" w:rsidRDefault="00F32F6B" w:rsidP="00F32F6B">
      <w:pPr>
        <w:ind w:left="720" w:hanging="720"/>
        <w:rPr>
          <w:rFonts w:asciiTheme="majorHAnsi" w:hAnsiTheme="majorHAnsi" w:cstheme="majorHAnsi"/>
          <w:color w:val="002060"/>
          <w:lang w:val="es-ES"/>
        </w:rPr>
      </w:pPr>
    </w:p>
    <w:p w14:paraId="113072B3" w14:textId="0AACEC03" w:rsidR="000B1AB0" w:rsidRPr="00F32F6B" w:rsidRDefault="000B1AB0" w:rsidP="00E303B3">
      <w:pPr>
        <w:ind w:left="720" w:hanging="720"/>
        <w:rPr>
          <w:rFonts w:asciiTheme="minorHAnsi" w:hAnsiTheme="minorHAnsi" w:cstheme="minorHAnsi"/>
          <w:color w:val="002060"/>
          <w:lang w:val="es-ES"/>
        </w:rPr>
      </w:pPr>
    </w:p>
    <w:p w14:paraId="26E6DE4C" w14:textId="01EACDB9" w:rsidR="000B1AB0" w:rsidRPr="00F32F6B" w:rsidRDefault="000B1AB0" w:rsidP="00E303B3">
      <w:pPr>
        <w:ind w:left="720" w:hanging="720"/>
        <w:rPr>
          <w:rFonts w:asciiTheme="minorHAnsi" w:hAnsiTheme="minorHAnsi" w:cstheme="minorHAnsi"/>
          <w:color w:val="002060"/>
          <w:lang w:val="es-ES"/>
        </w:rPr>
      </w:pPr>
    </w:p>
    <w:p w14:paraId="27E2E9F5" w14:textId="57743661" w:rsidR="000B1AB0" w:rsidRPr="00F32F6B" w:rsidRDefault="000B1AB0" w:rsidP="00E303B3">
      <w:pPr>
        <w:ind w:left="720" w:hanging="720"/>
        <w:rPr>
          <w:rFonts w:asciiTheme="minorHAnsi" w:hAnsiTheme="minorHAnsi" w:cstheme="minorHAnsi"/>
          <w:color w:val="002060"/>
          <w:lang w:val="es-ES"/>
        </w:rPr>
      </w:pPr>
    </w:p>
    <w:p w14:paraId="20570CEB" w14:textId="77777777" w:rsidR="008B49D6" w:rsidRPr="00F32F6B" w:rsidRDefault="008B49D6" w:rsidP="00E303B3">
      <w:pPr>
        <w:ind w:left="720" w:hanging="720"/>
        <w:rPr>
          <w:rFonts w:asciiTheme="minorHAnsi" w:hAnsiTheme="minorHAnsi" w:cstheme="minorHAnsi"/>
          <w:color w:val="002060"/>
          <w:lang w:val="es-ES"/>
        </w:rPr>
      </w:pPr>
    </w:p>
    <w:p w14:paraId="57A3A5D4" w14:textId="25D5F068" w:rsidR="00376006" w:rsidRPr="00F32F6B" w:rsidRDefault="00376006" w:rsidP="002538B3">
      <w:pPr>
        <w:rPr>
          <w:rFonts w:asciiTheme="minorHAnsi" w:hAnsiTheme="minorHAnsi" w:cstheme="minorHAnsi"/>
          <w:color w:val="002060"/>
          <w:lang w:val="es-ES_tradnl"/>
        </w:rPr>
      </w:pPr>
    </w:p>
    <w:sectPr w:rsidR="00376006" w:rsidRPr="00F32F6B" w:rsidSect="00D761A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13C16" w14:textId="77777777" w:rsidR="00A542FD" w:rsidRDefault="00A542FD" w:rsidP="00E303B3">
      <w:pPr>
        <w:ind w:hanging="2"/>
      </w:pPr>
      <w:r>
        <w:separator/>
      </w:r>
    </w:p>
  </w:endnote>
  <w:endnote w:type="continuationSeparator" w:id="0">
    <w:p w14:paraId="2AB5005F" w14:textId="77777777" w:rsidR="00A542FD" w:rsidRDefault="00A542FD" w:rsidP="00E3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6943166"/>
      <w:docPartObj>
        <w:docPartGallery w:val="Page Numbers (Bottom of Page)"/>
        <w:docPartUnique/>
      </w:docPartObj>
    </w:sdtPr>
    <w:sdtEndPr>
      <w:rPr>
        <w:rStyle w:val="PageNumber"/>
      </w:rPr>
    </w:sdtEndPr>
    <w:sdtContent>
      <w:p w14:paraId="280A88F5" w14:textId="07336333" w:rsidR="00437B62" w:rsidRDefault="00437B62" w:rsidP="007F2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88030" w14:textId="77777777" w:rsidR="00437B62" w:rsidRDefault="00437B62" w:rsidP="002538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7185793"/>
      <w:docPartObj>
        <w:docPartGallery w:val="Page Numbers (Bottom of Page)"/>
        <w:docPartUnique/>
      </w:docPartObj>
    </w:sdtPr>
    <w:sdtEndPr>
      <w:rPr>
        <w:rStyle w:val="PageNumber"/>
      </w:rPr>
    </w:sdtEndPr>
    <w:sdtContent>
      <w:p w14:paraId="6E9F60A2" w14:textId="3EE49450" w:rsidR="00437B62" w:rsidRDefault="00437B62" w:rsidP="007F2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232C">
          <w:rPr>
            <w:rStyle w:val="PageNumber"/>
            <w:noProof/>
          </w:rPr>
          <w:t>2</w:t>
        </w:r>
        <w:r>
          <w:rPr>
            <w:rStyle w:val="PageNumber"/>
          </w:rPr>
          <w:fldChar w:fldCharType="end"/>
        </w:r>
      </w:p>
    </w:sdtContent>
  </w:sdt>
  <w:p w14:paraId="301D49A7" w14:textId="77777777" w:rsidR="00437B62" w:rsidRDefault="00437B62" w:rsidP="002538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3B87" w14:textId="77777777" w:rsidR="00A542FD" w:rsidRDefault="00A542FD" w:rsidP="00E303B3">
      <w:pPr>
        <w:ind w:hanging="2"/>
      </w:pPr>
      <w:r>
        <w:separator/>
      </w:r>
    </w:p>
  </w:footnote>
  <w:footnote w:type="continuationSeparator" w:id="0">
    <w:p w14:paraId="084F9BAC" w14:textId="77777777" w:rsidR="00A542FD" w:rsidRDefault="00A542FD" w:rsidP="00E30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E33"/>
    <w:multiLevelType w:val="hybridMultilevel"/>
    <w:tmpl w:val="6C60FA26"/>
    <w:lvl w:ilvl="0" w:tplc="0856479A">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1B54A604">
      <w:start w:val="6"/>
      <w:numFmt w:val="upperRoman"/>
      <w:lvlText w:val="%3."/>
      <w:lvlJc w:val="left"/>
      <w:pPr>
        <w:ind w:left="2700" w:hanging="720"/>
      </w:pPr>
      <w:rPr>
        <w:rFonts w:hint="default"/>
        <w:color w:val="00206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07E0F"/>
    <w:multiLevelType w:val="hybridMultilevel"/>
    <w:tmpl w:val="A6EACE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A628AB"/>
    <w:multiLevelType w:val="hybridMultilevel"/>
    <w:tmpl w:val="B416646C"/>
    <w:lvl w:ilvl="0" w:tplc="BC70B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694007"/>
    <w:multiLevelType w:val="hybridMultilevel"/>
    <w:tmpl w:val="3D40212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FF5F1B"/>
    <w:multiLevelType w:val="hybridMultilevel"/>
    <w:tmpl w:val="31AE3AEE"/>
    <w:lvl w:ilvl="0" w:tplc="8D989E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240C17"/>
    <w:multiLevelType w:val="hybridMultilevel"/>
    <w:tmpl w:val="DED41DB0"/>
    <w:lvl w:ilvl="0" w:tplc="47D40C0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6C4D45"/>
    <w:multiLevelType w:val="multilevel"/>
    <w:tmpl w:val="16AE791A"/>
    <w:lvl w:ilvl="0">
      <w:start w:val="1"/>
      <w:numFmt w:val="decimal"/>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62924E88"/>
    <w:multiLevelType w:val="hybridMultilevel"/>
    <w:tmpl w:val="827A2772"/>
    <w:lvl w:ilvl="0" w:tplc="E79CEDFA">
      <w:start w:val="6"/>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F14BF"/>
    <w:multiLevelType w:val="hybridMultilevel"/>
    <w:tmpl w:val="E7B0CA76"/>
    <w:lvl w:ilvl="0" w:tplc="46742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7399D"/>
    <w:multiLevelType w:val="hybridMultilevel"/>
    <w:tmpl w:val="DD803A7C"/>
    <w:lvl w:ilvl="0" w:tplc="B09282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CF5B4E"/>
    <w:multiLevelType w:val="hybridMultilevel"/>
    <w:tmpl w:val="2C8EACFA"/>
    <w:lvl w:ilvl="0" w:tplc="4056A3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3"/>
  </w:num>
  <w:num w:numId="4">
    <w:abstractNumId w:val="8"/>
  </w:num>
  <w:num w:numId="5">
    <w:abstractNumId w:val="6"/>
  </w:num>
  <w:num w:numId="6">
    <w:abstractNumId w:val="4"/>
  </w:num>
  <w:num w:numId="7">
    <w:abstractNumId w:val="1"/>
  </w:num>
  <w:num w:numId="8">
    <w:abstractNumId w:val="5"/>
  </w:num>
  <w:num w:numId="9">
    <w:abstractNumId w:val="2"/>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B3"/>
    <w:rsid w:val="00002D7D"/>
    <w:rsid w:val="00006BE3"/>
    <w:rsid w:val="00020A3A"/>
    <w:rsid w:val="00020E9B"/>
    <w:rsid w:val="00023D9E"/>
    <w:rsid w:val="000252FA"/>
    <w:rsid w:val="00027A70"/>
    <w:rsid w:val="00030926"/>
    <w:rsid w:val="00037DDE"/>
    <w:rsid w:val="0004639A"/>
    <w:rsid w:val="00050168"/>
    <w:rsid w:val="00051C38"/>
    <w:rsid w:val="0005232C"/>
    <w:rsid w:val="000533E8"/>
    <w:rsid w:val="000552ED"/>
    <w:rsid w:val="00056364"/>
    <w:rsid w:val="000647ED"/>
    <w:rsid w:val="00064B97"/>
    <w:rsid w:val="0006674D"/>
    <w:rsid w:val="0006715E"/>
    <w:rsid w:val="00071AF3"/>
    <w:rsid w:val="00073CA1"/>
    <w:rsid w:val="00086995"/>
    <w:rsid w:val="00096F85"/>
    <w:rsid w:val="000A2BA8"/>
    <w:rsid w:val="000A2E07"/>
    <w:rsid w:val="000B0FFE"/>
    <w:rsid w:val="000B1AB0"/>
    <w:rsid w:val="000B7973"/>
    <w:rsid w:val="000D2934"/>
    <w:rsid w:val="000E18AE"/>
    <w:rsid w:val="000E3F04"/>
    <w:rsid w:val="000F3710"/>
    <w:rsid w:val="000F7275"/>
    <w:rsid w:val="00123C12"/>
    <w:rsid w:val="00156D5D"/>
    <w:rsid w:val="001634FC"/>
    <w:rsid w:val="00172578"/>
    <w:rsid w:val="00177BF9"/>
    <w:rsid w:val="00184499"/>
    <w:rsid w:val="00186DC0"/>
    <w:rsid w:val="00190475"/>
    <w:rsid w:val="001A0777"/>
    <w:rsid w:val="001C1314"/>
    <w:rsid w:val="001D5236"/>
    <w:rsid w:val="001F0153"/>
    <w:rsid w:val="001F07E9"/>
    <w:rsid w:val="001F11A9"/>
    <w:rsid w:val="001F11BE"/>
    <w:rsid w:val="002047C8"/>
    <w:rsid w:val="00217FEF"/>
    <w:rsid w:val="00221CB9"/>
    <w:rsid w:val="002538B3"/>
    <w:rsid w:val="00254127"/>
    <w:rsid w:val="0026564E"/>
    <w:rsid w:val="00270491"/>
    <w:rsid w:val="002719B0"/>
    <w:rsid w:val="002758DF"/>
    <w:rsid w:val="002779C4"/>
    <w:rsid w:val="00290812"/>
    <w:rsid w:val="002A716A"/>
    <w:rsid w:val="002A7DFC"/>
    <w:rsid w:val="002B29CE"/>
    <w:rsid w:val="002C544A"/>
    <w:rsid w:val="002C567E"/>
    <w:rsid w:val="002C5C04"/>
    <w:rsid w:val="002D0D5A"/>
    <w:rsid w:val="002E1949"/>
    <w:rsid w:val="002E20C3"/>
    <w:rsid w:val="002F58DD"/>
    <w:rsid w:val="003007D5"/>
    <w:rsid w:val="00301AB2"/>
    <w:rsid w:val="003024E5"/>
    <w:rsid w:val="0030691D"/>
    <w:rsid w:val="00310646"/>
    <w:rsid w:val="003112F2"/>
    <w:rsid w:val="003139F2"/>
    <w:rsid w:val="0032022E"/>
    <w:rsid w:val="003202E8"/>
    <w:rsid w:val="003232F9"/>
    <w:rsid w:val="00327310"/>
    <w:rsid w:val="003377DD"/>
    <w:rsid w:val="00346DDC"/>
    <w:rsid w:val="003512AA"/>
    <w:rsid w:val="00355288"/>
    <w:rsid w:val="00365E43"/>
    <w:rsid w:val="003671F0"/>
    <w:rsid w:val="00371B63"/>
    <w:rsid w:val="00371B93"/>
    <w:rsid w:val="00376006"/>
    <w:rsid w:val="003938EE"/>
    <w:rsid w:val="00396A03"/>
    <w:rsid w:val="003A00C2"/>
    <w:rsid w:val="003A0865"/>
    <w:rsid w:val="003A7370"/>
    <w:rsid w:val="003A786F"/>
    <w:rsid w:val="003B35E7"/>
    <w:rsid w:val="003C06EE"/>
    <w:rsid w:val="003C2AB8"/>
    <w:rsid w:val="003C525E"/>
    <w:rsid w:val="003D3EC7"/>
    <w:rsid w:val="003D4C21"/>
    <w:rsid w:val="003D70B3"/>
    <w:rsid w:val="003E5967"/>
    <w:rsid w:val="003F6ECC"/>
    <w:rsid w:val="00400E3B"/>
    <w:rsid w:val="004030EB"/>
    <w:rsid w:val="00405F0F"/>
    <w:rsid w:val="00406256"/>
    <w:rsid w:val="004073EE"/>
    <w:rsid w:val="0041572A"/>
    <w:rsid w:val="0041798D"/>
    <w:rsid w:val="00431BE5"/>
    <w:rsid w:val="00436504"/>
    <w:rsid w:val="00436BCF"/>
    <w:rsid w:val="00437B62"/>
    <w:rsid w:val="004469F0"/>
    <w:rsid w:val="00455946"/>
    <w:rsid w:val="00460734"/>
    <w:rsid w:val="00461A0B"/>
    <w:rsid w:val="004632B8"/>
    <w:rsid w:val="004666AD"/>
    <w:rsid w:val="004731A3"/>
    <w:rsid w:val="00473AA1"/>
    <w:rsid w:val="004740E4"/>
    <w:rsid w:val="004861E8"/>
    <w:rsid w:val="0048627A"/>
    <w:rsid w:val="004926A8"/>
    <w:rsid w:val="00492EF4"/>
    <w:rsid w:val="00495344"/>
    <w:rsid w:val="00497E24"/>
    <w:rsid w:val="004A4A8C"/>
    <w:rsid w:val="004B360E"/>
    <w:rsid w:val="004C56C2"/>
    <w:rsid w:val="004C764B"/>
    <w:rsid w:val="004D36AD"/>
    <w:rsid w:val="004E1F24"/>
    <w:rsid w:val="004E793B"/>
    <w:rsid w:val="004F4BF0"/>
    <w:rsid w:val="004F6A5F"/>
    <w:rsid w:val="00504D24"/>
    <w:rsid w:val="00504F0E"/>
    <w:rsid w:val="0050566C"/>
    <w:rsid w:val="0052633D"/>
    <w:rsid w:val="005271F1"/>
    <w:rsid w:val="00534173"/>
    <w:rsid w:val="005427A6"/>
    <w:rsid w:val="00546FD2"/>
    <w:rsid w:val="0055011C"/>
    <w:rsid w:val="00552CCF"/>
    <w:rsid w:val="00560F5E"/>
    <w:rsid w:val="00573179"/>
    <w:rsid w:val="00584356"/>
    <w:rsid w:val="00585901"/>
    <w:rsid w:val="00591CF3"/>
    <w:rsid w:val="005A1D4D"/>
    <w:rsid w:val="005B27AE"/>
    <w:rsid w:val="005C0772"/>
    <w:rsid w:val="005C6289"/>
    <w:rsid w:val="005C6434"/>
    <w:rsid w:val="005D49E2"/>
    <w:rsid w:val="005D506B"/>
    <w:rsid w:val="005E0DE5"/>
    <w:rsid w:val="005F7978"/>
    <w:rsid w:val="0060415A"/>
    <w:rsid w:val="00604377"/>
    <w:rsid w:val="0062591C"/>
    <w:rsid w:val="006259A9"/>
    <w:rsid w:val="006368F3"/>
    <w:rsid w:val="00643BE3"/>
    <w:rsid w:val="00651785"/>
    <w:rsid w:val="00654164"/>
    <w:rsid w:val="0065633E"/>
    <w:rsid w:val="006612DC"/>
    <w:rsid w:val="00664376"/>
    <w:rsid w:val="00666055"/>
    <w:rsid w:val="0068110D"/>
    <w:rsid w:val="00684C36"/>
    <w:rsid w:val="006944C6"/>
    <w:rsid w:val="0069654C"/>
    <w:rsid w:val="006A6D01"/>
    <w:rsid w:val="006C3BED"/>
    <w:rsid w:val="006D3D90"/>
    <w:rsid w:val="006E08A8"/>
    <w:rsid w:val="006E3722"/>
    <w:rsid w:val="006E694D"/>
    <w:rsid w:val="006F12AB"/>
    <w:rsid w:val="006F13B2"/>
    <w:rsid w:val="006F1D44"/>
    <w:rsid w:val="006F6F1C"/>
    <w:rsid w:val="00705FB6"/>
    <w:rsid w:val="00712A00"/>
    <w:rsid w:val="00714039"/>
    <w:rsid w:val="00730E72"/>
    <w:rsid w:val="00732AA9"/>
    <w:rsid w:val="0073408F"/>
    <w:rsid w:val="00734B6E"/>
    <w:rsid w:val="0074411D"/>
    <w:rsid w:val="00744BC7"/>
    <w:rsid w:val="00746E26"/>
    <w:rsid w:val="00747EDC"/>
    <w:rsid w:val="00754311"/>
    <w:rsid w:val="00755382"/>
    <w:rsid w:val="007563AF"/>
    <w:rsid w:val="0078158A"/>
    <w:rsid w:val="00783B53"/>
    <w:rsid w:val="00784139"/>
    <w:rsid w:val="00790DC3"/>
    <w:rsid w:val="00794026"/>
    <w:rsid w:val="00796508"/>
    <w:rsid w:val="007A212C"/>
    <w:rsid w:val="007A3AE7"/>
    <w:rsid w:val="007A4E83"/>
    <w:rsid w:val="007A5052"/>
    <w:rsid w:val="007A7715"/>
    <w:rsid w:val="007B169D"/>
    <w:rsid w:val="007B208A"/>
    <w:rsid w:val="007B6063"/>
    <w:rsid w:val="007B614D"/>
    <w:rsid w:val="007B7BD5"/>
    <w:rsid w:val="007D4045"/>
    <w:rsid w:val="007E2135"/>
    <w:rsid w:val="007E3E2A"/>
    <w:rsid w:val="007E6911"/>
    <w:rsid w:val="007F2C93"/>
    <w:rsid w:val="007F2D2B"/>
    <w:rsid w:val="00800E31"/>
    <w:rsid w:val="008019D2"/>
    <w:rsid w:val="00810159"/>
    <w:rsid w:val="00831687"/>
    <w:rsid w:val="00840CB2"/>
    <w:rsid w:val="00845021"/>
    <w:rsid w:val="00847FDD"/>
    <w:rsid w:val="00853DDF"/>
    <w:rsid w:val="00855858"/>
    <w:rsid w:val="008579CC"/>
    <w:rsid w:val="00863FD5"/>
    <w:rsid w:val="00866127"/>
    <w:rsid w:val="0087647C"/>
    <w:rsid w:val="00877C09"/>
    <w:rsid w:val="0088264A"/>
    <w:rsid w:val="008838B3"/>
    <w:rsid w:val="008978C5"/>
    <w:rsid w:val="008A2079"/>
    <w:rsid w:val="008A3214"/>
    <w:rsid w:val="008A378F"/>
    <w:rsid w:val="008B49D6"/>
    <w:rsid w:val="008B662E"/>
    <w:rsid w:val="008C0CCD"/>
    <w:rsid w:val="008C2696"/>
    <w:rsid w:val="008C5ABA"/>
    <w:rsid w:val="008D11F2"/>
    <w:rsid w:val="008D1A04"/>
    <w:rsid w:val="008E19BA"/>
    <w:rsid w:val="00903CD5"/>
    <w:rsid w:val="00910ECB"/>
    <w:rsid w:val="0092682B"/>
    <w:rsid w:val="00940374"/>
    <w:rsid w:val="00940717"/>
    <w:rsid w:val="0094556D"/>
    <w:rsid w:val="00951A0A"/>
    <w:rsid w:val="00955C41"/>
    <w:rsid w:val="0097292E"/>
    <w:rsid w:val="00991AE1"/>
    <w:rsid w:val="00994C22"/>
    <w:rsid w:val="00995FCC"/>
    <w:rsid w:val="009965B8"/>
    <w:rsid w:val="009978F0"/>
    <w:rsid w:val="009A0523"/>
    <w:rsid w:val="009A09BA"/>
    <w:rsid w:val="009A0CFB"/>
    <w:rsid w:val="009A1402"/>
    <w:rsid w:val="009A20B6"/>
    <w:rsid w:val="009A52C0"/>
    <w:rsid w:val="009A70B7"/>
    <w:rsid w:val="009A7807"/>
    <w:rsid w:val="009B2A9F"/>
    <w:rsid w:val="009B2B55"/>
    <w:rsid w:val="009B3C50"/>
    <w:rsid w:val="009B3E6F"/>
    <w:rsid w:val="009B5739"/>
    <w:rsid w:val="009C07C5"/>
    <w:rsid w:val="009C0A5F"/>
    <w:rsid w:val="009C3442"/>
    <w:rsid w:val="009C4453"/>
    <w:rsid w:val="009D147A"/>
    <w:rsid w:val="009D154C"/>
    <w:rsid w:val="009E0FC7"/>
    <w:rsid w:val="009E4A9C"/>
    <w:rsid w:val="00A02602"/>
    <w:rsid w:val="00A063EB"/>
    <w:rsid w:val="00A11016"/>
    <w:rsid w:val="00A11A06"/>
    <w:rsid w:val="00A300D5"/>
    <w:rsid w:val="00A33CCE"/>
    <w:rsid w:val="00A36E55"/>
    <w:rsid w:val="00A542FD"/>
    <w:rsid w:val="00A55453"/>
    <w:rsid w:val="00A703A2"/>
    <w:rsid w:val="00A7344D"/>
    <w:rsid w:val="00A91339"/>
    <w:rsid w:val="00A97D00"/>
    <w:rsid w:val="00AA0139"/>
    <w:rsid w:val="00AA32D8"/>
    <w:rsid w:val="00AB013C"/>
    <w:rsid w:val="00AB7DFD"/>
    <w:rsid w:val="00AC1FB7"/>
    <w:rsid w:val="00AC27F5"/>
    <w:rsid w:val="00AD0FA0"/>
    <w:rsid w:val="00AD1C18"/>
    <w:rsid w:val="00AD2E69"/>
    <w:rsid w:val="00AD4057"/>
    <w:rsid w:val="00AD4C57"/>
    <w:rsid w:val="00AD5080"/>
    <w:rsid w:val="00AD7313"/>
    <w:rsid w:val="00AF0A3F"/>
    <w:rsid w:val="00AF12FD"/>
    <w:rsid w:val="00B20DA1"/>
    <w:rsid w:val="00B36A91"/>
    <w:rsid w:val="00B4119E"/>
    <w:rsid w:val="00B45CDE"/>
    <w:rsid w:val="00B4657F"/>
    <w:rsid w:val="00B55504"/>
    <w:rsid w:val="00B56C30"/>
    <w:rsid w:val="00B616A8"/>
    <w:rsid w:val="00B70C71"/>
    <w:rsid w:val="00B750A4"/>
    <w:rsid w:val="00B802F4"/>
    <w:rsid w:val="00B87886"/>
    <w:rsid w:val="00BB7512"/>
    <w:rsid w:val="00BD367D"/>
    <w:rsid w:val="00BD4182"/>
    <w:rsid w:val="00BD4F9D"/>
    <w:rsid w:val="00BE2D47"/>
    <w:rsid w:val="00BE7E0E"/>
    <w:rsid w:val="00BF09AF"/>
    <w:rsid w:val="00BF28D5"/>
    <w:rsid w:val="00BF5929"/>
    <w:rsid w:val="00C01383"/>
    <w:rsid w:val="00C04045"/>
    <w:rsid w:val="00C04790"/>
    <w:rsid w:val="00C06C4D"/>
    <w:rsid w:val="00C12682"/>
    <w:rsid w:val="00C2435E"/>
    <w:rsid w:val="00C26588"/>
    <w:rsid w:val="00C266F3"/>
    <w:rsid w:val="00C34E04"/>
    <w:rsid w:val="00C40A74"/>
    <w:rsid w:val="00C5223E"/>
    <w:rsid w:val="00C552D1"/>
    <w:rsid w:val="00C575F8"/>
    <w:rsid w:val="00C6067C"/>
    <w:rsid w:val="00C6229F"/>
    <w:rsid w:val="00C72D14"/>
    <w:rsid w:val="00C742EE"/>
    <w:rsid w:val="00C95E90"/>
    <w:rsid w:val="00CB2BA3"/>
    <w:rsid w:val="00CC5F49"/>
    <w:rsid w:val="00CC624A"/>
    <w:rsid w:val="00CD1C48"/>
    <w:rsid w:val="00CD469A"/>
    <w:rsid w:val="00CD4BEF"/>
    <w:rsid w:val="00CD7298"/>
    <w:rsid w:val="00CF2515"/>
    <w:rsid w:val="00D12655"/>
    <w:rsid w:val="00D1522B"/>
    <w:rsid w:val="00D154F7"/>
    <w:rsid w:val="00D17776"/>
    <w:rsid w:val="00D179D1"/>
    <w:rsid w:val="00D339F7"/>
    <w:rsid w:val="00D341A5"/>
    <w:rsid w:val="00D34FB0"/>
    <w:rsid w:val="00D35252"/>
    <w:rsid w:val="00D404B0"/>
    <w:rsid w:val="00D4358D"/>
    <w:rsid w:val="00D559B4"/>
    <w:rsid w:val="00D603BB"/>
    <w:rsid w:val="00D63093"/>
    <w:rsid w:val="00D652AB"/>
    <w:rsid w:val="00D6719F"/>
    <w:rsid w:val="00D678CA"/>
    <w:rsid w:val="00D723D9"/>
    <w:rsid w:val="00D727B0"/>
    <w:rsid w:val="00D761A0"/>
    <w:rsid w:val="00D76D01"/>
    <w:rsid w:val="00D85725"/>
    <w:rsid w:val="00D92042"/>
    <w:rsid w:val="00D929DD"/>
    <w:rsid w:val="00D934EF"/>
    <w:rsid w:val="00D93BBE"/>
    <w:rsid w:val="00DA0ED3"/>
    <w:rsid w:val="00DA3C10"/>
    <w:rsid w:val="00DA3FB1"/>
    <w:rsid w:val="00DA43DC"/>
    <w:rsid w:val="00DA7105"/>
    <w:rsid w:val="00DB2057"/>
    <w:rsid w:val="00DB2F5A"/>
    <w:rsid w:val="00DB4275"/>
    <w:rsid w:val="00DC051E"/>
    <w:rsid w:val="00DD1C0A"/>
    <w:rsid w:val="00DD68D9"/>
    <w:rsid w:val="00DF6ECB"/>
    <w:rsid w:val="00E030D8"/>
    <w:rsid w:val="00E2204A"/>
    <w:rsid w:val="00E2393A"/>
    <w:rsid w:val="00E23A94"/>
    <w:rsid w:val="00E303B3"/>
    <w:rsid w:val="00E308F1"/>
    <w:rsid w:val="00E32A9D"/>
    <w:rsid w:val="00E33AE6"/>
    <w:rsid w:val="00E3412F"/>
    <w:rsid w:val="00E35C50"/>
    <w:rsid w:val="00E42F4F"/>
    <w:rsid w:val="00E44814"/>
    <w:rsid w:val="00E53E14"/>
    <w:rsid w:val="00E56630"/>
    <w:rsid w:val="00E67DA3"/>
    <w:rsid w:val="00E70878"/>
    <w:rsid w:val="00E730D6"/>
    <w:rsid w:val="00E766C7"/>
    <w:rsid w:val="00E91768"/>
    <w:rsid w:val="00E934C6"/>
    <w:rsid w:val="00EA06D8"/>
    <w:rsid w:val="00EA1201"/>
    <w:rsid w:val="00EA3A9A"/>
    <w:rsid w:val="00EA3B8A"/>
    <w:rsid w:val="00EB1728"/>
    <w:rsid w:val="00EB4DAE"/>
    <w:rsid w:val="00EC1624"/>
    <w:rsid w:val="00EC42A0"/>
    <w:rsid w:val="00EC74E3"/>
    <w:rsid w:val="00EC7D56"/>
    <w:rsid w:val="00ED2F52"/>
    <w:rsid w:val="00ED352C"/>
    <w:rsid w:val="00EF1AEB"/>
    <w:rsid w:val="00EF21B9"/>
    <w:rsid w:val="00EF6D60"/>
    <w:rsid w:val="00F01394"/>
    <w:rsid w:val="00F06934"/>
    <w:rsid w:val="00F07A15"/>
    <w:rsid w:val="00F15FDC"/>
    <w:rsid w:val="00F16EA7"/>
    <w:rsid w:val="00F27431"/>
    <w:rsid w:val="00F30B92"/>
    <w:rsid w:val="00F32F6B"/>
    <w:rsid w:val="00F3587E"/>
    <w:rsid w:val="00F438E4"/>
    <w:rsid w:val="00F47350"/>
    <w:rsid w:val="00F63583"/>
    <w:rsid w:val="00F6405F"/>
    <w:rsid w:val="00F65EBD"/>
    <w:rsid w:val="00F67D60"/>
    <w:rsid w:val="00F818A3"/>
    <w:rsid w:val="00F832C5"/>
    <w:rsid w:val="00F90BE5"/>
    <w:rsid w:val="00F92543"/>
    <w:rsid w:val="00F93688"/>
    <w:rsid w:val="00F953AE"/>
    <w:rsid w:val="00F97DFE"/>
    <w:rsid w:val="00FA1CFF"/>
    <w:rsid w:val="00FA72FE"/>
    <w:rsid w:val="00FB69C8"/>
    <w:rsid w:val="00FB7DB8"/>
    <w:rsid w:val="00FC3BB2"/>
    <w:rsid w:val="00FC7B78"/>
    <w:rsid w:val="00FD512F"/>
    <w:rsid w:val="00FE0660"/>
    <w:rsid w:val="00FE7429"/>
    <w:rsid w:val="00FF39DD"/>
    <w:rsid w:val="00FF67A4"/>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0D8F2"/>
  <w15:chartTrackingRefBased/>
  <w15:docId w15:val="{D74A2A5E-A8C6-F549-93F6-C80DE21A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8B3"/>
    <w:rPr>
      <w:rFonts w:ascii="Times New Roman" w:eastAsia="Times New Roman" w:hAnsi="Times New Roman"/>
      <w:sz w:val="24"/>
      <w:szCs w:val="24"/>
    </w:rPr>
  </w:style>
  <w:style w:type="paragraph" w:styleId="Heading1">
    <w:name w:val="heading 1"/>
    <w:basedOn w:val="Normal"/>
    <w:next w:val="Normal"/>
    <w:link w:val="Heading1Char"/>
    <w:uiPriority w:val="9"/>
    <w:qFormat/>
    <w:rsid w:val="00E303B3"/>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E303B3"/>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396A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B1AB0"/>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parrafo,Cuadrícula media 1 - Énfasis 21,Überschrift 4-neu"/>
    <w:basedOn w:val="Normal"/>
    <w:link w:val="ListParagraphChar"/>
    <w:uiPriority w:val="34"/>
    <w:qFormat/>
    <w:rsid w:val="00E303B3"/>
    <w:pPr>
      <w:ind w:left="720"/>
      <w:contextualSpacing/>
    </w:pPr>
  </w:style>
  <w:style w:type="character" w:customStyle="1" w:styleId="Heading1Char">
    <w:name w:val="Heading 1 Char"/>
    <w:link w:val="Heading1"/>
    <w:uiPriority w:val="9"/>
    <w:rsid w:val="00E303B3"/>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E303B3"/>
    <w:rPr>
      <w:rFonts w:ascii="Calibri Light" w:eastAsia="Times New Roman" w:hAnsi="Calibri Light" w:cs="Times New Roman"/>
      <w:color w:val="2F5496"/>
      <w:sz w:val="26"/>
      <w:szCs w:val="26"/>
    </w:rPr>
  </w:style>
  <w:style w:type="paragraph" w:styleId="TOCHeading">
    <w:name w:val="TOC Heading"/>
    <w:basedOn w:val="Heading1"/>
    <w:next w:val="Normal"/>
    <w:uiPriority w:val="39"/>
    <w:unhideWhenUsed/>
    <w:qFormat/>
    <w:rsid w:val="00E303B3"/>
    <w:pPr>
      <w:spacing w:before="480" w:line="276" w:lineRule="auto"/>
      <w:outlineLvl w:val="9"/>
    </w:pPr>
    <w:rPr>
      <w:b/>
      <w:bCs/>
      <w:sz w:val="28"/>
      <w:szCs w:val="28"/>
    </w:rPr>
  </w:style>
  <w:style w:type="paragraph" w:styleId="TOC1">
    <w:name w:val="toc 1"/>
    <w:basedOn w:val="Normal"/>
    <w:next w:val="Normal"/>
    <w:autoRedefine/>
    <w:uiPriority w:val="39"/>
    <w:unhideWhenUsed/>
    <w:rsid w:val="00E303B3"/>
    <w:pPr>
      <w:spacing w:before="120"/>
    </w:pPr>
    <w:rPr>
      <w:rFonts w:asciiTheme="minorHAnsi" w:hAnsiTheme="minorHAnsi"/>
      <w:b/>
      <w:bCs/>
      <w:i/>
      <w:iCs/>
    </w:rPr>
  </w:style>
  <w:style w:type="paragraph" w:styleId="TOC2">
    <w:name w:val="toc 2"/>
    <w:basedOn w:val="Normal"/>
    <w:next w:val="Normal"/>
    <w:autoRedefine/>
    <w:uiPriority w:val="39"/>
    <w:unhideWhenUsed/>
    <w:rsid w:val="00E303B3"/>
    <w:pPr>
      <w:spacing w:before="120"/>
      <w:ind w:left="240"/>
    </w:pPr>
    <w:rPr>
      <w:rFonts w:asciiTheme="minorHAnsi" w:hAnsiTheme="minorHAnsi"/>
      <w:b/>
      <w:bCs/>
      <w:sz w:val="22"/>
      <w:szCs w:val="22"/>
    </w:rPr>
  </w:style>
  <w:style w:type="character" w:styleId="Hyperlink">
    <w:name w:val="Hyperlink"/>
    <w:uiPriority w:val="99"/>
    <w:unhideWhenUsed/>
    <w:rsid w:val="00E303B3"/>
    <w:rPr>
      <w:color w:val="0563C1"/>
      <w:u w:val="single"/>
    </w:rPr>
  </w:style>
  <w:style w:type="paragraph" w:styleId="TOC3">
    <w:name w:val="toc 3"/>
    <w:basedOn w:val="Normal"/>
    <w:next w:val="Normal"/>
    <w:autoRedefine/>
    <w:uiPriority w:val="39"/>
    <w:unhideWhenUsed/>
    <w:rsid w:val="00E303B3"/>
    <w:pPr>
      <w:ind w:left="480"/>
    </w:pPr>
    <w:rPr>
      <w:rFonts w:asciiTheme="minorHAnsi" w:hAnsiTheme="minorHAnsi"/>
      <w:sz w:val="20"/>
      <w:szCs w:val="20"/>
    </w:rPr>
  </w:style>
  <w:style w:type="paragraph" w:styleId="TOC4">
    <w:name w:val="toc 4"/>
    <w:basedOn w:val="Normal"/>
    <w:next w:val="Normal"/>
    <w:autoRedefine/>
    <w:uiPriority w:val="39"/>
    <w:unhideWhenUsed/>
    <w:rsid w:val="00E303B3"/>
    <w:pPr>
      <w:ind w:left="720"/>
    </w:pPr>
    <w:rPr>
      <w:rFonts w:asciiTheme="minorHAnsi" w:hAnsiTheme="minorHAnsi"/>
      <w:sz w:val="20"/>
      <w:szCs w:val="20"/>
    </w:rPr>
  </w:style>
  <w:style w:type="paragraph" w:styleId="TOC5">
    <w:name w:val="toc 5"/>
    <w:basedOn w:val="Normal"/>
    <w:next w:val="Normal"/>
    <w:autoRedefine/>
    <w:uiPriority w:val="39"/>
    <w:unhideWhenUsed/>
    <w:rsid w:val="00E303B3"/>
    <w:pPr>
      <w:ind w:left="960"/>
    </w:pPr>
    <w:rPr>
      <w:rFonts w:asciiTheme="minorHAnsi" w:hAnsiTheme="minorHAnsi"/>
      <w:sz w:val="20"/>
      <w:szCs w:val="20"/>
    </w:rPr>
  </w:style>
  <w:style w:type="paragraph" w:styleId="TOC6">
    <w:name w:val="toc 6"/>
    <w:basedOn w:val="Normal"/>
    <w:next w:val="Normal"/>
    <w:autoRedefine/>
    <w:uiPriority w:val="39"/>
    <w:unhideWhenUsed/>
    <w:rsid w:val="00E303B3"/>
    <w:pPr>
      <w:ind w:left="1200"/>
    </w:pPr>
    <w:rPr>
      <w:rFonts w:asciiTheme="minorHAnsi" w:hAnsiTheme="minorHAnsi"/>
      <w:sz w:val="20"/>
      <w:szCs w:val="20"/>
    </w:rPr>
  </w:style>
  <w:style w:type="paragraph" w:styleId="TOC7">
    <w:name w:val="toc 7"/>
    <w:basedOn w:val="Normal"/>
    <w:next w:val="Normal"/>
    <w:autoRedefine/>
    <w:uiPriority w:val="39"/>
    <w:unhideWhenUsed/>
    <w:rsid w:val="00E303B3"/>
    <w:pPr>
      <w:ind w:left="1440"/>
    </w:pPr>
    <w:rPr>
      <w:rFonts w:asciiTheme="minorHAnsi" w:hAnsiTheme="minorHAnsi"/>
      <w:sz w:val="20"/>
      <w:szCs w:val="20"/>
    </w:rPr>
  </w:style>
  <w:style w:type="paragraph" w:styleId="TOC8">
    <w:name w:val="toc 8"/>
    <w:basedOn w:val="Normal"/>
    <w:next w:val="Normal"/>
    <w:autoRedefine/>
    <w:uiPriority w:val="39"/>
    <w:unhideWhenUsed/>
    <w:rsid w:val="00E303B3"/>
    <w:pPr>
      <w:ind w:left="1680"/>
    </w:pPr>
    <w:rPr>
      <w:rFonts w:asciiTheme="minorHAnsi" w:hAnsiTheme="minorHAnsi"/>
      <w:sz w:val="20"/>
      <w:szCs w:val="20"/>
    </w:rPr>
  </w:style>
  <w:style w:type="paragraph" w:styleId="TOC9">
    <w:name w:val="toc 9"/>
    <w:basedOn w:val="Normal"/>
    <w:next w:val="Normal"/>
    <w:autoRedefine/>
    <w:uiPriority w:val="39"/>
    <w:unhideWhenUsed/>
    <w:rsid w:val="00E303B3"/>
    <w:pPr>
      <w:ind w:left="1920"/>
    </w:pPr>
    <w:rPr>
      <w:rFonts w:asciiTheme="minorHAnsi" w:hAnsiTheme="minorHAnsi"/>
      <w:sz w:val="20"/>
      <w:szCs w:val="20"/>
    </w:rPr>
  </w:style>
  <w:style w:type="character" w:customStyle="1" w:styleId="Heading4Char">
    <w:name w:val="Heading 4 Char"/>
    <w:link w:val="Heading4"/>
    <w:uiPriority w:val="9"/>
    <w:semiHidden/>
    <w:rsid w:val="000B1AB0"/>
    <w:rPr>
      <w:rFonts w:ascii="Calibri Light" w:eastAsia="Times New Roman" w:hAnsi="Calibri Light" w:cs="Times New Roman"/>
      <w:i/>
      <w:iCs/>
      <w:color w:val="2F5496"/>
    </w:rPr>
  </w:style>
  <w:style w:type="character" w:styleId="CommentReference">
    <w:name w:val="annotation reference"/>
    <w:qFormat/>
    <w:rsid w:val="000B1AB0"/>
    <w:rPr>
      <w:w w:val="100"/>
      <w:position w:val="-1"/>
      <w:sz w:val="16"/>
      <w:szCs w:val="16"/>
      <w:effect w:val="none"/>
      <w:vertAlign w:val="baseline"/>
      <w:cs w:val="0"/>
      <w:em w:val="none"/>
    </w:rPr>
  </w:style>
  <w:style w:type="paragraph" w:styleId="CommentText">
    <w:name w:val="annotation text"/>
    <w:basedOn w:val="Normal"/>
    <w:link w:val="CommentTextChar"/>
    <w:qFormat/>
    <w:rsid w:val="000B1AB0"/>
    <w:pPr>
      <w:suppressAutoHyphens/>
      <w:spacing w:after="200" w:line="252" w:lineRule="auto"/>
      <w:ind w:leftChars="-1" w:left="-1" w:hangingChars="1" w:hanging="1"/>
      <w:textDirection w:val="btLr"/>
      <w:textAlignment w:val="top"/>
      <w:outlineLvl w:val="0"/>
    </w:pPr>
    <w:rPr>
      <w:rFonts w:ascii="Calibri" w:eastAsia="Calibri" w:hAnsi="Calibri" w:cs="Calibri"/>
      <w:position w:val="-1"/>
      <w:sz w:val="20"/>
      <w:szCs w:val="20"/>
    </w:rPr>
  </w:style>
  <w:style w:type="character" w:customStyle="1" w:styleId="CommentTextChar">
    <w:name w:val="Comment Text Char"/>
    <w:link w:val="CommentText"/>
    <w:rsid w:val="000B1AB0"/>
    <w:rPr>
      <w:rFonts w:ascii="Calibri" w:eastAsia="Calibri" w:hAnsi="Calibri" w:cs="Calibri"/>
      <w:position w:val="-1"/>
      <w:sz w:val="20"/>
      <w:szCs w:val="20"/>
    </w:rPr>
  </w:style>
  <w:style w:type="paragraph" w:styleId="BalloonText">
    <w:name w:val="Balloon Text"/>
    <w:basedOn w:val="Normal"/>
    <w:link w:val="BalloonTextChar"/>
    <w:uiPriority w:val="99"/>
    <w:semiHidden/>
    <w:unhideWhenUsed/>
    <w:rsid w:val="000B1AB0"/>
    <w:rPr>
      <w:sz w:val="18"/>
      <w:szCs w:val="18"/>
    </w:rPr>
  </w:style>
  <w:style w:type="character" w:customStyle="1" w:styleId="BalloonTextChar">
    <w:name w:val="Balloon Text Char"/>
    <w:link w:val="BalloonText"/>
    <w:uiPriority w:val="99"/>
    <w:semiHidden/>
    <w:rsid w:val="000B1AB0"/>
    <w:rPr>
      <w:rFonts w:ascii="Times New Roman" w:hAnsi="Times New Roman" w:cs="Times New Roman"/>
      <w:sz w:val="18"/>
      <w:szCs w:val="18"/>
    </w:rPr>
  </w:style>
  <w:style w:type="paragraph" w:styleId="FootnoteText">
    <w:name w:val="footnote text"/>
    <w:aliases w:val="Footnote Text Char Char Char Char Char,Footnote Text Char Char Char Char,FA Fu,Footnote reference,Footnote Text Char Char Char,NOTA AL PIE TESIS PUCP,Footnote Text Cha,FA Fußnotentext,FA Fuﬂnotentext,Ca,FA Fu?notente,5_G,ft,fn,Car1,Car"/>
    <w:basedOn w:val="Normal"/>
    <w:link w:val="FootnoteTextChar"/>
    <w:uiPriority w:val="99"/>
    <w:qFormat/>
    <w:rsid w:val="008B49D6"/>
    <w:pPr>
      <w:suppressAutoHyphens/>
      <w:spacing w:after="200" w:line="252" w:lineRule="auto"/>
      <w:ind w:leftChars="-1" w:left="-1" w:hangingChars="1" w:hanging="1"/>
      <w:textDirection w:val="btLr"/>
      <w:textAlignment w:val="top"/>
      <w:outlineLvl w:val="0"/>
    </w:pPr>
    <w:rPr>
      <w:rFonts w:cs="Calibri"/>
      <w:position w:val="-1"/>
      <w:sz w:val="20"/>
      <w:szCs w:val="20"/>
    </w:rPr>
  </w:style>
  <w:style w:type="character" w:customStyle="1" w:styleId="FootnoteTextChar">
    <w:name w:val="Footnote Text Char"/>
    <w:aliases w:val="Footnote Text Char Char Char Char Char Char,Footnote Text Char Char Char Char Char1,FA Fu Char,Footnote reference Char,Footnote Text Char Char Char Char1,NOTA AL PIE TESIS PUCP Char,Footnote Text Cha Char,FA Fußnotentext Char,Ca Char"/>
    <w:link w:val="FootnoteText"/>
    <w:uiPriority w:val="99"/>
    <w:rsid w:val="008B49D6"/>
    <w:rPr>
      <w:rFonts w:cs="Calibri"/>
      <w:position w:val="-1"/>
    </w:rPr>
  </w:style>
  <w:style w:type="character" w:styleId="FootnoteReference">
    <w:name w:val="footnote reference"/>
    <w:aliases w:val="Footnotes refss,Texto de nota al pie,Appel note de bas de page,Footnote number,referencia nota al pie,BVI fnr,f,4_G,16 Point,Superscript 6 Point,Texto nota al pie,Footnote Reference Char3,Footnote Reference Char1 Char,Ref,de nota al"/>
    <w:uiPriority w:val="99"/>
    <w:qFormat/>
    <w:rsid w:val="008B49D6"/>
    <w:rPr>
      <w:w w:val="100"/>
      <w:position w:val="-1"/>
      <w:effect w:val="none"/>
      <w:vertAlign w:val="superscript"/>
      <w:cs w:val="0"/>
      <w:em w:val="none"/>
    </w:rPr>
  </w:style>
  <w:style w:type="paragraph" w:styleId="Header">
    <w:name w:val="header"/>
    <w:basedOn w:val="Normal"/>
    <w:link w:val="HeaderChar"/>
    <w:uiPriority w:val="99"/>
    <w:unhideWhenUsed/>
    <w:rsid w:val="00AC1FB7"/>
    <w:pPr>
      <w:tabs>
        <w:tab w:val="center" w:pos="4680"/>
        <w:tab w:val="right" w:pos="9360"/>
      </w:tabs>
    </w:pPr>
  </w:style>
  <w:style w:type="character" w:customStyle="1" w:styleId="HeaderChar">
    <w:name w:val="Header Char"/>
    <w:link w:val="Header"/>
    <w:uiPriority w:val="99"/>
    <w:rsid w:val="00AC1FB7"/>
    <w:rPr>
      <w:sz w:val="24"/>
      <w:szCs w:val="24"/>
    </w:rPr>
  </w:style>
  <w:style w:type="paragraph" w:styleId="Footer">
    <w:name w:val="footer"/>
    <w:basedOn w:val="Normal"/>
    <w:link w:val="FooterChar"/>
    <w:uiPriority w:val="99"/>
    <w:unhideWhenUsed/>
    <w:rsid w:val="00AC1FB7"/>
    <w:pPr>
      <w:tabs>
        <w:tab w:val="center" w:pos="4680"/>
        <w:tab w:val="right" w:pos="9360"/>
      </w:tabs>
    </w:pPr>
  </w:style>
  <w:style w:type="character" w:customStyle="1" w:styleId="FooterChar">
    <w:name w:val="Footer Char"/>
    <w:link w:val="Footer"/>
    <w:uiPriority w:val="99"/>
    <w:rsid w:val="00AC1FB7"/>
    <w:rPr>
      <w:sz w:val="24"/>
      <w:szCs w:val="24"/>
    </w:rPr>
  </w:style>
  <w:style w:type="paragraph" w:styleId="CommentSubject">
    <w:name w:val="annotation subject"/>
    <w:basedOn w:val="CommentText"/>
    <w:next w:val="CommentText"/>
    <w:link w:val="CommentSubjectChar"/>
    <w:uiPriority w:val="99"/>
    <w:semiHidden/>
    <w:unhideWhenUsed/>
    <w:rsid w:val="00172578"/>
    <w:pPr>
      <w:suppressAutoHyphens w:val="0"/>
      <w:spacing w:after="0" w:line="240" w:lineRule="auto"/>
      <w:ind w:leftChars="0" w:left="0" w:firstLineChars="0" w:firstLine="0"/>
      <w:textDirection w:val="lrTb"/>
      <w:textAlignment w:val="auto"/>
      <w:outlineLvl w:val="9"/>
    </w:pPr>
    <w:rPr>
      <w:rFonts w:cs="Times New Roman"/>
      <w:b/>
      <w:bCs/>
      <w:position w:val="0"/>
    </w:rPr>
  </w:style>
  <w:style w:type="character" w:customStyle="1" w:styleId="CommentSubjectChar">
    <w:name w:val="Comment Subject Char"/>
    <w:link w:val="CommentSubject"/>
    <w:uiPriority w:val="99"/>
    <w:semiHidden/>
    <w:rsid w:val="00172578"/>
    <w:rPr>
      <w:rFonts w:ascii="Calibri" w:eastAsia="Calibri" w:hAnsi="Calibri" w:cs="Calibri"/>
      <w:b/>
      <w:bCs/>
      <w:position w:val="-1"/>
      <w:sz w:val="20"/>
      <w:szCs w:val="20"/>
    </w:rPr>
  </w:style>
  <w:style w:type="table" w:styleId="TableGrid">
    <w:name w:val="Table Grid"/>
    <w:basedOn w:val="TableNormal"/>
    <w:uiPriority w:val="39"/>
    <w:rsid w:val="00F6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838B3"/>
  </w:style>
  <w:style w:type="table" w:styleId="GridTable2">
    <w:name w:val="Grid Table 2"/>
    <w:basedOn w:val="TableNormal"/>
    <w:uiPriority w:val="47"/>
    <w:rsid w:val="000E18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0E18A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E18A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0E18A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0E18AE"/>
    <w:pPr>
      <w:spacing w:before="100" w:beforeAutospacing="1" w:after="100" w:afterAutospacing="1"/>
    </w:pPr>
  </w:style>
  <w:style w:type="character" w:styleId="FollowedHyperlink">
    <w:name w:val="FollowedHyperlink"/>
    <w:basedOn w:val="DefaultParagraphFont"/>
    <w:uiPriority w:val="99"/>
    <w:semiHidden/>
    <w:unhideWhenUsed/>
    <w:rsid w:val="00D179D1"/>
    <w:rPr>
      <w:color w:val="954F72" w:themeColor="followedHyperlink"/>
      <w:u w:val="single"/>
    </w:rPr>
  </w:style>
  <w:style w:type="paragraph" w:styleId="Bibliography">
    <w:name w:val="Bibliography"/>
    <w:basedOn w:val="Normal"/>
    <w:next w:val="Normal"/>
    <w:uiPriority w:val="37"/>
    <w:unhideWhenUsed/>
    <w:rsid w:val="002538B3"/>
    <w:pPr>
      <w:spacing w:line="480" w:lineRule="auto"/>
      <w:ind w:left="720" w:hanging="720"/>
    </w:pPr>
  </w:style>
  <w:style w:type="character" w:styleId="PageNumber">
    <w:name w:val="page number"/>
    <w:basedOn w:val="DefaultParagraphFont"/>
    <w:uiPriority w:val="99"/>
    <w:semiHidden/>
    <w:unhideWhenUsed/>
    <w:rsid w:val="002538B3"/>
  </w:style>
  <w:style w:type="paragraph" w:styleId="Revision">
    <w:name w:val="Revision"/>
    <w:hidden/>
    <w:uiPriority w:val="99"/>
    <w:semiHidden/>
    <w:rsid w:val="002538B3"/>
    <w:rPr>
      <w:rFonts w:ascii="Times New Roman" w:eastAsia="Times New Roman" w:hAnsi="Times New Roman"/>
      <w:sz w:val="24"/>
      <w:szCs w:val="24"/>
    </w:rPr>
  </w:style>
  <w:style w:type="character" w:styleId="Strong">
    <w:name w:val="Strong"/>
    <w:basedOn w:val="DefaultParagraphFont"/>
    <w:uiPriority w:val="22"/>
    <w:qFormat/>
    <w:rsid w:val="003F6ECC"/>
    <w:rPr>
      <w:b/>
      <w:bCs/>
    </w:rPr>
  </w:style>
  <w:style w:type="paragraph" w:customStyle="1" w:styleId="Default">
    <w:name w:val="Default"/>
    <w:rsid w:val="000252FA"/>
    <w:pPr>
      <w:autoSpaceDE w:val="0"/>
      <w:autoSpaceDN w:val="0"/>
      <w:adjustRightInd w:val="0"/>
    </w:pPr>
    <w:rPr>
      <w:rFonts w:ascii="Cambria" w:hAnsi="Cambria" w:cs="Cambria"/>
      <w:color w:val="000000"/>
      <w:sz w:val="24"/>
      <w:szCs w:val="24"/>
    </w:rPr>
  </w:style>
  <w:style w:type="table" w:styleId="GridTable5Dark-Accent3">
    <w:name w:val="Grid Table 5 Dark Accent 3"/>
    <w:basedOn w:val="TableNormal"/>
    <w:uiPriority w:val="50"/>
    <w:rsid w:val="00D761A0"/>
    <w:rPr>
      <w:rFonts w:asciiTheme="minorHAnsi" w:eastAsia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D761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3">
    <w:name w:val="Grid Table 7 Colorful Accent 3"/>
    <w:basedOn w:val="TableNormal"/>
    <w:uiPriority w:val="52"/>
    <w:rsid w:val="00D761A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3">
    <w:name w:val="List Table 3"/>
    <w:basedOn w:val="TableNormal"/>
    <w:uiPriority w:val="48"/>
    <w:rsid w:val="00D761A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D761A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6">
    <w:name w:val="Grid Table 5 Dark Accent 6"/>
    <w:basedOn w:val="TableNormal"/>
    <w:uiPriority w:val="50"/>
    <w:rsid w:val="00D76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3-Accent6">
    <w:name w:val="Grid Table 3 Accent 6"/>
    <w:basedOn w:val="TableNormal"/>
    <w:uiPriority w:val="48"/>
    <w:rsid w:val="00D761A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rsid w:val="00396A03"/>
    <w:rPr>
      <w:rFonts w:asciiTheme="majorHAnsi" w:eastAsiaTheme="majorEastAsia" w:hAnsiTheme="majorHAnsi" w:cstheme="majorBidi"/>
      <w:color w:val="1F3763" w:themeColor="accent1" w:themeShade="7F"/>
      <w:sz w:val="24"/>
      <w:szCs w:val="24"/>
    </w:rPr>
  </w:style>
  <w:style w:type="paragraph" w:customStyle="1" w:styleId="SingleTxtG">
    <w:name w:val="_ Single Txt_G"/>
    <w:basedOn w:val="Normal"/>
    <w:link w:val="SingleTxtGChar"/>
    <w:qFormat/>
    <w:rsid w:val="002F58DD"/>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val="en-GB"/>
    </w:rPr>
  </w:style>
  <w:style w:type="character" w:customStyle="1" w:styleId="SingleTxtGChar">
    <w:name w:val="_ Single Txt_G Char"/>
    <w:link w:val="SingleTxtG"/>
    <w:locked/>
    <w:rsid w:val="002F58DD"/>
    <w:rPr>
      <w:rFonts w:ascii="Times New Roman" w:eastAsiaTheme="minorHAnsi" w:hAnsi="Times New Roman"/>
      <w:lang w:val="en-GB"/>
    </w:rPr>
  </w:style>
  <w:style w:type="character" w:customStyle="1" w:styleId="UnresolvedMention">
    <w:name w:val="Unresolved Mention"/>
    <w:basedOn w:val="DefaultParagraphFont"/>
    <w:uiPriority w:val="99"/>
    <w:semiHidden/>
    <w:unhideWhenUsed/>
    <w:rsid w:val="004B360E"/>
    <w:rPr>
      <w:color w:val="605E5C"/>
      <w:shd w:val="clear" w:color="auto" w:fill="E1DFDD"/>
    </w:rPr>
  </w:style>
  <w:style w:type="paragraph" w:styleId="NoSpacing">
    <w:name w:val="No Spacing"/>
    <w:uiPriority w:val="1"/>
    <w:qFormat/>
    <w:rsid w:val="00CF2515"/>
    <w:rPr>
      <w:rFonts w:asciiTheme="minorHAnsi" w:eastAsiaTheme="minorHAnsi" w:hAnsiTheme="minorHAnsi" w:cstheme="minorBidi"/>
      <w:sz w:val="22"/>
      <w:szCs w:val="22"/>
      <w:lang w:val="es-EC"/>
    </w:rPr>
  </w:style>
  <w:style w:type="character" w:customStyle="1" w:styleId="ListParagraphChar">
    <w:name w:val="List Paragraph Char"/>
    <w:aliases w:val="Titulo parrafo Char,Cuadrícula media 1 - Énfasis 21 Char,Überschrift 4-neu Char"/>
    <w:link w:val="ListParagraph"/>
    <w:uiPriority w:val="34"/>
    <w:rsid w:val="008A2079"/>
    <w:rPr>
      <w:rFonts w:ascii="Times New Roman" w:eastAsia="Times New Roman" w:hAnsi="Times New Roman"/>
      <w:sz w:val="24"/>
      <w:szCs w:val="24"/>
    </w:rPr>
  </w:style>
  <w:style w:type="character" w:customStyle="1" w:styleId="MediumGrid1-Accent2Char">
    <w:name w:val="Medium Grid 1 - Accent 2 Char"/>
    <w:aliases w:val="TIT 2 IND Char"/>
    <w:link w:val="MediumGrid1-Accent2"/>
    <w:uiPriority w:val="34"/>
    <w:qFormat/>
    <w:rsid w:val="00CB2BA3"/>
  </w:style>
  <w:style w:type="table" w:styleId="MediumGrid1-Accent2">
    <w:name w:val="Medium Grid 1 Accent 2"/>
    <w:basedOn w:val="TableNormal"/>
    <w:link w:val="MediumGrid1-Accent2Char"/>
    <w:uiPriority w:val="34"/>
    <w:semiHidden/>
    <w:unhideWhenUsed/>
    <w:rsid w:val="00CB2BA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4026">
      <w:bodyDiv w:val="1"/>
      <w:marLeft w:val="0"/>
      <w:marRight w:val="0"/>
      <w:marTop w:val="0"/>
      <w:marBottom w:val="0"/>
      <w:divBdr>
        <w:top w:val="none" w:sz="0" w:space="0" w:color="auto"/>
        <w:left w:val="none" w:sz="0" w:space="0" w:color="auto"/>
        <w:bottom w:val="none" w:sz="0" w:space="0" w:color="auto"/>
        <w:right w:val="none" w:sz="0" w:space="0" w:color="auto"/>
      </w:divBdr>
      <w:divsChild>
        <w:div w:id="746656719">
          <w:marLeft w:val="0"/>
          <w:marRight w:val="0"/>
          <w:marTop w:val="0"/>
          <w:marBottom w:val="0"/>
          <w:divBdr>
            <w:top w:val="none" w:sz="0" w:space="0" w:color="auto"/>
            <w:left w:val="none" w:sz="0" w:space="0" w:color="auto"/>
            <w:bottom w:val="none" w:sz="0" w:space="0" w:color="auto"/>
            <w:right w:val="none" w:sz="0" w:space="0" w:color="auto"/>
          </w:divBdr>
          <w:divsChild>
            <w:div w:id="1126586365">
              <w:marLeft w:val="0"/>
              <w:marRight w:val="0"/>
              <w:marTop w:val="0"/>
              <w:marBottom w:val="0"/>
              <w:divBdr>
                <w:top w:val="none" w:sz="0" w:space="0" w:color="auto"/>
                <w:left w:val="none" w:sz="0" w:space="0" w:color="auto"/>
                <w:bottom w:val="none" w:sz="0" w:space="0" w:color="auto"/>
                <w:right w:val="none" w:sz="0" w:space="0" w:color="auto"/>
              </w:divBdr>
              <w:divsChild>
                <w:div w:id="15795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7080">
      <w:bodyDiv w:val="1"/>
      <w:marLeft w:val="0"/>
      <w:marRight w:val="0"/>
      <w:marTop w:val="0"/>
      <w:marBottom w:val="0"/>
      <w:divBdr>
        <w:top w:val="none" w:sz="0" w:space="0" w:color="auto"/>
        <w:left w:val="none" w:sz="0" w:space="0" w:color="auto"/>
        <w:bottom w:val="none" w:sz="0" w:space="0" w:color="auto"/>
        <w:right w:val="none" w:sz="0" w:space="0" w:color="auto"/>
      </w:divBdr>
    </w:div>
    <w:div w:id="350494415">
      <w:bodyDiv w:val="1"/>
      <w:marLeft w:val="0"/>
      <w:marRight w:val="0"/>
      <w:marTop w:val="0"/>
      <w:marBottom w:val="0"/>
      <w:divBdr>
        <w:top w:val="none" w:sz="0" w:space="0" w:color="auto"/>
        <w:left w:val="none" w:sz="0" w:space="0" w:color="auto"/>
        <w:bottom w:val="none" w:sz="0" w:space="0" w:color="auto"/>
        <w:right w:val="none" w:sz="0" w:space="0" w:color="auto"/>
      </w:divBdr>
    </w:div>
    <w:div w:id="592708784">
      <w:bodyDiv w:val="1"/>
      <w:marLeft w:val="0"/>
      <w:marRight w:val="0"/>
      <w:marTop w:val="0"/>
      <w:marBottom w:val="0"/>
      <w:divBdr>
        <w:top w:val="none" w:sz="0" w:space="0" w:color="auto"/>
        <w:left w:val="none" w:sz="0" w:space="0" w:color="auto"/>
        <w:bottom w:val="none" w:sz="0" w:space="0" w:color="auto"/>
        <w:right w:val="none" w:sz="0" w:space="0" w:color="auto"/>
      </w:divBdr>
      <w:divsChild>
        <w:div w:id="685909296">
          <w:marLeft w:val="0"/>
          <w:marRight w:val="0"/>
          <w:marTop w:val="0"/>
          <w:marBottom w:val="0"/>
          <w:divBdr>
            <w:top w:val="none" w:sz="0" w:space="0" w:color="auto"/>
            <w:left w:val="none" w:sz="0" w:space="0" w:color="auto"/>
            <w:bottom w:val="none" w:sz="0" w:space="0" w:color="auto"/>
            <w:right w:val="none" w:sz="0" w:space="0" w:color="auto"/>
          </w:divBdr>
          <w:divsChild>
            <w:div w:id="960376643">
              <w:marLeft w:val="0"/>
              <w:marRight w:val="0"/>
              <w:marTop w:val="0"/>
              <w:marBottom w:val="0"/>
              <w:divBdr>
                <w:top w:val="none" w:sz="0" w:space="0" w:color="auto"/>
                <w:left w:val="none" w:sz="0" w:space="0" w:color="auto"/>
                <w:bottom w:val="none" w:sz="0" w:space="0" w:color="auto"/>
                <w:right w:val="none" w:sz="0" w:space="0" w:color="auto"/>
              </w:divBdr>
              <w:divsChild>
                <w:div w:id="12399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5449">
      <w:bodyDiv w:val="1"/>
      <w:marLeft w:val="0"/>
      <w:marRight w:val="0"/>
      <w:marTop w:val="0"/>
      <w:marBottom w:val="0"/>
      <w:divBdr>
        <w:top w:val="none" w:sz="0" w:space="0" w:color="auto"/>
        <w:left w:val="none" w:sz="0" w:space="0" w:color="auto"/>
        <w:bottom w:val="none" w:sz="0" w:space="0" w:color="auto"/>
        <w:right w:val="none" w:sz="0" w:space="0" w:color="auto"/>
      </w:divBdr>
    </w:div>
    <w:div w:id="1202933669">
      <w:bodyDiv w:val="1"/>
      <w:marLeft w:val="0"/>
      <w:marRight w:val="0"/>
      <w:marTop w:val="0"/>
      <w:marBottom w:val="0"/>
      <w:divBdr>
        <w:top w:val="none" w:sz="0" w:space="0" w:color="auto"/>
        <w:left w:val="none" w:sz="0" w:space="0" w:color="auto"/>
        <w:bottom w:val="none" w:sz="0" w:space="0" w:color="auto"/>
        <w:right w:val="none" w:sz="0" w:space="0" w:color="auto"/>
      </w:divBdr>
    </w:div>
    <w:div w:id="1257709309">
      <w:bodyDiv w:val="1"/>
      <w:marLeft w:val="0"/>
      <w:marRight w:val="0"/>
      <w:marTop w:val="0"/>
      <w:marBottom w:val="0"/>
      <w:divBdr>
        <w:top w:val="none" w:sz="0" w:space="0" w:color="auto"/>
        <w:left w:val="none" w:sz="0" w:space="0" w:color="auto"/>
        <w:bottom w:val="none" w:sz="0" w:space="0" w:color="auto"/>
        <w:right w:val="none" w:sz="0" w:space="0" w:color="auto"/>
      </w:divBdr>
    </w:div>
    <w:div w:id="1375231996">
      <w:bodyDiv w:val="1"/>
      <w:marLeft w:val="0"/>
      <w:marRight w:val="0"/>
      <w:marTop w:val="0"/>
      <w:marBottom w:val="0"/>
      <w:divBdr>
        <w:top w:val="none" w:sz="0" w:space="0" w:color="auto"/>
        <w:left w:val="none" w:sz="0" w:space="0" w:color="auto"/>
        <w:bottom w:val="none" w:sz="0" w:space="0" w:color="auto"/>
        <w:right w:val="none" w:sz="0" w:space="0" w:color="auto"/>
      </w:divBdr>
    </w:div>
    <w:div w:id="1439443223">
      <w:bodyDiv w:val="1"/>
      <w:marLeft w:val="0"/>
      <w:marRight w:val="0"/>
      <w:marTop w:val="0"/>
      <w:marBottom w:val="0"/>
      <w:divBdr>
        <w:top w:val="none" w:sz="0" w:space="0" w:color="auto"/>
        <w:left w:val="none" w:sz="0" w:space="0" w:color="auto"/>
        <w:bottom w:val="none" w:sz="0" w:space="0" w:color="auto"/>
        <w:right w:val="none" w:sz="0" w:space="0" w:color="auto"/>
      </w:divBdr>
    </w:div>
    <w:div w:id="1443452357">
      <w:bodyDiv w:val="1"/>
      <w:marLeft w:val="0"/>
      <w:marRight w:val="0"/>
      <w:marTop w:val="0"/>
      <w:marBottom w:val="0"/>
      <w:divBdr>
        <w:top w:val="none" w:sz="0" w:space="0" w:color="auto"/>
        <w:left w:val="none" w:sz="0" w:space="0" w:color="auto"/>
        <w:bottom w:val="none" w:sz="0" w:space="0" w:color="auto"/>
        <w:right w:val="none" w:sz="0" w:space="0" w:color="auto"/>
      </w:divBdr>
    </w:div>
    <w:div w:id="1520467185">
      <w:bodyDiv w:val="1"/>
      <w:marLeft w:val="0"/>
      <w:marRight w:val="0"/>
      <w:marTop w:val="0"/>
      <w:marBottom w:val="0"/>
      <w:divBdr>
        <w:top w:val="none" w:sz="0" w:space="0" w:color="auto"/>
        <w:left w:val="none" w:sz="0" w:space="0" w:color="auto"/>
        <w:bottom w:val="none" w:sz="0" w:space="0" w:color="auto"/>
        <w:right w:val="none" w:sz="0" w:space="0" w:color="auto"/>
      </w:divBdr>
      <w:divsChild>
        <w:div w:id="791359290">
          <w:marLeft w:val="0"/>
          <w:marRight w:val="0"/>
          <w:marTop w:val="0"/>
          <w:marBottom w:val="0"/>
          <w:divBdr>
            <w:top w:val="none" w:sz="0" w:space="0" w:color="auto"/>
            <w:left w:val="none" w:sz="0" w:space="0" w:color="auto"/>
            <w:bottom w:val="none" w:sz="0" w:space="0" w:color="auto"/>
            <w:right w:val="none" w:sz="0" w:space="0" w:color="auto"/>
          </w:divBdr>
          <w:divsChild>
            <w:div w:id="2062778128">
              <w:marLeft w:val="0"/>
              <w:marRight w:val="0"/>
              <w:marTop w:val="0"/>
              <w:marBottom w:val="0"/>
              <w:divBdr>
                <w:top w:val="none" w:sz="0" w:space="0" w:color="auto"/>
                <w:left w:val="none" w:sz="0" w:space="0" w:color="auto"/>
                <w:bottom w:val="none" w:sz="0" w:space="0" w:color="auto"/>
                <w:right w:val="none" w:sz="0" w:space="0" w:color="auto"/>
              </w:divBdr>
              <w:divsChild>
                <w:div w:id="87238632">
                  <w:marLeft w:val="0"/>
                  <w:marRight w:val="0"/>
                  <w:marTop w:val="0"/>
                  <w:marBottom w:val="0"/>
                  <w:divBdr>
                    <w:top w:val="none" w:sz="0" w:space="0" w:color="auto"/>
                    <w:left w:val="none" w:sz="0" w:space="0" w:color="auto"/>
                    <w:bottom w:val="none" w:sz="0" w:space="0" w:color="auto"/>
                    <w:right w:val="none" w:sz="0" w:space="0" w:color="auto"/>
                  </w:divBdr>
                  <w:divsChild>
                    <w:div w:id="4113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9791">
      <w:bodyDiv w:val="1"/>
      <w:marLeft w:val="0"/>
      <w:marRight w:val="0"/>
      <w:marTop w:val="0"/>
      <w:marBottom w:val="0"/>
      <w:divBdr>
        <w:top w:val="none" w:sz="0" w:space="0" w:color="auto"/>
        <w:left w:val="none" w:sz="0" w:space="0" w:color="auto"/>
        <w:bottom w:val="none" w:sz="0" w:space="0" w:color="auto"/>
        <w:right w:val="none" w:sz="0" w:space="0" w:color="auto"/>
      </w:divBdr>
      <w:divsChild>
        <w:div w:id="961376056">
          <w:marLeft w:val="0"/>
          <w:marRight w:val="0"/>
          <w:marTop w:val="0"/>
          <w:marBottom w:val="0"/>
          <w:divBdr>
            <w:top w:val="none" w:sz="0" w:space="0" w:color="auto"/>
            <w:left w:val="none" w:sz="0" w:space="0" w:color="auto"/>
            <w:bottom w:val="none" w:sz="0" w:space="0" w:color="auto"/>
            <w:right w:val="none" w:sz="0" w:space="0" w:color="auto"/>
          </w:divBdr>
          <w:divsChild>
            <w:div w:id="601765480">
              <w:marLeft w:val="0"/>
              <w:marRight w:val="0"/>
              <w:marTop w:val="0"/>
              <w:marBottom w:val="0"/>
              <w:divBdr>
                <w:top w:val="none" w:sz="0" w:space="0" w:color="auto"/>
                <w:left w:val="none" w:sz="0" w:space="0" w:color="auto"/>
                <w:bottom w:val="none" w:sz="0" w:space="0" w:color="auto"/>
                <w:right w:val="none" w:sz="0" w:space="0" w:color="auto"/>
              </w:divBdr>
              <w:divsChild>
                <w:div w:id="2589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048">
      <w:bodyDiv w:val="1"/>
      <w:marLeft w:val="0"/>
      <w:marRight w:val="0"/>
      <w:marTop w:val="0"/>
      <w:marBottom w:val="0"/>
      <w:divBdr>
        <w:top w:val="none" w:sz="0" w:space="0" w:color="auto"/>
        <w:left w:val="none" w:sz="0" w:space="0" w:color="auto"/>
        <w:bottom w:val="none" w:sz="0" w:space="0" w:color="auto"/>
        <w:right w:val="none" w:sz="0" w:space="0" w:color="auto"/>
      </w:divBdr>
    </w:div>
    <w:div w:id="1659186976">
      <w:bodyDiv w:val="1"/>
      <w:marLeft w:val="0"/>
      <w:marRight w:val="0"/>
      <w:marTop w:val="0"/>
      <w:marBottom w:val="0"/>
      <w:divBdr>
        <w:top w:val="none" w:sz="0" w:space="0" w:color="auto"/>
        <w:left w:val="none" w:sz="0" w:space="0" w:color="auto"/>
        <w:bottom w:val="none" w:sz="0" w:space="0" w:color="auto"/>
        <w:right w:val="none" w:sz="0" w:space="0" w:color="auto"/>
      </w:divBdr>
      <w:divsChild>
        <w:div w:id="481972392">
          <w:marLeft w:val="0"/>
          <w:marRight w:val="0"/>
          <w:marTop w:val="0"/>
          <w:marBottom w:val="0"/>
          <w:divBdr>
            <w:top w:val="none" w:sz="0" w:space="0" w:color="auto"/>
            <w:left w:val="none" w:sz="0" w:space="0" w:color="auto"/>
            <w:bottom w:val="none" w:sz="0" w:space="0" w:color="auto"/>
            <w:right w:val="none" w:sz="0" w:space="0" w:color="auto"/>
          </w:divBdr>
          <w:divsChild>
            <w:div w:id="1947493957">
              <w:marLeft w:val="0"/>
              <w:marRight w:val="0"/>
              <w:marTop w:val="0"/>
              <w:marBottom w:val="0"/>
              <w:divBdr>
                <w:top w:val="none" w:sz="0" w:space="0" w:color="auto"/>
                <w:left w:val="none" w:sz="0" w:space="0" w:color="auto"/>
                <w:bottom w:val="none" w:sz="0" w:space="0" w:color="auto"/>
                <w:right w:val="none" w:sz="0" w:space="0" w:color="auto"/>
              </w:divBdr>
              <w:divsChild>
                <w:div w:id="10160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6572">
      <w:bodyDiv w:val="1"/>
      <w:marLeft w:val="0"/>
      <w:marRight w:val="0"/>
      <w:marTop w:val="0"/>
      <w:marBottom w:val="0"/>
      <w:divBdr>
        <w:top w:val="none" w:sz="0" w:space="0" w:color="auto"/>
        <w:left w:val="none" w:sz="0" w:space="0" w:color="auto"/>
        <w:bottom w:val="none" w:sz="0" w:space="0" w:color="auto"/>
        <w:right w:val="none" w:sz="0" w:space="0" w:color="auto"/>
      </w:divBdr>
    </w:div>
    <w:div w:id="1800149461">
      <w:bodyDiv w:val="1"/>
      <w:marLeft w:val="0"/>
      <w:marRight w:val="0"/>
      <w:marTop w:val="0"/>
      <w:marBottom w:val="0"/>
      <w:divBdr>
        <w:top w:val="none" w:sz="0" w:space="0" w:color="auto"/>
        <w:left w:val="none" w:sz="0" w:space="0" w:color="auto"/>
        <w:bottom w:val="none" w:sz="0" w:space="0" w:color="auto"/>
        <w:right w:val="none" w:sz="0" w:space="0" w:color="auto"/>
      </w:divBdr>
    </w:div>
    <w:div w:id="1826699491">
      <w:bodyDiv w:val="1"/>
      <w:marLeft w:val="0"/>
      <w:marRight w:val="0"/>
      <w:marTop w:val="0"/>
      <w:marBottom w:val="0"/>
      <w:divBdr>
        <w:top w:val="none" w:sz="0" w:space="0" w:color="auto"/>
        <w:left w:val="none" w:sz="0" w:space="0" w:color="auto"/>
        <w:bottom w:val="none" w:sz="0" w:space="0" w:color="auto"/>
        <w:right w:val="none" w:sz="0" w:space="0" w:color="auto"/>
      </w:divBdr>
    </w:div>
    <w:div w:id="1828740124">
      <w:bodyDiv w:val="1"/>
      <w:marLeft w:val="0"/>
      <w:marRight w:val="0"/>
      <w:marTop w:val="0"/>
      <w:marBottom w:val="0"/>
      <w:divBdr>
        <w:top w:val="none" w:sz="0" w:space="0" w:color="auto"/>
        <w:left w:val="none" w:sz="0" w:space="0" w:color="auto"/>
        <w:bottom w:val="none" w:sz="0" w:space="0" w:color="auto"/>
        <w:right w:val="none" w:sz="0" w:space="0" w:color="auto"/>
      </w:divBdr>
    </w:div>
    <w:div w:id="1843278346">
      <w:bodyDiv w:val="1"/>
      <w:marLeft w:val="0"/>
      <w:marRight w:val="0"/>
      <w:marTop w:val="0"/>
      <w:marBottom w:val="0"/>
      <w:divBdr>
        <w:top w:val="none" w:sz="0" w:space="0" w:color="auto"/>
        <w:left w:val="none" w:sz="0" w:space="0" w:color="auto"/>
        <w:bottom w:val="none" w:sz="0" w:space="0" w:color="auto"/>
        <w:right w:val="none" w:sz="0" w:space="0" w:color="auto"/>
      </w:divBdr>
      <w:divsChild>
        <w:div w:id="874579938">
          <w:marLeft w:val="0"/>
          <w:marRight w:val="0"/>
          <w:marTop w:val="0"/>
          <w:marBottom w:val="0"/>
          <w:divBdr>
            <w:top w:val="none" w:sz="0" w:space="0" w:color="auto"/>
            <w:left w:val="none" w:sz="0" w:space="0" w:color="auto"/>
            <w:bottom w:val="none" w:sz="0" w:space="0" w:color="auto"/>
            <w:right w:val="none" w:sz="0" w:space="0" w:color="auto"/>
          </w:divBdr>
          <w:divsChild>
            <w:div w:id="417409689">
              <w:marLeft w:val="0"/>
              <w:marRight w:val="0"/>
              <w:marTop w:val="0"/>
              <w:marBottom w:val="0"/>
              <w:divBdr>
                <w:top w:val="none" w:sz="0" w:space="0" w:color="auto"/>
                <w:left w:val="none" w:sz="0" w:space="0" w:color="auto"/>
                <w:bottom w:val="none" w:sz="0" w:space="0" w:color="auto"/>
                <w:right w:val="none" w:sz="0" w:space="0" w:color="auto"/>
              </w:divBdr>
              <w:divsChild>
                <w:div w:id="17668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5553">
      <w:bodyDiv w:val="1"/>
      <w:marLeft w:val="0"/>
      <w:marRight w:val="0"/>
      <w:marTop w:val="0"/>
      <w:marBottom w:val="0"/>
      <w:divBdr>
        <w:top w:val="none" w:sz="0" w:space="0" w:color="auto"/>
        <w:left w:val="none" w:sz="0" w:space="0" w:color="auto"/>
        <w:bottom w:val="none" w:sz="0" w:space="0" w:color="auto"/>
        <w:right w:val="none" w:sz="0" w:space="0" w:color="auto"/>
      </w:divBdr>
    </w:div>
    <w:div w:id="19818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ES</EC_Collab_DocumentLanguage>
    <_Status xmlns="http://schemas.microsoft.com/sharepoint/v3/fields">Not Started</_Status>
    <EC_Collab_Status xmlns="0e9b3a82-106d-4dfc-8b5c-c32b856c7021">Final</EC_Collab_Status>
    <EC_Collab_Reference xmlns="0e9b3a82-106d-4dfc-8b5c-c32b856c70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508E-2FB4-4683-9656-E89DE7A6BE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9b3a82-106d-4dfc-8b5c-c32b856c7021"/>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00F39C0-2A72-4ABB-9B7E-DBD74335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9b3a82-106d-4dfc-8b5c-c32b856c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264B1-8571-4A32-BE74-478CA43D56F3}">
  <ds:schemaRefs>
    <ds:schemaRef ds:uri="http://schemas.microsoft.com/sharepoint/v3/contenttype/forms"/>
  </ds:schemaRefs>
</ds:datastoreItem>
</file>

<file path=customXml/itemProps4.xml><?xml version="1.0" encoding="utf-8"?>
<ds:datastoreItem xmlns:ds="http://schemas.openxmlformats.org/officeDocument/2006/customXml" ds:itemID="{4847BEA2-9968-4903-9648-AA5BDFD2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4590</Words>
  <Characters>24605</Characters>
  <Application>Microsoft Office Word</Application>
  <DocSecurity>0</DocSecurity>
  <Lines>403</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29079</CharactersWithSpaces>
  <SharedDoc>false</SharedDoc>
  <HLinks>
    <vt:vector size="90" baseType="variant">
      <vt:variant>
        <vt:i4>1441846</vt:i4>
      </vt:variant>
      <vt:variant>
        <vt:i4>86</vt:i4>
      </vt:variant>
      <vt:variant>
        <vt:i4>0</vt:i4>
      </vt:variant>
      <vt:variant>
        <vt:i4>5</vt:i4>
      </vt:variant>
      <vt:variant>
        <vt:lpwstr/>
      </vt:variant>
      <vt:variant>
        <vt:lpwstr>_Toc74819307</vt:lpwstr>
      </vt:variant>
      <vt:variant>
        <vt:i4>1507382</vt:i4>
      </vt:variant>
      <vt:variant>
        <vt:i4>80</vt:i4>
      </vt:variant>
      <vt:variant>
        <vt:i4>0</vt:i4>
      </vt:variant>
      <vt:variant>
        <vt:i4>5</vt:i4>
      </vt:variant>
      <vt:variant>
        <vt:lpwstr/>
      </vt:variant>
      <vt:variant>
        <vt:lpwstr>_Toc74819306</vt:lpwstr>
      </vt:variant>
      <vt:variant>
        <vt:i4>1310774</vt:i4>
      </vt:variant>
      <vt:variant>
        <vt:i4>74</vt:i4>
      </vt:variant>
      <vt:variant>
        <vt:i4>0</vt:i4>
      </vt:variant>
      <vt:variant>
        <vt:i4>5</vt:i4>
      </vt:variant>
      <vt:variant>
        <vt:lpwstr/>
      </vt:variant>
      <vt:variant>
        <vt:lpwstr>_Toc74819305</vt:lpwstr>
      </vt:variant>
      <vt:variant>
        <vt:i4>1376310</vt:i4>
      </vt:variant>
      <vt:variant>
        <vt:i4>68</vt:i4>
      </vt:variant>
      <vt:variant>
        <vt:i4>0</vt:i4>
      </vt:variant>
      <vt:variant>
        <vt:i4>5</vt:i4>
      </vt:variant>
      <vt:variant>
        <vt:lpwstr/>
      </vt:variant>
      <vt:variant>
        <vt:lpwstr>_Toc74819304</vt:lpwstr>
      </vt:variant>
      <vt:variant>
        <vt:i4>1179702</vt:i4>
      </vt:variant>
      <vt:variant>
        <vt:i4>62</vt:i4>
      </vt:variant>
      <vt:variant>
        <vt:i4>0</vt:i4>
      </vt:variant>
      <vt:variant>
        <vt:i4>5</vt:i4>
      </vt:variant>
      <vt:variant>
        <vt:lpwstr/>
      </vt:variant>
      <vt:variant>
        <vt:lpwstr>_Toc74819303</vt:lpwstr>
      </vt:variant>
      <vt:variant>
        <vt:i4>1245238</vt:i4>
      </vt:variant>
      <vt:variant>
        <vt:i4>56</vt:i4>
      </vt:variant>
      <vt:variant>
        <vt:i4>0</vt:i4>
      </vt:variant>
      <vt:variant>
        <vt:i4>5</vt:i4>
      </vt:variant>
      <vt:variant>
        <vt:lpwstr/>
      </vt:variant>
      <vt:variant>
        <vt:lpwstr>_Toc74819302</vt:lpwstr>
      </vt:variant>
      <vt:variant>
        <vt:i4>1048630</vt:i4>
      </vt:variant>
      <vt:variant>
        <vt:i4>50</vt:i4>
      </vt:variant>
      <vt:variant>
        <vt:i4>0</vt:i4>
      </vt:variant>
      <vt:variant>
        <vt:i4>5</vt:i4>
      </vt:variant>
      <vt:variant>
        <vt:lpwstr/>
      </vt:variant>
      <vt:variant>
        <vt:lpwstr>_Toc74819301</vt:lpwstr>
      </vt:variant>
      <vt:variant>
        <vt:i4>1114166</vt:i4>
      </vt:variant>
      <vt:variant>
        <vt:i4>44</vt:i4>
      </vt:variant>
      <vt:variant>
        <vt:i4>0</vt:i4>
      </vt:variant>
      <vt:variant>
        <vt:i4>5</vt:i4>
      </vt:variant>
      <vt:variant>
        <vt:lpwstr/>
      </vt:variant>
      <vt:variant>
        <vt:lpwstr>_Toc74819300</vt:lpwstr>
      </vt:variant>
      <vt:variant>
        <vt:i4>1638463</vt:i4>
      </vt:variant>
      <vt:variant>
        <vt:i4>38</vt:i4>
      </vt:variant>
      <vt:variant>
        <vt:i4>0</vt:i4>
      </vt:variant>
      <vt:variant>
        <vt:i4>5</vt:i4>
      </vt:variant>
      <vt:variant>
        <vt:lpwstr/>
      </vt:variant>
      <vt:variant>
        <vt:lpwstr>_Toc74819299</vt:lpwstr>
      </vt:variant>
      <vt:variant>
        <vt:i4>1572927</vt:i4>
      </vt:variant>
      <vt:variant>
        <vt:i4>32</vt:i4>
      </vt:variant>
      <vt:variant>
        <vt:i4>0</vt:i4>
      </vt:variant>
      <vt:variant>
        <vt:i4>5</vt:i4>
      </vt:variant>
      <vt:variant>
        <vt:lpwstr/>
      </vt:variant>
      <vt:variant>
        <vt:lpwstr>_Toc74819298</vt:lpwstr>
      </vt:variant>
      <vt:variant>
        <vt:i4>1507391</vt:i4>
      </vt:variant>
      <vt:variant>
        <vt:i4>26</vt:i4>
      </vt:variant>
      <vt:variant>
        <vt:i4>0</vt:i4>
      </vt:variant>
      <vt:variant>
        <vt:i4>5</vt:i4>
      </vt:variant>
      <vt:variant>
        <vt:lpwstr/>
      </vt:variant>
      <vt:variant>
        <vt:lpwstr>_Toc74819297</vt:lpwstr>
      </vt:variant>
      <vt:variant>
        <vt:i4>1441855</vt:i4>
      </vt:variant>
      <vt:variant>
        <vt:i4>20</vt:i4>
      </vt:variant>
      <vt:variant>
        <vt:i4>0</vt:i4>
      </vt:variant>
      <vt:variant>
        <vt:i4>5</vt:i4>
      </vt:variant>
      <vt:variant>
        <vt:lpwstr/>
      </vt:variant>
      <vt:variant>
        <vt:lpwstr>_Toc74819296</vt:lpwstr>
      </vt:variant>
      <vt:variant>
        <vt:i4>1376319</vt:i4>
      </vt:variant>
      <vt:variant>
        <vt:i4>14</vt:i4>
      </vt:variant>
      <vt:variant>
        <vt:i4>0</vt:i4>
      </vt:variant>
      <vt:variant>
        <vt:i4>5</vt:i4>
      </vt:variant>
      <vt:variant>
        <vt:lpwstr/>
      </vt:variant>
      <vt:variant>
        <vt:lpwstr>_Toc74819295</vt:lpwstr>
      </vt:variant>
      <vt:variant>
        <vt:i4>1310783</vt:i4>
      </vt:variant>
      <vt:variant>
        <vt:i4>8</vt:i4>
      </vt:variant>
      <vt:variant>
        <vt:i4>0</vt:i4>
      </vt:variant>
      <vt:variant>
        <vt:i4>5</vt:i4>
      </vt:variant>
      <vt:variant>
        <vt:lpwstr/>
      </vt:variant>
      <vt:variant>
        <vt:lpwstr>_Toc74819294</vt:lpwstr>
      </vt:variant>
      <vt:variant>
        <vt:i4>1245247</vt:i4>
      </vt:variant>
      <vt:variant>
        <vt:i4>2</vt:i4>
      </vt:variant>
      <vt:variant>
        <vt:i4>0</vt:i4>
      </vt:variant>
      <vt:variant>
        <vt:i4>5</vt:i4>
      </vt:variant>
      <vt:variant>
        <vt:lpwstr/>
      </vt:variant>
      <vt:variant>
        <vt:lpwstr>_Toc74819293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BASSE Dior (INTPA-EXT)</cp:lastModifiedBy>
  <cp:revision>2</cp:revision>
  <dcterms:created xsi:type="dcterms:W3CDTF">2022-10-24T14:59:00Z</dcterms:created>
  <dcterms:modified xsi:type="dcterms:W3CDTF">2022-10-24T14:59:00Z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id="2HzzsWm7"/&gt;&lt;style id="http://www.zotero.org/styles/apa" locale="es-MX"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ContentTypeId">
    <vt:lpwstr>0x010100258AA79CEB83498886A3A0868112325000CA42DB76DAD6E9438FD279FF066C23A0</vt:lpwstr>
  </property>
</Properties>
</file>