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376" w:rsidRPr="005B4376" w:rsidRDefault="005B4376" w:rsidP="005B4376">
      <w:pPr>
        <w:jc w:val="center"/>
        <w:rPr>
          <w:b/>
          <w:sz w:val="22"/>
          <w:szCs w:val="22"/>
          <w:lang w:val="en-US"/>
        </w:rPr>
      </w:pPr>
      <w:r w:rsidRPr="005B4376">
        <w:rPr>
          <w:b/>
          <w:bCs/>
          <w:sz w:val="22"/>
          <w:szCs w:val="22"/>
          <w:lang w:val="en-US"/>
        </w:rPr>
        <w:t>ROSA Newsletter No. 36</w:t>
      </w:r>
    </w:p>
    <w:p w:rsidR="0036422D" w:rsidRDefault="0040558F" w:rsidP="005B4376">
      <w:pPr>
        <w:jc w:val="center"/>
        <w:rPr>
          <w:b/>
          <w:bCs/>
          <w:sz w:val="20"/>
          <w:lang w:val="en-US"/>
        </w:rPr>
      </w:pPr>
      <w:r w:rsidRPr="0040558F">
        <w:rPr>
          <w:b/>
          <w:bCs/>
          <w:sz w:val="20"/>
          <w:lang w:val="en-US"/>
        </w:rPr>
        <w:t xml:space="preserve">Addressing food </w:t>
      </w:r>
      <w:r>
        <w:rPr>
          <w:b/>
          <w:bCs/>
          <w:sz w:val="20"/>
          <w:lang w:val="en-US"/>
        </w:rPr>
        <w:t xml:space="preserve">and nutrition </w:t>
      </w:r>
      <w:r w:rsidRPr="0040558F">
        <w:rPr>
          <w:b/>
          <w:bCs/>
          <w:sz w:val="20"/>
          <w:lang w:val="en-US"/>
        </w:rPr>
        <w:t xml:space="preserve">security through </w:t>
      </w:r>
      <w:r w:rsidR="0036422D">
        <w:rPr>
          <w:b/>
          <w:bCs/>
          <w:sz w:val="20"/>
          <w:lang w:val="en-US"/>
        </w:rPr>
        <w:t xml:space="preserve">the </w:t>
      </w:r>
      <w:r w:rsidRPr="0040558F">
        <w:rPr>
          <w:b/>
          <w:bCs/>
          <w:sz w:val="20"/>
          <w:lang w:val="en-US"/>
        </w:rPr>
        <w:t xml:space="preserve">implementation </w:t>
      </w:r>
    </w:p>
    <w:p w:rsidR="0040558F" w:rsidRPr="0040558F" w:rsidRDefault="0040558F" w:rsidP="0036422D">
      <w:pPr>
        <w:spacing w:before="0"/>
        <w:jc w:val="center"/>
        <w:rPr>
          <w:b/>
          <w:bCs/>
          <w:sz w:val="20"/>
          <w:lang w:val="en-US"/>
        </w:rPr>
      </w:pPr>
      <w:r w:rsidRPr="0040558F">
        <w:rPr>
          <w:b/>
          <w:bCs/>
          <w:sz w:val="20"/>
          <w:lang w:val="en-US"/>
        </w:rPr>
        <w:t xml:space="preserve">of </w:t>
      </w:r>
      <w:r w:rsidR="0036422D">
        <w:rPr>
          <w:b/>
          <w:bCs/>
          <w:sz w:val="20"/>
          <w:lang w:val="en-US"/>
        </w:rPr>
        <w:t xml:space="preserve">national </w:t>
      </w:r>
      <w:r w:rsidRPr="0040558F">
        <w:rPr>
          <w:b/>
          <w:bCs/>
          <w:sz w:val="20"/>
          <w:lang w:val="en-US"/>
        </w:rPr>
        <w:t xml:space="preserve">social transfer </w:t>
      </w:r>
      <w:proofErr w:type="spellStart"/>
      <w:r w:rsidRPr="0040558F">
        <w:rPr>
          <w:b/>
          <w:bCs/>
          <w:sz w:val="20"/>
          <w:lang w:val="en-US"/>
        </w:rPr>
        <w:t>programmes</w:t>
      </w:r>
      <w:proofErr w:type="spellEnd"/>
    </w:p>
    <w:p w:rsidR="005B4376" w:rsidRPr="005F21DE" w:rsidRDefault="005B4376" w:rsidP="005B4376">
      <w:pPr>
        <w:rPr>
          <w:color w:val="FF0000"/>
          <w:sz w:val="20"/>
          <w:lang w:val="en-US"/>
        </w:rPr>
      </w:pPr>
      <w:r w:rsidRPr="005B4376">
        <w:rPr>
          <w:sz w:val="20"/>
          <w:lang w:val="en-US"/>
        </w:rPr>
        <w:t xml:space="preserve">This question was at the heart of the regional </w:t>
      </w:r>
      <w:r w:rsidR="00D03ABF">
        <w:rPr>
          <w:sz w:val="20"/>
          <w:lang w:val="en-US"/>
        </w:rPr>
        <w:t>seminar organised</w:t>
      </w:r>
      <w:r w:rsidRPr="005B4376">
        <w:rPr>
          <w:sz w:val="20"/>
          <w:lang w:val="en-US"/>
        </w:rPr>
        <w:t xml:space="preserve"> at the initiative of the European Commission from April 17–20 in Ouagadougou, </w:t>
      </w:r>
      <w:r w:rsidRPr="005F21DE">
        <w:rPr>
          <w:sz w:val="20"/>
          <w:lang w:val="en-US"/>
        </w:rPr>
        <w:t>Burkina Faso.</w:t>
      </w:r>
      <w:r w:rsidRPr="005F21DE">
        <w:rPr>
          <w:rStyle w:val="Appelnotedebasdep"/>
          <w:sz w:val="20"/>
          <w:lang w:val="en-US"/>
        </w:rPr>
        <w:footnoteReference w:id="1"/>
      </w:r>
      <w:r w:rsidRPr="005F21DE">
        <w:rPr>
          <w:sz w:val="20"/>
          <w:lang w:val="en-US"/>
        </w:rPr>
        <w:t xml:space="preserve"> This meeting aimed to </w:t>
      </w:r>
      <w:r w:rsidR="00D03ABF" w:rsidRPr="005F21DE">
        <w:rPr>
          <w:sz w:val="20"/>
          <w:lang w:val="en-US"/>
        </w:rPr>
        <w:t>discuss</w:t>
      </w:r>
      <w:r w:rsidRPr="005F21DE">
        <w:rPr>
          <w:sz w:val="20"/>
          <w:lang w:val="en-US"/>
        </w:rPr>
        <w:t xml:space="preserve">, with national and regional actors, on </w:t>
      </w:r>
      <w:r w:rsidR="005F21DE" w:rsidRPr="005F21DE">
        <w:rPr>
          <w:sz w:val="20"/>
          <w:lang w:val="en-US"/>
        </w:rPr>
        <w:t>the establishment of permanent social transfer systems that could respond to cyclical and structural crises in the Sahel</w:t>
      </w:r>
      <w:r w:rsidRPr="005F21DE">
        <w:rPr>
          <w:sz w:val="20"/>
          <w:lang w:val="en-US"/>
        </w:rPr>
        <w:t>. This article discusses</w:t>
      </w:r>
      <w:r w:rsidRPr="005B4376">
        <w:rPr>
          <w:sz w:val="20"/>
          <w:lang w:val="en-US"/>
        </w:rPr>
        <w:t xml:space="preserve"> the key messages that emerged from the </w:t>
      </w:r>
      <w:r w:rsidR="00315449">
        <w:rPr>
          <w:sz w:val="20"/>
          <w:lang w:val="en-US"/>
        </w:rPr>
        <w:t>seminar</w:t>
      </w:r>
      <w:r w:rsidRPr="005B4376">
        <w:rPr>
          <w:sz w:val="20"/>
          <w:lang w:val="en-US"/>
        </w:rPr>
        <w:t xml:space="preserve"> and the recommendations formulated for </w:t>
      </w:r>
      <w:r w:rsidR="00315449">
        <w:rPr>
          <w:sz w:val="20"/>
          <w:lang w:val="en-US"/>
        </w:rPr>
        <w:t xml:space="preserve">a </w:t>
      </w:r>
      <w:r w:rsidRPr="005B4376">
        <w:rPr>
          <w:sz w:val="20"/>
          <w:lang w:val="en-US"/>
        </w:rPr>
        <w:t xml:space="preserve">better future use of social transfers within integrated strategies to improve the resilience, food security and nutrition. </w:t>
      </w:r>
    </w:p>
    <w:p w:rsidR="005B4376" w:rsidRPr="005B4376" w:rsidRDefault="005B4376" w:rsidP="005B4376">
      <w:pPr>
        <w:spacing w:before="60"/>
        <w:rPr>
          <w:b/>
          <w:i/>
          <w:sz w:val="20"/>
          <w:lang w:val="en-US"/>
        </w:rPr>
      </w:pPr>
      <w:r w:rsidRPr="005B4376">
        <w:rPr>
          <w:b/>
          <w:bCs/>
          <w:i/>
          <w:iCs/>
          <w:sz w:val="20"/>
          <w:lang w:val="en-US"/>
        </w:rPr>
        <w:t xml:space="preserve">Why did the Commission organize this </w:t>
      </w:r>
      <w:r w:rsidR="00D03ABF">
        <w:rPr>
          <w:b/>
          <w:bCs/>
          <w:i/>
          <w:iCs/>
          <w:sz w:val="20"/>
          <w:lang w:val="en-US"/>
        </w:rPr>
        <w:t>regional seminar</w:t>
      </w:r>
      <w:r w:rsidRPr="005B4376">
        <w:rPr>
          <w:b/>
          <w:bCs/>
          <w:i/>
          <w:iCs/>
          <w:sz w:val="20"/>
          <w:lang w:val="en-US"/>
        </w:rPr>
        <w:t xml:space="preserve"> and what was expected of it?</w:t>
      </w:r>
    </w:p>
    <w:p w:rsidR="005B4376" w:rsidRPr="005B4376" w:rsidRDefault="005B4376" w:rsidP="005B4376">
      <w:pPr>
        <w:spacing w:before="60"/>
        <w:rPr>
          <w:sz w:val="20"/>
          <w:lang w:val="en-US"/>
        </w:rPr>
      </w:pPr>
      <w:r w:rsidRPr="005B4376">
        <w:rPr>
          <w:sz w:val="20"/>
          <w:lang w:val="en-US"/>
        </w:rPr>
        <w:t xml:space="preserve">For several years, the European </w:t>
      </w:r>
      <w:r w:rsidRPr="000747F1">
        <w:rPr>
          <w:sz w:val="20"/>
          <w:lang w:val="en-US"/>
        </w:rPr>
        <w:t>Union has been developing a comprehensive, multi-sector approach to food and nutrition security</w:t>
      </w:r>
      <w:r w:rsidR="001C2C2F" w:rsidRPr="000747F1">
        <w:rPr>
          <w:rStyle w:val="Appelnotedebasdep"/>
          <w:sz w:val="20"/>
          <w:lang w:val="en-US"/>
        </w:rPr>
        <w:footnoteReference w:id="2"/>
      </w:r>
      <w:r w:rsidRPr="000747F1">
        <w:rPr>
          <w:sz w:val="20"/>
          <w:lang w:val="en-US"/>
        </w:rPr>
        <w:t>. The recent food crises have revealed the limitations of traditional responses to overcome the structural causes of food</w:t>
      </w:r>
      <w:r w:rsidRPr="005B4376">
        <w:rPr>
          <w:sz w:val="20"/>
          <w:lang w:val="en-US"/>
        </w:rPr>
        <w:t xml:space="preserve"> </w:t>
      </w:r>
      <w:r w:rsidR="00E66150">
        <w:rPr>
          <w:sz w:val="20"/>
          <w:lang w:val="en-US"/>
        </w:rPr>
        <w:t>in</w:t>
      </w:r>
      <w:r w:rsidRPr="005B4376">
        <w:rPr>
          <w:sz w:val="20"/>
          <w:lang w:val="en-US"/>
        </w:rPr>
        <w:t xml:space="preserve">security and malnutrition. In the Sahel, the situation for the poor has worsened in recent years. Today, the poorest households </w:t>
      </w:r>
      <w:r w:rsidR="0011600C" w:rsidRPr="00264A94">
        <w:rPr>
          <w:sz w:val="20"/>
          <w:lang w:val="en-US"/>
        </w:rPr>
        <w:t>have low levels of productive assets</w:t>
      </w:r>
      <w:r w:rsidRPr="00264A94">
        <w:rPr>
          <w:sz w:val="20"/>
          <w:lang w:val="en-US"/>
        </w:rPr>
        <w:t>. The increasingly fre</w:t>
      </w:r>
      <w:r w:rsidR="009F0E22" w:rsidRPr="00264A94">
        <w:rPr>
          <w:sz w:val="20"/>
          <w:lang w:val="en-US"/>
        </w:rPr>
        <w:t xml:space="preserve">quent food crises do not allow </w:t>
      </w:r>
      <w:r w:rsidRPr="00264A94">
        <w:rPr>
          <w:sz w:val="20"/>
          <w:lang w:val="en-US"/>
        </w:rPr>
        <w:t xml:space="preserve">poor households </w:t>
      </w:r>
      <w:r w:rsidR="00264A94" w:rsidRPr="00264A94">
        <w:rPr>
          <w:sz w:val="20"/>
          <w:lang w:val="en-US"/>
        </w:rPr>
        <w:t>to restore their livelihoods before the next shock</w:t>
      </w:r>
      <w:r w:rsidRPr="00264A94">
        <w:rPr>
          <w:sz w:val="20"/>
          <w:lang w:val="en-US"/>
        </w:rPr>
        <w:t xml:space="preserve">. </w:t>
      </w:r>
      <w:r w:rsidR="00264A94">
        <w:rPr>
          <w:sz w:val="20"/>
          <w:lang w:val="en-US"/>
        </w:rPr>
        <w:t>Almost</w:t>
      </w:r>
      <w:r w:rsidRPr="00264A94">
        <w:rPr>
          <w:sz w:val="20"/>
          <w:lang w:val="en-US"/>
        </w:rPr>
        <w:t xml:space="preserve"> half</w:t>
      </w:r>
      <w:r w:rsidR="00264A94">
        <w:rPr>
          <w:sz w:val="20"/>
          <w:lang w:val="en-US"/>
        </w:rPr>
        <w:t xml:space="preserve"> of</w:t>
      </w:r>
      <w:r w:rsidRPr="00264A94">
        <w:rPr>
          <w:sz w:val="20"/>
          <w:lang w:val="en-US"/>
        </w:rPr>
        <w:t xml:space="preserve"> the rural population is facing structural food</w:t>
      </w:r>
      <w:r w:rsidRPr="005B4376">
        <w:rPr>
          <w:sz w:val="20"/>
          <w:lang w:val="en-US"/>
        </w:rPr>
        <w:t xml:space="preserve"> and nutrition insecurity, with difficulties accessing food and health care</w:t>
      </w:r>
      <w:r w:rsidR="009F0E22" w:rsidRPr="005B4376">
        <w:rPr>
          <w:sz w:val="20"/>
          <w:lang w:val="en-US"/>
        </w:rPr>
        <w:t xml:space="preserve"> in particular</w:t>
      </w:r>
      <w:r w:rsidRPr="005B4376">
        <w:rPr>
          <w:sz w:val="20"/>
          <w:lang w:val="en-US"/>
        </w:rPr>
        <w:t>. This situation calls for a paradigm shift in development aid.</w:t>
      </w:r>
    </w:p>
    <w:p w:rsidR="005B4376" w:rsidRPr="00264A94" w:rsidRDefault="005B4376" w:rsidP="005B4376">
      <w:pPr>
        <w:spacing w:before="60"/>
        <w:rPr>
          <w:sz w:val="20"/>
          <w:lang w:val="en-US"/>
        </w:rPr>
      </w:pPr>
      <w:r w:rsidRPr="005B4376">
        <w:rPr>
          <w:sz w:val="20"/>
          <w:lang w:val="en-US"/>
        </w:rPr>
        <w:t xml:space="preserve">Moving from short-term responses during periods of crisis to long-term integrated programs requires the sustained implementation of a range of measures and interventions aiming to build households' capacities and </w:t>
      </w:r>
      <w:r w:rsidR="00264A94">
        <w:rPr>
          <w:sz w:val="20"/>
          <w:lang w:val="en-US"/>
        </w:rPr>
        <w:t>those</w:t>
      </w:r>
      <w:r w:rsidRPr="005B4376">
        <w:rPr>
          <w:sz w:val="20"/>
          <w:lang w:val="en-US"/>
        </w:rPr>
        <w:t xml:space="preserve"> of national structures. In its new strategy </w:t>
      </w:r>
      <w:r w:rsidR="00264A94">
        <w:rPr>
          <w:sz w:val="20"/>
          <w:lang w:val="en-US"/>
        </w:rPr>
        <w:t>called</w:t>
      </w:r>
      <w:r w:rsidRPr="005B4376">
        <w:rPr>
          <w:sz w:val="20"/>
          <w:lang w:val="en-US"/>
        </w:rPr>
        <w:t xml:space="preserve"> the "</w:t>
      </w:r>
      <w:hyperlink r:id="rId8" w:history="1">
        <w:r w:rsidRPr="005B4376">
          <w:rPr>
            <w:color w:val="0000FF"/>
            <w:sz w:val="20"/>
            <w:u w:val="single"/>
            <w:lang w:val="en-US"/>
          </w:rPr>
          <w:t>Agenda for Change</w:t>
        </w:r>
      </w:hyperlink>
      <w:r w:rsidRPr="005B4376">
        <w:rPr>
          <w:sz w:val="20"/>
          <w:lang w:val="en-US"/>
        </w:rPr>
        <w:t xml:space="preserve">", the Commission presents possible ways to increase the impact of EU development </w:t>
      </w:r>
      <w:r w:rsidRPr="00264A94">
        <w:rPr>
          <w:sz w:val="20"/>
          <w:lang w:val="en-US"/>
        </w:rPr>
        <w:t xml:space="preserve">policy. It is </w:t>
      </w:r>
      <w:r w:rsidR="00264A94">
        <w:rPr>
          <w:sz w:val="20"/>
          <w:lang w:val="en-US"/>
        </w:rPr>
        <w:t>important</w:t>
      </w:r>
      <w:r w:rsidRPr="00264A94">
        <w:rPr>
          <w:sz w:val="20"/>
          <w:lang w:val="en-US"/>
        </w:rPr>
        <w:t xml:space="preserve"> to </w:t>
      </w:r>
      <w:r w:rsidR="00264A94">
        <w:rPr>
          <w:sz w:val="20"/>
          <w:lang w:val="en-US"/>
        </w:rPr>
        <w:t>discuss</w:t>
      </w:r>
      <w:r w:rsidRPr="00264A94">
        <w:rPr>
          <w:sz w:val="20"/>
          <w:lang w:val="en-US"/>
        </w:rPr>
        <w:t xml:space="preserve"> with national and regional partners on </w:t>
      </w:r>
      <w:r w:rsidR="00264A94">
        <w:rPr>
          <w:sz w:val="20"/>
          <w:lang w:val="en-US"/>
        </w:rPr>
        <w:t>how to translate this into effective action in the Sahel.</w:t>
      </w:r>
    </w:p>
    <w:p w:rsidR="005B4376" w:rsidRPr="005B4376" w:rsidRDefault="005B4376" w:rsidP="005B4376">
      <w:pPr>
        <w:spacing w:before="60"/>
        <w:rPr>
          <w:sz w:val="20"/>
          <w:lang w:val="en-US"/>
        </w:rPr>
      </w:pPr>
      <w:r w:rsidRPr="005B4376">
        <w:rPr>
          <w:sz w:val="20"/>
          <w:lang w:val="en-US"/>
        </w:rPr>
        <w:t xml:space="preserve">To this end, the EU has undertaken a process </w:t>
      </w:r>
      <w:r w:rsidRPr="00264A94">
        <w:rPr>
          <w:sz w:val="20"/>
          <w:lang w:val="en-US"/>
        </w:rPr>
        <w:t xml:space="preserve">of strategic reflection on the role of social transfers within integrated food and nutrition security strategies. The Commission recently drafted a reference document that presents the basic concepts and </w:t>
      </w:r>
      <w:r w:rsidR="00264A94">
        <w:rPr>
          <w:sz w:val="20"/>
          <w:lang w:val="en-US"/>
        </w:rPr>
        <w:t xml:space="preserve">field </w:t>
      </w:r>
      <w:r w:rsidRPr="00264A94">
        <w:rPr>
          <w:sz w:val="20"/>
          <w:lang w:val="en-US"/>
        </w:rPr>
        <w:t>experi</w:t>
      </w:r>
      <w:r w:rsidR="00176AD5" w:rsidRPr="00264A94">
        <w:rPr>
          <w:sz w:val="20"/>
          <w:lang w:val="en-US"/>
        </w:rPr>
        <w:t>ences</w:t>
      </w:r>
      <w:r w:rsidRPr="005B4376">
        <w:rPr>
          <w:sz w:val="20"/>
          <w:lang w:val="en-US"/>
        </w:rPr>
        <w:t>, and encourages wider use of this type of instrument.</w:t>
      </w:r>
      <w:r w:rsidRPr="005B4376">
        <w:rPr>
          <w:rStyle w:val="Appelnotedebasdep"/>
          <w:sz w:val="20"/>
          <w:lang w:val="en-US"/>
        </w:rPr>
        <w:footnoteReference w:id="3"/>
      </w:r>
      <w:r w:rsidRPr="005B4376">
        <w:rPr>
          <w:sz w:val="20"/>
          <w:lang w:val="en-US"/>
        </w:rPr>
        <w:t xml:space="preserve"> The aim of the Ouagadougou </w:t>
      </w:r>
      <w:r w:rsidR="00264A94">
        <w:rPr>
          <w:sz w:val="20"/>
          <w:lang w:val="en-US"/>
        </w:rPr>
        <w:t>seminar</w:t>
      </w:r>
      <w:r w:rsidRPr="005B4376">
        <w:rPr>
          <w:sz w:val="20"/>
          <w:lang w:val="en-US"/>
        </w:rPr>
        <w:t xml:space="preserve"> was to discuss with partners the main points raised in the document and identify </w:t>
      </w:r>
      <w:r w:rsidR="00C04AB1">
        <w:rPr>
          <w:sz w:val="20"/>
          <w:lang w:val="en-US"/>
        </w:rPr>
        <w:t>directions</w:t>
      </w:r>
      <w:r w:rsidRPr="005B4376">
        <w:rPr>
          <w:sz w:val="20"/>
          <w:lang w:val="en-US"/>
        </w:rPr>
        <w:t xml:space="preserve"> for the EC's future support in this area.</w:t>
      </w:r>
    </w:p>
    <w:p w:rsidR="005B4376" w:rsidRPr="005B4376" w:rsidRDefault="005B4376" w:rsidP="005B4376">
      <w:pPr>
        <w:spacing w:before="60"/>
        <w:rPr>
          <w:b/>
          <w:i/>
          <w:sz w:val="20"/>
          <w:lang w:val="en-US"/>
        </w:rPr>
      </w:pPr>
      <w:r w:rsidRPr="005B4376">
        <w:rPr>
          <w:b/>
          <w:bCs/>
          <w:i/>
          <w:iCs/>
          <w:sz w:val="20"/>
          <w:lang w:val="en-US"/>
        </w:rPr>
        <w:t>The use of social transfers in the Sahel is on the rise, but is still below its full potential to date. What lessons have been learned from experi</w:t>
      </w:r>
      <w:r w:rsidR="00176AD5">
        <w:rPr>
          <w:b/>
          <w:bCs/>
          <w:i/>
          <w:iCs/>
          <w:sz w:val="20"/>
          <w:lang w:val="en-US"/>
        </w:rPr>
        <w:t xml:space="preserve">ences </w:t>
      </w:r>
      <w:r w:rsidRPr="005B4376">
        <w:rPr>
          <w:b/>
          <w:bCs/>
          <w:i/>
          <w:iCs/>
          <w:sz w:val="20"/>
          <w:lang w:val="en-US"/>
        </w:rPr>
        <w:t>in the region, and what are the main challenges remaining to be overcome?</w:t>
      </w:r>
    </w:p>
    <w:p w:rsidR="005B4376" w:rsidRPr="00285FD1" w:rsidRDefault="005B4376" w:rsidP="005B4376">
      <w:pPr>
        <w:spacing w:before="60"/>
        <w:rPr>
          <w:sz w:val="20"/>
          <w:lang w:val="en-US"/>
        </w:rPr>
      </w:pPr>
      <w:r w:rsidRPr="005B4376">
        <w:rPr>
          <w:sz w:val="20"/>
          <w:lang w:val="en-US"/>
        </w:rPr>
        <w:t xml:space="preserve">Social transfers have great potential to ensure food and nutrition security in the Sahel where a large share of the population is consistently food insecure. </w:t>
      </w:r>
      <w:r w:rsidRPr="00285FD1">
        <w:rPr>
          <w:sz w:val="20"/>
          <w:lang w:val="en-US"/>
        </w:rPr>
        <w:t xml:space="preserve">Social transfers </w:t>
      </w:r>
      <w:r w:rsidR="00285FD1" w:rsidRPr="00285FD1">
        <w:rPr>
          <w:sz w:val="20"/>
          <w:lang w:val="en-US"/>
        </w:rPr>
        <w:t>contribute to</w:t>
      </w:r>
      <w:r w:rsidRPr="00285FD1">
        <w:rPr>
          <w:sz w:val="20"/>
          <w:lang w:val="en-US"/>
        </w:rPr>
        <w:t xml:space="preserve"> reduce deficits </w:t>
      </w:r>
      <w:r w:rsidR="00285FD1" w:rsidRPr="00285FD1">
        <w:rPr>
          <w:sz w:val="20"/>
          <w:lang w:val="en-US"/>
        </w:rPr>
        <w:t xml:space="preserve">in food consumption </w:t>
      </w:r>
      <w:r w:rsidRPr="00285FD1">
        <w:rPr>
          <w:sz w:val="20"/>
          <w:lang w:val="en-US"/>
        </w:rPr>
        <w:t xml:space="preserve">of the poorest, protect them </w:t>
      </w:r>
      <w:r w:rsidR="00285FD1" w:rsidRPr="00285FD1">
        <w:rPr>
          <w:sz w:val="20"/>
          <w:lang w:val="en-US"/>
        </w:rPr>
        <w:t>from</w:t>
      </w:r>
      <w:r w:rsidRPr="00285FD1">
        <w:rPr>
          <w:sz w:val="20"/>
          <w:lang w:val="en-US"/>
        </w:rPr>
        <w:t xml:space="preserve"> shocks, and in some cases, </w:t>
      </w:r>
      <w:r w:rsidR="00285FD1" w:rsidRPr="00285FD1">
        <w:rPr>
          <w:sz w:val="20"/>
          <w:lang w:val="en-US"/>
        </w:rPr>
        <w:t>strengthen</w:t>
      </w:r>
      <w:r w:rsidRPr="00285FD1">
        <w:rPr>
          <w:sz w:val="20"/>
          <w:lang w:val="en-US"/>
        </w:rPr>
        <w:t xml:space="preserve"> their productive capacit</w:t>
      </w:r>
      <w:r w:rsidR="00285FD1" w:rsidRPr="00285FD1">
        <w:rPr>
          <w:sz w:val="20"/>
          <w:lang w:val="en-US"/>
        </w:rPr>
        <w:t>y</w:t>
      </w:r>
      <w:r w:rsidRPr="00285FD1">
        <w:rPr>
          <w:sz w:val="20"/>
          <w:lang w:val="en-US"/>
        </w:rPr>
        <w:t>. It is therefore important to examine the shift to wider use of social transfers in response to the chronic crisis that prevails in the Sahel.</w:t>
      </w:r>
    </w:p>
    <w:p w:rsidR="00095C7F" w:rsidRPr="00285FD1" w:rsidRDefault="005B4376" w:rsidP="005B4376">
      <w:pPr>
        <w:spacing w:before="60"/>
        <w:rPr>
          <w:sz w:val="20"/>
          <w:lang w:val="en-US"/>
        </w:rPr>
      </w:pPr>
      <w:r w:rsidRPr="005B4376">
        <w:rPr>
          <w:sz w:val="20"/>
          <w:lang w:val="en-US"/>
        </w:rPr>
        <w:t xml:space="preserve">Considerable progress has been made in recent years in the region. Many national and regional strategies now give </w:t>
      </w:r>
      <w:r w:rsidRPr="00285FD1">
        <w:rPr>
          <w:sz w:val="20"/>
          <w:lang w:val="en-US"/>
        </w:rPr>
        <w:t>a major role to social transfers. They are envisaged in a growing number of social protection, food security, and agricultural development strategies.</w:t>
      </w:r>
    </w:p>
    <w:p w:rsidR="00095C7F" w:rsidRPr="005B4376" w:rsidRDefault="00285FD1" w:rsidP="005B4376">
      <w:pPr>
        <w:spacing w:before="60"/>
        <w:rPr>
          <w:sz w:val="20"/>
          <w:lang w:val="en-US"/>
        </w:rPr>
      </w:pPr>
      <w:r w:rsidRPr="00285FD1">
        <w:rPr>
          <w:sz w:val="20"/>
          <w:lang w:val="en-US"/>
        </w:rPr>
        <w:t>Several</w:t>
      </w:r>
      <w:r w:rsidR="005B4376" w:rsidRPr="00285FD1">
        <w:rPr>
          <w:sz w:val="20"/>
          <w:lang w:val="en-US"/>
        </w:rPr>
        <w:t xml:space="preserve"> social transfer projects </w:t>
      </w:r>
      <w:r>
        <w:rPr>
          <w:sz w:val="20"/>
          <w:lang w:val="en-US"/>
        </w:rPr>
        <w:t>have</w:t>
      </w:r>
      <w:r w:rsidRPr="00285FD1">
        <w:rPr>
          <w:sz w:val="20"/>
          <w:lang w:val="en-US"/>
        </w:rPr>
        <w:t xml:space="preserve"> been </w:t>
      </w:r>
      <w:r>
        <w:rPr>
          <w:sz w:val="20"/>
          <w:lang w:val="en-US"/>
        </w:rPr>
        <w:t xml:space="preserve">implemented, such as seasonal cash transfers, food vouchers, seed fairs, etc. These experiences </w:t>
      </w:r>
      <w:r w:rsidR="005B4376" w:rsidRPr="00285FD1">
        <w:rPr>
          <w:sz w:val="20"/>
          <w:lang w:val="en-US"/>
        </w:rPr>
        <w:t>made progress possible on technical aspects related to</w:t>
      </w:r>
      <w:r w:rsidR="005B4376" w:rsidRPr="005B4376">
        <w:rPr>
          <w:sz w:val="20"/>
          <w:lang w:val="en-US"/>
        </w:rPr>
        <w:t xml:space="preserve"> their use in the Sahelian context. Feasibility studies </w:t>
      </w:r>
      <w:r w:rsidR="005B4376" w:rsidRPr="00285FD1">
        <w:rPr>
          <w:sz w:val="20"/>
          <w:lang w:val="en-US"/>
        </w:rPr>
        <w:t>have also been conducted for the establishment of national social transfer programs on a multi-</w:t>
      </w:r>
      <w:r>
        <w:rPr>
          <w:sz w:val="20"/>
          <w:lang w:val="en-US"/>
        </w:rPr>
        <w:t>annual</w:t>
      </w:r>
      <w:r w:rsidR="005B4376" w:rsidRPr="00285FD1">
        <w:rPr>
          <w:sz w:val="20"/>
          <w:lang w:val="en-US"/>
        </w:rPr>
        <w:t xml:space="preserve"> basis.</w:t>
      </w:r>
    </w:p>
    <w:p w:rsidR="00095C7F" w:rsidRPr="005B4376" w:rsidRDefault="005B4376" w:rsidP="005B4376">
      <w:pPr>
        <w:rPr>
          <w:sz w:val="20"/>
          <w:lang w:val="en-US"/>
        </w:rPr>
      </w:pPr>
      <w:r w:rsidRPr="005B4376">
        <w:rPr>
          <w:sz w:val="20"/>
          <w:lang w:val="en-US"/>
        </w:rPr>
        <w:t xml:space="preserve">Nevertheless, considerable challenges remain to be overcome. First, national </w:t>
      </w:r>
      <w:r w:rsidRPr="00C55902">
        <w:rPr>
          <w:sz w:val="20"/>
          <w:lang w:val="en-US"/>
        </w:rPr>
        <w:t xml:space="preserve">information and early warning systems need to be strengthened to ensure better understanding of the </w:t>
      </w:r>
      <w:r w:rsidR="00C55902" w:rsidRPr="00C55902">
        <w:rPr>
          <w:sz w:val="20"/>
          <w:lang w:val="en-US"/>
        </w:rPr>
        <w:t>underlying</w:t>
      </w:r>
      <w:r w:rsidRPr="00C55902">
        <w:rPr>
          <w:sz w:val="20"/>
          <w:lang w:val="en-US"/>
        </w:rPr>
        <w:t xml:space="preserve"> causes and factors behind food and nutrition security (</w:t>
      </w:r>
      <w:r w:rsidR="00264A3F">
        <w:rPr>
          <w:sz w:val="20"/>
          <w:lang w:val="en-US"/>
        </w:rPr>
        <w:t>others factors than simply</w:t>
      </w:r>
      <w:r w:rsidRPr="00C55902">
        <w:rPr>
          <w:sz w:val="20"/>
          <w:lang w:val="en-US"/>
        </w:rPr>
        <w:t xml:space="preserve"> agricultural production and food</w:t>
      </w:r>
      <w:r w:rsidRPr="005B4376">
        <w:rPr>
          <w:sz w:val="20"/>
          <w:lang w:val="en-US"/>
        </w:rPr>
        <w:t xml:space="preserve"> prices). </w:t>
      </w:r>
      <w:r w:rsidR="00C55902">
        <w:rPr>
          <w:sz w:val="20"/>
          <w:lang w:val="en-US"/>
        </w:rPr>
        <w:t>Early</w:t>
      </w:r>
      <w:r w:rsidRPr="005B4376">
        <w:rPr>
          <w:sz w:val="20"/>
          <w:lang w:val="en-US"/>
        </w:rPr>
        <w:t xml:space="preserve"> </w:t>
      </w:r>
      <w:r w:rsidRPr="005B4376">
        <w:rPr>
          <w:sz w:val="20"/>
          <w:lang w:val="en-US"/>
        </w:rPr>
        <w:lastRenderedPageBreak/>
        <w:t xml:space="preserve">warning should make it possible to intervene prior to the crisis with prevention and mitigation policies. Second, the challenge of targeting must be addressed so that programs effectively reach the poorest and most vulnerable. Third, they must be scaled up. Most social transfers are currently implemented as limited projects, supported by international partners. The discussions revealed the importance of stepping up national consultation efforts by involving the populations more fully and of ensuring national funding, even minimal but increasing over the coming decade. Finally, complementary measures must be envisaged to </w:t>
      </w:r>
      <w:r w:rsidR="00D47FF8">
        <w:rPr>
          <w:sz w:val="20"/>
          <w:lang w:val="en-US"/>
        </w:rPr>
        <w:t xml:space="preserve">enhance </w:t>
      </w:r>
      <w:r w:rsidRPr="005B4376">
        <w:rPr>
          <w:sz w:val="20"/>
          <w:lang w:val="en-US"/>
        </w:rPr>
        <w:t xml:space="preserve">food and nutrition security, notably </w:t>
      </w:r>
      <w:r w:rsidR="00264A3F">
        <w:rPr>
          <w:sz w:val="20"/>
          <w:lang w:val="en-US"/>
        </w:rPr>
        <w:t>through improving</w:t>
      </w:r>
      <w:r w:rsidRPr="005B4376">
        <w:rPr>
          <w:sz w:val="20"/>
          <w:lang w:val="en-US"/>
        </w:rPr>
        <w:t xml:space="preserve"> market</w:t>
      </w:r>
      <w:r w:rsidR="00264A3F">
        <w:rPr>
          <w:sz w:val="20"/>
          <w:lang w:val="en-US"/>
        </w:rPr>
        <w:t>s</w:t>
      </w:r>
      <w:r w:rsidRPr="005B4376">
        <w:rPr>
          <w:sz w:val="20"/>
          <w:lang w:val="en-US"/>
        </w:rPr>
        <w:t xml:space="preserve"> and access to health care.</w:t>
      </w:r>
    </w:p>
    <w:p w:rsidR="005B4376" w:rsidRPr="005B4376" w:rsidRDefault="005B4376" w:rsidP="005B4376">
      <w:pPr>
        <w:rPr>
          <w:b/>
          <w:i/>
          <w:sz w:val="20"/>
          <w:lang w:val="en-US"/>
        </w:rPr>
      </w:pPr>
      <w:r w:rsidRPr="005B4376">
        <w:rPr>
          <w:b/>
          <w:bCs/>
          <w:i/>
          <w:iCs/>
          <w:sz w:val="20"/>
          <w:lang w:val="en-US"/>
        </w:rPr>
        <w:t xml:space="preserve">What are the main recommendations to emerge from the </w:t>
      </w:r>
      <w:r w:rsidR="001C2C2F">
        <w:rPr>
          <w:b/>
          <w:bCs/>
          <w:i/>
          <w:iCs/>
          <w:sz w:val="20"/>
          <w:lang w:val="en-US"/>
        </w:rPr>
        <w:t>seminar</w:t>
      </w:r>
      <w:r w:rsidRPr="005B4376">
        <w:rPr>
          <w:b/>
          <w:bCs/>
          <w:i/>
          <w:iCs/>
          <w:sz w:val="20"/>
          <w:lang w:val="en-US"/>
        </w:rPr>
        <w:t xml:space="preserve"> in regard to expanding national social transfer systems in the Sahel?</w:t>
      </w:r>
    </w:p>
    <w:p w:rsidR="005B4376" w:rsidRPr="00087748" w:rsidRDefault="005B4376" w:rsidP="005B4376">
      <w:pPr>
        <w:rPr>
          <w:sz w:val="20"/>
          <w:lang w:val="en-US"/>
        </w:rPr>
      </w:pPr>
      <w:r w:rsidRPr="005B4376">
        <w:rPr>
          <w:sz w:val="20"/>
          <w:lang w:val="en-US"/>
        </w:rPr>
        <w:t xml:space="preserve">The participants first encouraged all actors to </w:t>
      </w:r>
      <w:r w:rsidRPr="005B4376">
        <w:rPr>
          <w:b/>
          <w:bCs/>
          <w:sz w:val="20"/>
          <w:lang w:val="en-US"/>
        </w:rPr>
        <w:t>adopt a new paradigm for development in the Sahel</w:t>
      </w:r>
      <w:r w:rsidRPr="005B4376">
        <w:rPr>
          <w:sz w:val="20"/>
          <w:lang w:val="en-US"/>
        </w:rPr>
        <w:t>, first by becoming fully aware of changes in the situation of the poor in the region (structural food and nutrition insecurity, recurrent crises, exclusion of the poor from productive cycles, high dependency on markets, etc.)</w:t>
      </w:r>
      <w:r w:rsidR="00C04AB1">
        <w:rPr>
          <w:sz w:val="20"/>
          <w:lang w:val="en-US"/>
        </w:rPr>
        <w:t>,</w:t>
      </w:r>
      <w:r w:rsidRPr="005B4376">
        <w:rPr>
          <w:sz w:val="20"/>
          <w:lang w:val="en-US"/>
        </w:rPr>
        <w:t xml:space="preserve"> and second by moving beyond the dichotomy between relief and development to envisage responses within long-term </w:t>
      </w:r>
      <w:proofErr w:type="spellStart"/>
      <w:r w:rsidRPr="005B4376">
        <w:rPr>
          <w:sz w:val="20"/>
          <w:lang w:val="en-US"/>
        </w:rPr>
        <w:t>program</w:t>
      </w:r>
      <w:r w:rsidR="00380BD8">
        <w:rPr>
          <w:sz w:val="20"/>
          <w:lang w:val="en-US"/>
        </w:rPr>
        <w:t>m</w:t>
      </w:r>
      <w:r w:rsidR="001C2C2F">
        <w:rPr>
          <w:sz w:val="20"/>
          <w:lang w:val="en-US"/>
        </w:rPr>
        <w:t>e</w:t>
      </w:r>
      <w:r w:rsidRPr="005B4376">
        <w:rPr>
          <w:sz w:val="20"/>
          <w:lang w:val="en-US"/>
        </w:rPr>
        <w:t>s</w:t>
      </w:r>
      <w:proofErr w:type="spellEnd"/>
      <w:r w:rsidR="001C2C2F">
        <w:rPr>
          <w:sz w:val="20"/>
          <w:lang w:val="en-US"/>
        </w:rPr>
        <w:t xml:space="preserve">. </w:t>
      </w:r>
      <w:r w:rsidR="00087748">
        <w:rPr>
          <w:sz w:val="20"/>
          <w:lang w:val="en-US"/>
        </w:rPr>
        <w:t>This must be led by national governments and contribute to</w:t>
      </w:r>
      <w:r w:rsidRPr="00087748">
        <w:rPr>
          <w:sz w:val="20"/>
          <w:lang w:val="en-US"/>
        </w:rPr>
        <w:t xml:space="preserve"> reinforce resilience within multi-</w:t>
      </w:r>
      <w:r w:rsidR="00087748">
        <w:rPr>
          <w:sz w:val="20"/>
          <w:lang w:val="en-US"/>
        </w:rPr>
        <w:t>annual</w:t>
      </w:r>
      <w:r w:rsidRPr="00087748">
        <w:rPr>
          <w:sz w:val="20"/>
          <w:lang w:val="en-US"/>
        </w:rPr>
        <w:t xml:space="preserve"> and multi-sector approaches.</w:t>
      </w:r>
    </w:p>
    <w:p w:rsidR="005B4376" w:rsidRPr="005B4376" w:rsidRDefault="005B4376" w:rsidP="005B4376">
      <w:pPr>
        <w:rPr>
          <w:sz w:val="20"/>
          <w:lang w:val="en-US"/>
        </w:rPr>
      </w:pPr>
      <w:r w:rsidRPr="00087748">
        <w:rPr>
          <w:sz w:val="20"/>
          <w:lang w:val="en-US"/>
        </w:rPr>
        <w:t>Among the other recommendations issued for the establishment of effective, extensive and viable social transfer systems in the Sahel, the participants called in particular</w:t>
      </w:r>
      <w:r w:rsidRPr="005B4376">
        <w:rPr>
          <w:sz w:val="20"/>
          <w:lang w:val="en-US"/>
        </w:rPr>
        <w:t xml:space="preserve"> for:</w:t>
      </w:r>
    </w:p>
    <w:p w:rsidR="005B4376" w:rsidRPr="005B4376" w:rsidRDefault="005B4376" w:rsidP="005B4376">
      <w:pPr>
        <w:pStyle w:val="Paragraphedeliste"/>
        <w:numPr>
          <w:ilvl w:val="0"/>
          <w:numId w:val="14"/>
        </w:numPr>
        <w:spacing w:before="0"/>
        <w:ind w:left="426" w:hanging="426"/>
        <w:rPr>
          <w:sz w:val="20"/>
          <w:lang w:val="en-US"/>
        </w:rPr>
      </w:pPr>
      <w:r w:rsidRPr="005B4376">
        <w:rPr>
          <w:b/>
          <w:bCs/>
          <w:sz w:val="20"/>
          <w:lang w:val="en-US"/>
        </w:rPr>
        <w:t>strong leadership from governments</w:t>
      </w:r>
      <w:r w:rsidRPr="005B4376">
        <w:rPr>
          <w:sz w:val="20"/>
          <w:lang w:val="en-US"/>
        </w:rPr>
        <w:t xml:space="preserve"> to produce a national vision, and ensure the coordination and </w:t>
      </w:r>
      <w:proofErr w:type="spellStart"/>
      <w:r w:rsidRPr="005B4376">
        <w:rPr>
          <w:sz w:val="20"/>
          <w:lang w:val="en-US"/>
        </w:rPr>
        <w:t>harmoni</w:t>
      </w:r>
      <w:r w:rsidR="00087748">
        <w:rPr>
          <w:sz w:val="20"/>
          <w:lang w:val="en-US"/>
        </w:rPr>
        <w:t>s</w:t>
      </w:r>
      <w:r w:rsidRPr="005B4376">
        <w:rPr>
          <w:sz w:val="20"/>
          <w:lang w:val="en-US"/>
        </w:rPr>
        <w:t>ation</w:t>
      </w:r>
      <w:proofErr w:type="spellEnd"/>
      <w:r w:rsidRPr="005B4376">
        <w:rPr>
          <w:sz w:val="20"/>
          <w:lang w:val="en-US"/>
        </w:rPr>
        <w:t xml:space="preserve"> of existing and future initiatives;</w:t>
      </w:r>
    </w:p>
    <w:p w:rsidR="005B4376" w:rsidRPr="005B4376" w:rsidRDefault="005B4376" w:rsidP="005B4376">
      <w:pPr>
        <w:pStyle w:val="Paragraphedeliste"/>
        <w:numPr>
          <w:ilvl w:val="0"/>
          <w:numId w:val="14"/>
        </w:numPr>
        <w:spacing w:before="0"/>
        <w:ind w:left="426" w:hanging="426"/>
        <w:rPr>
          <w:sz w:val="20"/>
          <w:lang w:val="en-US"/>
        </w:rPr>
      </w:pPr>
      <w:r w:rsidRPr="005B4376">
        <w:rPr>
          <w:b/>
          <w:bCs/>
          <w:sz w:val="20"/>
          <w:lang w:val="en-US"/>
        </w:rPr>
        <w:t xml:space="preserve">strengthening the role of regional </w:t>
      </w:r>
      <w:proofErr w:type="spellStart"/>
      <w:r w:rsidRPr="005B4376">
        <w:rPr>
          <w:b/>
          <w:bCs/>
          <w:sz w:val="20"/>
          <w:lang w:val="en-US"/>
        </w:rPr>
        <w:t>organi</w:t>
      </w:r>
      <w:r w:rsidR="00087748">
        <w:rPr>
          <w:b/>
          <w:bCs/>
          <w:sz w:val="20"/>
          <w:lang w:val="en-US"/>
        </w:rPr>
        <w:t>s</w:t>
      </w:r>
      <w:r w:rsidRPr="005B4376">
        <w:rPr>
          <w:b/>
          <w:bCs/>
          <w:sz w:val="20"/>
          <w:lang w:val="en-US"/>
        </w:rPr>
        <w:t>ations</w:t>
      </w:r>
      <w:proofErr w:type="spellEnd"/>
      <w:r w:rsidRPr="005B4376">
        <w:rPr>
          <w:b/>
          <w:bCs/>
          <w:sz w:val="20"/>
          <w:lang w:val="en-US"/>
        </w:rPr>
        <w:t xml:space="preserve"> in advocacy</w:t>
      </w:r>
      <w:r w:rsidRPr="005B4376">
        <w:rPr>
          <w:sz w:val="20"/>
          <w:lang w:val="en-US"/>
        </w:rPr>
        <w:t xml:space="preserve"> in favor of better use of social transfers in the fight against hunger and malnutrition (notably through policy dialogue with States); and </w:t>
      </w:r>
    </w:p>
    <w:p w:rsidR="005B4376" w:rsidRPr="005B4376" w:rsidRDefault="005B4376" w:rsidP="005B4376">
      <w:pPr>
        <w:pStyle w:val="Paragraphedeliste"/>
        <w:numPr>
          <w:ilvl w:val="0"/>
          <w:numId w:val="14"/>
        </w:numPr>
        <w:spacing w:before="0"/>
        <w:ind w:left="426" w:hanging="426"/>
        <w:rPr>
          <w:sz w:val="20"/>
          <w:lang w:val="en-US"/>
        </w:rPr>
      </w:pPr>
      <w:proofErr w:type="gramStart"/>
      <w:r w:rsidRPr="005B4376">
        <w:rPr>
          <w:b/>
          <w:bCs/>
          <w:sz w:val="20"/>
          <w:lang w:val="en-US"/>
        </w:rPr>
        <w:t>better</w:t>
      </w:r>
      <w:proofErr w:type="gramEnd"/>
      <w:r w:rsidRPr="005B4376">
        <w:rPr>
          <w:b/>
          <w:bCs/>
          <w:sz w:val="20"/>
          <w:lang w:val="en-US"/>
        </w:rPr>
        <w:t xml:space="preserve"> alignment of technical and financial partners</w:t>
      </w:r>
      <w:r w:rsidRPr="005B4376">
        <w:rPr>
          <w:sz w:val="20"/>
          <w:lang w:val="en-US"/>
        </w:rPr>
        <w:t xml:space="preserve"> and greater flexibility in development aid to foster the establishment of multi-</w:t>
      </w:r>
      <w:r w:rsidR="00087748">
        <w:rPr>
          <w:sz w:val="20"/>
          <w:lang w:val="en-US"/>
        </w:rPr>
        <w:t>annual</w:t>
      </w:r>
      <w:r w:rsidRPr="005B4376">
        <w:rPr>
          <w:sz w:val="20"/>
          <w:lang w:val="en-US"/>
        </w:rPr>
        <w:t xml:space="preserve"> social transfer programs that can be adjusted in the case of crises.</w:t>
      </w:r>
    </w:p>
    <w:p w:rsidR="005B4376" w:rsidRPr="005B4376" w:rsidRDefault="005B4376" w:rsidP="005B4376">
      <w:pPr>
        <w:spacing w:before="60"/>
        <w:rPr>
          <w:sz w:val="20"/>
          <w:lang w:val="en-US"/>
        </w:rPr>
      </w:pPr>
      <w:r w:rsidRPr="005B4376">
        <w:rPr>
          <w:sz w:val="20"/>
          <w:lang w:val="en-US"/>
        </w:rPr>
        <w:t xml:space="preserve">The discussions and recommendations </w:t>
      </w:r>
      <w:r w:rsidRPr="00087748">
        <w:rPr>
          <w:sz w:val="20"/>
          <w:lang w:val="en-US"/>
        </w:rPr>
        <w:t xml:space="preserve">from this </w:t>
      </w:r>
      <w:r w:rsidR="001C2C2F" w:rsidRPr="00087748">
        <w:rPr>
          <w:sz w:val="20"/>
          <w:lang w:val="en-US"/>
        </w:rPr>
        <w:t>seminar</w:t>
      </w:r>
      <w:r w:rsidRPr="00087748">
        <w:rPr>
          <w:sz w:val="20"/>
          <w:lang w:val="en-US"/>
        </w:rPr>
        <w:t xml:space="preserve"> will </w:t>
      </w:r>
      <w:r w:rsidR="00087748" w:rsidRPr="00087748">
        <w:rPr>
          <w:sz w:val="20"/>
          <w:lang w:val="en-US"/>
        </w:rPr>
        <w:t>contribute to</w:t>
      </w:r>
      <w:r w:rsidRPr="00087748">
        <w:rPr>
          <w:sz w:val="20"/>
          <w:lang w:val="en-US"/>
        </w:rPr>
        <w:t xml:space="preserve"> the Commission's strategic and operational reflections. The programming of the 11</w:t>
      </w:r>
      <w:r w:rsidRPr="00087748">
        <w:rPr>
          <w:sz w:val="20"/>
          <w:vertAlign w:val="superscript"/>
          <w:lang w:val="en-US"/>
        </w:rPr>
        <w:t>th</w:t>
      </w:r>
      <w:r w:rsidRPr="00087748">
        <w:rPr>
          <w:sz w:val="20"/>
          <w:lang w:val="en-US"/>
        </w:rPr>
        <w:t xml:space="preserve"> EDF (European Development Fund) is a crucial stage in this regard, one that should enable the EU</w:t>
      </w:r>
      <w:r w:rsidRPr="005B4376">
        <w:rPr>
          <w:sz w:val="20"/>
          <w:lang w:val="en-US"/>
        </w:rPr>
        <w:t xml:space="preserve"> to take an ambitious position. In the Sahel, initiatives to extend social transfers are already underway and must receive coordinated support. Other expe</w:t>
      </w:r>
      <w:r w:rsidR="00FB5D3E">
        <w:rPr>
          <w:sz w:val="20"/>
          <w:lang w:val="en-US"/>
        </w:rPr>
        <w:t>riences</w:t>
      </w:r>
      <w:r w:rsidRPr="005B4376">
        <w:rPr>
          <w:sz w:val="20"/>
          <w:lang w:val="en-US"/>
        </w:rPr>
        <w:t xml:space="preserve"> in social transfer programs, notably in East Africa, can also fuel the reflections underway in the Sahel. </w:t>
      </w:r>
      <w:r w:rsidRPr="005B4376">
        <w:rPr>
          <w:sz w:val="20"/>
          <w:highlight w:val="yellow"/>
          <w:lang w:val="en-US"/>
        </w:rPr>
        <w:t>Sharing experiences</w:t>
      </w:r>
      <w:r w:rsidRPr="005B4376">
        <w:rPr>
          <w:sz w:val="20"/>
          <w:lang w:val="en-US"/>
        </w:rPr>
        <w:t xml:space="preserve"> is in this way a key element in successfully overcoming operational challenges and ensuring greater effectiveness, coverage and visibility for social transfer programs to improve resilience, food security and nutrition in the Sahel.  </w:t>
      </w:r>
    </w:p>
    <w:sectPr w:rsidR="005B4376" w:rsidRPr="005B4376" w:rsidSect="005B4376">
      <w:footerReference w:type="even" r:id="rId9"/>
      <w:type w:val="oddPage"/>
      <w:pgSz w:w="11906" w:h="16838" w:code="9"/>
      <w:pgMar w:top="1985" w:right="1588" w:bottom="1985" w:left="1588" w:header="1134" w:footer="851"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5975" w:rsidRDefault="001D5975" w:rsidP="003D08B9">
      <w:pPr>
        <w:spacing w:before="0"/>
      </w:pPr>
      <w:r>
        <w:separator/>
      </w:r>
    </w:p>
  </w:endnote>
  <w:endnote w:type="continuationSeparator" w:id="0">
    <w:p w:rsidR="001D5975" w:rsidRDefault="001D5975" w:rsidP="003D08B9">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Arial Black">
    <w:panose1 w:val="020B0A04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0E22" w:rsidRDefault="00A3371D">
    <w:pPr>
      <w:pStyle w:val="Pieddepage"/>
      <w:framePr w:wrap="around" w:vAnchor="text" w:hAnchor="margin" w:xAlign="center" w:y="1"/>
      <w:rPr>
        <w:rStyle w:val="Numrodepage"/>
      </w:rPr>
    </w:pPr>
    <w:r>
      <w:rPr>
        <w:rStyle w:val="Numrodepage"/>
      </w:rPr>
      <w:fldChar w:fldCharType="begin"/>
    </w:r>
    <w:r w:rsidR="009F0E22">
      <w:rPr>
        <w:rStyle w:val="Numrodepage"/>
      </w:rPr>
      <w:instrText xml:space="preserve">PAGE  </w:instrText>
    </w:r>
    <w:r>
      <w:rPr>
        <w:rStyle w:val="Numrodepage"/>
      </w:rPr>
      <w:fldChar w:fldCharType="separate"/>
    </w:r>
    <w:r w:rsidR="009F0E22">
      <w:rPr>
        <w:rStyle w:val="Numrodepage"/>
        <w:noProof/>
      </w:rPr>
      <w:t>1</w:t>
    </w:r>
    <w:r>
      <w:rPr>
        <w:rStyle w:val="Numrodepage"/>
      </w:rPr>
      <w:fldChar w:fldCharType="end"/>
    </w:r>
  </w:p>
  <w:p w:rsidR="009F0E22" w:rsidRDefault="009F0E22">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5975" w:rsidRDefault="001D5975">
      <w:pPr>
        <w:pStyle w:val="Pieddepage"/>
        <w:pBdr>
          <w:top w:val="single" w:sz="2" w:space="1" w:color="auto"/>
        </w:pBdr>
        <w:tabs>
          <w:tab w:val="clear" w:pos="4536"/>
          <w:tab w:val="clear" w:pos="9072"/>
        </w:tabs>
        <w:spacing w:before="240"/>
        <w:ind w:right="6237"/>
        <w:rPr>
          <w:sz w:val="8"/>
        </w:rPr>
      </w:pPr>
    </w:p>
  </w:footnote>
  <w:footnote w:type="continuationSeparator" w:id="0">
    <w:p w:rsidR="001D5975" w:rsidRDefault="001D5975">
      <w:pPr>
        <w:pStyle w:val="Pieddepage"/>
        <w:pBdr>
          <w:top w:val="single" w:sz="2" w:space="1" w:color="auto"/>
        </w:pBdr>
        <w:tabs>
          <w:tab w:val="clear" w:pos="4536"/>
          <w:tab w:val="clear" w:pos="9072"/>
        </w:tabs>
        <w:spacing w:before="240"/>
        <w:ind w:right="6237"/>
        <w:rPr>
          <w:sz w:val="8"/>
        </w:rPr>
      </w:pPr>
    </w:p>
  </w:footnote>
  <w:footnote w:id="1">
    <w:p w:rsidR="009F0E22" w:rsidRPr="000E2460" w:rsidRDefault="009F0E22" w:rsidP="005B4376">
      <w:pPr>
        <w:pStyle w:val="Notedebasdepage"/>
        <w:tabs>
          <w:tab w:val="clear" w:pos="227"/>
          <w:tab w:val="left" w:pos="0"/>
        </w:tabs>
        <w:spacing w:before="0"/>
        <w:ind w:left="0" w:firstLine="0"/>
        <w:rPr>
          <w:sz w:val="16"/>
          <w:szCs w:val="16"/>
          <w:lang w:val="en-US"/>
        </w:rPr>
      </w:pPr>
      <w:r w:rsidRPr="00B66BF9">
        <w:rPr>
          <w:rStyle w:val="Appelnotedebasdep"/>
          <w:sz w:val="16"/>
          <w:szCs w:val="16"/>
        </w:rPr>
        <w:footnoteRef/>
      </w:r>
      <w:r w:rsidRPr="00B66BF9">
        <w:rPr>
          <w:sz w:val="16"/>
          <w:szCs w:val="16"/>
          <w:lang w:val="en-US"/>
        </w:rPr>
        <w:t xml:space="preserve"> The </w:t>
      </w:r>
      <w:r w:rsidR="00D03ABF">
        <w:rPr>
          <w:sz w:val="16"/>
          <w:szCs w:val="16"/>
          <w:lang w:val="en-US"/>
        </w:rPr>
        <w:t>seminar</w:t>
      </w:r>
      <w:r w:rsidRPr="00B66BF9">
        <w:rPr>
          <w:sz w:val="16"/>
          <w:szCs w:val="16"/>
          <w:lang w:val="en-US"/>
        </w:rPr>
        <w:t xml:space="preserve"> documents and a summary of the discussions are available from </w:t>
      </w:r>
      <w:r w:rsidR="00A3371D">
        <w:fldChar w:fldCharType="begin"/>
      </w:r>
      <w:r w:rsidR="00A3371D" w:rsidRPr="00D90167">
        <w:rPr>
          <w:lang w:val="en-US"/>
        </w:rPr>
        <w:instrText>HYPERLINK "http://www.reseau-rosa.eu/spip.php?article782&amp;lang=en"</w:instrText>
      </w:r>
      <w:r w:rsidR="00A3371D">
        <w:fldChar w:fldCharType="separate"/>
      </w:r>
      <w:r w:rsidRPr="00D03ABF">
        <w:rPr>
          <w:rStyle w:val="Lienhypertexte"/>
          <w:sz w:val="16"/>
          <w:szCs w:val="16"/>
          <w:lang w:val="en-US"/>
        </w:rPr>
        <w:t>ROSA's website</w:t>
      </w:r>
      <w:r w:rsidR="00A3371D">
        <w:fldChar w:fldCharType="end"/>
      </w:r>
      <w:r w:rsidRPr="00B66BF9">
        <w:rPr>
          <w:sz w:val="16"/>
          <w:szCs w:val="16"/>
          <w:lang w:val="en-US"/>
        </w:rPr>
        <w:t>.</w:t>
      </w:r>
    </w:p>
  </w:footnote>
  <w:footnote w:id="2">
    <w:p w:rsidR="001C2C2F" w:rsidRPr="0016328D" w:rsidRDefault="001C2C2F" w:rsidP="00315449">
      <w:pPr>
        <w:pStyle w:val="Notedebasdepage"/>
        <w:tabs>
          <w:tab w:val="clear" w:pos="227"/>
          <w:tab w:val="left" w:pos="0"/>
        </w:tabs>
        <w:ind w:left="0" w:firstLine="0"/>
        <w:rPr>
          <w:lang w:val="en-US"/>
        </w:rPr>
      </w:pPr>
      <w:r>
        <w:rPr>
          <w:rStyle w:val="Appelnotedebasdep"/>
        </w:rPr>
        <w:footnoteRef/>
      </w:r>
      <w:r w:rsidRPr="00315449">
        <w:rPr>
          <w:lang w:val="en-US"/>
        </w:rPr>
        <w:t xml:space="preserve"> </w:t>
      </w:r>
      <w:r w:rsidR="00315449" w:rsidRPr="00315449">
        <w:rPr>
          <w:sz w:val="16"/>
          <w:szCs w:val="16"/>
          <w:lang w:val="en-US"/>
        </w:rPr>
        <w:t>For more information, see the communication « </w:t>
      </w:r>
      <w:hyperlink r:id="rId1" w:history="1">
        <w:r w:rsidR="00315449" w:rsidRPr="00315449">
          <w:rPr>
            <w:rStyle w:val="Lienhypertexte"/>
            <w:sz w:val="16"/>
            <w:szCs w:val="16"/>
            <w:lang w:val="en-US"/>
          </w:rPr>
          <w:t>An EU policy framework to assist developing countries in addressing food security</w:t>
        </w:r>
      </w:hyperlink>
      <w:r w:rsidR="00315449" w:rsidRPr="00315449">
        <w:rPr>
          <w:sz w:val="16"/>
          <w:szCs w:val="16"/>
          <w:lang w:val="en-US"/>
        </w:rPr>
        <w:t xml:space="preserve"> » </w:t>
      </w:r>
      <w:r w:rsidR="00315449">
        <w:rPr>
          <w:sz w:val="16"/>
          <w:szCs w:val="16"/>
          <w:lang w:val="en-US"/>
        </w:rPr>
        <w:t>and the reference document</w:t>
      </w:r>
      <w:r w:rsidR="00315449" w:rsidRPr="00315449">
        <w:rPr>
          <w:sz w:val="16"/>
          <w:szCs w:val="16"/>
          <w:lang w:val="en-US"/>
        </w:rPr>
        <w:t xml:space="preserve"> « </w:t>
      </w:r>
      <w:hyperlink r:id="rId2" w:history="1">
        <w:r w:rsidR="00C55902" w:rsidRPr="00C55902">
          <w:rPr>
            <w:rStyle w:val="Lienhypertexte"/>
            <w:sz w:val="16"/>
            <w:szCs w:val="16"/>
            <w:lang w:val="en-US"/>
          </w:rPr>
          <w:t xml:space="preserve">Addressing undernutrition in external assistance. </w:t>
        </w:r>
        <w:proofErr w:type="gramStart"/>
        <w:r w:rsidR="00C55902" w:rsidRPr="0016328D">
          <w:rPr>
            <w:rStyle w:val="Lienhypertexte"/>
            <w:sz w:val="16"/>
            <w:szCs w:val="16"/>
            <w:lang w:val="en-US"/>
          </w:rPr>
          <w:t>An integrated approach through sectors and aid modalities</w:t>
        </w:r>
      </w:hyperlink>
      <w:r w:rsidR="00315449" w:rsidRPr="0016328D">
        <w:rPr>
          <w:sz w:val="16"/>
          <w:szCs w:val="16"/>
          <w:lang w:val="en-US"/>
        </w:rPr>
        <w:t> »</w:t>
      </w:r>
      <w:r w:rsidR="00315449" w:rsidRPr="0016328D">
        <w:rPr>
          <w:i/>
          <w:sz w:val="16"/>
          <w:szCs w:val="16"/>
          <w:lang w:val="en-US"/>
        </w:rPr>
        <w:t>.</w:t>
      </w:r>
      <w:proofErr w:type="gramEnd"/>
    </w:p>
  </w:footnote>
  <w:footnote w:id="3">
    <w:p w:rsidR="009F0E22" w:rsidRPr="000E2460" w:rsidRDefault="009F0E22" w:rsidP="005B4376">
      <w:pPr>
        <w:pStyle w:val="Notedebasdepage"/>
        <w:tabs>
          <w:tab w:val="clear" w:pos="227"/>
          <w:tab w:val="left" w:pos="0"/>
        </w:tabs>
        <w:spacing w:before="0"/>
        <w:ind w:left="0" w:firstLine="0"/>
        <w:rPr>
          <w:lang w:val="en-US"/>
        </w:rPr>
      </w:pPr>
      <w:r w:rsidRPr="00B66BF9">
        <w:rPr>
          <w:rStyle w:val="Appelnotedebasdep"/>
          <w:sz w:val="16"/>
          <w:szCs w:val="16"/>
        </w:rPr>
        <w:footnoteRef/>
      </w:r>
      <w:r w:rsidRPr="00B66BF9">
        <w:rPr>
          <w:sz w:val="16"/>
          <w:szCs w:val="16"/>
          <w:lang w:val="en-US"/>
        </w:rPr>
        <w:t xml:space="preserve"> In order to better support partner countries for the establishment of social transfer programs, the Commission has also recently set up an Advisory Service in Social Transfers (</w:t>
      </w:r>
      <w:proofErr w:type="spellStart"/>
      <w:r w:rsidRPr="00B66BF9">
        <w:rPr>
          <w:sz w:val="16"/>
          <w:szCs w:val="16"/>
          <w:lang w:val="en-US"/>
        </w:rPr>
        <w:t>ASiST</w:t>
      </w:r>
      <w:proofErr w:type="spellEnd"/>
      <w:r w:rsidRPr="00B66BF9">
        <w:rPr>
          <w:sz w:val="16"/>
          <w:szCs w:val="16"/>
          <w:lang w:val="en-US"/>
        </w:rPr>
        <w:t xml:space="preserve">) managed by </w:t>
      </w:r>
      <w:proofErr w:type="spellStart"/>
      <w:r w:rsidRPr="00B66BF9">
        <w:rPr>
          <w:sz w:val="16"/>
          <w:szCs w:val="16"/>
          <w:lang w:val="en-US"/>
        </w:rPr>
        <w:t>EuropeAid</w:t>
      </w:r>
      <w:proofErr w:type="spellEnd"/>
      <w:r w:rsidRPr="00B66BF9">
        <w:rPr>
          <w:sz w:val="16"/>
          <w:szCs w:val="16"/>
          <w:lang w:val="en-US"/>
        </w:rPr>
        <w:t xml:space="preserve"> Unit C1.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7C30AC22"/>
    <w:lvl w:ilvl="0">
      <w:start w:val="1"/>
      <w:numFmt w:val="decimal"/>
      <w:pStyle w:val="Listenumros"/>
      <w:lvlText w:val="%1."/>
      <w:lvlJc w:val="left"/>
      <w:pPr>
        <w:tabs>
          <w:tab w:val="num" w:pos="360"/>
        </w:tabs>
        <w:ind w:left="340" w:hanging="340"/>
      </w:pPr>
    </w:lvl>
  </w:abstractNum>
  <w:abstractNum w:abstractNumId="1">
    <w:nsid w:val="091931B6"/>
    <w:multiLevelType w:val="multilevel"/>
    <w:tmpl w:val="E1CA8DE2"/>
    <w:lvl w:ilvl="0">
      <w:start w:val="1"/>
      <w:numFmt w:val="none"/>
      <w:pStyle w:val="Titredintercalaire"/>
      <w:suff w:val="nothing"/>
      <w:lvlText w:val="%1"/>
      <w:lvlJc w:val="left"/>
      <w:pPr>
        <w:ind w:left="0" w:firstLine="0"/>
      </w:pPr>
    </w:lvl>
    <w:lvl w:ilvl="1">
      <w:start w:val="1"/>
      <w:numFmt w:val="none"/>
      <w:pStyle w:val="Titreprincipal"/>
      <w:suff w:val="nothing"/>
      <w:lvlText w:val="%2"/>
      <w:lvlJc w:val="left"/>
      <w:pPr>
        <w:ind w:left="0" w:firstLine="0"/>
      </w:pPr>
    </w:lvl>
    <w:lvl w:ilvl="2">
      <w:start w:val="1"/>
      <w:numFmt w:val="none"/>
      <w:pStyle w:val="Titredannexe"/>
      <w:suff w:val="nothing"/>
      <w:lvlText w:val=""/>
      <w:lvlJc w:val="left"/>
      <w:pPr>
        <w:ind w:left="0" w:firstLine="0"/>
      </w:pPr>
      <w:rPr>
        <w:rFonts w:ascii="Arial Black" w:hAnsi="Tahoma" w:hint="default"/>
      </w:rPr>
    </w:lvl>
    <w:lvl w:ilvl="3">
      <w:start w:val="1"/>
      <w:numFmt w:val="upperRoman"/>
      <w:pStyle w:val="Titre1"/>
      <w:lvlText w:val="%4."/>
      <w:lvlJc w:val="left"/>
      <w:pPr>
        <w:tabs>
          <w:tab w:val="num" w:pos="720"/>
        </w:tabs>
        <w:ind w:left="510" w:hanging="510"/>
      </w:pPr>
    </w:lvl>
    <w:lvl w:ilvl="4">
      <w:start w:val="1"/>
      <w:numFmt w:val="decimal"/>
      <w:pStyle w:val="Titre2"/>
      <w:lvlText w:val="%1%5."/>
      <w:lvlJc w:val="left"/>
      <w:pPr>
        <w:tabs>
          <w:tab w:val="num" w:pos="510"/>
        </w:tabs>
        <w:ind w:left="510" w:hanging="510"/>
      </w:pPr>
    </w:lvl>
    <w:lvl w:ilvl="5">
      <w:start w:val="1"/>
      <w:numFmt w:val="decimal"/>
      <w:pStyle w:val="Titre3"/>
      <w:lvlText w:val="%5.%6"/>
      <w:lvlJc w:val="left"/>
      <w:pPr>
        <w:tabs>
          <w:tab w:val="num" w:pos="510"/>
        </w:tabs>
        <w:ind w:left="510" w:hanging="510"/>
      </w:pPr>
    </w:lvl>
    <w:lvl w:ilvl="6">
      <w:start w:val="1"/>
      <w:numFmt w:val="none"/>
      <w:pStyle w:val="Titre4"/>
      <w:suff w:val="nothing"/>
      <w:lvlText w:val=""/>
      <w:lvlJc w:val="left"/>
      <w:pPr>
        <w:ind w:left="0" w:firstLine="0"/>
      </w:pPr>
    </w:lvl>
    <w:lvl w:ilvl="7">
      <w:start w:val="1"/>
      <w:numFmt w:val="bullet"/>
      <w:pStyle w:val="Pucepourtitre"/>
      <w:lvlText w:val=""/>
      <w:lvlJc w:val="left"/>
      <w:pPr>
        <w:tabs>
          <w:tab w:val="num" w:pos="360"/>
        </w:tabs>
        <w:ind w:left="340" w:hanging="340"/>
      </w:pPr>
      <w:rPr>
        <w:rFonts w:ascii="Wingdings" w:hAnsi="Wingdings" w:hint="default"/>
        <w:sz w:val="20"/>
      </w:rPr>
    </w:lvl>
    <w:lvl w:ilvl="8">
      <w:start w:val="1"/>
      <w:numFmt w:val="none"/>
      <w:suff w:val="nothing"/>
      <w:lvlText w:val=""/>
      <w:lvlJc w:val="left"/>
      <w:pPr>
        <w:ind w:left="0" w:firstLine="0"/>
      </w:pPr>
      <w:rPr>
        <w:rFonts w:hint="default"/>
      </w:rPr>
    </w:lvl>
  </w:abstractNum>
  <w:abstractNum w:abstractNumId="2">
    <w:nsid w:val="127C442B"/>
    <w:multiLevelType w:val="hybridMultilevel"/>
    <w:tmpl w:val="E4EE14F8"/>
    <w:lvl w:ilvl="0" w:tplc="4DA40ADA">
      <w:start w:val="1"/>
      <w:numFmt w:val="bullet"/>
      <w:lvlText w:val=""/>
      <w:lvlJc w:val="left"/>
      <w:pPr>
        <w:tabs>
          <w:tab w:val="num" w:pos="0"/>
        </w:tabs>
        <w:ind w:left="0" w:firstLine="0"/>
      </w:pPr>
      <w:rPr>
        <w:rFonts w:ascii="Symbol" w:hAnsi="Symbol" w:hint="default"/>
        <w:color w:val="FF6600"/>
      </w:rPr>
    </w:lvl>
    <w:lvl w:ilvl="1" w:tplc="C7F46DB2" w:tentative="1">
      <w:start w:val="1"/>
      <w:numFmt w:val="bullet"/>
      <w:lvlText w:val="o"/>
      <w:lvlJc w:val="left"/>
      <w:pPr>
        <w:tabs>
          <w:tab w:val="num" w:pos="630"/>
        </w:tabs>
        <w:ind w:left="630" w:hanging="360"/>
      </w:pPr>
      <w:rPr>
        <w:rFonts w:ascii="Courier New" w:hAnsi="Courier New" w:cs="Courier New" w:hint="default"/>
      </w:rPr>
    </w:lvl>
    <w:lvl w:ilvl="2" w:tplc="A1EC7D5A" w:tentative="1">
      <w:start w:val="1"/>
      <w:numFmt w:val="bullet"/>
      <w:lvlText w:val=""/>
      <w:lvlJc w:val="left"/>
      <w:pPr>
        <w:tabs>
          <w:tab w:val="num" w:pos="1350"/>
        </w:tabs>
        <w:ind w:left="1350" w:hanging="360"/>
      </w:pPr>
      <w:rPr>
        <w:rFonts w:ascii="Wingdings" w:hAnsi="Wingdings" w:hint="default"/>
      </w:rPr>
    </w:lvl>
    <w:lvl w:ilvl="3" w:tplc="74D464EE" w:tentative="1">
      <w:start w:val="1"/>
      <w:numFmt w:val="bullet"/>
      <w:lvlText w:val=""/>
      <w:lvlJc w:val="left"/>
      <w:pPr>
        <w:tabs>
          <w:tab w:val="num" w:pos="2070"/>
        </w:tabs>
        <w:ind w:left="2070" w:hanging="360"/>
      </w:pPr>
      <w:rPr>
        <w:rFonts w:ascii="Symbol" w:hAnsi="Symbol" w:hint="default"/>
      </w:rPr>
    </w:lvl>
    <w:lvl w:ilvl="4" w:tplc="88EC6316" w:tentative="1">
      <w:start w:val="1"/>
      <w:numFmt w:val="bullet"/>
      <w:lvlText w:val="o"/>
      <w:lvlJc w:val="left"/>
      <w:pPr>
        <w:tabs>
          <w:tab w:val="num" w:pos="2790"/>
        </w:tabs>
        <w:ind w:left="2790" w:hanging="360"/>
      </w:pPr>
      <w:rPr>
        <w:rFonts w:ascii="Courier New" w:hAnsi="Courier New" w:cs="Courier New" w:hint="default"/>
      </w:rPr>
    </w:lvl>
    <w:lvl w:ilvl="5" w:tplc="D86C5740" w:tentative="1">
      <w:start w:val="1"/>
      <w:numFmt w:val="bullet"/>
      <w:lvlText w:val=""/>
      <w:lvlJc w:val="left"/>
      <w:pPr>
        <w:tabs>
          <w:tab w:val="num" w:pos="3510"/>
        </w:tabs>
        <w:ind w:left="3510" w:hanging="360"/>
      </w:pPr>
      <w:rPr>
        <w:rFonts w:ascii="Wingdings" w:hAnsi="Wingdings" w:hint="default"/>
      </w:rPr>
    </w:lvl>
    <w:lvl w:ilvl="6" w:tplc="CA3259CE" w:tentative="1">
      <w:start w:val="1"/>
      <w:numFmt w:val="bullet"/>
      <w:lvlText w:val=""/>
      <w:lvlJc w:val="left"/>
      <w:pPr>
        <w:tabs>
          <w:tab w:val="num" w:pos="4230"/>
        </w:tabs>
        <w:ind w:left="4230" w:hanging="360"/>
      </w:pPr>
      <w:rPr>
        <w:rFonts w:ascii="Symbol" w:hAnsi="Symbol" w:hint="default"/>
      </w:rPr>
    </w:lvl>
    <w:lvl w:ilvl="7" w:tplc="C826FA74" w:tentative="1">
      <w:start w:val="1"/>
      <w:numFmt w:val="bullet"/>
      <w:lvlText w:val="o"/>
      <w:lvlJc w:val="left"/>
      <w:pPr>
        <w:tabs>
          <w:tab w:val="num" w:pos="4950"/>
        </w:tabs>
        <w:ind w:left="4950" w:hanging="360"/>
      </w:pPr>
      <w:rPr>
        <w:rFonts w:ascii="Courier New" w:hAnsi="Courier New" w:cs="Courier New" w:hint="default"/>
      </w:rPr>
    </w:lvl>
    <w:lvl w:ilvl="8" w:tplc="EBC4638A" w:tentative="1">
      <w:start w:val="1"/>
      <w:numFmt w:val="bullet"/>
      <w:lvlText w:val=""/>
      <w:lvlJc w:val="left"/>
      <w:pPr>
        <w:tabs>
          <w:tab w:val="num" w:pos="5670"/>
        </w:tabs>
        <w:ind w:left="5670" w:hanging="360"/>
      </w:pPr>
      <w:rPr>
        <w:rFonts w:ascii="Wingdings" w:hAnsi="Wingdings" w:hint="default"/>
      </w:rPr>
    </w:lvl>
  </w:abstractNum>
  <w:abstractNum w:abstractNumId="3">
    <w:nsid w:val="18C60825"/>
    <w:multiLevelType w:val="singleLevel"/>
    <w:tmpl w:val="15EC55D4"/>
    <w:lvl w:ilvl="0">
      <w:start w:val="1"/>
      <w:numFmt w:val="bullet"/>
      <w:pStyle w:val="Pucepournumration"/>
      <w:lvlText w:val=""/>
      <w:lvlJc w:val="left"/>
      <w:pPr>
        <w:tabs>
          <w:tab w:val="num" w:pos="360"/>
        </w:tabs>
        <w:ind w:left="340" w:hanging="340"/>
      </w:pPr>
      <w:rPr>
        <w:rFonts w:ascii="MT Extra" w:hAnsi="MT Extra" w:hint="default"/>
        <w:sz w:val="24"/>
      </w:rPr>
    </w:lvl>
  </w:abstractNum>
  <w:abstractNum w:abstractNumId="4">
    <w:nsid w:val="190765B2"/>
    <w:multiLevelType w:val="singleLevel"/>
    <w:tmpl w:val="02EEACB4"/>
    <w:lvl w:ilvl="0">
      <w:start w:val="1"/>
      <w:numFmt w:val="bullet"/>
      <w:pStyle w:val="Pucepourparagraphe"/>
      <w:lvlText w:val=""/>
      <w:lvlJc w:val="left"/>
      <w:pPr>
        <w:tabs>
          <w:tab w:val="num" w:pos="360"/>
        </w:tabs>
        <w:ind w:left="340" w:hanging="340"/>
      </w:pPr>
      <w:rPr>
        <w:rFonts w:ascii="Wingdings" w:hAnsi="Wingdings" w:hint="default"/>
        <w:sz w:val="20"/>
      </w:rPr>
    </w:lvl>
  </w:abstractNum>
  <w:abstractNum w:abstractNumId="5">
    <w:nsid w:val="24B86A34"/>
    <w:multiLevelType w:val="singleLevel"/>
    <w:tmpl w:val="0F04842E"/>
    <w:lvl w:ilvl="0">
      <w:start w:val="1"/>
      <w:numFmt w:val="decimal"/>
      <w:pStyle w:val="TM5"/>
      <w:lvlText w:val="Annexe %1"/>
      <w:lvlJc w:val="left"/>
      <w:pPr>
        <w:tabs>
          <w:tab w:val="num" w:pos="1440"/>
        </w:tabs>
        <w:ind w:left="284" w:hanging="284"/>
      </w:pPr>
    </w:lvl>
  </w:abstractNum>
  <w:abstractNum w:abstractNumId="6">
    <w:nsid w:val="24CB3FF6"/>
    <w:multiLevelType w:val="multilevel"/>
    <w:tmpl w:val="DF185B4A"/>
    <w:lvl w:ilvl="0">
      <w:start w:val="1"/>
      <w:numFmt w:val="upperRoman"/>
      <w:lvlText w:val="%1."/>
      <w:lvlJc w:val="left"/>
      <w:pPr>
        <w:tabs>
          <w:tab w:val="num" w:pos="720"/>
        </w:tabs>
        <w:ind w:left="432" w:hanging="432"/>
      </w:pPr>
    </w:lvl>
    <w:lvl w:ilvl="1">
      <w:start w:val="1"/>
      <w:numFmt w:val="upperRoman"/>
      <w:lvlText w:val="%2."/>
      <w:lvlJc w:val="left"/>
      <w:pPr>
        <w:tabs>
          <w:tab w:val="num" w:pos="720"/>
        </w:tabs>
        <w:ind w:left="431" w:hanging="431"/>
      </w:pPr>
    </w:lvl>
    <w:lvl w:ilvl="2">
      <w:start w:val="1"/>
      <w:numFmt w:val="decimal"/>
      <w:lvlText w:val="%3."/>
      <w:lvlJc w:val="left"/>
      <w:pPr>
        <w:tabs>
          <w:tab w:val="num" w:pos="431"/>
        </w:tabs>
        <w:ind w:left="431" w:hanging="431"/>
      </w:pPr>
    </w:lvl>
    <w:lvl w:ilvl="3">
      <w:start w:val="1"/>
      <w:numFmt w:val="none"/>
      <w:lvlText w:val=""/>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nsid w:val="44D96A2C"/>
    <w:multiLevelType w:val="hybridMultilevel"/>
    <w:tmpl w:val="4DB6A118"/>
    <w:lvl w:ilvl="0" w:tplc="81B0BD92">
      <w:start w:val="1"/>
      <w:numFmt w:val="bullet"/>
      <w:lvlText w:val=""/>
      <w:lvlJc w:val="left"/>
      <w:pPr>
        <w:ind w:left="720" w:hanging="360"/>
      </w:pPr>
      <w:rPr>
        <w:rFonts w:ascii="Wingdings" w:hAnsi="Wingdings" w:hint="default"/>
        <w:color w:val="auto"/>
        <w:sz w:val="20"/>
      </w:rPr>
    </w:lvl>
    <w:lvl w:ilvl="1" w:tplc="22CC53F0">
      <w:start w:val="1"/>
      <w:numFmt w:val="bullet"/>
      <w:lvlText w:val="-"/>
      <w:lvlJc w:val="left"/>
      <w:pPr>
        <w:ind w:left="1440" w:hanging="360"/>
      </w:pPr>
      <w:rPr>
        <w:rFonts w:ascii="Courier New" w:hAnsi="Courier New" w:hint="default"/>
      </w:rPr>
    </w:lvl>
    <w:lvl w:ilvl="2" w:tplc="7AAC8B20" w:tentative="1">
      <w:start w:val="1"/>
      <w:numFmt w:val="bullet"/>
      <w:lvlText w:val=""/>
      <w:lvlJc w:val="left"/>
      <w:pPr>
        <w:ind w:left="2160" w:hanging="360"/>
      </w:pPr>
      <w:rPr>
        <w:rFonts w:ascii="Wingdings" w:hAnsi="Wingdings" w:hint="default"/>
      </w:rPr>
    </w:lvl>
    <w:lvl w:ilvl="3" w:tplc="D21C3BEC" w:tentative="1">
      <w:start w:val="1"/>
      <w:numFmt w:val="bullet"/>
      <w:lvlText w:val=""/>
      <w:lvlJc w:val="left"/>
      <w:pPr>
        <w:ind w:left="2880" w:hanging="360"/>
      </w:pPr>
      <w:rPr>
        <w:rFonts w:ascii="Symbol" w:hAnsi="Symbol" w:hint="default"/>
      </w:rPr>
    </w:lvl>
    <w:lvl w:ilvl="4" w:tplc="5EC05A22" w:tentative="1">
      <w:start w:val="1"/>
      <w:numFmt w:val="bullet"/>
      <w:lvlText w:val="o"/>
      <w:lvlJc w:val="left"/>
      <w:pPr>
        <w:ind w:left="3600" w:hanging="360"/>
      </w:pPr>
      <w:rPr>
        <w:rFonts w:ascii="Courier New" w:hAnsi="Courier New" w:cs="Courier New" w:hint="default"/>
      </w:rPr>
    </w:lvl>
    <w:lvl w:ilvl="5" w:tplc="57AA8A96" w:tentative="1">
      <w:start w:val="1"/>
      <w:numFmt w:val="bullet"/>
      <w:lvlText w:val=""/>
      <w:lvlJc w:val="left"/>
      <w:pPr>
        <w:ind w:left="4320" w:hanging="360"/>
      </w:pPr>
      <w:rPr>
        <w:rFonts w:ascii="Wingdings" w:hAnsi="Wingdings" w:hint="default"/>
      </w:rPr>
    </w:lvl>
    <w:lvl w:ilvl="6" w:tplc="0D8E50FA" w:tentative="1">
      <w:start w:val="1"/>
      <w:numFmt w:val="bullet"/>
      <w:lvlText w:val=""/>
      <w:lvlJc w:val="left"/>
      <w:pPr>
        <w:ind w:left="5040" w:hanging="360"/>
      </w:pPr>
      <w:rPr>
        <w:rFonts w:ascii="Symbol" w:hAnsi="Symbol" w:hint="default"/>
      </w:rPr>
    </w:lvl>
    <w:lvl w:ilvl="7" w:tplc="E7DC8628" w:tentative="1">
      <w:start w:val="1"/>
      <w:numFmt w:val="bullet"/>
      <w:lvlText w:val="o"/>
      <w:lvlJc w:val="left"/>
      <w:pPr>
        <w:ind w:left="5760" w:hanging="360"/>
      </w:pPr>
      <w:rPr>
        <w:rFonts w:ascii="Courier New" w:hAnsi="Courier New" w:cs="Courier New" w:hint="default"/>
      </w:rPr>
    </w:lvl>
    <w:lvl w:ilvl="8" w:tplc="52D41E28" w:tentative="1">
      <w:start w:val="1"/>
      <w:numFmt w:val="bullet"/>
      <w:lvlText w:val=""/>
      <w:lvlJc w:val="left"/>
      <w:pPr>
        <w:ind w:left="6480" w:hanging="360"/>
      </w:pPr>
      <w:rPr>
        <w:rFonts w:ascii="Wingdings" w:hAnsi="Wingdings" w:hint="default"/>
      </w:rPr>
    </w:lvl>
  </w:abstractNum>
  <w:abstractNum w:abstractNumId="8">
    <w:nsid w:val="46C079CB"/>
    <w:multiLevelType w:val="hybridMultilevel"/>
    <w:tmpl w:val="EDB49F7C"/>
    <w:lvl w:ilvl="0" w:tplc="B70A926A">
      <w:start w:val="1"/>
      <w:numFmt w:val="lowerRoman"/>
      <w:lvlText w:val="%1)"/>
      <w:lvlJc w:val="left"/>
      <w:pPr>
        <w:ind w:left="1425" w:hanging="720"/>
      </w:pPr>
      <w:rPr>
        <w:rFonts w:hint="default"/>
      </w:rPr>
    </w:lvl>
    <w:lvl w:ilvl="1" w:tplc="833E8672" w:tentative="1">
      <w:start w:val="1"/>
      <w:numFmt w:val="lowerLetter"/>
      <w:lvlText w:val="%2."/>
      <w:lvlJc w:val="left"/>
      <w:pPr>
        <w:ind w:left="1785" w:hanging="360"/>
      </w:pPr>
    </w:lvl>
    <w:lvl w:ilvl="2" w:tplc="2278A478" w:tentative="1">
      <w:start w:val="1"/>
      <w:numFmt w:val="lowerRoman"/>
      <w:lvlText w:val="%3."/>
      <w:lvlJc w:val="right"/>
      <w:pPr>
        <w:ind w:left="2505" w:hanging="180"/>
      </w:pPr>
    </w:lvl>
    <w:lvl w:ilvl="3" w:tplc="302EC160" w:tentative="1">
      <w:start w:val="1"/>
      <w:numFmt w:val="decimal"/>
      <w:lvlText w:val="%4."/>
      <w:lvlJc w:val="left"/>
      <w:pPr>
        <w:ind w:left="3225" w:hanging="360"/>
      </w:pPr>
    </w:lvl>
    <w:lvl w:ilvl="4" w:tplc="F4D2B032" w:tentative="1">
      <w:start w:val="1"/>
      <w:numFmt w:val="lowerLetter"/>
      <w:lvlText w:val="%5."/>
      <w:lvlJc w:val="left"/>
      <w:pPr>
        <w:ind w:left="3945" w:hanging="360"/>
      </w:pPr>
    </w:lvl>
    <w:lvl w:ilvl="5" w:tplc="F85CA336" w:tentative="1">
      <w:start w:val="1"/>
      <w:numFmt w:val="lowerRoman"/>
      <w:lvlText w:val="%6."/>
      <w:lvlJc w:val="right"/>
      <w:pPr>
        <w:ind w:left="4665" w:hanging="180"/>
      </w:pPr>
    </w:lvl>
    <w:lvl w:ilvl="6" w:tplc="C674D026" w:tentative="1">
      <w:start w:val="1"/>
      <w:numFmt w:val="decimal"/>
      <w:lvlText w:val="%7."/>
      <w:lvlJc w:val="left"/>
      <w:pPr>
        <w:ind w:left="5385" w:hanging="360"/>
      </w:pPr>
    </w:lvl>
    <w:lvl w:ilvl="7" w:tplc="BEEAAB10" w:tentative="1">
      <w:start w:val="1"/>
      <w:numFmt w:val="lowerLetter"/>
      <w:lvlText w:val="%8."/>
      <w:lvlJc w:val="left"/>
      <w:pPr>
        <w:ind w:left="6105" w:hanging="360"/>
      </w:pPr>
    </w:lvl>
    <w:lvl w:ilvl="8" w:tplc="15468548" w:tentative="1">
      <w:start w:val="1"/>
      <w:numFmt w:val="lowerRoman"/>
      <w:lvlText w:val="%9."/>
      <w:lvlJc w:val="right"/>
      <w:pPr>
        <w:ind w:left="6825" w:hanging="180"/>
      </w:pPr>
    </w:lvl>
  </w:abstractNum>
  <w:abstractNum w:abstractNumId="9">
    <w:nsid w:val="520A1038"/>
    <w:multiLevelType w:val="singleLevel"/>
    <w:tmpl w:val="00000000"/>
    <w:lvl w:ilvl="0">
      <w:start w:val="1"/>
      <w:numFmt w:val="bullet"/>
      <w:lvlText w:val=""/>
      <w:legacy w:legacy="1" w:legacySpace="0" w:legacyIndent="360"/>
      <w:lvlJc w:val="left"/>
      <w:rPr>
        <w:rFonts w:ascii="Symbol" w:hAnsi="Symbol" w:hint="default"/>
      </w:rPr>
    </w:lvl>
  </w:abstractNum>
  <w:abstractNum w:abstractNumId="10">
    <w:nsid w:val="5BD83787"/>
    <w:multiLevelType w:val="singleLevel"/>
    <w:tmpl w:val="982C3418"/>
    <w:lvl w:ilvl="0">
      <w:start w:val="1"/>
      <w:numFmt w:val="bullet"/>
      <w:pStyle w:val="Tirets"/>
      <w:lvlText w:val="–"/>
      <w:lvlJc w:val="left"/>
      <w:pPr>
        <w:tabs>
          <w:tab w:val="num" w:pos="700"/>
        </w:tabs>
        <w:ind w:left="624" w:hanging="284"/>
      </w:pPr>
      <w:rPr>
        <w:rFonts w:ascii="Times New Roman" w:hAnsi="Times New Roman" w:hint="default"/>
      </w:rPr>
    </w:lvl>
  </w:abstractNum>
  <w:abstractNum w:abstractNumId="11">
    <w:nsid w:val="5FE46E57"/>
    <w:multiLevelType w:val="hybridMultilevel"/>
    <w:tmpl w:val="981A9466"/>
    <w:lvl w:ilvl="0" w:tplc="AB322ABA">
      <w:start w:val="1"/>
      <w:numFmt w:val="decimal"/>
      <w:lvlText w:val="%1."/>
      <w:lvlJc w:val="left"/>
      <w:pPr>
        <w:ind w:left="1004" w:hanging="360"/>
      </w:pPr>
    </w:lvl>
    <w:lvl w:ilvl="1" w:tplc="A53A196E" w:tentative="1">
      <w:start w:val="1"/>
      <w:numFmt w:val="lowerLetter"/>
      <w:lvlText w:val="%2."/>
      <w:lvlJc w:val="left"/>
      <w:pPr>
        <w:ind w:left="1724" w:hanging="360"/>
      </w:pPr>
    </w:lvl>
    <w:lvl w:ilvl="2" w:tplc="DF2C2410" w:tentative="1">
      <w:start w:val="1"/>
      <w:numFmt w:val="lowerRoman"/>
      <w:lvlText w:val="%3."/>
      <w:lvlJc w:val="right"/>
      <w:pPr>
        <w:ind w:left="2444" w:hanging="180"/>
      </w:pPr>
    </w:lvl>
    <w:lvl w:ilvl="3" w:tplc="BF3ABB1E" w:tentative="1">
      <w:start w:val="1"/>
      <w:numFmt w:val="decimal"/>
      <w:lvlText w:val="%4."/>
      <w:lvlJc w:val="left"/>
      <w:pPr>
        <w:ind w:left="3164" w:hanging="360"/>
      </w:pPr>
    </w:lvl>
    <w:lvl w:ilvl="4" w:tplc="20604A4A" w:tentative="1">
      <w:start w:val="1"/>
      <w:numFmt w:val="lowerLetter"/>
      <w:lvlText w:val="%5."/>
      <w:lvlJc w:val="left"/>
      <w:pPr>
        <w:ind w:left="3884" w:hanging="360"/>
      </w:pPr>
    </w:lvl>
    <w:lvl w:ilvl="5" w:tplc="5F28E58C" w:tentative="1">
      <w:start w:val="1"/>
      <w:numFmt w:val="lowerRoman"/>
      <w:lvlText w:val="%6."/>
      <w:lvlJc w:val="right"/>
      <w:pPr>
        <w:ind w:left="4604" w:hanging="180"/>
      </w:pPr>
    </w:lvl>
    <w:lvl w:ilvl="6" w:tplc="B5CABD2C" w:tentative="1">
      <w:start w:val="1"/>
      <w:numFmt w:val="decimal"/>
      <w:lvlText w:val="%7."/>
      <w:lvlJc w:val="left"/>
      <w:pPr>
        <w:ind w:left="5324" w:hanging="360"/>
      </w:pPr>
    </w:lvl>
    <w:lvl w:ilvl="7" w:tplc="ED1AB04C" w:tentative="1">
      <w:start w:val="1"/>
      <w:numFmt w:val="lowerLetter"/>
      <w:lvlText w:val="%8."/>
      <w:lvlJc w:val="left"/>
      <w:pPr>
        <w:ind w:left="6044" w:hanging="360"/>
      </w:pPr>
    </w:lvl>
    <w:lvl w:ilvl="8" w:tplc="C884141A" w:tentative="1">
      <w:start w:val="1"/>
      <w:numFmt w:val="lowerRoman"/>
      <w:lvlText w:val="%9."/>
      <w:lvlJc w:val="right"/>
      <w:pPr>
        <w:ind w:left="6764" w:hanging="180"/>
      </w:pPr>
    </w:lvl>
  </w:abstractNum>
  <w:abstractNum w:abstractNumId="12">
    <w:nsid w:val="794C3AD7"/>
    <w:multiLevelType w:val="hybridMultilevel"/>
    <w:tmpl w:val="EDF2F0FA"/>
    <w:lvl w:ilvl="0" w:tplc="605049AE">
      <w:start w:val="1"/>
      <w:numFmt w:val="lowerRoman"/>
      <w:lvlText w:val="(%1)"/>
      <w:lvlJc w:val="left"/>
      <w:pPr>
        <w:ind w:left="1004" w:hanging="360"/>
      </w:pPr>
      <w:rPr>
        <w:rFonts w:hint="default"/>
      </w:rPr>
    </w:lvl>
    <w:lvl w:ilvl="1" w:tplc="0C7A1B2E" w:tentative="1">
      <w:start w:val="1"/>
      <w:numFmt w:val="lowerLetter"/>
      <w:lvlText w:val="%2."/>
      <w:lvlJc w:val="left"/>
      <w:pPr>
        <w:ind w:left="1724" w:hanging="360"/>
      </w:pPr>
    </w:lvl>
    <w:lvl w:ilvl="2" w:tplc="F62E0D36" w:tentative="1">
      <w:start w:val="1"/>
      <w:numFmt w:val="lowerRoman"/>
      <w:lvlText w:val="%3."/>
      <w:lvlJc w:val="right"/>
      <w:pPr>
        <w:ind w:left="2444" w:hanging="180"/>
      </w:pPr>
    </w:lvl>
    <w:lvl w:ilvl="3" w:tplc="2EEA278C" w:tentative="1">
      <w:start w:val="1"/>
      <w:numFmt w:val="decimal"/>
      <w:lvlText w:val="%4."/>
      <w:lvlJc w:val="left"/>
      <w:pPr>
        <w:ind w:left="3164" w:hanging="360"/>
      </w:pPr>
    </w:lvl>
    <w:lvl w:ilvl="4" w:tplc="7B96A628" w:tentative="1">
      <w:start w:val="1"/>
      <w:numFmt w:val="lowerLetter"/>
      <w:lvlText w:val="%5."/>
      <w:lvlJc w:val="left"/>
      <w:pPr>
        <w:ind w:left="3884" w:hanging="360"/>
      </w:pPr>
    </w:lvl>
    <w:lvl w:ilvl="5" w:tplc="CB3C4C44" w:tentative="1">
      <w:start w:val="1"/>
      <w:numFmt w:val="lowerRoman"/>
      <w:lvlText w:val="%6."/>
      <w:lvlJc w:val="right"/>
      <w:pPr>
        <w:ind w:left="4604" w:hanging="180"/>
      </w:pPr>
    </w:lvl>
    <w:lvl w:ilvl="6" w:tplc="23A49AAA" w:tentative="1">
      <w:start w:val="1"/>
      <w:numFmt w:val="decimal"/>
      <w:lvlText w:val="%7."/>
      <w:lvlJc w:val="left"/>
      <w:pPr>
        <w:ind w:left="5324" w:hanging="360"/>
      </w:pPr>
    </w:lvl>
    <w:lvl w:ilvl="7" w:tplc="E86E592E" w:tentative="1">
      <w:start w:val="1"/>
      <w:numFmt w:val="lowerLetter"/>
      <w:lvlText w:val="%8."/>
      <w:lvlJc w:val="left"/>
      <w:pPr>
        <w:ind w:left="6044" w:hanging="360"/>
      </w:pPr>
    </w:lvl>
    <w:lvl w:ilvl="8" w:tplc="9A926B9C" w:tentative="1">
      <w:start w:val="1"/>
      <w:numFmt w:val="lowerRoman"/>
      <w:lvlText w:val="%9."/>
      <w:lvlJc w:val="right"/>
      <w:pPr>
        <w:ind w:left="6764" w:hanging="180"/>
      </w:pPr>
    </w:lvl>
  </w:abstractNum>
  <w:num w:numId="1">
    <w:abstractNumId w:val="0"/>
  </w:num>
  <w:num w:numId="2">
    <w:abstractNumId w:val="5"/>
  </w:num>
  <w:num w:numId="3">
    <w:abstractNumId w:val="9"/>
  </w:num>
  <w:num w:numId="4">
    <w:abstractNumId w:val="6"/>
  </w:num>
  <w:num w:numId="5">
    <w:abstractNumId w:val="1"/>
  </w:num>
  <w:num w:numId="6">
    <w:abstractNumId w:val="0"/>
  </w:num>
  <w:num w:numId="7">
    <w:abstractNumId w:val="3"/>
  </w:num>
  <w:num w:numId="8">
    <w:abstractNumId w:val="4"/>
  </w:num>
  <w:num w:numId="9">
    <w:abstractNumId w:val="10"/>
  </w:num>
  <w:num w:numId="10">
    <w:abstractNumId w:val="2"/>
  </w:num>
  <w:num w:numId="11">
    <w:abstractNumId w:val="7"/>
  </w:num>
  <w:num w:numId="12">
    <w:abstractNumId w:val="11"/>
  </w:num>
  <w:num w:numId="13">
    <w:abstractNumId w:val="12"/>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oNotTrackMoves/>
  <w:defaultTabStop w:val="709"/>
  <w:hyphenationZone w:val="432"/>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095C7F"/>
    <w:rsid w:val="000747F1"/>
    <w:rsid w:val="00087748"/>
    <w:rsid w:val="00095C7F"/>
    <w:rsid w:val="000E2460"/>
    <w:rsid w:val="0011600C"/>
    <w:rsid w:val="001446D3"/>
    <w:rsid w:val="0016328D"/>
    <w:rsid w:val="00176AD5"/>
    <w:rsid w:val="001C2C2F"/>
    <w:rsid w:val="001D5975"/>
    <w:rsid w:val="00264A3F"/>
    <w:rsid w:val="00264A94"/>
    <w:rsid w:val="00285FD1"/>
    <w:rsid w:val="00315449"/>
    <w:rsid w:val="0036422D"/>
    <w:rsid w:val="00380BD8"/>
    <w:rsid w:val="003D08B9"/>
    <w:rsid w:val="0040558F"/>
    <w:rsid w:val="00452021"/>
    <w:rsid w:val="005B4376"/>
    <w:rsid w:val="005D0C62"/>
    <w:rsid w:val="005F21DE"/>
    <w:rsid w:val="00726D8C"/>
    <w:rsid w:val="007F729C"/>
    <w:rsid w:val="009F0E22"/>
    <w:rsid w:val="00A3371D"/>
    <w:rsid w:val="00C04AB1"/>
    <w:rsid w:val="00C55902"/>
    <w:rsid w:val="00D03ABF"/>
    <w:rsid w:val="00D47FF8"/>
    <w:rsid w:val="00D90167"/>
    <w:rsid w:val="00E66150"/>
    <w:rsid w:val="00EC1C5F"/>
    <w:rsid w:val="00FB5D3E"/>
  </w:rsids>
  <m:mathPr>
    <m:mathFont m:val="Cambria Math"/>
    <m:brkBin m:val="before"/>
    <m:brkBinSub m:val="--"/>
    <m:smallFrac m:val="off"/>
    <m:dispDef m:val="off"/>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8C4"/>
    <w:pPr>
      <w:spacing w:before="120"/>
      <w:jc w:val="both"/>
    </w:pPr>
    <w:rPr>
      <w:sz w:val="23"/>
    </w:rPr>
  </w:style>
  <w:style w:type="paragraph" w:styleId="Titre1">
    <w:name w:val="heading 1"/>
    <w:basedOn w:val="Normal"/>
    <w:next w:val="Normal"/>
    <w:qFormat/>
    <w:rsid w:val="00E948C4"/>
    <w:pPr>
      <w:keepNext/>
      <w:numPr>
        <w:ilvl w:val="3"/>
        <w:numId w:val="5"/>
      </w:numPr>
      <w:pBdr>
        <w:bottom w:val="single" w:sz="2" w:space="5" w:color="auto"/>
      </w:pBdr>
      <w:tabs>
        <w:tab w:val="left" w:pos="510"/>
      </w:tabs>
      <w:suppressAutoHyphens/>
      <w:spacing w:before="780" w:after="180" w:line="300" w:lineRule="atLeast"/>
      <w:jc w:val="left"/>
      <w:outlineLvl w:val="0"/>
    </w:pPr>
    <w:rPr>
      <w:rFonts w:ascii="Arial" w:hAnsi="Arial"/>
      <w:b/>
      <w:caps/>
      <w:kern w:val="28"/>
      <w:sz w:val="24"/>
    </w:rPr>
  </w:style>
  <w:style w:type="paragraph" w:styleId="Titre2">
    <w:name w:val="heading 2"/>
    <w:basedOn w:val="Normal"/>
    <w:next w:val="Normal"/>
    <w:qFormat/>
    <w:rsid w:val="00E948C4"/>
    <w:pPr>
      <w:keepNext/>
      <w:numPr>
        <w:ilvl w:val="4"/>
        <w:numId w:val="5"/>
      </w:numPr>
      <w:suppressAutoHyphens/>
      <w:spacing w:before="400" w:after="80"/>
      <w:jc w:val="left"/>
      <w:outlineLvl w:val="1"/>
    </w:pPr>
    <w:rPr>
      <w:rFonts w:ascii="Arial" w:hAnsi="Arial"/>
      <w:b/>
      <w:sz w:val="25"/>
    </w:rPr>
  </w:style>
  <w:style w:type="paragraph" w:styleId="Titre3">
    <w:name w:val="heading 3"/>
    <w:basedOn w:val="Normal"/>
    <w:next w:val="Normal"/>
    <w:qFormat/>
    <w:rsid w:val="00E948C4"/>
    <w:pPr>
      <w:keepNext/>
      <w:numPr>
        <w:ilvl w:val="5"/>
        <w:numId w:val="5"/>
      </w:numPr>
      <w:suppressAutoHyphens/>
      <w:spacing w:before="240" w:after="60"/>
      <w:jc w:val="left"/>
      <w:outlineLvl w:val="2"/>
    </w:pPr>
    <w:rPr>
      <w:rFonts w:ascii="Arial" w:hAnsi="Arial"/>
      <w:b/>
      <w:sz w:val="22"/>
    </w:rPr>
  </w:style>
  <w:style w:type="paragraph" w:styleId="Titre4">
    <w:name w:val="heading 4"/>
    <w:basedOn w:val="Normal"/>
    <w:next w:val="Normal"/>
    <w:qFormat/>
    <w:rsid w:val="00E948C4"/>
    <w:pPr>
      <w:keepNext/>
      <w:numPr>
        <w:ilvl w:val="6"/>
        <w:numId w:val="5"/>
      </w:numPr>
      <w:suppressAutoHyphens/>
      <w:spacing w:before="140"/>
      <w:jc w:val="left"/>
      <w:outlineLvl w:val="3"/>
    </w:pPr>
    <w:rPr>
      <w:i/>
      <w:sz w:val="24"/>
    </w:rPr>
  </w:style>
  <w:style w:type="paragraph" w:styleId="Titre5">
    <w:name w:val="heading 5"/>
    <w:basedOn w:val="Normal"/>
    <w:next w:val="Normal"/>
    <w:qFormat/>
    <w:rsid w:val="00E948C4"/>
    <w:pPr>
      <w:keepNext/>
      <w:spacing w:before="360"/>
      <w:outlineLvl w:val="4"/>
    </w:pPr>
    <w:rPr>
      <w:rFonts w:ascii="Arial" w:hAnsi="Arial"/>
      <w:b/>
      <w:spacing w:val="-8"/>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rets">
    <w:name w:val="Tirets"/>
    <w:basedOn w:val="Normal"/>
    <w:rsid w:val="00E948C4"/>
    <w:pPr>
      <w:numPr>
        <w:numId w:val="9"/>
      </w:numPr>
      <w:tabs>
        <w:tab w:val="clear" w:pos="700"/>
        <w:tab w:val="left" w:pos="624"/>
      </w:tabs>
      <w:spacing w:before="30"/>
    </w:pPr>
  </w:style>
  <w:style w:type="paragraph" w:styleId="En-tte">
    <w:name w:val="header"/>
    <w:basedOn w:val="Normal"/>
    <w:semiHidden/>
    <w:rsid w:val="00E948C4"/>
    <w:pPr>
      <w:tabs>
        <w:tab w:val="center" w:pos="4536"/>
        <w:tab w:val="right" w:pos="9072"/>
      </w:tabs>
      <w:jc w:val="center"/>
    </w:pPr>
    <w:rPr>
      <w:i/>
      <w:sz w:val="19"/>
    </w:rPr>
  </w:style>
  <w:style w:type="character" w:styleId="Appelnotedebasdep">
    <w:name w:val="footnote reference"/>
    <w:basedOn w:val="Policepardfaut"/>
    <w:uiPriority w:val="99"/>
    <w:semiHidden/>
    <w:rsid w:val="00E948C4"/>
    <w:rPr>
      <w:vertAlign w:val="superscript"/>
    </w:rPr>
  </w:style>
  <w:style w:type="paragraph" w:styleId="Listenumros">
    <w:name w:val="List Number"/>
    <w:basedOn w:val="Normal"/>
    <w:semiHidden/>
    <w:rsid w:val="00E948C4"/>
    <w:pPr>
      <w:keepNext/>
      <w:numPr>
        <w:numId w:val="6"/>
      </w:numPr>
      <w:ind w:left="357" w:hanging="357"/>
    </w:pPr>
  </w:style>
  <w:style w:type="paragraph" w:customStyle="1" w:styleId="Miseenvaleur">
    <w:name w:val="Mise en valeur"/>
    <w:basedOn w:val="Normal"/>
    <w:rsid w:val="00E948C4"/>
    <w:pPr>
      <w:pBdr>
        <w:top w:val="single" w:sz="2" w:space="8" w:color="auto"/>
        <w:left w:val="single" w:sz="18" w:space="14" w:color="auto"/>
        <w:bottom w:val="single" w:sz="2" w:space="8" w:color="auto"/>
        <w:right w:val="single" w:sz="2" w:space="6" w:color="auto"/>
      </w:pBdr>
      <w:spacing w:before="0"/>
      <w:ind w:left="306" w:right="159"/>
    </w:pPr>
  </w:style>
  <w:style w:type="paragraph" w:styleId="Notedebasdepage">
    <w:name w:val="footnote text"/>
    <w:basedOn w:val="Normal"/>
    <w:link w:val="NotedebasdepageCar"/>
    <w:uiPriority w:val="99"/>
    <w:rsid w:val="00E948C4"/>
    <w:pPr>
      <w:tabs>
        <w:tab w:val="left" w:pos="227"/>
      </w:tabs>
      <w:spacing w:before="30"/>
      <w:ind w:left="227" w:hanging="227"/>
    </w:pPr>
    <w:rPr>
      <w:sz w:val="19"/>
    </w:rPr>
  </w:style>
  <w:style w:type="character" w:styleId="Numrodepage">
    <w:name w:val="page number"/>
    <w:basedOn w:val="Policepardfaut"/>
    <w:semiHidden/>
    <w:rsid w:val="00E948C4"/>
    <w:rPr>
      <w:sz w:val="20"/>
    </w:rPr>
  </w:style>
  <w:style w:type="paragraph" w:customStyle="1" w:styleId="Petitsautdeparagraphe">
    <w:name w:val="Petit saut de paragraphe"/>
    <w:basedOn w:val="Normal"/>
    <w:next w:val="Normal"/>
    <w:rsid w:val="00E948C4"/>
    <w:pPr>
      <w:spacing w:before="0"/>
    </w:pPr>
    <w:rPr>
      <w:sz w:val="12"/>
    </w:rPr>
  </w:style>
  <w:style w:type="paragraph" w:styleId="Pieddepage">
    <w:name w:val="footer"/>
    <w:basedOn w:val="Normal"/>
    <w:semiHidden/>
    <w:rsid w:val="00E948C4"/>
    <w:pPr>
      <w:tabs>
        <w:tab w:val="center" w:pos="4536"/>
        <w:tab w:val="right" w:pos="9072"/>
      </w:tabs>
      <w:jc w:val="left"/>
    </w:pPr>
    <w:rPr>
      <w:sz w:val="20"/>
    </w:rPr>
  </w:style>
  <w:style w:type="paragraph" w:customStyle="1" w:styleId="Pucepournumration">
    <w:name w:val="Puce pour énumération"/>
    <w:basedOn w:val="Normal"/>
    <w:rsid w:val="00E948C4"/>
    <w:pPr>
      <w:numPr>
        <w:numId w:val="7"/>
      </w:numPr>
      <w:tabs>
        <w:tab w:val="clear" w:pos="360"/>
        <w:tab w:val="num" w:pos="340"/>
      </w:tabs>
      <w:spacing w:before="60"/>
    </w:pPr>
  </w:style>
  <w:style w:type="paragraph" w:customStyle="1" w:styleId="Pucepourtitre">
    <w:name w:val="Puce pour titre"/>
    <w:basedOn w:val="Normal"/>
    <w:next w:val="Normal"/>
    <w:rsid w:val="00E948C4"/>
    <w:pPr>
      <w:keepNext/>
      <w:numPr>
        <w:ilvl w:val="7"/>
        <w:numId w:val="5"/>
      </w:numPr>
      <w:suppressAutoHyphens/>
      <w:spacing w:before="180"/>
      <w:jc w:val="left"/>
      <w:outlineLvl w:val="4"/>
    </w:pPr>
    <w:rPr>
      <w:b/>
    </w:rPr>
  </w:style>
  <w:style w:type="paragraph" w:customStyle="1" w:styleId="Pucepourparagraphe">
    <w:name w:val="Puce pour paragraphe"/>
    <w:basedOn w:val="Pucepourtitre"/>
    <w:rsid w:val="00E948C4"/>
    <w:pPr>
      <w:numPr>
        <w:ilvl w:val="0"/>
        <w:numId w:val="8"/>
      </w:numPr>
      <w:tabs>
        <w:tab w:val="clear" w:pos="360"/>
        <w:tab w:val="num" w:pos="340"/>
      </w:tabs>
      <w:spacing w:before="60"/>
      <w:jc w:val="both"/>
      <w:outlineLvl w:val="9"/>
    </w:pPr>
    <w:rPr>
      <w:b w:val="0"/>
    </w:rPr>
  </w:style>
  <w:style w:type="paragraph" w:customStyle="1" w:styleId="Remarqueouexemple">
    <w:name w:val="Remarque ou exemple"/>
    <w:basedOn w:val="Normal"/>
    <w:next w:val="Normal"/>
    <w:rsid w:val="00E948C4"/>
    <w:pPr>
      <w:pBdr>
        <w:left w:val="single" w:sz="4" w:space="6" w:color="auto"/>
      </w:pBdr>
      <w:spacing w:before="0"/>
      <w:ind w:left="160"/>
    </w:pPr>
    <w:rPr>
      <w:i/>
    </w:rPr>
  </w:style>
  <w:style w:type="paragraph" w:customStyle="1" w:styleId="Retraitpuce">
    <w:name w:val="Retrait puce"/>
    <w:basedOn w:val="Normal"/>
    <w:next w:val="Normal"/>
    <w:rsid w:val="00E948C4"/>
    <w:pPr>
      <w:spacing w:before="60"/>
      <w:ind w:left="357"/>
    </w:pPr>
  </w:style>
  <w:style w:type="paragraph" w:styleId="TM1">
    <w:name w:val="toc 1"/>
    <w:basedOn w:val="Normal"/>
    <w:next w:val="Normal"/>
    <w:autoRedefine/>
    <w:semiHidden/>
    <w:rsid w:val="00E948C4"/>
    <w:pPr>
      <w:tabs>
        <w:tab w:val="left" w:pos="510"/>
        <w:tab w:val="right" w:leader="dot" w:pos="8720"/>
      </w:tabs>
      <w:spacing w:after="40"/>
      <w:ind w:left="510" w:right="366" w:hanging="510"/>
      <w:jc w:val="left"/>
    </w:pPr>
    <w:rPr>
      <w:smallCaps/>
      <w:noProof/>
    </w:rPr>
  </w:style>
  <w:style w:type="paragraph" w:styleId="TM2">
    <w:name w:val="toc 2"/>
    <w:basedOn w:val="Normal"/>
    <w:next w:val="Normal"/>
    <w:autoRedefine/>
    <w:semiHidden/>
    <w:rsid w:val="00E948C4"/>
    <w:pPr>
      <w:tabs>
        <w:tab w:val="left" w:pos="935"/>
        <w:tab w:val="right" w:leader="dot" w:pos="8720"/>
      </w:tabs>
      <w:spacing w:before="60"/>
      <w:ind w:left="935" w:right="369" w:hanging="425"/>
      <w:jc w:val="left"/>
    </w:pPr>
    <w:rPr>
      <w:noProof/>
    </w:rPr>
  </w:style>
  <w:style w:type="paragraph" w:styleId="TM3">
    <w:name w:val="toc 3"/>
    <w:basedOn w:val="Normal"/>
    <w:next w:val="Normal"/>
    <w:autoRedefine/>
    <w:semiHidden/>
    <w:rsid w:val="00E948C4"/>
    <w:pPr>
      <w:tabs>
        <w:tab w:val="left" w:pos="1418"/>
        <w:tab w:val="right" w:leader="dot" w:pos="8720"/>
      </w:tabs>
      <w:spacing w:before="20"/>
      <w:ind w:left="1418" w:right="369" w:hanging="482"/>
      <w:jc w:val="left"/>
    </w:pPr>
    <w:rPr>
      <w:noProof/>
    </w:rPr>
  </w:style>
  <w:style w:type="paragraph" w:styleId="TM5">
    <w:name w:val="toc 5"/>
    <w:basedOn w:val="Normal"/>
    <w:next w:val="Normal"/>
    <w:autoRedefine/>
    <w:semiHidden/>
    <w:rsid w:val="00E948C4"/>
    <w:pPr>
      <w:numPr>
        <w:numId w:val="2"/>
      </w:numPr>
      <w:tabs>
        <w:tab w:val="clear" w:pos="1440"/>
        <w:tab w:val="right" w:leader="dot" w:pos="8720"/>
      </w:tabs>
      <w:ind w:left="709" w:right="369"/>
    </w:pPr>
    <w:rPr>
      <w:noProof/>
    </w:rPr>
  </w:style>
  <w:style w:type="paragraph" w:customStyle="1" w:styleId="Sous-titreprincipal">
    <w:name w:val="Sous-titre principal"/>
    <w:basedOn w:val="Normal"/>
    <w:next w:val="Normal"/>
    <w:rsid w:val="00E948C4"/>
    <w:pPr>
      <w:spacing w:before="0" w:after="600"/>
      <w:jc w:val="center"/>
    </w:pPr>
    <w:rPr>
      <w:rFonts w:ascii="Arial" w:hAnsi="Arial"/>
      <w:spacing w:val="-6"/>
      <w:sz w:val="27"/>
    </w:rPr>
  </w:style>
  <w:style w:type="paragraph" w:customStyle="1" w:styleId="Contenudetableau">
    <w:name w:val="Contenu de tableau"/>
    <w:basedOn w:val="Normal"/>
    <w:rsid w:val="00E948C4"/>
    <w:pPr>
      <w:keepNext/>
      <w:suppressAutoHyphens/>
      <w:spacing w:before="40" w:after="40"/>
      <w:jc w:val="left"/>
    </w:pPr>
    <w:rPr>
      <w:sz w:val="19"/>
    </w:rPr>
  </w:style>
  <w:style w:type="paragraph" w:customStyle="1" w:styleId="Titreprincipal">
    <w:name w:val="Titre principal"/>
    <w:basedOn w:val="Normal"/>
    <w:next w:val="Normal"/>
    <w:rsid w:val="00E948C4"/>
    <w:pPr>
      <w:keepNext/>
      <w:pageBreakBefore/>
      <w:numPr>
        <w:ilvl w:val="1"/>
        <w:numId w:val="5"/>
      </w:numPr>
      <w:suppressAutoHyphens/>
      <w:spacing w:before="1200" w:after="600" w:line="480" w:lineRule="exact"/>
      <w:jc w:val="center"/>
      <w:outlineLvl w:val="0"/>
    </w:pPr>
    <w:rPr>
      <w:rFonts w:ascii="Arial" w:hAnsi="Arial"/>
      <w:b/>
      <w:sz w:val="40"/>
    </w:rPr>
  </w:style>
  <w:style w:type="paragraph" w:customStyle="1" w:styleId="Titredannexe">
    <w:name w:val="Titre d'annexe"/>
    <w:basedOn w:val="Normal"/>
    <w:next w:val="Normal"/>
    <w:rsid w:val="00E948C4"/>
    <w:pPr>
      <w:pageBreakBefore/>
      <w:numPr>
        <w:ilvl w:val="2"/>
        <w:numId w:val="5"/>
      </w:numPr>
      <w:suppressAutoHyphens/>
      <w:spacing w:after="960"/>
      <w:jc w:val="center"/>
      <w:outlineLvl w:val="0"/>
    </w:pPr>
    <w:rPr>
      <w:rFonts w:ascii="Arial" w:hAnsi="Arial"/>
      <w:b/>
      <w:sz w:val="28"/>
    </w:rPr>
  </w:style>
  <w:style w:type="paragraph" w:styleId="TM4">
    <w:name w:val="toc 4"/>
    <w:basedOn w:val="Normal"/>
    <w:next w:val="Normal"/>
    <w:autoRedefine/>
    <w:semiHidden/>
    <w:rsid w:val="00E948C4"/>
    <w:pPr>
      <w:ind w:left="690"/>
    </w:pPr>
  </w:style>
  <w:style w:type="paragraph" w:customStyle="1" w:styleId="Titredintercalaire">
    <w:name w:val="Titre d'intercalaire"/>
    <w:basedOn w:val="Normal"/>
    <w:next w:val="Normal"/>
    <w:rsid w:val="00E948C4"/>
    <w:pPr>
      <w:numPr>
        <w:numId w:val="5"/>
      </w:numPr>
      <w:suppressAutoHyphens/>
      <w:spacing w:before="4600" w:line="680" w:lineRule="exact"/>
      <w:jc w:val="left"/>
      <w:outlineLvl w:val="0"/>
    </w:pPr>
    <w:rPr>
      <w:rFonts w:ascii="Arial Black" w:hAnsi="Arial Black"/>
      <w:b/>
      <w:w w:val="90"/>
      <w:sz w:val="48"/>
    </w:rPr>
  </w:style>
  <w:style w:type="paragraph" w:customStyle="1" w:styleId="TitreTabledesmatires">
    <w:name w:val="Titre Table des matières"/>
    <w:basedOn w:val="Normal"/>
    <w:next w:val="Normal"/>
    <w:rsid w:val="00E948C4"/>
    <w:pPr>
      <w:pageBreakBefore/>
      <w:suppressAutoHyphens/>
      <w:spacing w:before="1200" w:after="780" w:line="480" w:lineRule="exact"/>
      <w:jc w:val="center"/>
    </w:pPr>
    <w:rPr>
      <w:rFonts w:ascii="Arial" w:hAnsi="Arial"/>
      <w:b/>
      <w:sz w:val="40"/>
    </w:rPr>
  </w:style>
  <w:style w:type="paragraph" w:customStyle="1" w:styleId="Sous-titredintercalaire">
    <w:name w:val="Sous-titre d'intercalaire"/>
    <w:basedOn w:val="Normal"/>
    <w:rsid w:val="00E948C4"/>
    <w:pPr>
      <w:suppressAutoHyphens/>
      <w:spacing w:before="540"/>
      <w:ind w:left="1276"/>
      <w:jc w:val="left"/>
    </w:pPr>
    <w:rPr>
      <w:rFonts w:ascii="Arial" w:hAnsi="Arial"/>
      <w:b/>
      <w:w w:val="95"/>
      <w:sz w:val="28"/>
    </w:rPr>
  </w:style>
  <w:style w:type="paragraph" w:styleId="Paragraphedeliste">
    <w:name w:val="List Paragraph"/>
    <w:basedOn w:val="Normal"/>
    <w:uiPriority w:val="34"/>
    <w:qFormat/>
    <w:rsid w:val="00152368"/>
    <w:pPr>
      <w:ind w:left="720"/>
      <w:contextualSpacing/>
    </w:pPr>
  </w:style>
  <w:style w:type="character" w:styleId="Marquedecommentaire">
    <w:name w:val="annotation reference"/>
    <w:basedOn w:val="Policepardfaut"/>
    <w:uiPriority w:val="99"/>
    <w:semiHidden/>
    <w:unhideWhenUsed/>
    <w:rsid w:val="00334C7F"/>
    <w:rPr>
      <w:sz w:val="16"/>
      <w:szCs w:val="16"/>
    </w:rPr>
  </w:style>
  <w:style w:type="paragraph" w:styleId="Commentaire">
    <w:name w:val="annotation text"/>
    <w:basedOn w:val="Normal"/>
    <w:link w:val="CommentaireCar"/>
    <w:uiPriority w:val="99"/>
    <w:semiHidden/>
    <w:unhideWhenUsed/>
    <w:rsid w:val="00334C7F"/>
    <w:rPr>
      <w:sz w:val="20"/>
    </w:rPr>
  </w:style>
  <w:style w:type="character" w:customStyle="1" w:styleId="CommentaireCar">
    <w:name w:val="Commentaire Car"/>
    <w:basedOn w:val="Policepardfaut"/>
    <w:link w:val="Commentaire"/>
    <w:uiPriority w:val="99"/>
    <w:semiHidden/>
    <w:rsid w:val="00334C7F"/>
  </w:style>
  <w:style w:type="paragraph" w:styleId="Objetducommentaire">
    <w:name w:val="annotation subject"/>
    <w:basedOn w:val="Commentaire"/>
    <w:next w:val="Commentaire"/>
    <w:link w:val="ObjetducommentaireCar"/>
    <w:uiPriority w:val="99"/>
    <w:semiHidden/>
    <w:unhideWhenUsed/>
    <w:rsid w:val="00334C7F"/>
    <w:rPr>
      <w:b/>
      <w:bCs/>
    </w:rPr>
  </w:style>
  <w:style w:type="character" w:customStyle="1" w:styleId="ObjetducommentaireCar">
    <w:name w:val="Objet du commentaire Car"/>
    <w:basedOn w:val="CommentaireCar"/>
    <w:link w:val="Objetducommentaire"/>
    <w:uiPriority w:val="99"/>
    <w:semiHidden/>
    <w:rsid w:val="00334C7F"/>
    <w:rPr>
      <w:b/>
      <w:bCs/>
    </w:rPr>
  </w:style>
  <w:style w:type="paragraph" w:styleId="Textedebulles">
    <w:name w:val="Balloon Text"/>
    <w:basedOn w:val="Normal"/>
    <w:link w:val="TextedebullesCar"/>
    <w:uiPriority w:val="99"/>
    <w:semiHidden/>
    <w:unhideWhenUsed/>
    <w:rsid w:val="00334C7F"/>
    <w:pPr>
      <w:spacing w:before="0"/>
    </w:pPr>
    <w:rPr>
      <w:rFonts w:ascii="Tahoma" w:hAnsi="Tahoma" w:cs="Tahoma"/>
      <w:sz w:val="16"/>
      <w:szCs w:val="16"/>
    </w:rPr>
  </w:style>
  <w:style w:type="character" w:customStyle="1" w:styleId="TextedebullesCar">
    <w:name w:val="Texte de bulles Car"/>
    <w:basedOn w:val="Policepardfaut"/>
    <w:link w:val="Textedebulles"/>
    <w:uiPriority w:val="99"/>
    <w:semiHidden/>
    <w:rsid w:val="00334C7F"/>
    <w:rPr>
      <w:rFonts w:ascii="Tahoma" w:hAnsi="Tahoma" w:cs="Tahoma"/>
      <w:sz w:val="16"/>
      <w:szCs w:val="16"/>
    </w:rPr>
  </w:style>
  <w:style w:type="character" w:customStyle="1" w:styleId="NotedebasdepageCar">
    <w:name w:val="Note de bas de page Car"/>
    <w:basedOn w:val="Policepardfaut"/>
    <w:link w:val="Notedebasdepage"/>
    <w:uiPriority w:val="99"/>
    <w:rsid w:val="00E12AE8"/>
    <w:rPr>
      <w:sz w:val="19"/>
    </w:rPr>
  </w:style>
  <w:style w:type="character" w:styleId="Lienhypertexte">
    <w:name w:val="Hyperlink"/>
    <w:uiPriority w:val="99"/>
    <w:unhideWhenUsed/>
    <w:rsid w:val="00714688"/>
    <w:rPr>
      <w:color w:val="0000FF"/>
      <w:u w:val="single"/>
    </w:rPr>
  </w:style>
  <w:style w:type="character" w:styleId="Lienhypertextesuivivisit">
    <w:name w:val="FollowedHyperlink"/>
    <w:basedOn w:val="Policepardfaut"/>
    <w:uiPriority w:val="99"/>
    <w:semiHidden/>
    <w:unhideWhenUsed/>
    <w:rsid w:val="00315449"/>
    <w:rPr>
      <w:color w:val="800080" w:themeColor="followedHyperlink"/>
      <w:u w:val="single"/>
    </w:rPr>
  </w:style>
  <w:style w:type="paragraph" w:styleId="Notedefin">
    <w:name w:val="endnote text"/>
    <w:basedOn w:val="Normal"/>
    <w:link w:val="NotedefinCar"/>
    <w:uiPriority w:val="99"/>
    <w:semiHidden/>
    <w:unhideWhenUsed/>
    <w:rsid w:val="0016328D"/>
    <w:pPr>
      <w:spacing w:before="0"/>
    </w:pPr>
    <w:rPr>
      <w:sz w:val="20"/>
    </w:rPr>
  </w:style>
  <w:style w:type="character" w:customStyle="1" w:styleId="NotedefinCar">
    <w:name w:val="Note de fin Car"/>
    <w:basedOn w:val="Policepardfaut"/>
    <w:link w:val="Notedefin"/>
    <w:uiPriority w:val="99"/>
    <w:semiHidden/>
    <w:rsid w:val="0016328D"/>
  </w:style>
  <w:style w:type="character" w:styleId="Appeldenotedefin">
    <w:name w:val="endnote reference"/>
    <w:basedOn w:val="Policepardfaut"/>
    <w:uiPriority w:val="99"/>
    <w:semiHidden/>
    <w:unhideWhenUsed/>
    <w:rsid w:val="0016328D"/>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seau-rosa.eu/spip.php?article738&amp;lang=e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reseau-rosa.eu/spip.php?article657&amp;lang=en" TargetMode="External"/><Relationship Id="rId1" Type="http://schemas.openxmlformats.org/officeDocument/2006/relationships/hyperlink" Target="http://www.reseau-rosa.eu/spip.php?article398&amp;lang=e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4DB0DC-B018-4BC2-8CD0-B7F6B7DB6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2</Pages>
  <Words>1106</Words>
  <Characters>6084</Characters>
  <Application>Microsoft Office Word</Application>
  <DocSecurity>0</DocSecurity>
  <Lines>50</Lines>
  <Paragraphs>14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albyflores_v</dc:creator>
  <cp:lastModifiedBy>albyflores_v</cp:lastModifiedBy>
  <cp:revision>14</cp:revision>
  <cp:lastPrinted>1999-06-29T14:56:00Z</cp:lastPrinted>
  <dcterms:created xsi:type="dcterms:W3CDTF">2012-05-18T08:45:00Z</dcterms:created>
  <dcterms:modified xsi:type="dcterms:W3CDTF">2012-07-02T11:07:00Z</dcterms:modified>
</cp:coreProperties>
</file>