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right"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tblGrid>
      <w:tr w:rsidR="000307B5" w:rsidRPr="00690442" w:rsidTr="00690442">
        <w:tc>
          <w:tcPr>
            <w:tcW w:w="7479" w:type="dxa"/>
          </w:tcPr>
          <w:p w:rsidR="000307B5" w:rsidRPr="00690442" w:rsidRDefault="000307B5" w:rsidP="00690442">
            <w:pPr>
              <w:spacing w:after="0" w:line="240" w:lineRule="auto"/>
              <w:rPr>
                <w:b/>
              </w:rPr>
            </w:pPr>
            <w:r w:rsidRPr="00690442">
              <w:rPr>
                <w:b/>
              </w:rPr>
              <w:t xml:space="preserve">Titre de la consultation : </w:t>
            </w:r>
          </w:p>
          <w:p w:rsidR="000307B5" w:rsidRPr="008F0D81" w:rsidRDefault="000307B5" w:rsidP="00690442">
            <w:pPr>
              <w:spacing w:after="0" w:line="240" w:lineRule="auto"/>
              <w:jc w:val="both"/>
              <w:rPr>
                <w:b/>
                <w:bCs/>
              </w:rPr>
            </w:pPr>
            <w:r w:rsidRPr="008F0D81">
              <w:rPr>
                <w:b/>
                <w:bCs/>
                <w:i/>
                <w:strike/>
                <w:highlight w:val="yellow"/>
              </w:rPr>
              <w:t>RECRUTEMENT D’UN CONSULTANT INTERNATIONAL ET D’UN CONSULTANT NATIONAL POUR</w:t>
            </w:r>
            <w:r w:rsidRPr="008F0D81">
              <w:rPr>
                <w:b/>
                <w:bCs/>
                <w:i/>
                <w:highlight w:val="yellow"/>
              </w:rPr>
              <w:t xml:space="preserve"> L’ELABORATION D’UNE STRATEGIE DE COLLECTE DES DONNEES DU SECTEUR DE LA JUSTICE</w:t>
            </w:r>
          </w:p>
        </w:tc>
      </w:tr>
    </w:tbl>
    <w:p w:rsidR="000307B5" w:rsidRDefault="000307B5" w:rsidP="00E62527">
      <w:pPr>
        <w:spacing w:after="0"/>
        <w:rPr>
          <w:b/>
        </w:rPr>
      </w:pPr>
      <w:r w:rsidRPr="00024EA2">
        <w:rPr>
          <w:b/>
        </w:rPr>
        <w:t>INS Niger</w:t>
      </w:r>
      <w:r w:rsidRPr="00024EA2">
        <w:rPr>
          <w:b/>
        </w:rPr>
        <w:tab/>
      </w:r>
    </w:p>
    <w:p w:rsidR="000307B5" w:rsidRPr="00024EA2" w:rsidRDefault="000307B5">
      <w:pPr>
        <w:rPr>
          <w:b/>
        </w:rPr>
      </w:pPr>
      <w:r>
        <w:rPr>
          <w:b/>
        </w:rPr>
        <w:t>PASTAGEP</w:t>
      </w:r>
      <w:r w:rsidRPr="00024EA2">
        <w:rPr>
          <w:b/>
        </w:rPr>
        <w:tab/>
      </w:r>
      <w:r w:rsidRPr="00024EA2">
        <w:rPr>
          <w:b/>
        </w:rPr>
        <w:tab/>
      </w:r>
    </w:p>
    <w:tbl>
      <w:tblPr>
        <w:tblpPr w:leftFromText="141" w:rightFromText="141" w:vertAnchor="text" w:horzAnchor="margin" w:tblpX="-601" w:tblpY="8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92"/>
        <w:gridCol w:w="615"/>
        <w:gridCol w:w="1134"/>
        <w:gridCol w:w="1042"/>
        <w:gridCol w:w="92"/>
        <w:gridCol w:w="34"/>
        <w:gridCol w:w="1242"/>
        <w:gridCol w:w="1845"/>
        <w:gridCol w:w="567"/>
        <w:gridCol w:w="1134"/>
        <w:gridCol w:w="709"/>
        <w:gridCol w:w="1134"/>
      </w:tblGrid>
      <w:tr w:rsidR="000307B5" w:rsidRPr="00690442" w:rsidTr="00690442">
        <w:tc>
          <w:tcPr>
            <w:tcW w:w="4109" w:type="dxa"/>
            <w:gridSpan w:val="6"/>
          </w:tcPr>
          <w:p w:rsidR="000307B5" w:rsidRPr="00690442" w:rsidRDefault="000307B5" w:rsidP="003E009D">
            <w:pPr>
              <w:spacing w:after="0" w:line="240" w:lineRule="auto"/>
              <w:rPr>
                <w:bCs/>
              </w:rPr>
            </w:pPr>
            <w:r w:rsidRPr="00690442">
              <w:rPr>
                <w:b/>
              </w:rPr>
              <w:t xml:space="preserve">Réf : Action  Subvention : </w:t>
            </w:r>
            <w:r w:rsidRPr="00690442">
              <w:rPr>
                <w:bCs/>
              </w:rPr>
              <w:t>424</w:t>
            </w:r>
          </w:p>
          <w:p w:rsidR="000307B5" w:rsidRPr="00690442" w:rsidRDefault="000307B5" w:rsidP="00690442">
            <w:pPr>
              <w:spacing w:after="0" w:line="240" w:lineRule="auto"/>
              <w:rPr>
                <w:b/>
              </w:rPr>
            </w:pPr>
            <w:r w:rsidRPr="00690442">
              <w:rPr>
                <w:b/>
              </w:rPr>
              <w:t xml:space="preserve">Réf PDES : </w:t>
            </w:r>
            <w:r w:rsidRPr="00690442">
              <w:t>Axe1_Consolidation de la crédibilité et de l’efficacité des institutions publiques</w:t>
            </w:r>
          </w:p>
        </w:tc>
        <w:tc>
          <w:tcPr>
            <w:tcW w:w="3654" w:type="dxa"/>
            <w:gridSpan w:val="3"/>
          </w:tcPr>
          <w:p w:rsidR="000307B5" w:rsidRPr="00690442" w:rsidRDefault="000307B5" w:rsidP="00690442">
            <w:pPr>
              <w:spacing w:after="0" w:line="240" w:lineRule="auto"/>
            </w:pPr>
            <w:r w:rsidRPr="00690442">
              <w:rPr>
                <w:b/>
              </w:rPr>
              <w:t>Date Démarrage prévue</w:t>
            </w:r>
            <w:r w:rsidRPr="00690442">
              <w:t> : 1</w:t>
            </w:r>
            <w:r w:rsidRPr="00690442">
              <w:rPr>
                <w:vertAlign w:val="superscript"/>
              </w:rPr>
              <w:t>er</w:t>
            </w:r>
            <w:r w:rsidRPr="00690442">
              <w:t xml:space="preserve"> Juillet 2013</w:t>
            </w:r>
          </w:p>
        </w:tc>
        <w:tc>
          <w:tcPr>
            <w:tcW w:w="2977" w:type="dxa"/>
            <w:gridSpan w:val="3"/>
          </w:tcPr>
          <w:p w:rsidR="000307B5" w:rsidRPr="00605799" w:rsidRDefault="000307B5" w:rsidP="00605799">
            <w:pPr>
              <w:spacing w:after="0" w:line="240" w:lineRule="auto"/>
              <w:rPr>
                <w:highlight w:val="yellow"/>
              </w:rPr>
            </w:pPr>
            <w:r>
              <w:rPr>
                <w:b/>
                <w:highlight w:val="yellow"/>
              </w:rPr>
              <w:t>Nombre de jours</w:t>
            </w:r>
            <w:r w:rsidRPr="00605799">
              <w:rPr>
                <w:b/>
                <w:highlight w:val="yellow"/>
              </w:rPr>
              <w:t xml:space="preserve"> prévu</w:t>
            </w:r>
            <w:r>
              <w:rPr>
                <w:b/>
                <w:highlight w:val="yellow"/>
              </w:rPr>
              <w:t>s</w:t>
            </w:r>
            <w:r w:rsidRPr="00605799">
              <w:rPr>
                <w:highlight w:val="yellow"/>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6"/>
              <w:gridCol w:w="686"/>
              <w:gridCol w:w="687"/>
              <w:gridCol w:w="687"/>
            </w:tblGrid>
            <w:tr w:rsidR="000307B5" w:rsidRPr="00605799" w:rsidTr="00196A59">
              <w:tc>
                <w:tcPr>
                  <w:tcW w:w="686"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CIS</w:t>
                  </w:r>
                </w:p>
              </w:tc>
              <w:tc>
                <w:tcPr>
                  <w:tcW w:w="686"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CIJ</w:t>
                  </w:r>
                </w:p>
              </w:tc>
              <w:tc>
                <w:tcPr>
                  <w:tcW w:w="687"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CLS</w:t>
                  </w:r>
                </w:p>
              </w:tc>
              <w:tc>
                <w:tcPr>
                  <w:tcW w:w="687"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CLJ</w:t>
                  </w:r>
                </w:p>
              </w:tc>
            </w:tr>
            <w:tr w:rsidR="000307B5" w:rsidRPr="00605799" w:rsidTr="00196A59">
              <w:tc>
                <w:tcPr>
                  <w:tcW w:w="686"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35j</w:t>
                  </w:r>
                </w:p>
              </w:tc>
              <w:tc>
                <w:tcPr>
                  <w:tcW w:w="686"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0</w:t>
                  </w:r>
                </w:p>
              </w:tc>
              <w:tc>
                <w:tcPr>
                  <w:tcW w:w="687"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45j</w:t>
                  </w:r>
                </w:p>
              </w:tc>
              <w:tc>
                <w:tcPr>
                  <w:tcW w:w="687" w:type="dxa"/>
                  <w:tcBorders>
                    <w:top w:val="single" w:sz="4" w:space="0" w:color="auto"/>
                    <w:left w:val="single" w:sz="4" w:space="0" w:color="auto"/>
                    <w:bottom w:val="single" w:sz="4" w:space="0" w:color="auto"/>
                    <w:right w:val="single" w:sz="4" w:space="0" w:color="auto"/>
                  </w:tcBorders>
                </w:tcPr>
                <w:p w:rsidR="000307B5" w:rsidRPr="00196A59" w:rsidRDefault="000307B5" w:rsidP="00196A59">
                  <w:pPr>
                    <w:framePr w:hSpace="141" w:wrap="around" w:vAnchor="text" w:hAnchor="margin" w:x="-601" w:y="84"/>
                    <w:spacing w:after="0" w:line="240" w:lineRule="auto"/>
                    <w:rPr>
                      <w:highlight w:val="yellow"/>
                    </w:rPr>
                  </w:pPr>
                  <w:r w:rsidRPr="00196A59">
                    <w:rPr>
                      <w:highlight w:val="yellow"/>
                    </w:rPr>
                    <w:t>0</w:t>
                  </w:r>
                </w:p>
              </w:tc>
            </w:tr>
          </w:tbl>
          <w:p w:rsidR="000307B5" w:rsidRPr="00605799" w:rsidRDefault="000307B5" w:rsidP="00605799">
            <w:pPr>
              <w:spacing w:after="0" w:line="240" w:lineRule="auto"/>
              <w:rPr>
                <w:highlight w:val="yellow"/>
              </w:rPr>
            </w:pPr>
            <w:r w:rsidRPr="00605799">
              <w:rPr>
                <w:b/>
                <w:bCs/>
                <w:highlight w:val="yellow"/>
              </w:rPr>
              <w:t>Période totale prévue :</w:t>
            </w:r>
            <w:r w:rsidRPr="00605799">
              <w:rPr>
                <w:highlight w:val="yellow"/>
              </w:rPr>
              <w:t xml:space="preserve"> 5 mois</w:t>
            </w:r>
          </w:p>
          <w:p w:rsidR="000307B5" w:rsidRPr="00690442" w:rsidRDefault="000307B5" w:rsidP="00690442">
            <w:pPr>
              <w:spacing w:after="0" w:line="240" w:lineRule="auto"/>
            </w:pPr>
            <w:r w:rsidRPr="00605799">
              <w:rPr>
                <w:highlight w:val="yellow"/>
              </w:rPr>
              <w:t>du 1/07/2013 au 1/11/2013</w:t>
            </w:r>
          </w:p>
        </w:tc>
      </w:tr>
      <w:tr w:rsidR="000307B5" w:rsidRPr="00690442" w:rsidTr="00690442">
        <w:tc>
          <w:tcPr>
            <w:tcW w:w="10740" w:type="dxa"/>
            <w:gridSpan w:val="12"/>
          </w:tcPr>
          <w:p w:rsidR="000307B5" w:rsidRPr="00690442" w:rsidRDefault="000307B5" w:rsidP="00690442">
            <w:pPr>
              <w:spacing w:after="0" w:line="240" w:lineRule="auto"/>
              <w:rPr>
                <w:i/>
              </w:rPr>
            </w:pPr>
            <w:r w:rsidRPr="00690442">
              <w:rPr>
                <w:b/>
              </w:rPr>
              <w:t xml:space="preserve">Bénéficiaire : </w:t>
            </w:r>
            <w:r w:rsidRPr="00690442">
              <w:rPr>
                <w:b/>
                <w:bCs/>
                <w:i/>
              </w:rPr>
              <w:t>Direction des Statistiques /Ministère de la Justice :</w:t>
            </w:r>
          </w:p>
        </w:tc>
      </w:tr>
      <w:tr w:rsidR="000307B5" w:rsidRPr="00690442" w:rsidTr="00690442">
        <w:tc>
          <w:tcPr>
            <w:tcW w:w="10740" w:type="dxa"/>
            <w:gridSpan w:val="12"/>
          </w:tcPr>
          <w:p w:rsidR="000307B5" w:rsidRPr="00690442" w:rsidRDefault="000307B5" w:rsidP="00690442">
            <w:pPr>
              <w:pStyle w:val="ListParagraph"/>
              <w:numPr>
                <w:ilvl w:val="0"/>
                <w:numId w:val="1"/>
              </w:numPr>
              <w:spacing w:after="0" w:line="240" w:lineRule="auto"/>
              <w:ind w:left="-284" w:hanging="10"/>
              <w:rPr>
                <w:b/>
              </w:rPr>
            </w:pPr>
            <w:r w:rsidRPr="00690442">
              <w:rPr>
                <w:b/>
              </w:rPr>
              <w:t>I- Contexte et Justification :</w:t>
            </w:r>
          </w:p>
          <w:p w:rsidR="000307B5" w:rsidRPr="00690442" w:rsidRDefault="000307B5" w:rsidP="00690442">
            <w:pPr>
              <w:spacing w:after="0"/>
              <w:ind w:firstLine="360"/>
              <w:jc w:val="both"/>
            </w:pPr>
            <w:r w:rsidRPr="00690442">
              <w:t>Dans le cadre du renforcement de l’état de droit et de la reforme du secteur de la justice, le Ministère de la justice s’est engagé, à soutenir le processus de la redynamisation du Système Statistique National entamé depuis 2004. C’est à ce titre que le Programme d’appui à la justice et à l’Etat de Droit (PAJED phase I) soutenu par l’Union Européenne a accompagné le ministère dans cette dynamique par la réalisation d’un diagnostic complet du système statistique existant dans le secteur et d’autres missions d’évaluation des indicateurs relatifs à la mise en œuvre dudit programme.</w:t>
            </w:r>
          </w:p>
          <w:p w:rsidR="000307B5" w:rsidRPr="00690442" w:rsidRDefault="000307B5" w:rsidP="00690442">
            <w:pPr>
              <w:spacing w:after="0"/>
              <w:ind w:firstLine="360"/>
              <w:jc w:val="both"/>
            </w:pPr>
            <w:r w:rsidRPr="00690442">
              <w:t xml:space="preserve">Afin d’accélérer le processus de la mise en place d’un système d’information statistique fiable, le ministère de la justice a créé la Direction des Statistiques en 2008 ayant pour mission, entre autres, de collecter, traiter, analyser et diffuser les données relatives au secteur de la justice. </w:t>
            </w:r>
          </w:p>
          <w:p w:rsidR="000307B5" w:rsidRPr="00690442" w:rsidRDefault="000307B5" w:rsidP="00690442">
            <w:pPr>
              <w:spacing w:after="0"/>
              <w:ind w:firstLine="360"/>
              <w:jc w:val="both"/>
            </w:pPr>
            <w:r w:rsidRPr="00690442">
              <w:t>Par ailleurs, dans le cadre du suivi-évaluation de sa mise en œuvre le Plan de Développement Economique et Social (PDES) 2012-</w:t>
            </w:r>
            <w:smartTag w:uri="urn:schemas-microsoft-com:office:smarttags" w:element="metricconverter">
              <w:smartTagPr>
                <w:attr w:name="ProductID" w:val="2015 a"/>
              </w:smartTagPr>
              <w:r w:rsidRPr="00690442">
                <w:t>2015 a</w:t>
              </w:r>
            </w:smartTag>
            <w:r w:rsidRPr="00690442">
              <w:t xml:space="preserve"> mis en exergue le besoin en informations statistiques fiables notamment en matière de gouvernance juridique et judiciaire. En effet, conformément aux orientations stratégiques, ces indicateurs de suivi permettront d’apprécier l’atteinte de l’objectif fixé à savoir l’amélioration du fonctionnement du système juridique et judiciaire. </w:t>
            </w:r>
          </w:p>
          <w:p w:rsidR="000307B5" w:rsidRPr="00690442" w:rsidRDefault="000307B5" w:rsidP="00690442">
            <w:pPr>
              <w:spacing w:after="0"/>
              <w:ind w:firstLine="360"/>
              <w:jc w:val="both"/>
            </w:pPr>
            <w:r w:rsidRPr="00690442">
              <w:t xml:space="preserve">La Direction des Statistiques s’attèle à rassembler ces données et à les mettre à la disposition des utilisateurs conformément à sa mission. Cependant, plusieurs difficultés entravent ces efforts ayant pour conséquence principale la publication tardive des données disponibles. Il s’agit entre autres de l’absence d’un mécanisme de collecte performent, l’insuffisance du personnel, le retard dans la transmission des statistiques annuelles par les juridictions, l’absence d’un logiciel spécifique de traitement des données judiciaires et pénitentiaires, le manque de moyens logistiques, … </w:t>
            </w:r>
          </w:p>
          <w:p w:rsidR="000307B5" w:rsidRPr="00690442" w:rsidRDefault="000307B5" w:rsidP="00690442">
            <w:pPr>
              <w:spacing w:after="0"/>
              <w:ind w:firstLine="360"/>
              <w:jc w:val="both"/>
              <w:rPr>
                <w:b/>
              </w:rPr>
            </w:pPr>
            <w:r w:rsidRPr="00690442">
              <w:t xml:space="preserve">C’est pourquoi, conformément aux orientations de la Stratégie Nationale du Développement de la Statistique (SNDS) qui consistent à mettre un accent particulier sur la mobilisation des statistiques administratives, l’Institut National de la Statistique, à travers le Programme d’appui au Développement du Système Statistique National pour la Promotion de la Gouvernance et le Suivi Evaluation de la Pauvreté (PASTAGEP), envisage d’accompagner la Direction des Statistiques du Ministère de la Justice pour améliorer davantage son système de collecte de données judiciaires et pénitentiaires à travers </w:t>
            </w:r>
            <w:r w:rsidRPr="00690442">
              <w:rPr>
                <w:b/>
              </w:rPr>
              <w:t>l’élaboration d’une stratégie de collecte des données du secteur</w:t>
            </w:r>
            <w:r w:rsidRPr="00690442">
              <w:t>.</w:t>
            </w:r>
          </w:p>
        </w:tc>
      </w:tr>
      <w:tr w:rsidR="000307B5" w:rsidRPr="00690442" w:rsidTr="00690442">
        <w:tc>
          <w:tcPr>
            <w:tcW w:w="10740" w:type="dxa"/>
            <w:gridSpan w:val="12"/>
          </w:tcPr>
          <w:p w:rsidR="000307B5" w:rsidRPr="00690442" w:rsidRDefault="000307B5" w:rsidP="00690442">
            <w:pPr>
              <w:pStyle w:val="ListParagraph"/>
              <w:numPr>
                <w:ilvl w:val="0"/>
                <w:numId w:val="1"/>
              </w:numPr>
              <w:spacing w:after="0" w:line="240" w:lineRule="auto"/>
              <w:ind w:left="284" w:hanging="284"/>
              <w:rPr>
                <w:b/>
              </w:rPr>
            </w:pPr>
            <w:r w:rsidRPr="00690442">
              <w:rPr>
                <w:b/>
              </w:rPr>
              <w:t xml:space="preserve">Objectifs : </w:t>
            </w:r>
          </w:p>
          <w:p w:rsidR="000307B5" w:rsidRPr="00690442" w:rsidRDefault="000307B5" w:rsidP="00690442">
            <w:pPr>
              <w:spacing w:after="0"/>
              <w:jc w:val="both"/>
            </w:pPr>
            <w:r w:rsidRPr="00690442">
              <w:t>L’objectif principal de la présente consultation est de mettre en place un système adéquat, régulier et durable de collecte des données de la justice au Niger. De manière spécifique il s’agit de doter le secteur de la justice d’un document stratégique de collecte de données judiciaires et pénitentiaire.</w:t>
            </w:r>
          </w:p>
          <w:p w:rsidR="000307B5" w:rsidRPr="00690442" w:rsidRDefault="000307B5" w:rsidP="00690442">
            <w:pPr>
              <w:spacing w:after="0" w:line="240" w:lineRule="auto"/>
              <w:rPr>
                <w:b/>
              </w:rPr>
            </w:pPr>
          </w:p>
        </w:tc>
      </w:tr>
      <w:tr w:rsidR="000307B5" w:rsidRPr="00690442" w:rsidTr="00690442">
        <w:tc>
          <w:tcPr>
            <w:tcW w:w="10740" w:type="dxa"/>
            <w:gridSpan w:val="12"/>
          </w:tcPr>
          <w:p w:rsidR="000307B5" w:rsidRPr="00690442" w:rsidRDefault="000307B5" w:rsidP="00690442">
            <w:pPr>
              <w:pStyle w:val="ListParagraph"/>
              <w:numPr>
                <w:ilvl w:val="0"/>
                <w:numId w:val="1"/>
              </w:numPr>
              <w:spacing w:after="0" w:line="240" w:lineRule="auto"/>
              <w:ind w:left="284" w:hanging="284"/>
              <w:jc w:val="both"/>
              <w:rPr>
                <w:b/>
              </w:rPr>
            </w:pPr>
            <w:r w:rsidRPr="00690442">
              <w:rPr>
                <w:b/>
              </w:rPr>
              <w:t xml:space="preserve">Résultat attendu : </w:t>
            </w:r>
          </w:p>
          <w:p w:rsidR="000307B5" w:rsidRPr="00690442" w:rsidRDefault="000307B5" w:rsidP="00690442">
            <w:pPr>
              <w:spacing w:after="0" w:line="240" w:lineRule="auto"/>
              <w:jc w:val="both"/>
              <w:rPr>
                <w:b/>
              </w:rPr>
            </w:pPr>
            <w:r w:rsidRPr="00690442">
              <w:t>Un document de la stratégie est élaboré et validé par les tous les acteurs de la chaine de production des données et les partenaires de la justice. Cette stratégie intègre les objectifs et les axes stratégiques ainsi que le mécanisme de suivi-évaluation et</w:t>
            </w:r>
            <w:r w:rsidRPr="00690442">
              <w:rPr>
                <w:b/>
              </w:rPr>
              <w:t xml:space="preserve"> </w:t>
            </w:r>
            <w:r w:rsidRPr="00690442">
              <w:t>le plan d’action de sa mise en œuvre</w:t>
            </w:r>
          </w:p>
          <w:p w:rsidR="000307B5" w:rsidRPr="00690442" w:rsidRDefault="000307B5" w:rsidP="00690442">
            <w:pPr>
              <w:spacing w:after="0" w:line="240" w:lineRule="auto"/>
              <w:rPr>
                <w:b/>
              </w:rPr>
            </w:pPr>
          </w:p>
        </w:tc>
      </w:tr>
      <w:tr w:rsidR="000307B5" w:rsidRPr="00690442" w:rsidTr="00690442">
        <w:tc>
          <w:tcPr>
            <w:tcW w:w="10740" w:type="dxa"/>
            <w:gridSpan w:val="12"/>
          </w:tcPr>
          <w:p w:rsidR="000307B5" w:rsidRPr="00690442" w:rsidRDefault="000307B5" w:rsidP="00690442">
            <w:pPr>
              <w:spacing w:after="0" w:line="240" w:lineRule="auto"/>
              <w:rPr>
                <w:b/>
              </w:rPr>
            </w:pPr>
            <w:r w:rsidRPr="00690442">
              <w:rPr>
                <w:b/>
              </w:rPr>
              <w:t xml:space="preserve">IV- Activités et méthodologie : </w:t>
            </w:r>
          </w:p>
          <w:p w:rsidR="000307B5" w:rsidRPr="00690442" w:rsidRDefault="000307B5" w:rsidP="00690442">
            <w:pPr>
              <w:pStyle w:val="ListParagraph"/>
              <w:numPr>
                <w:ilvl w:val="1"/>
                <w:numId w:val="4"/>
              </w:numPr>
              <w:spacing w:before="120" w:after="120" w:line="240" w:lineRule="auto"/>
              <w:jc w:val="both"/>
              <w:rPr>
                <w:b/>
              </w:rPr>
            </w:pPr>
            <w:r w:rsidRPr="00690442">
              <w:rPr>
                <w:b/>
              </w:rPr>
              <w:t>Méthodologie de travail</w:t>
            </w:r>
          </w:p>
          <w:p w:rsidR="000307B5" w:rsidRPr="00690442" w:rsidRDefault="000307B5" w:rsidP="00690442">
            <w:pPr>
              <w:spacing w:after="0"/>
              <w:jc w:val="both"/>
            </w:pPr>
            <w:r w:rsidRPr="00690442">
              <w:t>Cette consultation sera effectuée par un consultant international et consultant national. Elle se déroulera en deux étapes avec l’implication de tous les acteurs au niveau central, régional et départemental. En effet, les consultants auront des rencontres avec les responsables de l’administration centrale, des hautes juridictions, des Tribunaux de Grande Instance et des tribunaux d’instance.</w:t>
            </w:r>
          </w:p>
          <w:p w:rsidR="000307B5" w:rsidRPr="00690442" w:rsidRDefault="000307B5" w:rsidP="00690442">
            <w:pPr>
              <w:spacing w:after="0"/>
              <w:jc w:val="both"/>
            </w:pPr>
            <w:r w:rsidRPr="00690442">
              <w:t>La phase d’élaboration du document de la stratégie reposera sur l’analyse de la chaine de collecte des données judiciaires et pénitentiaires qui couvre les juridictions, les établissements pénitentiaires et l’administration centrale du ministère. La Direction des Statistiques mettra à la disposition des consultants toute la documentation disponible.</w:t>
            </w:r>
          </w:p>
          <w:p w:rsidR="000307B5" w:rsidRPr="00690442" w:rsidRDefault="000307B5" w:rsidP="00690442">
            <w:pPr>
              <w:spacing w:after="0"/>
              <w:jc w:val="both"/>
            </w:pPr>
            <w:r w:rsidRPr="00690442">
              <w:t>Quant à la seconde phase, elle est relative à l’organisation d’un atelier de validation dont les consultants seront les principaux animateurs. Cet atelier rassemblera, de façons participatives, les acteurs de la pyramide de collecte et d’autres partenaires en vue d’enrichir, amender et valider le document stratégique proposé. Au paravent un examen interne du draft sera effectué par le bénéficiaire pour s’assurer de sa conformité avec les termes de références.</w:t>
            </w:r>
          </w:p>
          <w:p w:rsidR="000307B5" w:rsidRPr="00690442" w:rsidRDefault="000307B5" w:rsidP="00690442">
            <w:pPr>
              <w:spacing w:after="0"/>
              <w:jc w:val="both"/>
            </w:pPr>
            <w:r w:rsidRPr="00690442">
              <w:t xml:space="preserve"> Les deux consultants se concerteront pour proposer </w:t>
            </w:r>
            <w:r w:rsidRPr="0079119B">
              <w:rPr>
                <w:highlight w:val="yellow"/>
              </w:rPr>
              <w:t>une</w:t>
            </w:r>
            <w:r w:rsidRPr="00690442">
              <w:t xml:space="preserve"> répartition des tâches et un programme détaillé de travail.</w:t>
            </w:r>
          </w:p>
          <w:p w:rsidR="000307B5" w:rsidRPr="00690442" w:rsidRDefault="000307B5" w:rsidP="00690442">
            <w:pPr>
              <w:spacing w:after="0" w:line="240" w:lineRule="auto"/>
            </w:pPr>
          </w:p>
          <w:p w:rsidR="000307B5" w:rsidRPr="00690442" w:rsidRDefault="000307B5" w:rsidP="00690442">
            <w:pPr>
              <w:pStyle w:val="ListParagraph"/>
              <w:numPr>
                <w:ilvl w:val="1"/>
                <w:numId w:val="4"/>
              </w:numPr>
              <w:spacing w:after="0" w:line="240" w:lineRule="auto"/>
              <w:jc w:val="both"/>
              <w:rPr>
                <w:b/>
              </w:rPr>
            </w:pPr>
            <w:r w:rsidRPr="00690442">
              <w:rPr>
                <w:b/>
              </w:rPr>
              <w:t>Travail à faire</w:t>
            </w:r>
            <w:bookmarkStart w:id="0" w:name="_GoBack"/>
            <w:bookmarkEnd w:id="0"/>
          </w:p>
          <w:p w:rsidR="000307B5" w:rsidRPr="00690442" w:rsidRDefault="000307B5" w:rsidP="00690442">
            <w:pPr>
              <w:pStyle w:val="ListParagraph"/>
              <w:numPr>
                <w:ilvl w:val="0"/>
                <w:numId w:val="3"/>
              </w:numPr>
              <w:spacing w:before="120" w:after="120"/>
              <w:ind w:left="426" w:hanging="426"/>
              <w:contextualSpacing w:val="0"/>
              <w:jc w:val="both"/>
            </w:pPr>
            <w:r w:rsidRPr="00690442">
              <w:t>Proposer un programme détaillé de travail ;</w:t>
            </w:r>
          </w:p>
          <w:p w:rsidR="000307B5" w:rsidRPr="00690442" w:rsidRDefault="000307B5" w:rsidP="00690442">
            <w:pPr>
              <w:pStyle w:val="ListParagraph"/>
              <w:numPr>
                <w:ilvl w:val="0"/>
                <w:numId w:val="3"/>
              </w:numPr>
              <w:spacing w:before="120" w:after="120"/>
              <w:ind w:left="426" w:hanging="426"/>
              <w:contextualSpacing w:val="0"/>
              <w:jc w:val="both"/>
            </w:pPr>
            <w:r w:rsidRPr="00690442">
              <w:t>Effectuer des entretiens avec les acteurs au niveau central et au niveau des juridictions et maisons d’arrêt proches de Niamey (TGI hors classe de Niamey ; TGI de Dosso et Tillabéry ; TI de Kollo et Say ; Maisons d’arrêt de Niamey, Kollo et Say);</w:t>
            </w:r>
          </w:p>
          <w:p w:rsidR="000307B5" w:rsidRPr="00690442" w:rsidRDefault="000307B5" w:rsidP="00690442">
            <w:pPr>
              <w:pStyle w:val="ListParagraph"/>
              <w:numPr>
                <w:ilvl w:val="0"/>
                <w:numId w:val="3"/>
              </w:numPr>
              <w:spacing w:before="120" w:after="120"/>
              <w:ind w:left="426" w:hanging="426"/>
              <w:contextualSpacing w:val="0"/>
              <w:jc w:val="both"/>
            </w:pPr>
            <w:r w:rsidRPr="00690442">
              <w:t>Rédiger une stratégie de collecte des statistiques judiciaires et pénitentiaires à partir des informations recueillies et documentations acquises;</w:t>
            </w:r>
          </w:p>
          <w:p w:rsidR="000307B5" w:rsidRPr="00690442" w:rsidRDefault="000307B5" w:rsidP="00690442">
            <w:pPr>
              <w:pStyle w:val="ListParagraph"/>
              <w:numPr>
                <w:ilvl w:val="0"/>
                <w:numId w:val="3"/>
              </w:numPr>
              <w:spacing w:before="120" w:after="120"/>
              <w:ind w:left="426" w:hanging="426"/>
              <w:contextualSpacing w:val="0"/>
              <w:jc w:val="both"/>
            </w:pPr>
            <w:r w:rsidRPr="00690442">
              <w:t>Proposer les objectifs à atteindre, les axes stratégiques, le plan d’action, le mécanisme et les indicateurs de suivi-évaluation pour la mise en œuvre de cette stratégie ;</w:t>
            </w:r>
          </w:p>
          <w:p w:rsidR="000307B5" w:rsidRPr="00690442" w:rsidRDefault="000307B5" w:rsidP="00690442">
            <w:pPr>
              <w:pStyle w:val="ListParagraph"/>
              <w:numPr>
                <w:ilvl w:val="0"/>
                <w:numId w:val="3"/>
              </w:numPr>
              <w:spacing w:before="120" w:after="120"/>
              <w:ind w:left="426" w:hanging="426"/>
              <w:contextualSpacing w:val="0"/>
              <w:jc w:val="both"/>
            </w:pPr>
            <w:r w:rsidRPr="00690442">
              <w:t>Soumettre le premier draft du document stratégique à l’appréciation du bénéficiaire et des acteurs ;</w:t>
            </w:r>
          </w:p>
          <w:p w:rsidR="000307B5" w:rsidRPr="00690442" w:rsidRDefault="000307B5" w:rsidP="00690442">
            <w:pPr>
              <w:pStyle w:val="ListParagraph"/>
              <w:numPr>
                <w:ilvl w:val="0"/>
                <w:numId w:val="3"/>
              </w:numPr>
              <w:spacing w:before="120" w:after="120"/>
              <w:ind w:left="426" w:hanging="426"/>
              <w:contextualSpacing w:val="0"/>
              <w:jc w:val="both"/>
              <w:rPr>
                <w:b/>
              </w:rPr>
            </w:pPr>
            <w:r w:rsidRPr="00690442">
              <w:t>Animer l’atelier de validation dudit document.</w:t>
            </w:r>
          </w:p>
        </w:tc>
      </w:tr>
      <w:tr w:rsidR="000307B5" w:rsidRPr="00690442" w:rsidTr="00690442">
        <w:tc>
          <w:tcPr>
            <w:tcW w:w="10740" w:type="dxa"/>
            <w:gridSpan w:val="12"/>
          </w:tcPr>
          <w:p w:rsidR="000307B5" w:rsidRPr="00690442" w:rsidRDefault="000307B5" w:rsidP="00690442">
            <w:pPr>
              <w:tabs>
                <w:tab w:val="left" w:pos="2977"/>
              </w:tabs>
              <w:spacing w:before="120" w:after="120"/>
              <w:jc w:val="both"/>
              <w:rPr>
                <w:b/>
              </w:rPr>
            </w:pPr>
            <w:r w:rsidRPr="00690442">
              <w:rPr>
                <w:b/>
              </w:rPr>
              <w:t xml:space="preserve">V- Expertise demandée :  </w:t>
            </w:r>
          </w:p>
          <w:p w:rsidR="000307B5" w:rsidRPr="00690442" w:rsidRDefault="000307B5" w:rsidP="00690442">
            <w:pPr>
              <w:tabs>
                <w:tab w:val="left" w:pos="2977"/>
              </w:tabs>
              <w:spacing w:before="120" w:after="120"/>
              <w:jc w:val="both"/>
              <w:rPr>
                <w:b/>
              </w:rPr>
            </w:pPr>
            <w:r w:rsidRPr="00690442">
              <w:rPr>
                <w:b/>
              </w:rPr>
              <w:t>Type  d’expertise</w:t>
            </w:r>
            <w:r w:rsidRPr="00690442">
              <w:t>: expertise internationale et nationale</w:t>
            </w:r>
          </w:p>
          <w:p w:rsidR="000307B5" w:rsidRPr="00690442" w:rsidRDefault="000307B5" w:rsidP="00690442">
            <w:pPr>
              <w:tabs>
                <w:tab w:val="left" w:pos="2977"/>
              </w:tabs>
              <w:spacing w:before="120" w:after="120"/>
              <w:jc w:val="both"/>
            </w:pPr>
            <w:r w:rsidRPr="00690442">
              <w:rPr>
                <w:b/>
              </w:rPr>
              <w:t xml:space="preserve">Durée de la mission de consultation : </w:t>
            </w:r>
            <w:r w:rsidRPr="00690442">
              <w:t>45 jours</w:t>
            </w:r>
          </w:p>
        </w:tc>
      </w:tr>
      <w:tr w:rsidR="000307B5" w:rsidRPr="00690442" w:rsidTr="00690442">
        <w:tc>
          <w:tcPr>
            <w:tcW w:w="2941" w:type="dxa"/>
            <w:gridSpan w:val="3"/>
          </w:tcPr>
          <w:p w:rsidR="000307B5" w:rsidRPr="00690442" w:rsidRDefault="000307B5" w:rsidP="00690442">
            <w:pPr>
              <w:spacing w:after="0" w:line="240" w:lineRule="auto"/>
              <w:rPr>
                <w:b/>
              </w:rPr>
            </w:pPr>
            <w:r w:rsidRPr="00690442">
              <w:rPr>
                <w:b/>
              </w:rPr>
              <w:t>International Cat 1</w:t>
            </w:r>
          </w:p>
        </w:tc>
        <w:tc>
          <w:tcPr>
            <w:tcW w:w="2410" w:type="dxa"/>
            <w:gridSpan w:val="4"/>
          </w:tcPr>
          <w:p w:rsidR="000307B5" w:rsidRPr="00690442" w:rsidRDefault="000307B5" w:rsidP="00690442">
            <w:pPr>
              <w:spacing w:after="0" w:line="240" w:lineRule="auto"/>
              <w:rPr>
                <w:b/>
              </w:rPr>
            </w:pPr>
            <w:r w:rsidRPr="00690442">
              <w:rPr>
                <w:b/>
              </w:rPr>
              <w:t>International Cat 2</w:t>
            </w:r>
          </w:p>
        </w:tc>
        <w:tc>
          <w:tcPr>
            <w:tcW w:w="3546" w:type="dxa"/>
            <w:gridSpan w:val="3"/>
          </w:tcPr>
          <w:p w:rsidR="000307B5" w:rsidRPr="00690442" w:rsidRDefault="000307B5" w:rsidP="00690442">
            <w:pPr>
              <w:spacing w:after="0" w:line="240" w:lineRule="auto"/>
              <w:rPr>
                <w:b/>
              </w:rPr>
            </w:pPr>
            <w:r w:rsidRPr="00690442">
              <w:rPr>
                <w:b/>
              </w:rPr>
              <w:t>Local Cat 1</w:t>
            </w:r>
          </w:p>
        </w:tc>
        <w:tc>
          <w:tcPr>
            <w:tcW w:w="1843" w:type="dxa"/>
            <w:gridSpan w:val="2"/>
          </w:tcPr>
          <w:p w:rsidR="000307B5" w:rsidRPr="00690442" w:rsidRDefault="000307B5" w:rsidP="00690442">
            <w:pPr>
              <w:spacing w:after="0" w:line="240" w:lineRule="auto"/>
              <w:rPr>
                <w:b/>
              </w:rPr>
            </w:pPr>
            <w:r w:rsidRPr="00690442">
              <w:rPr>
                <w:b/>
              </w:rPr>
              <w:t>Local Cat 2</w:t>
            </w:r>
          </w:p>
        </w:tc>
      </w:tr>
      <w:tr w:rsidR="000307B5" w:rsidRPr="00690442" w:rsidTr="00690442">
        <w:tc>
          <w:tcPr>
            <w:tcW w:w="1807" w:type="dxa"/>
            <w:gridSpan w:val="2"/>
          </w:tcPr>
          <w:p w:rsidR="000307B5" w:rsidRPr="00690442" w:rsidRDefault="000307B5" w:rsidP="00690442">
            <w:pPr>
              <w:spacing w:after="0" w:line="240" w:lineRule="auto"/>
            </w:pPr>
            <w:r w:rsidRPr="00690442">
              <w:t xml:space="preserve">Profil </w:t>
            </w:r>
          </w:p>
        </w:tc>
        <w:tc>
          <w:tcPr>
            <w:tcW w:w="1134" w:type="dxa"/>
          </w:tcPr>
          <w:p w:rsidR="000307B5" w:rsidRPr="00690442" w:rsidRDefault="000307B5" w:rsidP="00690442">
            <w:pPr>
              <w:spacing w:after="0" w:line="240" w:lineRule="auto"/>
            </w:pPr>
            <w:r w:rsidRPr="00690442">
              <w:t>Durée (h/j)</w:t>
            </w:r>
          </w:p>
          <w:p w:rsidR="000307B5" w:rsidRPr="00690442" w:rsidRDefault="000307B5" w:rsidP="00690442">
            <w:pPr>
              <w:spacing w:after="0" w:line="240" w:lineRule="auto"/>
            </w:pPr>
          </w:p>
        </w:tc>
        <w:tc>
          <w:tcPr>
            <w:tcW w:w="1042" w:type="dxa"/>
          </w:tcPr>
          <w:p w:rsidR="000307B5" w:rsidRPr="00690442" w:rsidRDefault="000307B5" w:rsidP="00690442">
            <w:pPr>
              <w:spacing w:after="0" w:line="240" w:lineRule="auto"/>
            </w:pPr>
            <w:r w:rsidRPr="00690442">
              <w:t>Profil</w:t>
            </w:r>
          </w:p>
        </w:tc>
        <w:tc>
          <w:tcPr>
            <w:tcW w:w="1368" w:type="dxa"/>
            <w:gridSpan w:val="3"/>
          </w:tcPr>
          <w:p w:rsidR="000307B5" w:rsidRPr="00690442" w:rsidRDefault="000307B5" w:rsidP="00690442">
            <w:pPr>
              <w:spacing w:after="0" w:line="240" w:lineRule="auto"/>
            </w:pPr>
            <w:r w:rsidRPr="00690442">
              <w:t>Durée (h/j)</w:t>
            </w:r>
          </w:p>
        </w:tc>
        <w:tc>
          <w:tcPr>
            <w:tcW w:w="1845" w:type="dxa"/>
          </w:tcPr>
          <w:p w:rsidR="000307B5" w:rsidRPr="00690442" w:rsidRDefault="000307B5" w:rsidP="00690442">
            <w:pPr>
              <w:spacing w:after="0" w:line="240" w:lineRule="auto"/>
            </w:pPr>
            <w:r w:rsidRPr="00690442">
              <w:t xml:space="preserve">Profil  </w:t>
            </w:r>
          </w:p>
        </w:tc>
        <w:tc>
          <w:tcPr>
            <w:tcW w:w="1701" w:type="dxa"/>
            <w:gridSpan w:val="2"/>
          </w:tcPr>
          <w:p w:rsidR="000307B5" w:rsidRPr="00690442" w:rsidRDefault="000307B5" w:rsidP="00690442">
            <w:pPr>
              <w:spacing w:after="0" w:line="240" w:lineRule="auto"/>
            </w:pPr>
            <w:r w:rsidRPr="00690442">
              <w:t>Durée (h/j)</w:t>
            </w:r>
          </w:p>
        </w:tc>
        <w:tc>
          <w:tcPr>
            <w:tcW w:w="709" w:type="dxa"/>
          </w:tcPr>
          <w:p w:rsidR="000307B5" w:rsidRPr="00690442" w:rsidRDefault="000307B5" w:rsidP="00690442">
            <w:pPr>
              <w:spacing w:after="0" w:line="240" w:lineRule="auto"/>
            </w:pPr>
            <w:r w:rsidRPr="00690442">
              <w:t xml:space="preserve">Profil </w:t>
            </w:r>
          </w:p>
        </w:tc>
        <w:tc>
          <w:tcPr>
            <w:tcW w:w="1134" w:type="dxa"/>
          </w:tcPr>
          <w:p w:rsidR="000307B5" w:rsidRPr="00690442" w:rsidRDefault="000307B5" w:rsidP="00690442">
            <w:pPr>
              <w:spacing w:after="0" w:line="240" w:lineRule="auto"/>
            </w:pPr>
            <w:r w:rsidRPr="00690442">
              <w:t>Durée (h/j)</w:t>
            </w:r>
          </w:p>
          <w:p w:rsidR="000307B5" w:rsidRPr="00690442" w:rsidRDefault="000307B5" w:rsidP="00690442">
            <w:pPr>
              <w:spacing w:after="0" w:line="240" w:lineRule="auto"/>
            </w:pPr>
          </w:p>
        </w:tc>
      </w:tr>
      <w:tr w:rsidR="000307B5" w:rsidRPr="00690442" w:rsidTr="00690442">
        <w:tc>
          <w:tcPr>
            <w:tcW w:w="1807" w:type="dxa"/>
            <w:gridSpan w:val="2"/>
          </w:tcPr>
          <w:p w:rsidR="000307B5" w:rsidRPr="00690442" w:rsidRDefault="000307B5" w:rsidP="00690442">
            <w:pPr>
              <w:spacing w:after="0" w:line="240" w:lineRule="auto"/>
              <w:rPr>
                <w:b/>
              </w:rPr>
            </w:pPr>
            <w:r w:rsidRPr="00690442">
              <w:rPr>
                <w:b/>
              </w:rPr>
              <w:t>Statisticien, Planificateur, Spécialiste en suivi-évaluation</w:t>
            </w:r>
          </w:p>
        </w:tc>
        <w:tc>
          <w:tcPr>
            <w:tcW w:w="1134" w:type="dxa"/>
          </w:tcPr>
          <w:p w:rsidR="000307B5" w:rsidRPr="00690442" w:rsidRDefault="000307B5" w:rsidP="00690442">
            <w:pPr>
              <w:spacing w:after="0" w:line="240" w:lineRule="auto"/>
              <w:rPr>
                <w:b/>
              </w:rPr>
            </w:pPr>
            <w:r w:rsidRPr="00690442">
              <w:rPr>
                <w:b/>
              </w:rPr>
              <w:t>35</w:t>
            </w:r>
          </w:p>
        </w:tc>
        <w:tc>
          <w:tcPr>
            <w:tcW w:w="1042" w:type="dxa"/>
          </w:tcPr>
          <w:p w:rsidR="000307B5" w:rsidRPr="00690442" w:rsidRDefault="000307B5" w:rsidP="00690442">
            <w:pPr>
              <w:spacing w:after="0" w:line="240" w:lineRule="auto"/>
              <w:rPr>
                <w:b/>
              </w:rPr>
            </w:pPr>
            <w:r>
              <w:rPr>
                <w:b/>
              </w:rPr>
              <w:t>0</w:t>
            </w:r>
          </w:p>
        </w:tc>
        <w:tc>
          <w:tcPr>
            <w:tcW w:w="1368" w:type="dxa"/>
            <w:gridSpan w:val="3"/>
          </w:tcPr>
          <w:p w:rsidR="000307B5" w:rsidRPr="00690442" w:rsidRDefault="000307B5" w:rsidP="00690442">
            <w:pPr>
              <w:spacing w:after="0" w:line="240" w:lineRule="auto"/>
              <w:rPr>
                <w:b/>
              </w:rPr>
            </w:pPr>
            <w:r>
              <w:rPr>
                <w:b/>
              </w:rPr>
              <w:t>0</w:t>
            </w:r>
          </w:p>
        </w:tc>
        <w:tc>
          <w:tcPr>
            <w:tcW w:w="1845" w:type="dxa"/>
          </w:tcPr>
          <w:p w:rsidR="000307B5" w:rsidRPr="00690442" w:rsidRDefault="000307B5" w:rsidP="00690442">
            <w:pPr>
              <w:spacing w:after="0" w:line="240" w:lineRule="auto"/>
              <w:rPr>
                <w:b/>
              </w:rPr>
            </w:pPr>
            <w:r w:rsidRPr="00690442">
              <w:rPr>
                <w:b/>
              </w:rPr>
              <w:t>Statisticien, Planificateur, Spécialiste en suivi-évaluation</w:t>
            </w:r>
          </w:p>
        </w:tc>
        <w:tc>
          <w:tcPr>
            <w:tcW w:w="1701" w:type="dxa"/>
            <w:gridSpan w:val="2"/>
          </w:tcPr>
          <w:p w:rsidR="000307B5" w:rsidRPr="00690442" w:rsidRDefault="000307B5" w:rsidP="00690442">
            <w:pPr>
              <w:spacing w:after="0" w:line="240" w:lineRule="auto"/>
              <w:rPr>
                <w:b/>
              </w:rPr>
            </w:pPr>
            <w:r w:rsidRPr="00690442">
              <w:rPr>
                <w:b/>
              </w:rPr>
              <w:t>45</w:t>
            </w:r>
          </w:p>
        </w:tc>
        <w:tc>
          <w:tcPr>
            <w:tcW w:w="709" w:type="dxa"/>
          </w:tcPr>
          <w:p w:rsidR="000307B5" w:rsidRPr="00690442" w:rsidRDefault="000307B5" w:rsidP="00690442">
            <w:pPr>
              <w:spacing w:after="0" w:line="240" w:lineRule="auto"/>
              <w:rPr>
                <w:b/>
              </w:rPr>
            </w:pPr>
            <w:r>
              <w:rPr>
                <w:b/>
              </w:rPr>
              <w:t>0</w:t>
            </w:r>
          </w:p>
        </w:tc>
        <w:tc>
          <w:tcPr>
            <w:tcW w:w="1134" w:type="dxa"/>
          </w:tcPr>
          <w:p w:rsidR="000307B5" w:rsidRPr="00690442" w:rsidRDefault="000307B5" w:rsidP="00690442">
            <w:pPr>
              <w:spacing w:after="0" w:line="240" w:lineRule="auto"/>
              <w:rPr>
                <w:b/>
              </w:rPr>
            </w:pPr>
            <w:r>
              <w:rPr>
                <w:b/>
              </w:rPr>
              <w:t>0</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VI- Profil de l’expertise </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Formation</w:t>
            </w:r>
            <w:r w:rsidRPr="00690442">
              <w:t> : Statistique, Planification stratégique, Suivi-Evaluation</w:t>
            </w:r>
          </w:p>
        </w:tc>
      </w:tr>
      <w:tr w:rsidR="000307B5" w:rsidRPr="00690442" w:rsidTr="00690442">
        <w:tc>
          <w:tcPr>
            <w:tcW w:w="10740" w:type="dxa"/>
            <w:gridSpan w:val="12"/>
          </w:tcPr>
          <w:p w:rsidR="000307B5" w:rsidRPr="00690442" w:rsidRDefault="000307B5" w:rsidP="008F0D81">
            <w:pPr>
              <w:tabs>
                <w:tab w:val="left" w:pos="2977"/>
              </w:tabs>
              <w:spacing w:after="0" w:line="240" w:lineRule="auto"/>
              <w:jc w:val="both"/>
            </w:pPr>
            <w:r w:rsidRPr="00690442">
              <w:rPr>
                <w:b/>
              </w:rPr>
              <w:t>Expérience générale</w:t>
            </w:r>
            <w:r w:rsidRPr="00690442">
              <w:t xml:space="preserve"> : </w:t>
            </w:r>
          </w:p>
          <w:p w:rsidR="000307B5" w:rsidRPr="00690442" w:rsidRDefault="000307B5" w:rsidP="008F0D81">
            <w:pPr>
              <w:pStyle w:val="ListParagraph"/>
              <w:tabs>
                <w:tab w:val="left" w:pos="2977"/>
              </w:tabs>
              <w:spacing w:after="0" w:line="240" w:lineRule="auto"/>
              <w:ind w:left="360"/>
              <w:contextualSpacing w:val="0"/>
              <w:jc w:val="both"/>
            </w:pPr>
            <w:r w:rsidRPr="00690442">
              <w:t>Disposer d’une expérience en matière de collecte de données;</w:t>
            </w:r>
          </w:p>
          <w:p w:rsidR="000307B5" w:rsidRPr="00690442" w:rsidRDefault="000307B5" w:rsidP="008F0D81">
            <w:pPr>
              <w:pStyle w:val="ListParagraph"/>
              <w:tabs>
                <w:tab w:val="left" w:pos="2977"/>
              </w:tabs>
              <w:spacing w:after="0" w:line="240" w:lineRule="auto"/>
              <w:ind w:left="360"/>
              <w:contextualSpacing w:val="0"/>
              <w:jc w:val="both"/>
            </w:pPr>
            <w:r w:rsidRPr="00690442">
              <w:t>Disposer d’une expérience en matière d’élaboration des stratégies et plan d’action dans le domaine statistique;</w:t>
            </w:r>
          </w:p>
          <w:p w:rsidR="000307B5" w:rsidRPr="00690442" w:rsidRDefault="000307B5" w:rsidP="008F0D81">
            <w:pPr>
              <w:pStyle w:val="ListParagraph"/>
              <w:tabs>
                <w:tab w:val="left" w:pos="2977"/>
              </w:tabs>
              <w:spacing w:after="0" w:line="240" w:lineRule="auto"/>
              <w:ind w:left="360"/>
              <w:contextualSpacing w:val="0"/>
              <w:jc w:val="both"/>
            </w:pPr>
            <w:r w:rsidRPr="00690442">
              <w:t>Avoir une maîtrise d’élaboration des mécanismes de suivi-évaluation des programmes et projets; </w:t>
            </w:r>
          </w:p>
          <w:p w:rsidR="000307B5" w:rsidRPr="00690442" w:rsidRDefault="000307B5" w:rsidP="008F0D81">
            <w:pPr>
              <w:pStyle w:val="ListParagraph"/>
              <w:tabs>
                <w:tab w:val="left" w:pos="2977"/>
              </w:tabs>
              <w:spacing w:after="0" w:line="240" w:lineRule="auto"/>
              <w:ind w:left="360"/>
              <w:contextualSpacing w:val="0"/>
              <w:jc w:val="both"/>
            </w:pPr>
            <w:r w:rsidRPr="00690442">
              <w:t xml:space="preserve"> Disposer d’excellentes capacités d’animation et de rédaction des rapports;</w:t>
            </w:r>
          </w:p>
        </w:tc>
      </w:tr>
      <w:tr w:rsidR="000307B5" w:rsidRPr="00690442" w:rsidTr="00690442">
        <w:tc>
          <w:tcPr>
            <w:tcW w:w="10740" w:type="dxa"/>
            <w:gridSpan w:val="12"/>
          </w:tcPr>
          <w:p w:rsidR="000307B5" w:rsidRPr="00690442" w:rsidRDefault="000307B5" w:rsidP="008F0D81">
            <w:pPr>
              <w:spacing w:after="0" w:line="240" w:lineRule="auto"/>
            </w:pPr>
            <w:r w:rsidRPr="00690442">
              <w:rPr>
                <w:b/>
              </w:rPr>
              <w:t>Expérience spécifique</w:t>
            </w:r>
            <w:r w:rsidRPr="00690442">
              <w:t> :</w:t>
            </w:r>
          </w:p>
          <w:p w:rsidR="000307B5" w:rsidRPr="00690442" w:rsidRDefault="000307B5" w:rsidP="008F0D81">
            <w:pPr>
              <w:pStyle w:val="ListParagraph"/>
              <w:tabs>
                <w:tab w:val="left" w:pos="2977"/>
              </w:tabs>
              <w:spacing w:after="0" w:line="240" w:lineRule="auto"/>
              <w:ind w:left="360"/>
              <w:contextualSpacing w:val="0"/>
              <w:jc w:val="both"/>
            </w:pPr>
            <w:r w:rsidRPr="00690442">
              <w:t>Connaître le fonctionnement du système judiciaire et pénitentiaire  en général  et celui des pays de l’Afrique de l’Ouest francophone en particulier;</w:t>
            </w:r>
          </w:p>
          <w:p w:rsidR="000307B5" w:rsidRPr="00690442" w:rsidRDefault="000307B5" w:rsidP="008F0D81">
            <w:pPr>
              <w:pStyle w:val="ListParagraph"/>
              <w:tabs>
                <w:tab w:val="left" w:pos="2977"/>
              </w:tabs>
              <w:spacing w:after="0" w:line="240" w:lineRule="auto"/>
              <w:ind w:left="360"/>
              <w:contextualSpacing w:val="0"/>
              <w:jc w:val="both"/>
            </w:pPr>
            <w:r w:rsidRPr="00690442">
              <w:t>Avoir une expérience en matière de la mise en place des systèmes d’information statistique dans le domaine judiciaire et pénitentiaire;</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Langues</w:t>
            </w:r>
            <w:r w:rsidRPr="00690442">
              <w:t> : Français</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Informatique</w:t>
            </w:r>
            <w:r w:rsidRPr="00690442">
              <w:t> : Parfaite maîtrise Microsoft Office</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Autres</w:t>
            </w:r>
            <w:r w:rsidRPr="00690442">
              <w:t> : Etre disponibles durant toute la période de la consultation</w:t>
            </w:r>
          </w:p>
        </w:tc>
      </w:tr>
      <w:tr w:rsidR="000307B5" w:rsidRPr="00690442" w:rsidTr="00690442">
        <w:tc>
          <w:tcPr>
            <w:tcW w:w="10740" w:type="dxa"/>
            <w:gridSpan w:val="12"/>
          </w:tcPr>
          <w:p w:rsidR="000307B5" w:rsidRPr="00690442" w:rsidRDefault="000307B5" w:rsidP="00690442">
            <w:pPr>
              <w:spacing w:after="0" w:line="240" w:lineRule="auto"/>
            </w:pPr>
            <w:r w:rsidRPr="00690442">
              <w:rPr>
                <w:b/>
              </w:rPr>
              <w:t>VII- Chronogramme indicatif </w:t>
            </w:r>
          </w:p>
        </w:tc>
      </w:tr>
      <w:tr w:rsidR="000307B5" w:rsidRPr="00690442" w:rsidTr="00690442">
        <w:tc>
          <w:tcPr>
            <w:tcW w:w="1192" w:type="dxa"/>
          </w:tcPr>
          <w:p w:rsidR="000307B5" w:rsidRPr="00690442" w:rsidRDefault="000307B5" w:rsidP="00690442">
            <w:pPr>
              <w:spacing w:after="0" w:line="240" w:lineRule="auto"/>
            </w:pPr>
          </w:p>
        </w:tc>
        <w:tc>
          <w:tcPr>
            <w:tcW w:w="1749" w:type="dxa"/>
            <w:gridSpan w:val="2"/>
          </w:tcPr>
          <w:p w:rsidR="000307B5" w:rsidRPr="00690442" w:rsidRDefault="000307B5" w:rsidP="00690442">
            <w:pPr>
              <w:spacing w:after="0" w:line="240" w:lineRule="auto"/>
            </w:pPr>
            <w:r w:rsidRPr="00690442">
              <w:t>Durée indicative (h/j)</w:t>
            </w:r>
          </w:p>
        </w:tc>
        <w:tc>
          <w:tcPr>
            <w:tcW w:w="1134" w:type="dxa"/>
            <w:gridSpan w:val="2"/>
          </w:tcPr>
          <w:p w:rsidR="000307B5" w:rsidRPr="00690442" w:rsidRDefault="000307B5" w:rsidP="00690442">
            <w:pPr>
              <w:spacing w:after="0" w:line="240" w:lineRule="auto"/>
            </w:pPr>
            <w:r w:rsidRPr="00690442">
              <w:t>lieu</w:t>
            </w:r>
          </w:p>
        </w:tc>
        <w:tc>
          <w:tcPr>
            <w:tcW w:w="6665" w:type="dxa"/>
            <w:gridSpan w:val="7"/>
          </w:tcPr>
          <w:p w:rsidR="000307B5" w:rsidRPr="00690442" w:rsidRDefault="000307B5" w:rsidP="00690442">
            <w:pPr>
              <w:spacing w:after="0" w:line="240" w:lineRule="auto"/>
            </w:pPr>
            <w:r w:rsidRPr="00690442">
              <w:t>Activités</w:t>
            </w:r>
          </w:p>
        </w:tc>
      </w:tr>
      <w:tr w:rsidR="000307B5" w:rsidRPr="00690442" w:rsidTr="00690442">
        <w:tc>
          <w:tcPr>
            <w:tcW w:w="1192" w:type="dxa"/>
            <w:vMerge w:val="restart"/>
          </w:tcPr>
          <w:p w:rsidR="000307B5" w:rsidRPr="00690442" w:rsidRDefault="000307B5" w:rsidP="00690442">
            <w:pPr>
              <w:spacing w:after="0" w:line="240" w:lineRule="auto"/>
            </w:pPr>
            <w:r w:rsidRPr="00690442">
              <w:t>Phase 1 </w:t>
            </w:r>
          </w:p>
        </w:tc>
        <w:tc>
          <w:tcPr>
            <w:tcW w:w="1749" w:type="dxa"/>
            <w:gridSpan w:val="2"/>
          </w:tcPr>
          <w:p w:rsidR="000307B5" w:rsidRPr="00977539" w:rsidRDefault="000307B5" w:rsidP="00690442">
            <w:pPr>
              <w:spacing w:after="0" w:line="240" w:lineRule="auto"/>
              <w:rPr>
                <w:highlight w:val="yellow"/>
              </w:rPr>
            </w:pPr>
            <w:r w:rsidRPr="00977539">
              <w:rPr>
                <w:b/>
                <w:bCs/>
                <w:highlight w:val="yellow"/>
              </w:rPr>
              <w:t>CI 15 jours</w:t>
            </w:r>
            <w:r w:rsidRPr="00977539">
              <w:rPr>
                <w:highlight w:val="yellow"/>
              </w:rPr>
              <w:t xml:space="preserve"> </w:t>
            </w:r>
          </w:p>
          <w:p w:rsidR="000307B5" w:rsidRPr="00977539" w:rsidRDefault="000307B5" w:rsidP="00690442">
            <w:pPr>
              <w:spacing w:after="0" w:line="240" w:lineRule="auto"/>
              <w:rPr>
                <w:highlight w:val="yellow"/>
              </w:rPr>
            </w:pPr>
            <w:r w:rsidRPr="00977539">
              <w:rPr>
                <w:b/>
                <w:bCs/>
                <w:highlight w:val="yellow"/>
              </w:rPr>
              <w:t>CL 15 jours</w:t>
            </w:r>
            <w:r w:rsidRPr="00977539">
              <w:rPr>
                <w:highlight w:val="yellow"/>
              </w:rPr>
              <w:t xml:space="preserve"> </w:t>
            </w:r>
          </w:p>
        </w:tc>
        <w:tc>
          <w:tcPr>
            <w:tcW w:w="1134" w:type="dxa"/>
            <w:gridSpan w:val="2"/>
          </w:tcPr>
          <w:p w:rsidR="000307B5" w:rsidRPr="00977539" w:rsidRDefault="000307B5" w:rsidP="00690442">
            <w:pPr>
              <w:spacing w:after="0" w:line="240" w:lineRule="auto"/>
            </w:pPr>
            <w:r w:rsidRPr="00977539">
              <w:t xml:space="preserve">Niamey, Dosso, Tillabéry, Kollo et Say </w:t>
            </w:r>
          </w:p>
        </w:tc>
        <w:tc>
          <w:tcPr>
            <w:tcW w:w="6665" w:type="dxa"/>
            <w:gridSpan w:val="7"/>
          </w:tcPr>
          <w:p w:rsidR="000307B5" w:rsidRPr="00690442" w:rsidRDefault="000307B5" w:rsidP="00690442">
            <w:pPr>
              <w:spacing w:after="0" w:line="240" w:lineRule="auto"/>
              <w:jc w:val="both"/>
            </w:pPr>
            <w:r w:rsidRPr="00690442">
              <w:t xml:space="preserve">Rencontre avec les acteurs </w:t>
            </w:r>
          </w:p>
        </w:tc>
      </w:tr>
      <w:tr w:rsidR="000307B5" w:rsidRPr="00690442" w:rsidTr="00690442">
        <w:tc>
          <w:tcPr>
            <w:tcW w:w="1192" w:type="dxa"/>
            <w:vMerge/>
          </w:tcPr>
          <w:p w:rsidR="000307B5" w:rsidRPr="00690442" w:rsidRDefault="000307B5" w:rsidP="00690442">
            <w:pPr>
              <w:spacing w:after="0" w:line="240" w:lineRule="auto"/>
            </w:pPr>
          </w:p>
        </w:tc>
        <w:tc>
          <w:tcPr>
            <w:tcW w:w="1749" w:type="dxa"/>
            <w:gridSpan w:val="2"/>
          </w:tcPr>
          <w:p w:rsidR="000307B5" w:rsidRPr="00977539" w:rsidRDefault="000307B5" w:rsidP="00690442">
            <w:pPr>
              <w:spacing w:after="0" w:line="240" w:lineRule="auto"/>
              <w:rPr>
                <w:highlight w:val="yellow"/>
              </w:rPr>
            </w:pPr>
          </w:p>
        </w:tc>
        <w:tc>
          <w:tcPr>
            <w:tcW w:w="1134" w:type="dxa"/>
            <w:gridSpan w:val="2"/>
          </w:tcPr>
          <w:p w:rsidR="000307B5" w:rsidRPr="00690442" w:rsidRDefault="000307B5" w:rsidP="00690442">
            <w:pPr>
              <w:spacing w:after="0" w:line="240" w:lineRule="auto"/>
            </w:pPr>
          </w:p>
        </w:tc>
        <w:tc>
          <w:tcPr>
            <w:tcW w:w="6665" w:type="dxa"/>
            <w:gridSpan w:val="7"/>
          </w:tcPr>
          <w:p w:rsidR="000307B5" w:rsidRPr="00690442" w:rsidRDefault="000307B5" w:rsidP="00690442">
            <w:pPr>
              <w:spacing w:after="0" w:line="240" w:lineRule="auto"/>
              <w:jc w:val="both"/>
            </w:pPr>
          </w:p>
        </w:tc>
      </w:tr>
      <w:tr w:rsidR="000307B5" w:rsidRPr="00690442" w:rsidTr="00690442">
        <w:tc>
          <w:tcPr>
            <w:tcW w:w="1192" w:type="dxa"/>
            <w:vMerge/>
          </w:tcPr>
          <w:p w:rsidR="000307B5" w:rsidRPr="00690442" w:rsidRDefault="000307B5" w:rsidP="00690442">
            <w:pPr>
              <w:spacing w:after="0" w:line="240" w:lineRule="auto"/>
            </w:pPr>
          </w:p>
        </w:tc>
        <w:tc>
          <w:tcPr>
            <w:tcW w:w="1749" w:type="dxa"/>
            <w:gridSpan w:val="2"/>
          </w:tcPr>
          <w:p w:rsidR="000307B5" w:rsidRPr="008F0D81" w:rsidRDefault="000307B5" w:rsidP="00690442">
            <w:pPr>
              <w:spacing w:after="0" w:line="240" w:lineRule="auto"/>
              <w:rPr>
                <w:b/>
                <w:bCs/>
                <w:highlight w:val="yellow"/>
              </w:rPr>
            </w:pPr>
            <w:r w:rsidRPr="008F0D81">
              <w:rPr>
                <w:b/>
                <w:bCs/>
                <w:highlight w:val="yellow"/>
              </w:rPr>
              <w:t>CI 15 jours</w:t>
            </w:r>
          </w:p>
          <w:p w:rsidR="000307B5" w:rsidRPr="00977539" w:rsidRDefault="000307B5" w:rsidP="00690442">
            <w:pPr>
              <w:spacing w:after="0" w:line="240" w:lineRule="auto"/>
              <w:rPr>
                <w:highlight w:val="yellow"/>
              </w:rPr>
            </w:pPr>
            <w:r w:rsidRPr="00977539">
              <w:rPr>
                <w:b/>
                <w:bCs/>
                <w:highlight w:val="yellow"/>
              </w:rPr>
              <w:t>CL 25 jours</w:t>
            </w:r>
            <w:r w:rsidRPr="00977539">
              <w:rPr>
                <w:highlight w:val="yellow"/>
              </w:rPr>
              <w:t xml:space="preserve">  </w:t>
            </w:r>
          </w:p>
        </w:tc>
        <w:tc>
          <w:tcPr>
            <w:tcW w:w="1134" w:type="dxa"/>
            <w:gridSpan w:val="2"/>
          </w:tcPr>
          <w:p w:rsidR="000307B5" w:rsidRDefault="000307B5" w:rsidP="00690442">
            <w:pPr>
              <w:spacing w:after="0" w:line="240" w:lineRule="auto"/>
            </w:pPr>
            <w:r>
              <w:t>CI hors Niamey</w:t>
            </w:r>
          </w:p>
          <w:p w:rsidR="000307B5" w:rsidRPr="00690442" w:rsidRDefault="000307B5" w:rsidP="008F0D81">
            <w:pPr>
              <w:spacing w:after="0" w:line="240" w:lineRule="auto"/>
            </w:pPr>
            <w:r>
              <w:t xml:space="preserve">CL à </w:t>
            </w:r>
            <w:r w:rsidRPr="00690442">
              <w:t>Niamey</w:t>
            </w:r>
          </w:p>
        </w:tc>
        <w:tc>
          <w:tcPr>
            <w:tcW w:w="6665" w:type="dxa"/>
            <w:gridSpan w:val="7"/>
          </w:tcPr>
          <w:p w:rsidR="000307B5" w:rsidRPr="00690442" w:rsidRDefault="000307B5" w:rsidP="00690442">
            <w:pPr>
              <w:pStyle w:val="ListParagraph"/>
              <w:numPr>
                <w:ilvl w:val="0"/>
                <w:numId w:val="6"/>
              </w:numPr>
              <w:spacing w:after="0" w:line="240" w:lineRule="auto"/>
              <w:jc w:val="both"/>
            </w:pPr>
            <w:r w:rsidRPr="00690442">
              <w:t xml:space="preserve">Rédaction du document stratégique de collecte des données judiciaires et pénitentiaires ; </w:t>
            </w:r>
          </w:p>
          <w:p w:rsidR="000307B5" w:rsidRPr="00690442" w:rsidRDefault="000307B5" w:rsidP="00690442">
            <w:pPr>
              <w:pStyle w:val="ListParagraph"/>
              <w:numPr>
                <w:ilvl w:val="0"/>
                <w:numId w:val="6"/>
              </w:numPr>
              <w:spacing w:after="0" w:line="240" w:lineRule="auto"/>
              <w:jc w:val="both"/>
            </w:pPr>
            <w:r w:rsidRPr="00690442">
              <w:t>Dépôt du draft</w:t>
            </w:r>
          </w:p>
        </w:tc>
      </w:tr>
      <w:tr w:rsidR="000307B5" w:rsidRPr="00690442" w:rsidTr="00690442">
        <w:tc>
          <w:tcPr>
            <w:tcW w:w="1192" w:type="dxa"/>
          </w:tcPr>
          <w:p w:rsidR="000307B5" w:rsidRPr="008F0D81" w:rsidRDefault="000307B5" w:rsidP="00690442">
            <w:pPr>
              <w:spacing w:after="0" w:line="240" w:lineRule="auto"/>
              <w:rPr>
                <w:highlight w:val="yellow"/>
              </w:rPr>
            </w:pPr>
            <w:r w:rsidRPr="008F0D81">
              <w:rPr>
                <w:highlight w:val="yellow"/>
              </w:rPr>
              <w:t>Pour mémoire</w:t>
            </w:r>
          </w:p>
        </w:tc>
        <w:tc>
          <w:tcPr>
            <w:tcW w:w="1749" w:type="dxa"/>
            <w:gridSpan w:val="2"/>
          </w:tcPr>
          <w:p w:rsidR="000307B5" w:rsidRPr="00977539" w:rsidRDefault="000307B5" w:rsidP="00690442">
            <w:pPr>
              <w:spacing w:after="0" w:line="240" w:lineRule="auto"/>
              <w:rPr>
                <w:strike/>
                <w:highlight w:val="yellow"/>
              </w:rPr>
            </w:pPr>
            <w:r w:rsidRPr="00977539">
              <w:rPr>
                <w:b/>
                <w:bCs/>
                <w:strike/>
                <w:highlight w:val="yellow"/>
              </w:rPr>
              <w:t>5 jours</w:t>
            </w:r>
            <w:r w:rsidRPr="00977539">
              <w:rPr>
                <w:strike/>
                <w:highlight w:val="yellow"/>
              </w:rPr>
              <w:t xml:space="preserve"> (hors consultation)</w:t>
            </w:r>
          </w:p>
        </w:tc>
        <w:tc>
          <w:tcPr>
            <w:tcW w:w="1134" w:type="dxa"/>
            <w:gridSpan w:val="2"/>
          </w:tcPr>
          <w:p w:rsidR="000307B5" w:rsidRPr="00977539" w:rsidRDefault="000307B5" w:rsidP="00690442">
            <w:pPr>
              <w:spacing w:after="0" w:line="240" w:lineRule="auto"/>
              <w:rPr>
                <w:strike/>
                <w:highlight w:val="yellow"/>
              </w:rPr>
            </w:pPr>
            <w:r w:rsidRPr="00977539">
              <w:rPr>
                <w:strike/>
                <w:highlight w:val="yellow"/>
              </w:rPr>
              <w:t>Niamey</w:t>
            </w:r>
          </w:p>
        </w:tc>
        <w:tc>
          <w:tcPr>
            <w:tcW w:w="6665" w:type="dxa"/>
            <w:gridSpan w:val="7"/>
          </w:tcPr>
          <w:p w:rsidR="000307B5" w:rsidRPr="00977539" w:rsidRDefault="000307B5" w:rsidP="00690442">
            <w:pPr>
              <w:pStyle w:val="ListParagraph"/>
              <w:numPr>
                <w:ilvl w:val="0"/>
                <w:numId w:val="6"/>
              </w:numPr>
              <w:spacing w:after="0" w:line="240" w:lineRule="auto"/>
              <w:jc w:val="both"/>
              <w:rPr>
                <w:strike/>
                <w:highlight w:val="yellow"/>
              </w:rPr>
            </w:pPr>
            <w:r w:rsidRPr="00977539">
              <w:rPr>
                <w:strike/>
                <w:highlight w:val="yellow"/>
              </w:rPr>
              <w:t xml:space="preserve">Examen interne du draft </w:t>
            </w:r>
          </w:p>
        </w:tc>
      </w:tr>
      <w:tr w:rsidR="000307B5" w:rsidRPr="00690442" w:rsidTr="00690442">
        <w:tc>
          <w:tcPr>
            <w:tcW w:w="1192" w:type="dxa"/>
            <w:vMerge w:val="restart"/>
          </w:tcPr>
          <w:p w:rsidR="000307B5" w:rsidRPr="00690442" w:rsidRDefault="000307B5" w:rsidP="00977539">
            <w:pPr>
              <w:spacing w:after="0" w:line="240" w:lineRule="auto"/>
            </w:pPr>
            <w:r w:rsidRPr="008F0D81">
              <w:rPr>
                <w:highlight w:val="yellow"/>
              </w:rPr>
              <w:t>Phase 2</w:t>
            </w:r>
          </w:p>
        </w:tc>
        <w:tc>
          <w:tcPr>
            <w:tcW w:w="1749" w:type="dxa"/>
            <w:gridSpan w:val="2"/>
          </w:tcPr>
          <w:p w:rsidR="000307B5" w:rsidRPr="00977539" w:rsidRDefault="000307B5" w:rsidP="00977539">
            <w:pPr>
              <w:spacing w:after="0" w:line="240" w:lineRule="auto"/>
              <w:rPr>
                <w:highlight w:val="yellow"/>
              </w:rPr>
            </w:pPr>
            <w:r w:rsidRPr="00977539">
              <w:rPr>
                <w:b/>
                <w:bCs/>
                <w:highlight w:val="yellow"/>
              </w:rPr>
              <w:t>CI 3 jours</w:t>
            </w:r>
            <w:r w:rsidRPr="00977539">
              <w:rPr>
                <w:highlight w:val="yellow"/>
              </w:rPr>
              <w:t xml:space="preserve"> </w:t>
            </w:r>
          </w:p>
          <w:p w:rsidR="000307B5" w:rsidRPr="00977539" w:rsidRDefault="000307B5" w:rsidP="00977539">
            <w:pPr>
              <w:spacing w:after="0" w:line="240" w:lineRule="auto"/>
              <w:rPr>
                <w:highlight w:val="yellow"/>
              </w:rPr>
            </w:pPr>
            <w:r w:rsidRPr="00977539">
              <w:rPr>
                <w:b/>
                <w:bCs/>
                <w:highlight w:val="yellow"/>
              </w:rPr>
              <w:t>CL 3 jours</w:t>
            </w:r>
            <w:r w:rsidRPr="00977539">
              <w:rPr>
                <w:highlight w:val="yellow"/>
              </w:rPr>
              <w:t xml:space="preserve"> </w:t>
            </w:r>
          </w:p>
        </w:tc>
        <w:tc>
          <w:tcPr>
            <w:tcW w:w="1134" w:type="dxa"/>
            <w:gridSpan w:val="2"/>
          </w:tcPr>
          <w:p w:rsidR="000307B5" w:rsidRPr="00690442" w:rsidRDefault="000307B5" w:rsidP="00977539">
            <w:pPr>
              <w:spacing w:after="0" w:line="240" w:lineRule="auto"/>
            </w:pPr>
            <w:r w:rsidRPr="00690442">
              <w:t>Niamey</w:t>
            </w:r>
          </w:p>
        </w:tc>
        <w:tc>
          <w:tcPr>
            <w:tcW w:w="6665" w:type="dxa"/>
            <w:gridSpan w:val="7"/>
          </w:tcPr>
          <w:p w:rsidR="000307B5" w:rsidRPr="00690442" w:rsidRDefault="000307B5" w:rsidP="00977539">
            <w:pPr>
              <w:pStyle w:val="ListParagraph"/>
              <w:numPr>
                <w:ilvl w:val="0"/>
                <w:numId w:val="7"/>
              </w:numPr>
              <w:spacing w:after="0" w:line="240" w:lineRule="auto"/>
            </w:pPr>
            <w:r w:rsidRPr="00690442">
              <w:t>Organisation et tenue de l’atelier de validation du document</w:t>
            </w:r>
          </w:p>
        </w:tc>
      </w:tr>
      <w:tr w:rsidR="000307B5" w:rsidRPr="00690442" w:rsidTr="00690442">
        <w:tc>
          <w:tcPr>
            <w:tcW w:w="1192" w:type="dxa"/>
            <w:vMerge/>
          </w:tcPr>
          <w:p w:rsidR="000307B5" w:rsidRPr="00690442" w:rsidRDefault="000307B5" w:rsidP="00977539">
            <w:pPr>
              <w:spacing w:after="0" w:line="240" w:lineRule="auto"/>
            </w:pPr>
          </w:p>
        </w:tc>
        <w:tc>
          <w:tcPr>
            <w:tcW w:w="1749" w:type="dxa"/>
            <w:gridSpan w:val="2"/>
          </w:tcPr>
          <w:p w:rsidR="000307B5" w:rsidRPr="00977539" w:rsidRDefault="000307B5" w:rsidP="00977539">
            <w:pPr>
              <w:spacing w:after="0" w:line="240" w:lineRule="auto"/>
              <w:rPr>
                <w:highlight w:val="yellow"/>
              </w:rPr>
            </w:pPr>
            <w:r w:rsidRPr="00977539">
              <w:rPr>
                <w:b/>
                <w:bCs/>
                <w:highlight w:val="yellow"/>
              </w:rPr>
              <w:t>CI 2 jours</w:t>
            </w:r>
            <w:r w:rsidRPr="00977539">
              <w:rPr>
                <w:highlight w:val="yellow"/>
              </w:rPr>
              <w:t xml:space="preserve"> </w:t>
            </w:r>
          </w:p>
          <w:p w:rsidR="000307B5" w:rsidRPr="00977539" w:rsidRDefault="000307B5" w:rsidP="00977539">
            <w:pPr>
              <w:spacing w:after="0" w:line="240" w:lineRule="auto"/>
              <w:rPr>
                <w:highlight w:val="yellow"/>
              </w:rPr>
            </w:pPr>
            <w:r w:rsidRPr="00977539">
              <w:rPr>
                <w:b/>
                <w:bCs/>
                <w:highlight w:val="yellow"/>
              </w:rPr>
              <w:t>CL 2 jours</w:t>
            </w:r>
          </w:p>
        </w:tc>
        <w:tc>
          <w:tcPr>
            <w:tcW w:w="1134" w:type="dxa"/>
            <w:gridSpan w:val="2"/>
          </w:tcPr>
          <w:p w:rsidR="000307B5" w:rsidRPr="00690442" w:rsidRDefault="000307B5" w:rsidP="00977539">
            <w:pPr>
              <w:spacing w:after="0" w:line="240" w:lineRule="auto"/>
            </w:pPr>
            <w:r w:rsidRPr="00690442">
              <w:t>Niamey</w:t>
            </w:r>
          </w:p>
        </w:tc>
        <w:tc>
          <w:tcPr>
            <w:tcW w:w="6665" w:type="dxa"/>
            <w:gridSpan w:val="7"/>
          </w:tcPr>
          <w:p w:rsidR="000307B5" w:rsidRPr="00690442" w:rsidRDefault="000307B5" w:rsidP="00977539">
            <w:pPr>
              <w:spacing w:after="0" w:line="240" w:lineRule="auto"/>
            </w:pPr>
            <w:r w:rsidRPr="00690442">
              <w:t>Intégration des observations et Dépôt du document stratégique définitif en 15 exemplaires</w:t>
            </w:r>
          </w:p>
        </w:tc>
      </w:tr>
      <w:tr w:rsidR="000307B5" w:rsidRPr="00690442" w:rsidTr="00690442">
        <w:tc>
          <w:tcPr>
            <w:tcW w:w="10740" w:type="dxa"/>
            <w:gridSpan w:val="12"/>
          </w:tcPr>
          <w:p w:rsidR="000307B5" w:rsidRPr="00690442" w:rsidRDefault="000307B5" w:rsidP="00977539">
            <w:pPr>
              <w:spacing w:after="0" w:line="240" w:lineRule="auto"/>
              <w:rPr>
                <w:b/>
              </w:rPr>
            </w:pPr>
            <w:r w:rsidRPr="00690442">
              <w:rPr>
                <w:b/>
              </w:rPr>
              <w:t>VIII- Rapport :</w:t>
            </w:r>
            <w:r w:rsidRPr="00690442">
              <w:t xml:space="preserve"> Document de la stratégie de collecte des données judiciaires et pénitentiaires</w:t>
            </w:r>
            <w:r w:rsidRPr="00690442">
              <w:rPr>
                <w:b/>
              </w:rPr>
              <w:t xml:space="preserve"> </w:t>
            </w:r>
            <w:r w:rsidRPr="00690442">
              <w:t>en trois parties [diagnostic et description de la stratégie (1), objectifs, axes stratégiques et plan d’action (2), mécanisme de suivi-évaluation (3)]</w:t>
            </w:r>
          </w:p>
        </w:tc>
      </w:tr>
      <w:tr w:rsidR="000307B5" w:rsidRPr="00690442" w:rsidTr="00690442">
        <w:tc>
          <w:tcPr>
            <w:tcW w:w="10740" w:type="dxa"/>
            <w:gridSpan w:val="12"/>
          </w:tcPr>
          <w:p w:rsidR="000307B5" w:rsidRPr="00690442" w:rsidRDefault="000307B5" w:rsidP="00977539">
            <w:pPr>
              <w:spacing w:after="0" w:line="240" w:lineRule="auto"/>
              <w:rPr>
                <w:b/>
              </w:rPr>
            </w:pPr>
            <w:r w:rsidRPr="00690442">
              <w:rPr>
                <w:b/>
              </w:rPr>
              <w:t>IX- Autres informations </w:t>
            </w:r>
            <w:r w:rsidRPr="00690442">
              <w:t xml:space="preserve">: </w:t>
            </w:r>
          </w:p>
        </w:tc>
      </w:tr>
      <w:tr w:rsidR="000307B5" w:rsidRPr="00690442" w:rsidTr="00690442">
        <w:tc>
          <w:tcPr>
            <w:tcW w:w="10740" w:type="dxa"/>
            <w:gridSpan w:val="12"/>
          </w:tcPr>
          <w:p w:rsidR="000307B5" w:rsidRPr="00690442" w:rsidRDefault="000307B5" w:rsidP="00977539">
            <w:pPr>
              <w:spacing w:after="0" w:line="240" w:lineRule="auto"/>
              <w:rPr>
                <w:b/>
              </w:rPr>
            </w:pPr>
            <w:r w:rsidRPr="00690442">
              <w:rPr>
                <w:b/>
              </w:rPr>
              <w:t>X- Budget prévisionnel : Imputation Contrat assistance technique internationale INS/CEPED/UE</w:t>
            </w:r>
          </w:p>
        </w:tc>
      </w:tr>
    </w:tbl>
    <w:p w:rsidR="000307B5" w:rsidRPr="00041322" w:rsidRDefault="000307B5" w:rsidP="002672B0"/>
    <w:sectPr w:rsidR="000307B5" w:rsidRPr="00041322" w:rsidSect="003D66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7B5" w:rsidRDefault="000307B5" w:rsidP="002E5046">
      <w:pPr>
        <w:spacing w:after="0" w:line="240" w:lineRule="auto"/>
      </w:pPr>
      <w:r>
        <w:separator/>
      </w:r>
    </w:p>
  </w:endnote>
  <w:endnote w:type="continuationSeparator" w:id="0">
    <w:p w:rsidR="000307B5" w:rsidRDefault="000307B5" w:rsidP="002E5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Default="000307B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Default="000307B5">
    <w:pPr>
      <w:pStyle w:val="Footer"/>
      <w:jc w:val="right"/>
    </w:pPr>
    <w:fldSimple w:instr="PAGE   \* MERGEFORMAT">
      <w:r>
        <w:rPr>
          <w:noProof/>
        </w:rPr>
        <w:t>1</w:t>
      </w:r>
    </w:fldSimple>
  </w:p>
  <w:p w:rsidR="000307B5" w:rsidRDefault="000307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Default="000307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7B5" w:rsidRDefault="000307B5" w:rsidP="002E5046">
      <w:pPr>
        <w:spacing w:after="0" w:line="240" w:lineRule="auto"/>
      </w:pPr>
      <w:r>
        <w:separator/>
      </w:r>
    </w:p>
  </w:footnote>
  <w:footnote w:type="continuationSeparator" w:id="0">
    <w:p w:rsidR="000307B5" w:rsidRDefault="000307B5" w:rsidP="002E50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Default="000307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Pr="00977539" w:rsidRDefault="000307B5" w:rsidP="00605799">
    <w:pPr>
      <w:pStyle w:val="Header"/>
      <w:rPr>
        <w:b/>
        <w:bCs/>
        <w:i/>
        <w:iCs/>
      </w:rPr>
    </w:pPr>
    <w:r w:rsidRPr="00977539">
      <w:rPr>
        <w:b/>
        <w:bCs/>
        <w:i/>
        <w:iCs/>
      </w:rPr>
      <w:t>TDR09/2013-03/Ministère Justice</w:t>
    </w:r>
    <w:r>
      <w:rPr>
        <w:b/>
        <w:bCs/>
        <w:i/>
        <w:iCs/>
      </w:rPr>
      <w:t xml:space="preserve">    ------ version amendée le 09/04/2013 YC 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5" w:rsidRDefault="000307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B1436"/>
    <w:multiLevelType w:val="hybridMultilevel"/>
    <w:tmpl w:val="50844B16"/>
    <w:lvl w:ilvl="0" w:tplc="CAE09996">
      <w:start w:val="1"/>
      <w:numFmt w:val="decimal"/>
      <w:lvlText w:val="%1."/>
      <w:lvlJc w:val="left"/>
      <w:pPr>
        <w:tabs>
          <w:tab w:val="num" w:pos="720"/>
        </w:tabs>
        <w:ind w:left="720" w:hanging="360"/>
      </w:pPr>
      <w:rPr>
        <w:rFonts w:cs="Times New Roman"/>
        <w:b/>
        <w:sz w:val="28"/>
        <w:szCs w:val="28"/>
      </w:rPr>
    </w:lvl>
    <w:lvl w:ilvl="1" w:tplc="040C0001">
      <w:start w:val="1"/>
      <w:numFmt w:val="bullet"/>
      <w:lvlText w:val=""/>
      <w:lvlJc w:val="left"/>
      <w:pPr>
        <w:tabs>
          <w:tab w:val="num" w:pos="1440"/>
        </w:tabs>
        <w:ind w:left="1440" w:hanging="360"/>
      </w:pPr>
      <w:rPr>
        <w:rFonts w:ascii="Symbol" w:hAnsi="Symbol" w:hint="default"/>
        <w:sz w:val="28"/>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17857B21"/>
    <w:multiLevelType w:val="multilevel"/>
    <w:tmpl w:val="EA402916"/>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
    <w:nsid w:val="27860836"/>
    <w:multiLevelType w:val="hybridMultilevel"/>
    <w:tmpl w:val="6F4EA6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1630167"/>
    <w:multiLevelType w:val="hybridMultilevel"/>
    <w:tmpl w:val="EA206A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576329DB"/>
    <w:multiLevelType w:val="hybridMultilevel"/>
    <w:tmpl w:val="FEB0531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663C53DC"/>
    <w:multiLevelType w:val="hybridMultilevel"/>
    <w:tmpl w:val="3E466760"/>
    <w:lvl w:ilvl="0" w:tplc="ECCC100E">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EDA79DE"/>
    <w:multiLevelType w:val="hybridMultilevel"/>
    <w:tmpl w:val="3D66F2AA"/>
    <w:lvl w:ilvl="0" w:tplc="92B2632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2F26C36"/>
    <w:multiLevelType w:val="hybridMultilevel"/>
    <w:tmpl w:val="E1E6B75C"/>
    <w:lvl w:ilvl="0" w:tplc="F9A004EA">
      <w:start w:val="1"/>
      <w:numFmt w:val="upperRoman"/>
      <w:lvlText w:val="%1-"/>
      <w:lvlJc w:val="left"/>
      <w:pPr>
        <w:ind w:left="720" w:hanging="72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7"/>
  </w:num>
  <w:num w:numId="2">
    <w:abstractNumId w:val="0"/>
  </w:num>
  <w:num w:numId="3">
    <w:abstractNumId w:val="2"/>
  </w:num>
  <w:num w:numId="4">
    <w:abstractNumId w:val="1"/>
  </w:num>
  <w:num w:numId="5">
    <w:abstractNumId w:val="6"/>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CC"/>
    <w:rsid w:val="00024EA2"/>
    <w:rsid w:val="000307B5"/>
    <w:rsid w:val="00041322"/>
    <w:rsid w:val="00070A93"/>
    <w:rsid w:val="00085902"/>
    <w:rsid w:val="000A0B5F"/>
    <w:rsid w:val="000A1965"/>
    <w:rsid w:val="001020CC"/>
    <w:rsid w:val="00117463"/>
    <w:rsid w:val="00125F01"/>
    <w:rsid w:val="001422B5"/>
    <w:rsid w:val="00187145"/>
    <w:rsid w:val="00196A59"/>
    <w:rsid w:val="001A34BB"/>
    <w:rsid w:val="001A4130"/>
    <w:rsid w:val="001C078C"/>
    <w:rsid w:val="001C2DE1"/>
    <w:rsid w:val="002459B2"/>
    <w:rsid w:val="00246033"/>
    <w:rsid w:val="00257894"/>
    <w:rsid w:val="002672B0"/>
    <w:rsid w:val="00272FFB"/>
    <w:rsid w:val="002E5046"/>
    <w:rsid w:val="002F6F9E"/>
    <w:rsid w:val="00333979"/>
    <w:rsid w:val="00352B34"/>
    <w:rsid w:val="0038646D"/>
    <w:rsid w:val="003D669F"/>
    <w:rsid w:val="003E009D"/>
    <w:rsid w:val="00477ABE"/>
    <w:rsid w:val="004E1D74"/>
    <w:rsid w:val="00565B8F"/>
    <w:rsid w:val="0056725A"/>
    <w:rsid w:val="005B1BD4"/>
    <w:rsid w:val="00600CE8"/>
    <w:rsid w:val="00605799"/>
    <w:rsid w:val="00686D0F"/>
    <w:rsid w:val="00690442"/>
    <w:rsid w:val="006B0807"/>
    <w:rsid w:val="006B5BDB"/>
    <w:rsid w:val="006E27C8"/>
    <w:rsid w:val="007159A2"/>
    <w:rsid w:val="007451F7"/>
    <w:rsid w:val="0079119B"/>
    <w:rsid w:val="007C2FC9"/>
    <w:rsid w:val="00804FC8"/>
    <w:rsid w:val="00824D9A"/>
    <w:rsid w:val="00834326"/>
    <w:rsid w:val="008A21C7"/>
    <w:rsid w:val="008A3753"/>
    <w:rsid w:val="008B7B8D"/>
    <w:rsid w:val="008C0834"/>
    <w:rsid w:val="008C7A17"/>
    <w:rsid w:val="008E018B"/>
    <w:rsid w:val="008E47C2"/>
    <w:rsid w:val="008F0D81"/>
    <w:rsid w:val="0090409A"/>
    <w:rsid w:val="00910184"/>
    <w:rsid w:val="00950E24"/>
    <w:rsid w:val="00977539"/>
    <w:rsid w:val="009D67A7"/>
    <w:rsid w:val="009E3FBC"/>
    <w:rsid w:val="009F0E5B"/>
    <w:rsid w:val="00A070E6"/>
    <w:rsid w:val="00A42A40"/>
    <w:rsid w:val="00A46EE6"/>
    <w:rsid w:val="00A5018F"/>
    <w:rsid w:val="00A547AD"/>
    <w:rsid w:val="00A57868"/>
    <w:rsid w:val="00A7177F"/>
    <w:rsid w:val="00A72240"/>
    <w:rsid w:val="00AB4AB5"/>
    <w:rsid w:val="00AD0DC6"/>
    <w:rsid w:val="00AF4B5E"/>
    <w:rsid w:val="00B00452"/>
    <w:rsid w:val="00B645AF"/>
    <w:rsid w:val="00B74412"/>
    <w:rsid w:val="00B938A5"/>
    <w:rsid w:val="00BF2F00"/>
    <w:rsid w:val="00CB21B8"/>
    <w:rsid w:val="00CC0271"/>
    <w:rsid w:val="00D11322"/>
    <w:rsid w:val="00D34A3B"/>
    <w:rsid w:val="00D44158"/>
    <w:rsid w:val="00D56967"/>
    <w:rsid w:val="00D662A0"/>
    <w:rsid w:val="00D66CAF"/>
    <w:rsid w:val="00D90BA1"/>
    <w:rsid w:val="00DD1748"/>
    <w:rsid w:val="00E62527"/>
    <w:rsid w:val="00E70553"/>
    <w:rsid w:val="00E8758D"/>
    <w:rsid w:val="00F27049"/>
    <w:rsid w:val="00F75A73"/>
    <w:rsid w:val="00FA5012"/>
    <w:rsid w:val="00FE6D3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5A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0CC"/>
    <w:rPr>
      <w:rFonts w:ascii="Tahoma" w:hAnsi="Tahoma" w:cs="Tahoma"/>
      <w:sz w:val="16"/>
      <w:szCs w:val="16"/>
    </w:rPr>
  </w:style>
  <w:style w:type="paragraph" w:styleId="Caption">
    <w:name w:val="caption"/>
    <w:basedOn w:val="Normal"/>
    <w:next w:val="Normal"/>
    <w:uiPriority w:val="99"/>
    <w:qFormat/>
    <w:rsid w:val="00A7177F"/>
    <w:pPr>
      <w:spacing w:line="240" w:lineRule="auto"/>
    </w:pPr>
    <w:rPr>
      <w:b/>
      <w:bCs/>
      <w:color w:val="4F81BD"/>
      <w:sz w:val="18"/>
      <w:szCs w:val="18"/>
    </w:rPr>
  </w:style>
  <w:style w:type="table" w:styleId="TableGrid">
    <w:name w:val="Table Grid"/>
    <w:basedOn w:val="TableNormal"/>
    <w:uiPriority w:val="99"/>
    <w:rsid w:val="00024E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uiPriority w:val="99"/>
    <w:rsid w:val="00024EA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62527"/>
    <w:pPr>
      <w:ind w:left="720"/>
      <w:contextualSpacing/>
    </w:pPr>
  </w:style>
  <w:style w:type="paragraph" w:styleId="Header">
    <w:name w:val="header"/>
    <w:basedOn w:val="Normal"/>
    <w:link w:val="HeaderChar"/>
    <w:uiPriority w:val="99"/>
    <w:rsid w:val="002E50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E5046"/>
    <w:rPr>
      <w:rFonts w:cs="Times New Roman"/>
    </w:rPr>
  </w:style>
  <w:style w:type="paragraph" w:styleId="Footer">
    <w:name w:val="footer"/>
    <w:basedOn w:val="Normal"/>
    <w:link w:val="FooterChar"/>
    <w:uiPriority w:val="99"/>
    <w:rsid w:val="002E50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E504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964</TotalTime>
  <Pages>3</Pages>
  <Words>1281</Words>
  <Characters>7049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duluc</cp:lastModifiedBy>
  <cp:revision>7</cp:revision>
  <cp:lastPrinted>2013-04-08T16:06:00Z</cp:lastPrinted>
  <dcterms:created xsi:type="dcterms:W3CDTF">2013-03-19T14:00:00Z</dcterms:created>
  <dcterms:modified xsi:type="dcterms:W3CDTF">2013-04-09T09:11:00Z</dcterms:modified>
</cp:coreProperties>
</file>