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1FD80" w14:textId="77777777" w:rsidR="002A7774" w:rsidRPr="00703706" w:rsidRDefault="002A7774" w:rsidP="002A7774">
      <w:pPr>
        <w:jc w:val="center"/>
        <w:rPr>
          <w:rFonts w:ascii="Arial Narrow" w:hAnsi="Arial Narrow" w:cs="Arial"/>
          <w:b/>
          <w:color w:val="1F497D"/>
          <w:sz w:val="48"/>
          <w:szCs w:val="48"/>
          <w:lang w:val="en-GB"/>
        </w:rPr>
      </w:pPr>
    </w:p>
    <w:p w14:paraId="3F36DB9C" w14:textId="77777777" w:rsidR="002A7774" w:rsidRPr="00703706" w:rsidRDefault="002A7774" w:rsidP="002A7774">
      <w:pPr>
        <w:jc w:val="center"/>
        <w:rPr>
          <w:rFonts w:ascii="Arial Narrow" w:hAnsi="Arial Narrow" w:cs="Arial"/>
          <w:b/>
          <w:color w:val="1F497D"/>
          <w:sz w:val="48"/>
          <w:szCs w:val="48"/>
          <w:lang w:val="en-GB"/>
        </w:rPr>
      </w:pPr>
    </w:p>
    <w:p w14:paraId="3693CDC8" w14:textId="77777777" w:rsidR="009E03A8" w:rsidRDefault="009E03A8" w:rsidP="007F1F27">
      <w:pPr>
        <w:jc w:val="center"/>
        <w:rPr>
          <w:rFonts w:ascii="Arial Narrow" w:hAnsi="Arial Narrow" w:cs="Arial"/>
          <w:b/>
          <w:color w:val="1F497D"/>
          <w:sz w:val="36"/>
          <w:szCs w:val="36"/>
          <w:lang w:val="en-GB"/>
        </w:rPr>
      </w:pPr>
    </w:p>
    <w:p w14:paraId="5F4A50E3" w14:textId="77777777" w:rsidR="00F5254B" w:rsidRDefault="00F5254B" w:rsidP="007F1F27">
      <w:pPr>
        <w:jc w:val="center"/>
        <w:rPr>
          <w:rFonts w:ascii="Arial Narrow" w:hAnsi="Arial Narrow" w:cs="Arial"/>
          <w:b/>
          <w:color w:val="1F497D"/>
          <w:sz w:val="36"/>
          <w:szCs w:val="36"/>
          <w:lang w:val="en-GB"/>
        </w:rPr>
      </w:pPr>
    </w:p>
    <w:p w14:paraId="410E0F7F" w14:textId="77777777" w:rsidR="00F5254B" w:rsidRDefault="00F5254B" w:rsidP="007F1F27">
      <w:pPr>
        <w:jc w:val="center"/>
        <w:rPr>
          <w:rFonts w:ascii="Arial Narrow" w:hAnsi="Arial Narrow" w:cs="Arial"/>
          <w:b/>
          <w:color w:val="1F497D"/>
          <w:sz w:val="36"/>
          <w:szCs w:val="36"/>
          <w:lang w:val="en-GB"/>
        </w:rPr>
      </w:pPr>
    </w:p>
    <w:p w14:paraId="53755EB7" w14:textId="77777777" w:rsidR="00F5254B" w:rsidRDefault="00F5254B" w:rsidP="007F1F27">
      <w:pPr>
        <w:jc w:val="center"/>
        <w:rPr>
          <w:rFonts w:ascii="Arial Narrow" w:hAnsi="Arial Narrow" w:cs="Arial"/>
          <w:b/>
          <w:color w:val="1F497D"/>
          <w:sz w:val="36"/>
          <w:szCs w:val="36"/>
          <w:lang w:val="en-GB"/>
        </w:rPr>
      </w:pPr>
    </w:p>
    <w:p w14:paraId="58BF7BAE" w14:textId="77777777" w:rsidR="00F5254B" w:rsidRDefault="00F5254B" w:rsidP="007F1F27">
      <w:pPr>
        <w:jc w:val="center"/>
        <w:rPr>
          <w:rFonts w:ascii="Arial Narrow" w:hAnsi="Arial Narrow" w:cs="Arial"/>
          <w:b/>
          <w:color w:val="1F497D"/>
          <w:sz w:val="36"/>
          <w:szCs w:val="36"/>
          <w:lang w:val="en-GB"/>
        </w:rPr>
      </w:pPr>
    </w:p>
    <w:p w14:paraId="44F89CF3" w14:textId="77777777" w:rsidR="00F5254B" w:rsidRDefault="00F5254B" w:rsidP="007F1F27">
      <w:pPr>
        <w:jc w:val="center"/>
        <w:rPr>
          <w:rFonts w:ascii="Arial Narrow" w:hAnsi="Arial Narrow" w:cs="Arial"/>
          <w:b/>
          <w:color w:val="1F497D"/>
          <w:sz w:val="36"/>
          <w:szCs w:val="36"/>
          <w:lang w:val="en-GB"/>
        </w:rPr>
      </w:pPr>
    </w:p>
    <w:p w14:paraId="10A9EED9" w14:textId="77777777" w:rsidR="00F5254B" w:rsidRDefault="00F5254B" w:rsidP="007F1F27">
      <w:pPr>
        <w:jc w:val="center"/>
        <w:rPr>
          <w:rFonts w:ascii="Arial Narrow" w:hAnsi="Arial Narrow" w:cs="Arial"/>
          <w:b/>
          <w:color w:val="1F497D"/>
          <w:sz w:val="36"/>
          <w:szCs w:val="36"/>
          <w:lang w:val="en-GB"/>
        </w:rPr>
      </w:pPr>
    </w:p>
    <w:p w14:paraId="623CA2C4" w14:textId="77777777" w:rsidR="00F5254B" w:rsidRPr="00703706" w:rsidRDefault="00F5254B" w:rsidP="007F1F27">
      <w:pPr>
        <w:jc w:val="center"/>
        <w:rPr>
          <w:rFonts w:asciiTheme="minorHAnsi" w:hAnsiTheme="minorHAnsi" w:cstheme="minorHAnsi"/>
          <w:b/>
          <w:color w:val="1F497D"/>
          <w:szCs w:val="28"/>
          <w:lang w:val="en-GB"/>
        </w:rPr>
      </w:pPr>
    </w:p>
    <w:p w14:paraId="4B3D3249" w14:textId="77777777" w:rsidR="009E03A8" w:rsidRPr="00703706" w:rsidRDefault="009E03A8" w:rsidP="007F1F27">
      <w:pPr>
        <w:jc w:val="center"/>
        <w:rPr>
          <w:rFonts w:asciiTheme="minorHAnsi" w:hAnsiTheme="minorHAnsi" w:cstheme="minorHAnsi"/>
          <w:b/>
          <w:color w:val="1F497D"/>
          <w:szCs w:val="28"/>
          <w:lang w:val="en-GB"/>
        </w:rPr>
      </w:pPr>
    </w:p>
    <w:p w14:paraId="05BF08BE" w14:textId="77777777" w:rsidR="009E03A8" w:rsidRPr="00703706" w:rsidRDefault="009E03A8" w:rsidP="007F1F27">
      <w:pPr>
        <w:jc w:val="center"/>
        <w:rPr>
          <w:rFonts w:asciiTheme="minorHAnsi" w:hAnsiTheme="minorHAnsi" w:cstheme="minorHAnsi"/>
          <w:b/>
          <w:color w:val="1F497D"/>
          <w:szCs w:val="28"/>
          <w:lang w:val="en-GB"/>
        </w:rPr>
      </w:pPr>
    </w:p>
    <w:p w14:paraId="0CBF1BEC" w14:textId="77777777" w:rsidR="009E03A8" w:rsidRPr="00D410C4" w:rsidRDefault="00F5254B" w:rsidP="007F1F27">
      <w:pPr>
        <w:jc w:val="center"/>
        <w:rPr>
          <w:rFonts w:ascii="Arial" w:hAnsi="Arial" w:cs="Arial"/>
          <w:b/>
          <w:i/>
          <w:color w:val="1F497D"/>
          <w:sz w:val="36"/>
          <w:szCs w:val="36"/>
          <w:lang w:val="en-GB"/>
        </w:rPr>
      </w:pPr>
      <w:r>
        <w:rPr>
          <w:rFonts w:ascii="Arial" w:hAnsi="Arial" w:cs="Arial"/>
          <w:b/>
          <w:i/>
          <w:color w:val="1F497D"/>
          <w:sz w:val="36"/>
          <w:szCs w:val="36"/>
          <w:lang w:val="en-GB"/>
        </w:rPr>
        <w:t>Country-led environmental and climate change mainstreaming (specialist course)</w:t>
      </w:r>
    </w:p>
    <w:p w14:paraId="1A9ED75F" w14:textId="77777777" w:rsidR="009E03A8" w:rsidRPr="00703706" w:rsidRDefault="009E03A8" w:rsidP="007F1F27">
      <w:pPr>
        <w:jc w:val="center"/>
        <w:rPr>
          <w:rFonts w:asciiTheme="minorHAnsi" w:hAnsiTheme="minorHAnsi" w:cstheme="minorHAnsi"/>
          <w:b/>
          <w:color w:val="1F497D"/>
          <w:szCs w:val="28"/>
          <w:lang w:val="en-GB"/>
        </w:rPr>
      </w:pPr>
    </w:p>
    <w:p w14:paraId="5AB9188C" w14:textId="77777777" w:rsidR="009E03A8" w:rsidRPr="00703706" w:rsidRDefault="009E03A8" w:rsidP="007F1F27">
      <w:pPr>
        <w:jc w:val="center"/>
        <w:rPr>
          <w:rFonts w:asciiTheme="minorHAnsi" w:hAnsiTheme="minorHAnsi" w:cstheme="minorHAnsi"/>
          <w:b/>
          <w:color w:val="1F497D"/>
          <w:szCs w:val="28"/>
          <w:lang w:val="en-GB"/>
        </w:rPr>
      </w:pPr>
    </w:p>
    <w:p w14:paraId="09EFA62D" w14:textId="77777777" w:rsidR="002A7774" w:rsidRPr="00703706" w:rsidRDefault="002A7774" w:rsidP="007F1F27">
      <w:pPr>
        <w:jc w:val="center"/>
        <w:rPr>
          <w:rFonts w:asciiTheme="minorHAnsi" w:hAnsiTheme="minorHAnsi" w:cstheme="minorHAnsi"/>
          <w:b/>
          <w:color w:val="1F497D"/>
          <w:szCs w:val="28"/>
          <w:lang w:val="en-GB"/>
        </w:rPr>
      </w:pPr>
    </w:p>
    <w:p w14:paraId="49C6D4BA" w14:textId="77777777" w:rsidR="002A7774" w:rsidRPr="00703706" w:rsidRDefault="002A7774" w:rsidP="007F1F27">
      <w:pPr>
        <w:jc w:val="center"/>
        <w:rPr>
          <w:rFonts w:asciiTheme="minorHAnsi" w:hAnsiTheme="minorHAnsi" w:cstheme="minorHAnsi"/>
          <w:b/>
          <w:color w:val="1F497D"/>
          <w:szCs w:val="28"/>
          <w:lang w:val="en-GB"/>
        </w:rPr>
      </w:pPr>
    </w:p>
    <w:p w14:paraId="6BDBCF3D" w14:textId="77777777" w:rsidR="002A7774" w:rsidRPr="00703706" w:rsidRDefault="002A7774" w:rsidP="007F1F27">
      <w:pPr>
        <w:jc w:val="center"/>
        <w:rPr>
          <w:rFonts w:asciiTheme="minorHAnsi" w:hAnsiTheme="minorHAnsi" w:cstheme="minorHAnsi"/>
          <w:b/>
          <w:color w:val="1F497D"/>
          <w:szCs w:val="28"/>
          <w:lang w:val="en-GB"/>
        </w:rPr>
      </w:pPr>
    </w:p>
    <w:p w14:paraId="6AAA5809" w14:textId="77777777" w:rsidR="002A7774" w:rsidRPr="00D410C4" w:rsidRDefault="002A7774" w:rsidP="009E03A8">
      <w:pPr>
        <w:jc w:val="center"/>
        <w:rPr>
          <w:rFonts w:ascii="Arial" w:hAnsi="Arial" w:cs="Arial"/>
          <w:b/>
          <w:caps/>
          <w:sz w:val="36"/>
          <w:szCs w:val="36"/>
          <w:lang w:val="en-GB"/>
        </w:rPr>
      </w:pPr>
      <w:r w:rsidRPr="00D410C4">
        <w:rPr>
          <w:rFonts w:ascii="Arial" w:hAnsi="Arial" w:cs="Arial"/>
          <w:b/>
          <w:caps/>
          <w:sz w:val="36"/>
          <w:szCs w:val="36"/>
          <w:lang w:val="en-GB"/>
        </w:rPr>
        <w:t>Handout for participants</w:t>
      </w:r>
    </w:p>
    <w:p w14:paraId="24003B4C" w14:textId="77777777" w:rsidR="002A7774" w:rsidRPr="00703706" w:rsidRDefault="002A7774" w:rsidP="009E03A8">
      <w:pPr>
        <w:jc w:val="center"/>
        <w:rPr>
          <w:rFonts w:ascii="Arial" w:hAnsi="Arial" w:cs="Arial"/>
          <w:b/>
          <w:sz w:val="40"/>
          <w:szCs w:val="40"/>
          <w:lang w:val="en-GB"/>
        </w:rPr>
      </w:pPr>
    </w:p>
    <w:p w14:paraId="37EF86E9" w14:textId="77777777" w:rsidR="002A7774" w:rsidRPr="00703706" w:rsidRDefault="002A7774" w:rsidP="002A7774">
      <w:pPr>
        <w:jc w:val="center"/>
        <w:rPr>
          <w:rFonts w:asciiTheme="minorHAnsi" w:hAnsiTheme="minorHAnsi" w:cstheme="minorHAnsi"/>
          <w:b/>
          <w:szCs w:val="28"/>
          <w:lang w:val="en-GB"/>
        </w:rPr>
      </w:pPr>
      <w:r w:rsidRPr="00703706">
        <w:rPr>
          <w:rFonts w:asciiTheme="minorHAnsi" w:hAnsiTheme="minorHAnsi" w:cstheme="minorHAnsi"/>
          <w:b/>
          <w:szCs w:val="28"/>
          <w:lang w:val="en-GB"/>
        </w:rPr>
        <w:t>---</w:t>
      </w:r>
    </w:p>
    <w:p w14:paraId="7B176A3D" w14:textId="77777777" w:rsidR="002A7774" w:rsidRPr="00703706" w:rsidRDefault="002A7774" w:rsidP="009E03A8">
      <w:pPr>
        <w:jc w:val="center"/>
        <w:rPr>
          <w:rFonts w:ascii="Arial" w:hAnsi="Arial" w:cs="Arial"/>
          <w:b/>
          <w:sz w:val="40"/>
          <w:szCs w:val="40"/>
          <w:lang w:val="en-GB"/>
        </w:rPr>
      </w:pPr>
    </w:p>
    <w:p w14:paraId="4C539EF2" w14:textId="77777777" w:rsidR="00541080" w:rsidRPr="00D410C4" w:rsidRDefault="00541080" w:rsidP="009E03A8">
      <w:pPr>
        <w:jc w:val="center"/>
        <w:rPr>
          <w:rFonts w:ascii="Arial" w:hAnsi="Arial" w:cs="Arial"/>
          <w:b/>
          <w:sz w:val="36"/>
          <w:szCs w:val="36"/>
          <w:lang w:val="en-GB"/>
        </w:rPr>
      </w:pPr>
      <w:r w:rsidRPr="00D410C4">
        <w:rPr>
          <w:rFonts w:ascii="Arial" w:hAnsi="Arial" w:cs="Arial"/>
          <w:b/>
          <w:sz w:val="36"/>
          <w:szCs w:val="36"/>
          <w:lang w:val="en-GB"/>
        </w:rPr>
        <w:t xml:space="preserve">MODULE </w:t>
      </w:r>
      <w:r w:rsidR="00EB02EC">
        <w:rPr>
          <w:rFonts w:ascii="Arial" w:hAnsi="Arial" w:cs="Arial"/>
          <w:b/>
          <w:sz w:val="36"/>
          <w:szCs w:val="36"/>
          <w:lang w:val="en-GB"/>
        </w:rPr>
        <w:t>8</w:t>
      </w:r>
      <w:r w:rsidRPr="00D410C4">
        <w:rPr>
          <w:rFonts w:ascii="Arial" w:hAnsi="Arial" w:cs="Arial"/>
          <w:b/>
          <w:sz w:val="36"/>
          <w:szCs w:val="36"/>
          <w:lang w:val="en-GB"/>
        </w:rPr>
        <w:t xml:space="preserve"> </w:t>
      </w:r>
    </w:p>
    <w:p w14:paraId="3F057C43" w14:textId="77777777" w:rsidR="009E03A8" w:rsidRPr="00D410C4" w:rsidRDefault="00EB02EC" w:rsidP="00541080">
      <w:pPr>
        <w:spacing w:before="120"/>
        <w:jc w:val="center"/>
        <w:rPr>
          <w:rFonts w:ascii="Arial" w:hAnsi="Arial" w:cs="Arial"/>
          <w:b/>
          <w:sz w:val="36"/>
          <w:szCs w:val="36"/>
          <w:lang w:val="en-GB"/>
        </w:rPr>
      </w:pPr>
      <w:r>
        <w:rPr>
          <w:rFonts w:ascii="Arial" w:hAnsi="Arial" w:cs="Arial"/>
          <w:b/>
          <w:sz w:val="36"/>
          <w:szCs w:val="36"/>
          <w:lang w:val="en-GB"/>
        </w:rPr>
        <w:t>Mainstreaming in the budgetary process</w:t>
      </w:r>
    </w:p>
    <w:p w14:paraId="507CE1B8" w14:textId="77777777" w:rsidR="009E03A8" w:rsidRPr="00703706" w:rsidRDefault="009E03A8" w:rsidP="007F1F27">
      <w:pPr>
        <w:jc w:val="center"/>
        <w:rPr>
          <w:rFonts w:asciiTheme="minorHAnsi" w:hAnsiTheme="minorHAnsi" w:cstheme="minorHAnsi"/>
          <w:b/>
          <w:color w:val="1F497D"/>
          <w:szCs w:val="28"/>
          <w:lang w:val="en-GB"/>
        </w:rPr>
      </w:pPr>
    </w:p>
    <w:p w14:paraId="61EC1F57" w14:textId="77777777" w:rsidR="009E03A8" w:rsidRPr="00703706" w:rsidRDefault="009E03A8" w:rsidP="007F1F27">
      <w:pPr>
        <w:jc w:val="center"/>
        <w:rPr>
          <w:rFonts w:asciiTheme="minorHAnsi" w:hAnsiTheme="minorHAnsi" w:cstheme="minorHAnsi"/>
          <w:b/>
          <w:color w:val="1F497D"/>
          <w:szCs w:val="28"/>
          <w:lang w:val="en-GB"/>
        </w:rPr>
        <w:sectPr w:rsidR="009E03A8" w:rsidRPr="00703706" w:rsidSect="00D410C4">
          <w:headerReference w:type="default" r:id="rId12"/>
          <w:footerReference w:type="default" r:id="rId13"/>
          <w:pgSz w:w="11906" w:h="16838" w:code="9"/>
          <w:pgMar w:top="1418" w:right="1247" w:bottom="1418" w:left="1418" w:header="709" w:footer="709" w:gutter="0"/>
          <w:cols w:space="708"/>
          <w:docGrid w:linePitch="360"/>
        </w:sectPr>
      </w:pPr>
    </w:p>
    <w:p w14:paraId="3A7B4218" w14:textId="77777777" w:rsidR="007F1F27" w:rsidRPr="00703706" w:rsidRDefault="00790943" w:rsidP="00C0293F">
      <w:pPr>
        <w:jc w:val="center"/>
        <w:rPr>
          <w:rFonts w:asciiTheme="minorHAnsi" w:hAnsiTheme="minorHAnsi" w:cstheme="minorHAnsi"/>
          <w:b/>
          <w:color w:val="17365D" w:themeColor="text2" w:themeShade="BF"/>
          <w:szCs w:val="28"/>
          <w:lang w:val="en-GB"/>
        </w:rPr>
      </w:pPr>
      <w:r w:rsidRPr="00703706">
        <w:rPr>
          <w:rFonts w:asciiTheme="minorHAnsi" w:hAnsiTheme="minorHAnsi" w:cstheme="minorHAnsi"/>
          <w:b/>
          <w:color w:val="17365D" w:themeColor="text2" w:themeShade="BF"/>
          <w:szCs w:val="28"/>
          <w:lang w:val="en-GB"/>
        </w:rPr>
        <w:lastRenderedPageBreak/>
        <w:t xml:space="preserve">MODULE </w:t>
      </w:r>
      <w:r w:rsidR="00EB02EC">
        <w:rPr>
          <w:rFonts w:asciiTheme="minorHAnsi" w:hAnsiTheme="minorHAnsi" w:cstheme="minorHAnsi"/>
          <w:b/>
          <w:color w:val="17365D" w:themeColor="text2" w:themeShade="BF"/>
          <w:szCs w:val="28"/>
          <w:lang w:val="en-GB"/>
        </w:rPr>
        <w:t>8</w:t>
      </w:r>
      <w:r w:rsidR="009B74C8" w:rsidRPr="00703706">
        <w:rPr>
          <w:rFonts w:asciiTheme="minorHAnsi" w:hAnsiTheme="minorHAnsi" w:cstheme="minorHAnsi"/>
          <w:b/>
          <w:color w:val="17365D" w:themeColor="text2" w:themeShade="BF"/>
          <w:szCs w:val="28"/>
          <w:lang w:val="en-GB"/>
        </w:rPr>
        <w:t xml:space="preserve"> –</w:t>
      </w:r>
      <w:r w:rsidR="007F1F27" w:rsidRPr="00703706">
        <w:rPr>
          <w:rFonts w:asciiTheme="minorHAnsi" w:hAnsiTheme="minorHAnsi" w:cstheme="minorHAnsi"/>
          <w:b/>
          <w:color w:val="17365D" w:themeColor="text2" w:themeShade="BF"/>
          <w:szCs w:val="28"/>
          <w:lang w:val="en-GB"/>
        </w:rPr>
        <w:t xml:space="preserve"> </w:t>
      </w:r>
      <w:r w:rsidR="00EB02EC">
        <w:rPr>
          <w:rFonts w:asciiTheme="minorHAnsi" w:hAnsiTheme="minorHAnsi" w:cstheme="minorHAnsi"/>
          <w:b/>
          <w:color w:val="17365D" w:themeColor="text2" w:themeShade="BF"/>
          <w:szCs w:val="28"/>
          <w:lang w:val="en-GB"/>
        </w:rPr>
        <w:t>Mainstreaming</w:t>
      </w:r>
      <w:r w:rsidR="001F29D0">
        <w:rPr>
          <w:rFonts w:asciiTheme="minorHAnsi" w:hAnsiTheme="minorHAnsi" w:cstheme="minorHAnsi"/>
          <w:b/>
          <w:color w:val="17365D" w:themeColor="text2" w:themeShade="BF"/>
          <w:szCs w:val="28"/>
          <w:lang w:val="en-GB"/>
        </w:rPr>
        <w:t xml:space="preserve"> </w:t>
      </w:r>
      <w:r w:rsidR="00EB02EC">
        <w:rPr>
          <w:rFonts w:asciiTheme="minorHAnsi" w:hAnsiTheme="minorHAnsi" w:cstheme="minorHAnsi"/>
          <w:b/>
          <w:color w:val="17365D" w:themeColor="text2" w:themeShade="BF"/>
          <w:szCs w:val="28"/>
          <w:lang w:val="en-GB"/>
        </w:rPr>
        <w:t>in the budgetary process</w:t>
      </w:r>
    </w:p>
    <w:p w14:paraId="25A3655E" w14:textId="77777777" w:rsidR="007F1F27" w:rsidRPr="00703706" w:rsidRDefault="007F1F27" w:rsidP="00C0293F">
      <w:pPr>
        <w:rPr>
          <w:rFonts w:asciiTheme="minorHAnsi" w:hAnsiTheme="minorHAnsi" w:cstheme="minorHAnsi"/>
          <w:sz w:val="22"/>
          <w:szCs w:val="22"/>
          <w:lang w:val="en-GB"/>
        </w:rPr>
      </w:pPr>
    </w:p>
    <w:p w14:paraId="0874880A" w14:textId="77777777" w:rsidR="007F1F27" w:rsidRPr="00703706" w:rsidRDefault="007F1F27" w:rsidP="00C0293F">
      <w:pPr>
        <w:rPr>
          <w:rFonts w:asciiTheme="minorHAnsi" w:hAnsiTheme="minorHAnsi" w:cstheme="minorHAnsi"/>
          <w:sz w:val="22"/>
          <w:szCs w:val="22"/>
          <w:lang w:val="en-GB"/>
        </w:rPr>
      </w:pPr>
    </w:p>
    <w:p w14:paraId="7993A6A5" w14:textId="77777777" w:rsidR="007F1F27" w:rsidRPr="00703706" w:rsidRDefault="007F1F27" w:rsidP="00C0293F">
      <w:pPr>
        <w:rPr>
          <w:rFonts w:asciiTheme="minorHAnsi" w:hAnsiTheme="minorHAnsi" w:cstheme="minorHAnsi"/>
          <w:b/>
          <w:smallCaps/>
          <w:sz w:val="22"/>
          <w:szCs w:val="22"/>
          <w:lang w:val="en-GB"/>
        </w:rPr>
      </w:pPr>
      <w:r w:rsidRPr="00703706">
        <w:rPr>
          <w:rFonts w:asciiTheme="minorHAnsi" w:hAnsiTheme="minorHAnsi" w:cstheme="minorHAnsi"/>
          <w:b/>
          <w:smallCaps/>
          <w:sz w:val="22"/>
          <w:szCs w:val="22"/>
          <w:lang w:val="en-GB"/>
        </w:rPr>
        <w:t>Topics</w:t>
      </w:r>
      <w:r w:rsidR="001D4A75">
        <w:rPr>
          <w:rFonts w:asciiTheme="minorHAnsi" w:hAnsiTheme="minorHAnsi" w:cstheme="minorHAnsi"/>
          <w:b/>
          <w:smallCaps/>
          <w:sz w:val="22"/>
          <w:szCs w:val="22"/>
          <w:lang w:val="en-GB"/>
        </w:rPr>
        <w:t xml:space="preserve"> </w:t>
      </w:r>
      <w:r w:rsidR="00D96489">
        <w:rPr>
          <w:rFonts w:asciiTheme="minorHAnsi" w:hAnsiTheme="minorHAnsi" w:cstheme="minorHAnsi"/>
          <w:b/>
          <w:smallCaps/>
          <w:sz w:val="22"/>
          <w:szCs w:val="22"/>
          <w:lang w:val="en-GB"/>
        </w:rPr>
        <w:t xml:space="preserve">and tools </w:t>
      </w:r>
      <w:r w:rsidR="001D4A75">
        <w:rPr>
          <w:rFonts w:asciiTheme="minorHAnsi" w:hAnsiTheme="minorHAnsi" w:cstheme="minorHAnsi"/>
          <w:b/>
          <w:smallCaps/>
          <w:sz w:val="22"/>
          <w:szCs w:val="22"/>
          <w:lang w:val="en-GB"/>
        </w:rPr>
        <w:t>covered by the module</w:t>
      </w:r>
      <w:r w:rsidRPr="00703706">
        <w:rPr>
          <w:rFonts w:asciiTheme="minorHAnsi" w:hAnsiTheme="minorHAnsi" w:cstheme="minorHAnsi"/>
          <w:b/>
          <w:smallCaps/>
          <w:sz w:val="22"/>
          <w:szCs w:val="22"/>
          <w:lang w:val="en-GB"/>
        </w:rPr>
        <w:t>:</w:t>
      </w:r>
    </w:p>
    <w:p w14:paraId="306CFEEE" w14:textId="77777777" w:rsidR="007F1F27" w:rsidRPr="00703706" w:rsidRDefault="007F1F27" w:rsidP="00C0293F">
      <w:pPr>
        <w:rPr>
          <w:rFonts w:asciiTheme="minorHAnsi" w:hAnsiTheme="minorHAnsi" w:cstheme="minorHAnsi"/>
          <w:sz w:val="22"/>
          <w:szCs w:val="22"/>
          <w:lang w:val="en-GB"/>
        </w:rPr>
      </w:pPr>
    </w:p>
    <w:p w14:paraId="607CB505" w14:textId="289C66E7" w:rsidR="009E5E67" w:rsidRPr="00703706" w:rsidRDefault="00EB02EC" w:rsidP="00C0293F">
      <w:pPr>
        <w:pStyle w:val="ListParagraph"/>
        <w:numPr>
          <w:ilvl w:val="0"/>
          <w:numId w:val="1"/>
        </w:numPr>
        <w:ind w:left="284" w:hanging="284"/>
        <w:rPr>
          <w:rFonts w:asciiTheme="minorHAnsi" w:hAnsiTheme="minorHAnsi" w:cstheme="minorHAnsi"/>
          <w:sz w:val="22"/>
          <w:szCs w:val="22"/>
          <w:lang w:val="en-GB"/>
        </w:rPr>
      </w:pPr>
      <w:r>
        <w:rPr>
          <w:rFonts w:asciiTheme="minorHAnsi" w:hAnsiTheme="minorHAnsi" w:cstheme="minorHAnsi"/>
          <w:sz w:val="22"/>
          <w:szCs w:val="22"/>
          <w:lang w:val="en-GB"/>
        </w:rPr>
        <w:t xml:space="preserve">Implications of </w:t>
      </w:r>
      <w:r w:rsidR="001C3E10">
        <w:rPr>
          <w:rFonts w:asciiTheme="minorHAnsi" w:hAnsiTheme="minorHAnsi" w:cstheme="minorHAnsi"/>
          <w:sz w:val="22"/>
          <w:szCs w:val="22"/>
          <w:lang w:val="en-GB"/>
        </w:rPr>
        <w:t xml:space="preserve">environment- and </w:t>
      </w:r>
      <w:r>
        <w:rPr>
          <w:rFonts w:asciiTheme="minorHAnsi" w:hAnsiTheme="minorHAnsi" w:cstheme="minorHAnsi"/>
          <w:sz w:val="22"/>
          <w:szCs w:val="22"/>
          <w:lang w:val="en-GB"/>
        </w:rPr>
        <w:t>climate-related policies and measures for public revenue and expenditure</w:t>
      </w:r>
      <w:r w:rsidR="008F076A">
        <w:rPr>
          <w:rFonts w:asciiTheme="minorHAnsi" w:hAnsiTheme="minorHAnsi" w:cstheme="minorHAnsi"/>
          <w:sz w:val="22"/>
          <w:szCs w:val="22"/>
          <w:lang w:val="en-GB"/>
        </w:rPr>
        <w:t>.</w:t>
      </w:r>
    </w:p>
    <w:p w14:paraId="2B396260" w14:textId="77777777" w:rsidR="007F1F27" w:rsidRPr="00703706" w:rsidRDefault="00EB02EC" w:rsidP="00C0293F">
      <w:pPr>
        <w:pStyle w:val="ListParagraph"/>
        <w:numPr>
          <w:ilvl w:val="0"/>
          <w:numId w:val="1"/>
        </w:numPr>
        <w:ind w:left="284" w:hanging="284"/>
        <w:rPr>
          <w:rFonts w:asciiTheme="minorHAnsi" w:hAnsiTheme="minorHAnsi" w:cstheme="minorHAnsi"/>
          <w:sz w:val="22"/>
          <w:szCs w:val="22"/>
          <w:lang w:val="en-GB"/>
        </w:rPr>
      </w:pPr>
      <w:r>
        <w:rPr>
          <w:rFonts w:asciiTheme="minorHAnsi" w:hAnsiTheme="minorHAnsi" w:cstheme="minorHAnsi"/>
          <w:sz w:val="22"/>
          <w:szCs w:val="22"/>
          <w:lang w:val="en-GB"/>
        </w:rPr>
        <w:t>Linking the budget to policy objectives and expected results</w:t>
      </w:r>
      <w:r w:rsidR="007F1F27" w:rsidRPr="00703706">
        <w:rPr>
          <w:rFonts w:asciiTheme="minorHAnsi" w:hAnsiTheme="minorHAnsi" w:cstheme="minorHAnsi"/>
          <w:sz w:val="22"/>
          <w:szCs w:val="22"/>
          <w:lang w:val="en-GB"/>
        </w:rPr>
        <w:t>.</w:t>
      </w:r>
    </w:p>
    <w:p w14:paraId="537FC362" w14:textId="13246BAF" w:rsidR="00661A80" w:rsidRDefault="00EB02EC" w:rsidP="00C0293F">
      <w:pPr>
        <w:pStyle w:val="ListParagraph"/>
        <w:numPr>
          <w:ilvl w:val="0"/>
          <w:numId w:val="1"/>
        </w:numPr>
        <w:ind w:left="284" w:hanging="284"/>
        <w:rPr>
          <w:rFonts w:asciiTheme="minorHAnsi" w:hAnsiTheme="minorHAnsi" w:cstheme="minorHAnsi"/>
          <w:sz w:val="22"/>
          <w:szCs w:val="22"/>
          <w:lang w:val="en-GB"/>
        </w:rPr>
      </w:pPr>
      <w:r>
        <w:rPr>
          <w:rFonts w:asciiTheme="minorHAnsi" w:hAnsiTheme="minorHAnsi" w:cstheme="minorHAnsi"/>
          <w:sz w:val="22"/>
          <w:szCs w:val="22"/>
          <w:lang w:val="en-GB"/>
        </w:rPr>
        <w:t>Entry points for</w:t>
      </w:r>
      <w:r w:rsidR="001C3E10">
        <w:rPr>
          <w:rFonts w:asciiTheme="minorHAnsi" w:hAnsiTheme="minorHAnsi" w:cstheme="minorHAnsi"/>
          <w:sz w:val="22"/>
          <w:szCs w:val="22"/>
          <w:lang w:val="en-GB"/>
        </w:rPr>
        <w:t xml:space="preserve"> environment and</w:t>
      </w:r>
      <w:r>
        <w:rPr>
          <w:rFonts w:asciiTheme="minorHAnsi" w:hAnsiTheme="minorHAnsi" w:cstheme="minorHAnsi"/>
          <w:sz w:val="22"/>
          <w:szCs w:val="22"/>
          <w:lang w:val="en-GB"/>
        </w:rPr>
        <w:t xml:space="preserve"> climate change mainstreaming</w:t>
      </w:r>
      <w:r w:rsidR="00661A80" w:rsidRPr="00703706">
        <w:rPr>
          <w:rFonts w:asciiTheme="minorHAnsi" w:hAnsiTheme="minorHAnsi" w:cstheme="minorHAnsi"/>
          <w:sz w:val="22"/>
          <w:szCs w:val="22"/>
          <w:lang w:val="en-GB"/>
        </w:rPr>
        <w:t>.</w:t>
      </w:r>
    </w:p>
    <w:p w14:paraId="67775D84" w14:textId="3F32D528" w:rsidR="00EB02EC" w:rsidRDefault="00EB02EC" w:rsidP="00C0293F">
      <w:pPr>
        <w:pStyle w:val="ListParagraph"/>
        <w:numPr>
          <w:ilvl w:val="0"/>
          <w:numId w:val="1"/>
        </w:numPr>
        <w:ind w:left="284" w:hanging="284"/>
        <w:rPr>
          <w:rFonts w:asciiTheme="minorHAnsi" w:hAnsiTheme="minorHAnsi" w:cstheme="minorHAnsi"/>
          <w:sz w:val="22"/>
          <w:szCs w:val="22"/>
          <w:lang w:val="en-GB"/>
        </w:rPr>
      </w:pPr>
      <w:r>
        <w:rPr>
          <w:rFonts w:asciiTheme="minorHAnsi" w:hAnsiTheme="minorHAnsi" w:cstheme="minorHAnsi"/>
          <w:sz w:val="22"/>
          <w:szCs w:val="22"/>
          <w:lang w:val="en-GB"/>
        </w:rPr>
        <w:t>Pu</w:t>
      </w:r>
      <w:r w:rsidR="001C3E10">
        <w:rPr>
          <w:rFonts w:asciiTheme="minorHAnsi" w:hAnsiTheme="minorHAnsi" w:cstheme="minorHAnsi"/>
          <w:sz w:val="22"/>
          <w:szCs w:val="22"/>
          <w:lang w:val="en-GB"/>
        </w:rPr>
        <w:t>blic expenditure reviews (PERs)</w:t>
      </w:r>
      <w:r w:rsidR="00C37544">
        <w:rPr>
          <w:rFonts w:asciiTheme="minorHAnsi" w:hAnsiTheme="minorHAnsi" w:cstheme="minorHAnsi"/>
          <w:sz w:val="22"/>
          <w:szCs w:val="22"/>
          <w:lang w:val="en-GB"/>
        </w:rPr>
        <w:t xml:space="preserve">, </w:t>
      </w:r>
      <w:r w:rsidR="001C3E10">
        <w:rPr>
          <w:rFonts w:asciiTheme="minorHAnsi" w:hAnsiTheme="minorHAnsi" w:cstheme="minorHAnsi"/>
          <w:sz w:val="22"/>
          <w:szCs w:val="22"/>
          <w:lang w:val="en-GB"/>
        </w:rPr>
        <w:t>Public environmental expenditure reviews (PEERs)</w:t>
      </w:r>
      <w:r w:rsidR="00C37544">
        <w:rPr>
          <w:rFonts w:asciiTheme="minorHAnsi" w:hAnsiTheme="minorHAnsi" w:cstheme="minorHAnsi"/>
          <w:sz w:val="22"/>
          <w:szCs w:val="22"/>
          <w:lang w:val="en-GB"/>
        </w:rPr>
        <w:t xml:space="preserve"> and Climate public expenditure and institutional reviews (CPEIRs)</w:t>
      </w:r>
      <w:r w:rsidR="001C3E10">
        <w:rPr>
          <w:rFonts w:asciiTheme="minorHAnsi" w:hAnsiTheme="minorHAnsi" w:cstheme="minorHAnsi"/>
          <w:sz w:val="22"/>
          <w:szCs w:val="22"/>
          <w:lang w:val="en-GB"/>
        </w:rPr>
        <w:t>.</w:t>
      </w:r>
    </w:p>
    <w:p w14:paraId="694B85C4" w14:textId="4B2487A6" w:rsidR="00EB02EC" w:rsidRPr="00703706" w:rsidRDefault="00EB02EC" w:rsidP="00C0293F">
      <w:pPr>
        <w:pStyle w:val="ListParagraph"/>
        <w:numPr>
          <w:ilvl w:val="0"/>
          <w:numId w:val="1"/>
        </w:numPr>
        <w:ind w:left="284" w:hanging="284"/>
        <w:rPr>
          <w:rFonts w:asciiTheme="minorHAnsi" w:hAnsiTheme="minorHAnsi" w:cstheme="minorHAnsi"/>
          <w:sz w:val="22"/>
          <w:szCs w:val="22"/>
          <w:lang w:val="en-GB"/>
        </w:rPr>
      </w:pPr>
      <w:r>
        <w:rPr>
          <w:rFonts w:asciiTheme="minorHAnsi" w:hAnsiTheme="minorHAnsi" w:cstheme="minorHAnsi"/>
          <w:sz w:val="22"/>
          <w:szCs w:val="22"/>
          <w:lang w:val="en-GB"/>
        </w:rPr>
        <w:t xml:space="preserve">External </w:t>
      </w:r>
      <w:r w:rsidR="00C37544">
        <w:rPr>
          <w:rFonts w:asciiTheme="minorHAnsi" w:hAnsiTheme="minorHAnsi" w:cstheme="minorHAnsi"/>
          <w:sz w:val="22"/>
          <w:szCs w:val="22"/>
          <w:lang w:val="en-GB"/>
        </w:rPr>
        <w:t xml:space="preserve">financial </w:t>
      </w:r>
      <w:r>
        <w:rPr>
          <w:rFonts w:asciiTheme="minorHAnsi" w:hAnsiTheme="minorHAnsi" w:cstheme="minorHAnsi"/>
          <w:sz w:val="22"/>
          <w:szCs w:val="22"/>
          <w:lang w:val="en-GB"/>
        </w:rPr>
        <w:t>resources.</w:t>
      </w:r>
    </w:p>
    <w:p w14:paraId="115790DD" w14:textId="77777777" w:rsidR="007F1F27" w:rsidRDefault="007F1F27" w:rsidP="00C0293F">
      <w:pPr>
        <w:pBdr>
          <w:bottom w:val="single" w:sz="6" w:space="1" w:color="auto"/>
        </w:pBdr>
        <w:rPr>
          <w:rFonts w:asciiTheme="minorHAnsi" w:hAnsiTheme="minorHAnsi" w:cstheme="minorHAnsi"/>
          <w:sz w:val="22"/>
          <w:szCs w:val="22"/>
          <w:lang w:val="en-GB"/>
        </w:rPr>
      </w:pPr>
    </w:p>
    <w:p w14:paraId="675D2DE6" w14:textId="77777777" w:rsidR="00C33F7A" w:rsidRPr="00703706" w:rsidRDefault="00C33F7A" w:rsidP="00C0293F">
      <w:pPr>
        <w:rPr>
          <w:rFonts w:asciiTheme="minorHAnsi" w:hAnsiTheme="minorHAnsi" w:cstheme="minorHAnsi"/>
          <w:sz w:val="22"/>
          <w:szCs w:val="22"/>
          <w:lang w:val="en-GB"/>
        </w:rPr>
      </w:pPr>
    </w:p>
    <w:p w14:paraId="7CB6B28F" w14:textId="77777777" w:rsidR="007F1F27" w:rsidRPr="00703706" w:rsidRDefault="007F1F27" w:rsidP="00C0293F">
      <w:pPr>
        <w:rPr>
          <w:rFonts w:asciiTheme="minorHAnsi" w:hAnsiTheme="minorHAnsi" w:cstheme="minorHAnsi"/>
          <w:b/>
          <w:smallCaps/>
          <w:sz w:val="22"/>
          <w:szCs w:val="22"/>
          <w:lang w:val="en-GB"/>
        </w:rPr>
      </w:pPr>
      <w:r w:rsidRPr="00703706">
        <w:rPr>
          <w:rFonts w:asciiTheme="minorHAnsi" w:hAnsiTheme="minorHAnsi" w:cstheme="minorHAnsi"/>
          <w:b/>
          <w:smallCaps/>
          <w:sz w:val="22"/>
          <w:szCs w:val="22"/>
          <w:lang w:val="en-GB"/>
        </w:rPr>
        <w:t xml:space="preserve">Key </w:t>
      </w:r>
      <w:r w:rsidR="001D4A75">
        <w:rPr>
          <w:rFonts w:asciiTheme="minorHAnsi" w:hAnsiTheme="minorHAnsi" w:cstheme="minorHAnsi"/>
          <w:b/>
          <w:smallCaps/>
          <w:sz w:val="22"/>
          <w:szCs w:val="22"/>
          <w:lang w:val="en-GB"/>
        </w:rPr>
        <w:t xml:space="preserve">concepts and </w:t>
      </w:r>
      <w:r w:rsidR="00CF63FE" w:rsidRPr="00703706">
        <w:rPr>
          <w:rFonts w:asciiTheme="minorHAnsi" w:hAnsiTheme="minorHAnsi" w:cstheme="minorHAnsi"/>
          <w:b/>
          <w:smallCaps/>
          <w:sz w:val="22"/>
          <w:szCs w:val="22"/>
          <w:lang w:val="en-GB"/>
        </w:rPr>
        <w:t>messages</w:t>
      </w:r>
      <w:r w:rsidRPr="00703706">
        <w:rPr>
          <w:rFonts w:asciiTheme="minorHAnsi" w:hAnsiTheme="minorHAnsi" w:cstheme="minorHAnsi"/>
          <w:b/>
          <w:smallCaps/>
          <w:sz w:val="22"/>
          <w:szCs w:val="22"/>
          <w:lang w:val="en-GB"/>
        </w:rPr>
        <w:t>:</w:t>
      </w:r>
    </w:p>
    <w:p w14:paraId="07ED0845" w14:textId="77777777" w:rsidR="00F61E82" w:rsidRDefault="00F61E82" w:rsidP="00C0293F">
      <w:pPr>
        <w:rPr>
          <w:rFonts w:asciiTheme="minorHAnsi" w:hAnsiTheme="minorHAnsi" w:cstheme="minorHAnsi"/>
          <w:sz w:val="22"/>
          <w:szCs w:val="22"/>
          <w:lang w:val="en-GB"/>
        </w:rPr>
      </w:pPr>
    </w:p>
    <w:p w14:paraId="2B62FD55" w14:textId="198C61E7" w:rsidR="004E613F" w:rsidRPr="00EB02EC" w:rsidRDefault="00EB02EC" w:rsidP="00C0293F">
      <w:pPr>
        <w:rPr>
          <w:rFonts w:asciiTheme="minorHAnsi" w:hAnsiTheme="minorHAnsi" w:cstheme="minorHAnsi"/>
          <w:i/>
          <w:sz w:val="22"/>
          <w:szCs w:val="22"/>
          <w:lang w:val="en-GB"/>
        </w:rPr>
      </w:pPr>
      <w:r w:rsidRPr="00EB02EC">
        <w:rPr>
          <w:rFonts w:asciiTheme="minorHAnsi" w:hAnsiTheme="minorHAnsi" w:cstheme="minorHAnsi"/>
          <w:i/>
          <w:sz w:val="22"/>
          <w:szCs w:val="22"/>
          <w:lang w:val="en-GB"/>
        </w:rPr>
        <w:t xml:space="preserve">Implications of </w:t>
      </w:r>
      <w:r w:rsidR="001C3E10">
        <w:rPr>
          <w:rFonts w:asciiTheme="minorHAnsi" w:hAnsiTheme="minorHAnsi" w:cstheme="minorHAnsi"/>
          <w:i/>
          <w:sz w:val="22"/>
          <w:szCs w:val="22"/>
          <w:lang w:val="en-GB"/>
        </w:rPr>
        <w:t xml:space="preserve">environment- and </w:t>
      </w:r>
      <w:r w:rsidRPr="00EB02EC">
        <w:rPr>
          <w:rFonts w:asciiTheme="minorHAnsi" w:hAnsiTheme="minorHAnsi" w:cstheme="minorHAnsi"/>
          <w:i/>
          <w:sz w:val="22"/>
          <w:szCs w:val="22"/>
          <w:lang w:val="en-GB"/>
        </w:rPr>
        <w:t>climate-related policies and measures for public revenue</w:t>
      </w:r>
      <w:r w:rsidR="006405BB">
        <w:rPr>
          <w:rFonts w:asciiTheme="minorHAnsi" w:hAnsiTheme="minorHAnsi" w:cstheme="minorHAnsi"/>
          <w:i/>
          <w:sz w:val="22"/>
          <w:szCs w:val="22"/>
          <w:lang w:val="en-GB"/>
        </w:rPr>
        <w:t>s</w:t>
      </w:r>
      <w:r w:rsidRPr="00EB02EC">
        <w:rPr>
          <w:rFonts w:asciiTheme="minorHAnsi" w:hAnsiTheme="minorHAnsi" w:cstheme="minorHAnsi"/>
          <w:i/>
          <w:sz w:val="22"/>
          <w:szCs w:val="22"/>
          <w:lang w:val="en-GB"/>
        </w:rPr>
        <w:t xml:space="preserve"> and expenditure</w:t>
      </w:r>
      <w:r w:rsidR="006405BB">
        <w:rPr>
          <w:rFonts w:asciiTheme="minorHAnsi" w:hAnsiTheme="minorHAnsi" w:cstheme="minorHAnsi"/>
          <w:i/>
          <w:sz w:val="22"/>
          <w:szCs w:val="22"/>
          <w:lang w:val="en-GB"/>
        </w:rPr>
        <w:t>s</w:t>
      </w:r>
    </w:p>
    <w:p w14:paraId="0F9D7D8C" w14:textId="77777777" w:rsidR="004E613F" w:rsidRPr="00703706" w:rsidRDefault="004E613F" w:rsidP="00C0293F">
      <w:pPr>
        <w:rPr>
          <w:rFonts w:asciiTheme="minorHAnsi" w:hAnsiTheme="minorHAnsi" w:cstheme="minorHAnsi"/>
          <w:sz w:val="22"/>
          <w:szCs w:val="22"/>
          <w:lang w:val="en-GB"/>
        </w:rPr>
      </w:pPr>
    </w:p>
    <w:p w14:paraId="27E62B45" w14:textId="3994AB8B" w:rsidR="008D468C" w:rsidRPr="008D468C" w:rsidRDefault="002D31C7" w:rsidP="007F6A77">
      <w:pPr>
        <w:numPr>
          <w:ilvl w:val="0"/>
          <w:numId w:val="2"/>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The</w:t>
      </w:r>
      <w:r w:rsidR="008D468C" w:rsidRPr="008D468C">
        <w:rPr>
          <w:rFonts w:asciiTheme="minorHAnsi" w:hAnsiTheme="minorHAnsi" w:cstheme="minorHAnsi"/>
          <w:sz w:val="22"/>
          <w:szCs w:val="22"/>
          <w:lang w:val="en-GB"/>
        </w:rPr>
        <w:t xml:space="preserve"> integration </w:t>
      </w:r>
      <w:r>
        <w:rPr>
          <w:rFonts w:asciiTheme="minorHAnsi" w:hAnsiTheme="minorHAnsi" w:cstheme="minorHAnsi"/>
          <w:sz w:val="22"/>
          <w:szCs w:val="22"/>
          <w:lang w:val="en-GB"/>
        </w:rPr>
        <w:t xml:space="preserve">of </w:t>
      </w:r>
      <w:r w:rsidR="001C3E10">
        <w:rPr>
          <w:rFonts w:asciiTheme="minorHAnsi" w:hAnsiTheme="minorHAnsi" w:cstheme="minorHAnsi"/>
          <w:sz w:val="22"/>
          <w:szCs w:val="22"/>
          <w:lang w:val="en-GB"/>
        </w:rPr>
        <w:t xml:space="preserve">environment- and </w:t>
      </w:r>
      <w:r>
        <w:rPr>
          <w:rFonts w:asciiTheme="minorHAnsi" w:hAnsiTheme="minorHAnsi" w:cstheme="minorHAnsi"/>
          <w:sz w:val="22"/>
          <w:szCs w:val="22"/>
          <w:lang w:val="en-GB"/>
        </w:rPr>
        <w:t xml:space="preserve">climate-related measures in policies, strategies and programmes </w:t>
      </w:r>
      <w:r w:rsidR="008D468C" w:rsidRPr="008D468C">
        <w:rPr>
          <w:rFonts w:asciiTheme="minorHAnsi" w:hAnsiTheme="minorHAnsi" w:cstheme="minorHAnsi"/>
          <w:sz w:val="22"/>
          <w:szCs w:val="22"/>
          <w:lang w:val="en-GB"/>
        </w:rPr>
        <w:t>may have implications on the revenue as well as the expenditure sides of a budget:</w:t>
      </w:r>
    </w:p>
    <w:p w14:paraId="4416AD83" w14:textId="4EAA3878" w:rsidR="002D31C7" w:rsidRDefault="008D468C" w:rsidP="007F6A77">
      <w:pPr>
        <w:numPr>
          <w:ilvl w:val="0"/>
          <w:numId w:val="4"/>
        </w:numPr>
        <w:spacing w:before="120"/>
        <w:ind w:left="709" w:hanging="284"/>
        <w:rPr>
          <w:rFonts w:asciiTheme="minorHAnsi" w:hAnsiTheme="minorHAnsi" w:cstheme="minorHAnsi"/>
          <w:sz w:val="22"/>
          <w:szCs w:val="22"/>
          <w:lang w:val="en-GB"/>
        </w:rPr>
      </w:pPr>
      <w:r w:rsidRPr="008D468C">
        <w:rPr>
          <w:rFonts w:asciiTheme="minorHAnsi" w:hAnsiTheme="minorHAnsi" w:cstheme="minorHAnsi"/>
          <w:i/>
          <w:sz w:val="22"/>
          <w:szCs w:val="22"/>
          <w:lang w:val="en-GB"/>
        </w:rPr>
        <w:t>On the revenue side</w:t>
      </w:r>
      <w:r w:rsidRPr="008D468C">
        <w:rPr>
          <w:rFonts w:asciiTheme="minorHAnsi" w:hAnsiTheme="minorHAnsi" w:cstheme="minorHAnsi"/>
          <w:sz w:val="22"/>
          <w:szCs w:val="22"/>
          <w:lang w:val="en-GB"/>
        </w:rPr>
        <w:t>, some measures ma</w:t>
      </w:r>
      <w:r w:rsidR="002D31C7">
        <w:rPr>
          <w:rFonts w:asciiTheme="minorHAnsi" w:hAnsiTheme="minorHAnsi" w:cstheme="minorHAnsi"/>
          <w:sz w:val="22"/>
          <w:szCs w:val="22"/>
          <w:lang w:val="en-GB"/>
        </w:rPr>
        <w:t>y result in increased revenues</w:t>
      </w:r>
      <w:r w:rsidR="001C3E10">
        <w:rPr>
          <w:rFonts w:asciiTheme="minorHAnsi" w:hAnsiTheme="minorHAnsi" w:cstheme="minorHAnsi"/>
          <w:sz w:val="22"/>
          <w:szCs w:val="22"/>
          <w:lang w:val="en-GB"/>
        </w:rPr>
        <w:t>, e.g.</w:t>
      </w:r>
      <w:r w:rsidR="002D31C7">
        <w:rPr>
          <w:rFonts w:asciiTheme="minorHAnsi" w:hAnsiTheme="minorHAnsi" w:cstheme="minorHAnsi"/>
          <w:sz w:val="22"/>
          <w:szCs w:val="22"/>
          <w:lang w:val="en-GB"/>
        </w:rPr>
        <w:t>:</w:t>
      </w:r>
    </w:p>
    <w:p w14:paraId="5FF8C6E2" w14:textId="1BB01CF0" w:rsidR="001C3E10" w:rsidRDefault="001C3E10" w:rsidP="001C3E10">
      <w:pPr>
        <w:numPr>
          <w:ilvl w:val="1"/>
          <w:numId w:val="4"/>
        </w:numPr>
        <w:spacing w:before="120"/>
        <w:ind w:left="1134"/>
        <w:rPr>
          <w:rFonts w:asciiTheme="minorHAnsi" w:hAnsiTheme="minorHAnsi" w:cstheme="minorHAnsi"/>
          <w:sz w:val="22"/>
          <w:szCs w:val="22"/>
          <w:lang w:val="en-GB"/>
        </w:rPr>
      </w:pPr>
      <w:r w:rsidRPr="001C3E10">
        <w:rPr>
          <w:rFonts w:asciiTheme="minorHAnsi" w:hAnsiTheme="minorHAnsi" w:cstheme="minorHAnsi"/>
          <w:sz w:val="22"/>
          <w:szCs w:val="22"/>
          <w:lang w:val="en-GB"/>
        </w:rPr>
        <w:t>through Environmental Fiscal Reform, taxes on polluting activities;</w:t>
      </w:r>
    </w:p>
    <w:p w14:paraId="350B6451" w14:textId="4FB1509D" w:rsidR="002D31C7" w:rsidRDefault="008D468C" w:rsidP="001C3E10">
      <w:pPr>
        <w:numPr>
          <w:ilvl w:val="1"/>
          <w:numId w:val="4"/>
        </w:numPr>
        <w:spacing w:before="120"/>
        <w:ind w:left="1134"/>
        <w:rPr>
          <w:rFonts w:asciiTheme="minorHAnsi" w:hAnsiTheme="minorHAnsi" w:cstheme="minorHAnsi"/>
          <w:sz w:val="22"/>
          <w:szCs w:val="22"/>
          <w:lang w:val="en-GB"/>
        </w:rPr>
      </w:pPr>
      <w:r w:rsidRPr="001C3E10">
        <w:rPr>
          <w:rFonts w:asciiTheme="minorHAnsi" w:hAnsiTheme="minorHAnsi" w:cstheme="minorHAnsi"/>
          <w:sz w:val="22"/>
          <w:szCs w:val="22"/>
          <w:lang w:val="en-GB"/>
        </w:rPr>
        <w:t>carbon tax</w:t>
      </w:r>
      <w:r w:rsidR="001C3E10">
        <w:rPr>
          <w:rFonts w:asciiTheme="minorHAnsi" w:hAnsiTheme="minorHAnsi" w:cstheme="minorHAnsi"/>
          <w:sz w:val="22"/>
          <w:szCs w:val="22"/>
          <w:lang w:val="en-GB"/>
        </w:rPr>
        <w:t xml:space="preserve"> /</w:t>
      </w:r>
      <w:r w:rsidRPr="001C3E10">
        <w:rPr>
          <w:rFonts w:asciiTheme="minorHAnsi" w:hAnsiTheme="minorHAnsi" w:cstheme="minorHAnsi"/>
          <w:sz w:val="22"/>
          <w:szCs w:val="22"/>
          <w:lang w:val="en-GB"/>
        </w:rPr>
        <w:t xml:space="preserve"> other tax</w:t>
      </w:r>
      <w:r w:rsidR="002D31C7" w:rsidRPr="001C3E10">
        <w:rPr>
          <w:rFonts w:asciiTheme="minorHAnsi" w:hAnsiTheme="minorHAnsi" w:cstheme="minorHAnsi"/>
          <w:sz w:val="22"/>
          <w:szCs w:val="22"/>
          <w:lang w:val="en-GB"/>
        </w:rPr>
        <w:t>es on high-</w:t>
      </w:r>
      <w:r w:rsidR="001C3E10">
        <w:rPr>
          <w:rFonts w:asciiTheme="minorHAnsi" w:hAnsiTheme="minorHAnsi" w:cstheme="minorHAnsi"/>
          <w:sz w:val="22"/>
          <w:szCs w:val="22"/>
          <w:lang w:val="en-GB"/>
        </w:rPr>
        <w:t xml:space="preserve">GHG </w:t>
      </w:r>
      <w:r w:rsidR="002D31C7" w:rsidRPr="001C3E10">
        <w:rPr>
          <w:rFonts w:asciiTheme="minorHAnsi" w:hAnsiTheme="minorHAnsi" w:cstheme="minorHAnsi"/>
          <w:sz w:val="22"/>
          <w:szCs w:val="22"/>
          <w:lang w:val="en-GB"/>
        </w:rPr>
        <w:t>emission activities;</w:t>
      </w:r>
    </w:p>
    <w:p w14:paraId="11143638" w14:textId="7BA7DF45" w:rsidR="002D31C7" w:rsidRDefault="008D468C" w:rsidP="001C3E10">
      <w:pPr>
        <w:numPr>
          <w:ilvl w:val="1"/>
          <w:numId w:val="4"/>
        </w:numPr>
        <w:spacing w:before="120"/>
        <w:ind w:left="1134"/>
        <w:rPr>
          <w:rFonts w:asciiTheme="minorHAnsi" w:hAnsiTheme="minorHAnsi" w:cstheme="minorHAnsi"/>
          <w:sz w:val="22"/>
          <w:szCs w:val="22"/>
          <w:lang w:val="en-GB"/>
        </w:rPr>
      </w:pPr>
      <w:r w:rsidRPr="001C3E10">
        <w:rPr>
          <w:rFonts w:asciiTheme="minorHAnsi" w:hAnsiTheme="minorHAnsi" w:cstheme="minorHAnsi"/>
          <w:sz w:val="22"/>
          <w:szCs w:val="22"/>
          <w:lang w:val="en-GB"/>
        </w:rPr>
        <w:t xml:space="preserve">personal and business taxes on economic activities directly and indirectly related to </w:t>
      </w:r>
      <w:r w:rsidR="001C3E10">
        <w:rPr>
          <w:rFonts w:asciiTheme="minorHAnsi" w:hAnsiTheme="minorHAnsi" w:cstheme="minorHAnsi"/>
          <w:sz w:val="22"/>
          <w:szCs w:val="22"/>
          <w:lang w:val="en-GB"/>
        </w:rPr>
        <w:t xml:space="preserve">environmental and </w:t>
      </w:r>
      <w:r w:rsidRPr="001C3E10">
        <w:rPr>
          <w:rFonts w:asciiTheme="minorHAnsi" w:hAnsiTheme="minorHAnsi" w:cstheme="minorHAnsi"/>
          <w:sz w:val="22"/>
          <w:szCs w:val="22"/>
          <w:lang w:val="en-GB"/>
        </w:rPr>
        <w:t xml:space="preserve">climate </w:t>
      </w:r>
      <w:r w:rsidR="001C3E10">
        <w:rPr>
          <w:rFonts w:asciiTheme="minorHAnsi" w:hAnsiTheme="minorHAnsi" w:cstheme="minorHAnsi"/>
          <w:sz w:val="22"/>
          <w:szCs w:val="22"/>
          <w:lang w:val="en-GB"/>
        </w:rPr>
        <w:t>change (</w:t>
      </w:r>
      <w:r w:rsidRPr="001C3E10">
        <w:rPr>
          <w:rFonts w:asciiTheme="minorHAnsi" w:hAnsiTheme="minorHAnsi" w:cstheme="minorHAnsi"/>
          <w:sz w:val="22"/>
          <w:szCs w:val="22"/>
          <w:lang w:val="en-GB"/>
        </w:rPr>
        <w:t>adaptation and mitigation</w:t>
      </w:r>
      <w:r w:rsidR="001C3E10">
        <w:rPr>
          <w:rFonts w:asciiTheme="minorHAnsi" w:hAnsiTheme="minorHAnsi" w:cstheme="minorHAnsi"/>
          <w:sz w:val="22"/>
          <w:szCs w:val="22"/>
          <w:lang w:val="en-GB"/>
        </w:rPr>
        <w:t>)</w:t>
      </w:r>
      <w:r w:rsidRPr="001C3E10">
        <w:rPr>
          <w:rFonts w:asciiTheme="minorHAnsi" w:hAnsiTheme="minorHAnsi" w:cstheme="minorHAnsi"/>
          <w:sz w:val="22"/>
          <w:szCs w:val="22"/>
          <w:lang w:val="en-GB"/>
        </w:rPr>
        <w:t xml:space="preserve"> measures – including on the possible growth effect</w:t>
      </w:r>
      <w:r w:rsidR="002D31C7" w:rsidRPr="001C3E10">
        <w:rPr>
          <w:rFonts w:asciiTheme="minorHAnsi" w:hAnsiTheme="minorHAnsi" w:cstheme="minorHAnsi"/>
          <w:sz w:val="22"/>
          <w:szCs w:val="22"/>
          <w:lang w:val="en-GB"/>
        </w:rPr>
        <w:t>s of increased competitiveness;</w:t>
      </w:r>
    </w:p>
    <w:p w14:paraId="4F70BE10" w14:textId="5A399C17" w:rsidR="002D31C7" w:rsidRPr="001C3E10" w:rsidRDefault="008D468C" w:rsidP="001C3E10">
      <w:pPr>
        <w:numPr>
          <w:ilvl w:val="1"/>
          <w:numId w:val="4"/>
        </w:numPr>
        <w:spacing w:before="120"/>
        <w:ind w:left="1134"/>
        <w:rPr>
          <w:rFonts w:asciiTheme="minorHAnsi" w:hAnsiTheme="minorHAnsi" w:cstheme="minorHAnsi"/>
          <w:sz w:val="22"/>
          <w:szCs w:val="22"/>
          <w:lang w:val="en-GB"/>
        </w:rPr>
      </w:pPr>
      <w:r w:rsidRPr="001C3E10">
        <w:rPr>
          <w:rFonts w:asciiTheme="minorHAnsi" w:hAnsiTheme="minorHAnsi" w:cstheme="minorHAnsi"/>
          <w:sz w:val="22"/>
          <w:szCs w:val="22"/>
          <w:lang w:val="en-GB"/>
        </w:rPr>
        <w:t xml:space="preserve">receipt of foreign grants and other financial transfers related to </w:t>
      </w:r>
      <w:r w:rsidR="001C3E10">
        <w:rPr>
          <w:rFonts w:asciiTheme="minorHAnsi" w:hAnsiTheme="minorHAnsi" w:cstheme="minorHAnsi"/>
          <w:sz w:val="22"/>
          <w:szCs w:val="22"/>
          <w:lang w:val="en-GB"/>
        </w:rPr>
        <w:t>environmental integration and climate change (</w:t>
      </w:r>
      <w:r w:rsidRPr="001C3E10">
        <w:rPr>
          <w:rFonts w:asciiTheme="minorHAnsi" w:hAnsiTheme="minorHAnsi" w:cstheme="minorHAnsi"/>
          <w:sz w:val="22"/>
          <w:szCs w:val="22"/>
          <w:lang w:val="en-GB"/>
        </w:rPr>
        <w:t>adaptation and/or</w:t>
      </w:r>
      <w:r w:rsidR="002D31C7" w:rsidRPr="001C3E10">
        <w:rPr>
          <w:rFonts w:asciiTheme="minorHAnsi" w:hAnsiTheme="minorHAnsi" w:cstheme="minorHAnsi"/>
          <w:sz w:val="22"/>
          <w:szCs w:val="22"/>
          <w:lang w:val="en-GB"/>
        </w:rPr>
        <w:t xml:space="preserve"> mitigation</w:t>
      </w:r>
      <w:r w:rsidR="001C3E10">
        <w:rPr>
          <w:rFonts w:asciiTheme="minorHAnsi" w:hAnsiTheme="minorHAnsi" w:cstheme="minorHAnsi"/>
          <w:sz w:val="22"/>
          <w:szCs w:val="22"/>
          <w:lang w:val="en-GB"/>
        </w:rPr>
        <w:t>)</w:t>
      </w:r>
      <w:r w:rsidR="002D31C7" w:rsidRPr="001C3E10">
        <w:rPr>
          <w:rFonts w:asciiTheme="minorHAnsi" w:hAnsiTheme="minorHAnsi" w:cstheme="minorHAnsi"/>
          <w:sz w:val="22"/>
          <w:szCs w:val="22"/>
          <w:lang w:val="en-GB"/>
        </w:rPr>
        <w:t xml:space="preserve"> measures/policies;</w:t>
      </w:r>
    </w:p>
    <w:p w14:paraId="33383CBC" w14:textId="3BA15B36" w:rsidR="008D468C" w:rsidRPr="008D468C" w:rsidRDefault="008D468C" w:rsidP="002D31C7">
      <w:pPr>
        <w:spacing w:before="120"/>
        <w:ind w:left="1134" w:hanging="425"/>
        <w:rPr>
          <w:rFonts w:asciiTheme="minorHAnsi" w:hAnsiTheme="minorHAnsi" w:cstheme="minorHAnsi"/>
          <w:sz w:val="22"/>
          <w:szCs w:val="22"/>
          <w:lang w:val="en-GB"/>
        </w:rPr>
      </w:pPr>
      <w:proofErr w:type="gramStart"/>
      <w:r w:rsidRPr="008D468C">
        <w:rPr>
          <w:rFonts w:asciiTheme="minorHAnsi" w:hAnsiTheme="minorHAnsi" w:cstheme="minorHAnsi"/>
          <w:sz w:val="22"/>
          <w:szCs w:val="22"/>
          <w:lang w:val="en-GB"/>
        </w:rPr>
        <w:t>while</w:t>
      </w:r>
      <w:proofErr w:type="gramEnd"/>
      <w:r w:rsidRPr="008D468C">
        <w:rPr>
          <w:rFonts w:asciiTheme="minorHAnsi" w:hAnsiTheme="minorHAnsi" w:cstheme="minorHAnsi"/>
          <w:sz w:val="22"/>
          <w:szCs w:val="22"/>
          <w:lang w:val="en-GB"/>
        </w:rPr>
        <w:t xml:space="preserve"> others may </w:t>
      </w:r>
      <w:r w:rsidR="002D31C7">
        <w:rPr>
          <w:rFonts w:asciiTheme="minorHAnsi" w:hAnsiTheme="minorHAnsi" w:cstheme="minorHAnsi"/>
          <w:sz w:val="22"/>
          <w:szCs w:val="22"/>
          <w:lang w:val="en-GB"/>
        </w:rPr>
        <w:t>lead to a fall in revenues</w:t>
      </w:r>
      <w:r w:rsidR="00A34A9D">
        <w:rPr>
          <w:rFonts w:asciiTheme="minorHAnsi" w:hAnsiTheme="minorHAnsi" w:cstheme="minorHAnsi"/>
          <w:sz w:val="22"/>
          <w:szCs w:val="22"/>
          <w:lang w:val="en-GB"/>
        </w:rPr>
        <w:t>, e.g.</w:t>
      </w:r>
      <w:r w:rsidR="002D31C7">
        <w:rPr>
          <w:rFonts w:asciiTheme="minorHAnsi" w:hAnsiTheme="minorHAnsi" w:cstheme="minorHAnsi"/>
          <w:sz w:val="22"/>
          <w:szCs w:val="22"/>
          <w:lang w:val="en-GB"/>
        </w:rPr>
        <w:t>:</w:t>
      </w:r>
    </w:p>
    <w:p w14:paraId="0F7ED8BC" w14:textId="4D956A0A" w:rsidR="002D31C7" w:rsidRDefault="002D31C7" w:rsidP="00C1593B">
      <w:pPr>
        <w:numPr>
          <w:ilvl w:val="1"/>
          <w:numId w:val="4"/>
        </w:numPr>
        <w:spacing w:before="120"/>
        <w:ind w:left="1134"/>
        <w:rPr>
          <w:rFonts w:asciiTheme="minorHAnsi" w:hAnsiTheme="minorHAnsi" w:cstheme="minorHAnsi"/>
          <w:sz w:val="22"/>
          <w:szCs w:val="22"/>
          <w:lang w:val="en-GB"/>
        </w:rPr>
      </w:pPr>
      <w:proofErr w:type="gramStart"/>
      <w:r w:rsidRPr="008D468C">
        <w:rPr>
          <w:rFonts w:asciiTheme="minorHAnsi" w:hAnsiTheme="minorHAnsi" w:cstheme="minorHAnsi"/>
          <w:sz w:val="22"/>
          <w:szCs w:val="22"/>
          <w:lang w:val="en-GB"/>
        </w:rPr>
        <w:t>reduced</w:t>
      </w:r>
      <w:proofErr w:type="gramEnd"/>
      <w:r w:rsidRPr="008D468C">
        <w:rPr>
          <w:rFonts w:asciiTheme="minorHAnsi" w:hAnsiTheme="minorHAnsi" w:cstheme="minorHAnsi"/>
          <w:sz w:val="22"/>
          <w:szCs w:val="22"/>
          <w:lang w:val="en-GB"/>
        </w:rPr>
        <w:t xml:space="preserve"> personal and business taxes on economic activities that shrink or fail to develop as planned as a result of </w:t>
      </w:r>
      <w:r w:rsidR="001C3E10">
        <w:rPr>
          <w:rFonts w:asciiTheme="minorHAnsi" w:hAnsiTheme="minorHAnsi" w:cstheme="minorHAnsi"/>
          <w:sz w:val="22"/>
          <w:szCs w:val="22"/>
          <w:lang w:val="en-GB"/>
        </w:rPr>
        <w:t xml:space="preserve">environmental and climate change </w:t>
      </w:r>
      <w:r w:rsidRPr="008D468C">
        <w:rPr>
          <w:rFonts w:asciiTheme="minorHAnsi" w:hAnsiTheme="minorHAnsi" w:cstheme="minorHAnsi"/>
          <w:sz w:val="22"/>
          <w:szCs w:val="22"/>
          <w:lang w:val="en-GB"/>
        </w:rPr>
        <w:t>adaptation/mitigation policies</w:t>
      </w:r>
      <w:r>
        <w:rPr>
          <w:rFonts w:asciiTheme="minorHAnsi" w:hAnsiTheme="minorHAnsi" w:cstheme="minorHAnsi"/>
          <w:sz w:val="22"/>
          <w:szCs w:val="22"/>
          <w:lang w:val="en-GB"/>
        </w:rPr>
        <w:t>.</w:t>
      </w:r>
    </w:p>
    <w:p w14:paraId="104D4F02" w14:textId="0359A2B3" w:rsidR="002D31C7" w:rsidRDefault="008D468C" w:rsidP="007F6A77">
      <w:pPr>
        <w:numPr>
          <w:ilvl w:val="0"/>
          <w:numId w:val="4"/>
        </w:numPr>
        <w:spacing w:before="120"/>
        <w:ind w:left="709" w:hanging="284"/>
        <w:rPr>
          <w:rFonts w:asciiTheme="minorHAnsi" w:hAnsiTheme="minorHAnsi" w:cstheme="minorHAnsi"/>
          <w:sz w:val="22"/>
          <w:szCs w:val="22"/>
          <w:lang w:val="en-GB"/>
        </w:rPr>
      </w:pPr>
      <w:r w:rsidRPr="008D468C">
        <w:rPr>
          <w:rFonts w:asciiTheme="minorHAnsi" w:hAnsiTheme="minorHAnsi" w:cstheme="minorHAnsi"/>
          <w:i/>
          <w:sz w:val="22"/>
          <w:szCs w:val="22"/>
          <w:lang w:val="en-GB"/>
        </w:rPr>
        <w:t>On the expenditure side</w:t>
      </w:r>
      <w:r w:rsidRPr="008D468C">
        <w:rPr>
          <w:rFonts w:asciiTheme="minorHAnsi" w:hAnsiTheme="minorHAnsi" w:cstheme="minorHAnsi"/>
          <w:sz w:val="22"/>
          <w:szCs w:val="22"/>
          <w:lang w:val="en-GB"/>
        </w:rPr>
        <w:t>, some measures may result in increased expenditures</w:t>
      </w:r>
      <w:r w:rsidR="001C3E10">
        <w:rPr>
          <w:rFonts w:asciiTheme="minorHAnsi" w:hAnsiTheme="minorHAnsi" w:cstheme="minorHAnsi"/>
          <w:sz w:val="22"/>
          <w:szCs w:val="22"/>
          <w:lang w:val="en-GB"/>
        </w:rPr>
        <w:t>, e.g.</w:t>
      </w:r>
      <w:r w:rsidR="002D31C7">
        <w:rPr>
          <w:rFonts w:asciiTheme="minorHAnsi" w:hAnsiTheme="minorHAnsi" w:cstheme="minorHAnsi"/>
          <w:sz w:val="22"/>
          <w:szCs w:val="22"/>
          <w:lang w:val="en-GB"/>
        </w:rPr>
        <w:t>:</w:t>
      </w:r>
    </w:p>
    <w:p w14:paraId="00DCC7BD" w14:textId="76D09B2F" w:rsidR="002D31C7" w:rsidRDefault="002D31C7" w:rsidP="001C3E10">
      <w:pPr>
        <w:numPr>
          <w:ilvl w:val="1"/>
          <w:numId w:val="4"/>
        </w:numPr>
        <w:spacing w:before="120"/>
        <w:ind w:left="1134"/>
        <w:rPr>
          <w:rFonts w:asciiTheme="minorHAnsi" w:hAnsiTheme="minorHAnsi" w:cstheme="minorHAnsi"/>
          <w:sz w:val="22"/>
          <w:szCs w:val="22"/>
          <w:lang w:val="en-GB"/>
        </w:rPr>
      </w:pPr>
      <w:r w:rsidRPr="001C3E10">
        <w:rPr>
          <w:rFonts w:asciiTheme="minorHAnsi" w:hAnsiTheme="minorHAnsi" w:cstheme="minorHAnsi"/>
          <w:sz w:val="22"/>
          <w:szCs w:val="22"/>
          <w:lang w:val="en-GB"/>
        </w:rPr>
        <w:t xml:space="preserve">subsidies for </w:t>
      </w:r>
      <w:r w:rsidR="001C3E10">
        <w:rPr>
          <w:rFonts w:asciiTheme="minorHAnsi" w:hAnsiTheme="minorHAnsi" w:cstheme="minorHAnsi"/>
          <w:sz w:val="22"/>
          <w:szCs w:val="22"/>
          <w:lang w:val="en-GB"/>
        </w:rPr>
        <w:t xml:space="preserve">environmentally-sound and climate change </w:t>
      </w:r>
      <w:r w:rsidRPr="001C3E10">
        <w:rPr>
          <w:rFonts w:asciiTheme="minorHAnsi" w:hAnsiTheme="minorHAnsi" w:cstheme="minorHAnsi"/>
          <w:sz w:val="22"/>
          <w:szCs w:val="22"/>
          <w:lang w:val="en-GB"/>
        </w:rPr>
        <w:t>adaptation &amp; mitigation-related activities;</w:t>
      </w:r>
    </w:p>
    <w:p w14:paraId="30E74021" w14:textId="5FA453DA" w:rsidR="002D31C7" w:rsidRDefault="002D31C7" w:rsidP="001C3E10">
      <w:pPr>
        <w:numPr>
          <w:ilvl w:val="1"/>
          <w:numId w:val="4"/>
        </w:numPr>
        <w:spacing w:before="120"/>
        <w:ind w:left="1134"/>
        <w:rPr>
          <w:rFonts w:asciiTheme="minorHAnsi" w:hAnsiTheme="minorHAnsi" w:cstheme="minorHAnsi"/>
          <w:sz w:val="22"/>
          <w:szCs w:val="22"/>
          <w:lang w:val="en-GB"/>
        </w:rPr>
      </w:pPr>
      <w:r w:rsidRPr="001C3E10">
        <w:rPr>
          <w:rFonts w:asciiTheme="minorHAnsi" w:hAnsiTheme="minorHAnsi" w:cstheme="minorHAnsi"/>
          <w:sz w:val="22"/>
          <w:szCs w:val="22"/>
          <w:lang w:val="en-GB"/>
        </w:rPr>
        <w:t xml:space="preserve">current expenditures incurred in relation to </w:t>
      </w:r>
      <w:r w:rsidR="001C3E10">
        <w:rPr>
          <w:rFonts w:asciiTheme="minorHAnsi" w:hAnsiTheme="minorHAnsi" w:cstheme="minorHAnsi"/>
          <w:sz w:val="22"/>
          <w:szCs w:val="22"/>
          <w:lang w:val="en-GB"/>
        </w:rPr>
        <w:t>environmental and climate change (</w:t>
      </w:r>
      <w:r w:rsidRPr="001C3E10">
        <w:rPr>
          <w:rFonts w:asciiTheme="minorHAnsi" w:hAnsiTheme="minorHAnsi" w:cstheme="minorHAnsi"/>
          <w:sz w:val="22"/>
          <w:szCs w:val="22"/>
          <w:lang w:val="en-GB"/>
        </w:rPr>
        <w:t>adaptation and/or mitigation</w:t>
      </w:r>
      <w:r w:rsidR="001C3E10">
        <w:rPr>
          <w:rFonts w:asciiTheme="minorHAnsi" w:hAnsiTheme="minorHAnsi" w:cstheme="minorHAnsi"/>
          <w:sz w:val="22"/>
          <w:szCs w:val="22"/>
          <w:lang w:val="en-GB"/>
        </w:rPr>
        <w:t>)</w:t>
      </w:r>
      <w:r w:rsidRPr="001C3E10">
        <w:rPr>
          <w:rFonts w:asciiTheme="minorHAnsi" w:hAnsiTheme="minorHAnsi" w:cstheme="minorHAnsi"/>
          <w:sz w:val="22"/>
          <w:szCs w:val="22"/>
          <w:lang w:val="en-GB"/>
        </w:rPr>
        <w:t xml:space="preserve"> activities and infrastructure;</w:t>
      </w:r>
    </w:p>
    <w:p w14:paraId="3293FABF" w14:textId="4D2206B9" w:rsidR="002D31C7" w:rsidRPr="001C3E10" w:rsidRDefault="002D31C7" w:rsidP="001C3E10">
      <w:pPr>
        <w:numPr>
          <w:ilvl w:val="1"/>
          <w:numId w:val="4"/>
        </w:numPr>
        <w:spacing w:before="120"/>
        <w:ind w:left="1134"/>
        <w:rPr>
          <w:rFonts w:asciiTheme="minorHAnsi" w:hAnsiTheme="minorHAnsi" w:cstheme="minorHAnsi"/>
          <w:sz w:val="22"/>
          <w:szCs w:val="22"/>
          <w:lang w:val="en-GB"/>
        </w:rPr>
      </w:pPr>
      <w:r w:rsidRPr="001C3E10">
        <w:rPr>
          <w:rFonts w:asciiTheme="minorHAnsi" w:hAnsiTheme="minorHAnsi" w:cstheme="minorHAnsi"/>
          <w:sz w:val="22"/>
          <w:szCs w:val="22"/>
          <w:lang w:val="en-GB"/>
        </w:rPr>
        <w:t xml:space="preserve">public investment – ‘capital expenditure’ – in </w:t>
      </w:r>
      <w:r w:rsidR="001C3E10">
        <w:rPr>
          <w:rFonts w:asciiTheme="minorHAnsi" w:hAnsiTheme="minorHAnsi" w:cstheme="minorHAnsi"/>
          <w:sz w:val="22"/>
          <w:szCs w:val="22"/>
          <w:lang w:val="en-GB"/>
        </w:rPr>
        <w:t>environmental- and/or climate change (</w:t>
      </w:r>
      <w:r w:rsidRPr="001C3E10">
        <w:rPr>
          <w:rFonts w:asciiTheme="minorHAnsi" w:hAnsiTheme="minorHAnsi" w:cstheme="minorHAnsi"/>
          <w:sz w:val="22"/>
          <w:szCs w:val="22"/>
          <w:lang w:val="en-GB"/>
        </w:rPr>
        <w:t>adaptation and/or mitigation</w:t>
      </w:r>
      <w:r w:rsidR="001C3E10">
        <w:rPr>
          <w:rFonts w:asciiTheme="minorHAnsi" w:hAnsiTheme="minorHAnsi" w:cstheme="minorHAnsi"/>
          <w:sz w:val="22"/>
          <w:szCs w:val="22"/>
          <w:lang w:val="en-GB"/>
        </w:rPr>
        <w:t>)</w:t>
      </w:r>
      <w:r w:rsidRPr="001C3E10">
        <w:rPr>
          <w:rFonts w:asciiTheme="minorHAnsi" w:hAnsiTheme="minorHAnsi" w:cstheme="minorHAnsi"/>
          <w:sz w:val="22"/>
          <w:szCs w:val="22"/>
          <w:lang w:val="en-GB"/>
        </w:rPr>
        <w:t>-related infrastructure, including the ‘climate proofing’ of existing public assets;</w:t>
      </w:r>
    </w:p>
    <w:p w14:paraId="72073EAC" w14:textId="2D68D5E1" w:rsidR="002D31C7" w:rsidRDefault="008D468C" w:rsidP="002D31C7">
      <w:pPr>
        <w:spacing w:before="120"/>
        <w:ind w:left="709"/>
        <w:rPr>
          <w:rFonts w:asciiTheme="minorHAnsi" w:hAnsiTheme="minorHAnsi" w:cstheme="minorHAnsi"/>
          <w:sz w:val="22"/>
          <w:szCs w:val="22"/>
          <w:lang w:val="en-GB"/>
        </w:rPr>
      </w:pPr>
      <w:proofErr w:type="gramStart"/>
      <w:r w:rsidRPr="008D468C">
        <w:rPr>
          <w:rFonts w:asciiTheme="minorHAnsi" w:hAnsiTheme="minorHAnsi" w:cstheme="minorHAnsi"/>
          <w:sz w:val="22"/>
          <w:szCs w:val="22"/>
          <w:lang w:val="en-GB"/>
        </w:rPr>
        <w:t>while</w:t>
      </w:r>
      <w:proofErr w:type="gramEnd"/>
      <w:r w:rsidRPr="008D468C">
        <w:rPr>
          <w:rFonts w:asciiTheme="minorHAnsi" w:hAnsiTheme="minorHAnsi" w:cstheme="minorHAnsi"/>
          <w:sz w:val="22"/>
          <w:szCs w:val="22"/>
          <w:lang w:val="en-GB"/>
        </w:rPr>
        <w:t xml:space="preserve"> others may lead to a decrease in expenditures</w:t>
      </w:r>
      <w:r w:rsidR="001C3E10">
        <w:rPr>
          <w:rFonts w:asciiTheme="minorHAnsi" w:hAnsiTheme="minorHAnsi" w:cstheme="minorHAnsi"/>
          <w:sz w:val="22"/>
          <w:szCs w:val="22"/>
          <w:lang w:val="en-GB"/>
        </w:rPr>
        <w:t>, e.g.</w:t>
      </w:r>
      <w:r w:rsidR="002D31C7">
        <w:rPr>
          <w:rFonts w:asciiTheme="minorHAnsi" w:hAnsiTheme="minorHAnsi" w:cstheme="minorHAnsi"/>
          <w:sz w:val="22"/>
          <w:szCs w:val="22"/>
          <w:lang w:val="en-GB"/>
        </w:rPr>
        <w:t>:</w:t>
      </w:r>
    </w:p>
    <w:p w14:paraId="1AFC4768" w14:textId="62B2401E" w:rsidR="002D31C7" w:rsidRDefault="002D31C7" w:rsidP="001C3E10">
      <w:pPr>
        <w:numPr>
          <w:ilvl w:val="1"/>
          <w:numId w:val="4"/>
        </w:numPr>
        <w:spacing w:before="120"/>
        <w:ind w:left="1134"/>
        <w:rPr>
          <w:rFonts w:asciiTheme="minorHAnsi" w:hAnsiTheme="minorHAnsi" w:cstheme="minorHAnsi"/>
          <w:sz w:val="22"/>
          <w:szCs w:val="22"/>
          <w:lang w:val="en-GB"/>
        </w:rPr>
      </w:pPr>
      <w:r w:rsidRPr="001C3E10">
        <w:rPr>
          <w:rFonts w:asciiTheme="minorHAnsi" w:hAnsiTheme="minorHAnsi" w:cstheme="minorHAnsi"/>
          <w:sz w:val="22"/>
          <w:szCs w:val="22"/>
          <w:lang w:val="en-GB"/>
        </w:rPr>
        <w:t>reduction in or removal of subsidies for fuel consumption and other high-emission activities;</w:t>
      </w:r>
    </w:p>
    <w:p w14:paraId="6B529E6E" w14:textId="775C721B" w:rsidR="001C3E10" w:rsidRDefault="001C3E10" w:rsidP="001C3E10">
      <w:pPr>
        <w:numPr>
          <w:ilvl w:val="1"/>
          <w:numId w:val="4"/>
        </w:numPr>
        <w:spacing w:before="120"/>
        <w:ind w:left="1134"/>
        <w:rPr>
          <w:rFonts w:asciiTheme="minorHAnsi" w:hAnsiTheme="minorHAnsi" w:cstheme="minorHAnsi"/>
          <w:sz w:val="22"/>
          <w:szCs w:val="22"/>
          <w:lang w:val="en-GB"/>
        </w:rPr>
      </w:pPr>
      <w:r>
        <w:rPr>
          <w:rFonts w:asciiTheme="minorHAnsi" w:hAnsiTheme="minorHAnsi" w:cstheme="minorHAnsi"/>
          <w:sz w:val="22"/>
          <w:szCs w:val="22"/>
          <w:lang w:val="en-GB"/>
        </w:rPr>
        <w:t>elimination of perverse subsidies that promote environmentally damaging activities;</w:t>
      </w:r>
    </w:p>
    <w:p w14:paraId="5B4C26D6" w14:textId="7C09BA63" w:rsidR="002D31C7" w:rsidRPr="001C3E10" w:rsidRDefault="00AB1EAA" w:rsidP="001C3E10">
      <w:pPr>
        <w:numPr>
          <w:ilvl w:val="1"/>
          <w:numId w:val="4"/>
        </w:numPr>
        <w:spacing w:before="120"/>
        <w:ind w:left="1134"/>
        <w:rPr>
          <w:rFonts w:asciiTheme="minorHAnsi" w:hAnsiTheme="minorHAnsi" w:cstheme="minorHAnsi"/>
          <w:sz w:val="22"/>
          <w:szCs w:val="22"/>
          <w:lang w:val="en-GB"/>
        </w:rPr>
      </w:pPr>
      <w:proofErr w:type="gramStart"/>
      <w:r w:rsidRPr="001C3E10">
        <w:rPr>
          <w:rFonts w:asciiTheme="minorHAnsi" w:hAnsiTheme="minorHAnsi" w:cstheme="minorHAnsi"/>
          <w:sz w:val="22"/>
          <w:szCs w:val="22"/>
          <w:lang w:val="en-GB"/>
        </w:rPr>
        <w:t>compared</w:t>
      </w:r>
      <w:proofErr w:type="gramEnd"/>
      <w:r w:rsidRPr="001C3E10">
        <w:rPr>
          <w:rFonts w:asciiTheme="minorHAnsi" w:hAnsiTheme="minorHAnsi" w:cstheme="minorHAnsi"/>
          <w:sz w:val="22"/>
          <w:szCs w:val="22"/>
          <w:lang w:val="en-GB"/>
        </w:rPr>
        <w:t xml:space="preserve"> with a ‘business-as-usual’ scenario, </w:t>
      </w:r>
      <w:r w:rsidR="002D31C7" w:rsidRPr="001C3E10">
        <w:rPr>
          <w:rFonts w:asciiTheme="minorHAnsi" w:hAnsiTheme="minorHAnsi" w:cstheme="minorHAnsi"/>
          <w:sz w:val="22"/>
          <w:szCs w:val="22"/>
          <w:lang w:val="en-GB"/>
        </w:rPr>
        <w:t xml:space="preserve">reduced healthcare spending </w:t>
      </w:r>
      <w:r w:rsidRPr="001C3E10">
        <w:rPr>
          <w:rFonts w:asciiTheme="minorHAnsi" w:hAnsiTheme="minorHAnsi" w:cstheme="minorHAnsi"/>
          <w:sz w:val="22"/>
          <w:szCs w:val="22"/>
          <w:lang w:val="en-GB"/>
        </w:rPr>
        <w:t>and</w:t>
      </w:r>
      <w:r w:rsidR="002D31C7" w:rsidRPr="001C3E10">
        <w:rPr>
          <w:rFonts w:asciiTheme="minorHAnsi" w:hAnsiTheme="minorHAnsi" w:cstheme="minorHAnsi"/>
          <w:sz w:val="22"/>
          <w:szCs w:val="22"/>
          <w:lang w:val="en-GB"/>
        </w:rPr>
        <w:t xml:space="preserve"> reduced capital expenditure from avoided damage to infrastructure as a result of adopt</w:t>
      </w:r>
      <w:r w:rsidRPr="001C3E10">
        <w:rPr>
          <w:rFonts w:asciiTheme="minorHAnsi" w:hAnsiTheme="minorHAnsi" w:cstheme="minorHAnsi"/>
          <w:sz w:val="22"/>
          <w:szCs w:val="22"/>
          <w:lang w:val="en-GB"/>
        </w:rPr>
        <w:t xml:space="preserve">ing climate </w:t>
      </w:r>
      <w:r w:rsidRPr="001C3E10">
        <w:rPr>
          <w:rFonts w:asciiTheme="minorHAnsi" w:hAnsiTheme="minorHAnsi" w:cstheme="minorHAnsi"/>
          <w:sz w:val="22"/>
          <w:szCs w:val="22"/>
          <w:lang w:val="en-GB"/>
        </w:rPr>
        <w:lastRenderedPageBreak/>
        <w:t>adaptation measures</w:t>
      </w:r>
      <w:r w:rsidR="001C3E10">
        <w:rPr>
          <w:rFonts w:asciiTheme="minorHAnsi" w:hAnsiTheme="minorHAnsi" w:cstheme="minorHAnsi"/>
          <w:sz w:val="22"/>
          <w:szCs w:val="22"/>
          <w:lang w:val="en-GB"/>
        </w:rPr>
        <w:t xml:space="preserve"> and successful environmental measures (e.g. reduced water and air pollution)</w:t>
      </w:r>
      <w:r w:rsidRPr="001C3E10">
        <w:rPr>
          <w:rFonts w:asciiTheme="minorHAnsi" w:hAnsiTheme="minorHAnsi" w:cstheme="minorHAnsi"/>
          <w:sz w:val="22"/>
          <w:szCs w:val="22"/>
          <w:lang w:val="en-GB"/>
        </w:rPr>
        <w:t>.</w:t>
      </w:r>
    </w:p>
    <w:p w14:paraId="137AD994" w14:textId="77777777" w:rsidR="006825EB" w:rsidRPr="00703706" w:rsidRDefault="006825EB" w:rsidP="006825EB">
      <w:pPr>
        <w:rPr>
          <w:rFonts w:asciiTheme="minorHAnsi" w:hAnsiTheme="minorHAnsi" w:cstheme="minorHAnsi"/>
          <w:sz w:val="22"/>
          <w:szCs w:val="22"/>
          <w:lang w:val="en-GB"/>
        </w:rPr>
      </w:pPr>
    </w:p>
    <w:p w14:paraId="6AF9C394" w14:textId="6C1D200F" w:rsidR="006825EB" w:rsidRPr="008D468C" w:rsidRDefault="006825EB" w:rsidP="007F6A77">
      <w:pPr>
        <w:numPr>
          <w:ilvl w:val="0"/>
          <w:numId w:val="2"/>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 xml:space="preserve">The implementation of </w:t>
      </w:r>
      <w:r w:rsidR="001C3E10">
        <w:rPr>
          <w:rFonts w:asciiTheme="minorHAnsi" w:hAnsiTheme="minorHAnsi" w:cstheme="minorHAnsi"/>
          <w:sz w:val="22"/>
          <w:szCs w:val="22"/>
          <w:lang w:val="en-GB"/>
        </w:rPr>
        <w:t xml:space="preserve">environment- and </w:t>
      </w:r>
      <w:r>
        <w:rPr>
          <w:rFonts w:asciiTheme="minorHAnsi" w:hAnsiTheme="minorHAnsi" w:cstheme="minorHAnsi"/>
          <w:sz w:val="22"/>
          <w:szCs w:val="22"/>
          <w:lang w:val="en-GB"/>
        </w:rPr>
        <w:t xml:space="preserve">climate-related policies may thus potentially have some significant impacts on public finance and macroeconomic parameters. In some countries, the increased inflow of external resources related to </w:t>
      </w:r>
      <w:r w:rsidR="001C3E10">
        <w:rPr>
          <w:rFonts w:asciiTheme="minorHAnsi" w:hAnsiTheme="minorHAnsi" w:cstheme="minorHAnsi"/>
          <w:sz w:val="22"/>
          <w:szCs w:val="22"/>
          <w:lang w:val="en-GB"/>
        </w:rPr>
        <w:t xml:space="preserve">environment and climate change </w:t>
      </w:r>
      <w:r>
        <w:rPr>
          <w:rFonts w:asciiTheme="minorHAnsi" w:hAnsiTheme="minorHAnsi" w:cstheme="minorHAnsi"/>
          <w:sz w:val="22"/>
          <w:szCs w:val="22"/>
          <w:lang w:val="en-GB"/>
        </w:rPr>
        <w:t xml:space="preserve">adaptation and mitigation, if significant relative to the size of the budget and the economy, may potentially </w:t>
      </w:r>
      <w:r w:rsidR="00DD3FC7">
        <w:rPr>
          <w:rFonts w:asciiTheme="minorHAnsi" w:hAnsiTheme="minorHAnsi" w:cstheme="minorHAnsi"/>
          <w:sz w:val="22"/>
          <w:szCs w:val="22"/>
          <w:lang w:val="en-GB"/>
        </w:rPr>
        <w:t>disturb</w:t>
      </w:r>
      <w:r>
        <w:rPr>
          <w:rFonts w:asciiTheme="minorHAnsi" w:hAnsiTheme="minorHAnsi" w:cstheme="minorHAnsi"/>
          <w:sz w:val="22"/>
          <w:szCs w:val="22"/>
          <w:lang w:val="en-GB"/>
        </w:rPr>
        <w:t xml:space="preserve"> macroeconomic balances (in the same way as large inflows of foreign aid)</w:t>
      </w:r>
      <w:r w:rsidR="00905822">
        <w:rPr>
          <w:rFonts w:asciiTheme="minorHAnsi" w:hAnsiTheme="minorHAnsi" w:cstheme="minorHAnsi"/>
          <w:sz w:val="22"/>
          <w:szCs w:val="22"/>
          <w:lang w:val="en-GB"/>
        </w:rPr>
        <w:t>;</w:t>
      </w:r>
      <w:r>
        <w:rPr>
          <w:rFonts w:asciiTheme="minorHAnsi" w:hAnsiTheme="minorHAnsi" w:cstheme="minorHAnsi"/>
          <w:sz w:val="22"/>
          <w:szCs w:val="22"/>
          <w:lang w:val="en-GB"/>
        </w:rPr>
        <w:t xml:space="preserve"> </w:t>
      </w:r>
      <w:r w:rsidR="00905822">
        <w:rPr>
          <w:rFonts w:asciiTheme="minorHAnsi" w:hAnsiTheme="minorHAnsi" w:cstheme="minorHAnsi"/>
          <w:sz w:val="22"/>
          <w:szCs w:val="22"/>
          <w:lang w:val="en-GB"/>
        </w:rPr>
        <w:t xml:space="preserve">however, </w:t>
      </w:r>
      <w:r>
        <w:rPr>
          <w:rFonts w:asciiTheme="minorHAnsi" w:hAnsiTheme="minorHAnsi" w:cstheme="minorHAnsi"/>
          <w:sz w:val="22"/>
          <w:szCs w:val="22"/>
          <w:lang w:val="en-GB"/>
        </w:rPr>
        <w:t>solutions exist to maintain price and exchange rate stability</w:t>
      </w:r>
      <w:r w:rsidR="002D429B">
        <w:rPr>
          <w:rFonts w:asciiTheme="minorHAnsi" w:hAnsiTheme="minorHAnsi" w:cstheme="minorHAnsi"/>
          <w:sz w:val="22"/>
          <w:szCs w:val="22"/>
          <w:lang w:val="en-GB"/>
        </w:rPr>
        <w:t xml:space="preserve"> in situations of increased inflow of foreign currencies</w:t>
      </w:r>
      <w:r w:rsidR="00C44F5A">
        <w:rPr>
          <w:rFonts w:asciiTheme="minorHAnsi" w:hAnsiTheme="minorHAnsi" w:cstheme="minorHAnsi"/>
          <w:sz w:val="22"/>
          <w:szCs w:val="22"/>
          <w:lang w:val="en-GB"/>
        </w:rPr>
        <w:t>, provided the measures that generate this inflow are firmly integrated in the country’s development framework</w:t>
      </w:r>
      <w:r w:rsidR="002D429B">
        <w:rPr>
          <w:rFonts w:asciiTheme="minorHAnsi" w:hAnsiTheme="minorHAnsi" w:cstheme="minorHAnsi"/>
          <w:sz w:val="22"/>
          <w:szCs w:val="22"/>
          <w:lang w:val="en-GB"/>
        </w:rPr>
        <w:t xml:space="preserve"> (</w:t>
      </w:r>
      <w:proofErr w:type="spellStart"/>
      <w:r w:rsidR="002D429B">
        <w:rPr>
          <w:rFonts w:asciiTheme="minorHAnsi" w:hAnsiTheme="minorHAnsi" w:cstheme="minorHAnsi"/>
          <w:sz w:val="22"/>
          <w:szCs w:val="22"/>
          <w:lang w:val="en-GB"/>
        </w:rPr>
        <w:t>Fankhauser</w:t>
      </w:r>
      <w:proofErr w:type="spellEnd"/>
      <w:r w:rsidR="002D429B">
        <w:rPr>
          <w:rFonts w:asciiTheme="minorHAnsi" w:hAnsiTheme="minorHAnsi" w:cstheme="minorHAnsi"/>
          <w:sz w:val="22"/>
          <w:szCs w:val="22"/>
          <w:lang w:val="en-GB"/>
        </w:rPr>
        <w:t xml:space="preserve"> &amp; Schmidt-</w:t>
      </w:r>
      <w:proofErr w:type="spellStart"/>
      <w:r w:rsidR="002D429B">
        <w:rPr>
          <w:rFonts w:asciiTheme="minorHAnsi" w:hAnsiTheme="minorHAnsi" w:cstheme="minorHAnsi"/>
          <w:sz w:val="22"/>
          <w:szCs w:val="22"/>
          <w:lang w:val="en-GB"/>
        </w:rPr>
        <w:t>Traub</w:t>
      </w:r>
      <w:proofErr w:type="spellEnd"/>
      <w:r w:rsidR="002D429B">
        <w:rPr>
          <w:rFonts w:asciiTheme="minorHAnsi" w:hAnsiTheme="minorHAnsi" w:cstheme="minorHAnsi"/>
          <w:sz w:val="22"/>
          <w:szCs w:val="22"/>
          <w:lang w:val="en-GB"/>
        </w:rPr>
        <w:t xml:space="preserve"> 2010).</w:t>
      </w:r>
    </w:p>
    <w:p w14:paraId="0AD0E32E" w14:textId="77777777" w:rsidR="00614B5A" w:rsidRDefault="00614B5A" w:rsidP="00614B5A">
      <w:pPr>
        <w:rPr>
          <w:rFonts w:asciiTheme="minorHAnsi" w:hAnsiTheme="minorHAnsi" w:cstheme="minorHAnsi"/>
          <w:sz w:val="22"/>
          <w:szCs w:val="22"/>
          <w:lang w:val="en-GB"/>
        </w:rPr>
      </w:pPr>
    </w:p>
    <w:p w14:paraId="0AA80A18" w14:textId="77777777" w:rsidR="004E613F" w:rsidRPr="00EB02EC" w:rsidRDefault="00EB02EC" w:rsidP="00614B5A">
      <w:pPr>
        <w:rPr>
          <w:rFonts w:asciiTheme="minorHAnsi" w:hAnsiTheme="minorHAnsi" w:cstheme="minorHAnsi"/>
          <w:i/>
          <w:sz w:val="22"/>
          <w:szCs w:val="22"/>
          <w:lang w:val="en-GB"/>
        </w:rPr>
      </w:pPr>
      <w:r w:rsidRPr="00EB02EC">
        <w:rPr>
          <w:rFonts w:asciiTheme="minorHAnsi" w:hAnsiTheme="minorHAnsi" w:cstheme="minorHAnsi"/>
          <w:i/>
          <w:sz w:val="22"/>
          <w:szCs w:val="22"/>
          <w:lang w:val="en-GB"/>
        </w:rPr>
        <w:t>Linking the budget to policy objectives and expected results</w:t>
      </w:r>
    </w:p>
    <w:p w14:paraId="6B97FEE7" w14:textId="77777777" w:rsidR="00711073" w:rsidRPr="00711073" w:rsidRDefault="00711073" w:rsidP="00711073">
      <w:pPr>
        <w:rPr>
          <w:rFonts w:asciiTheme="minorHAnsi" w:hAnsiTheme="minorHAnsi" w:cstheme="minorHAnsi"/>
          <w:sz w:val="22"/>
          <w:szCs w:val="22"/>
          <w:lang w:val="en-GB"/>
        </w:rPr>
      </w:pPr>
    </w:p>
    <w:p w14:paraId="411AC8FF" w14:textId="77777777" w:rsidR="00711073" w:rsidRPr="00711073" w:rsidRDefault="00711073" w:rsidP="007F6A77">
      <w:pPr>
        <w:pStyle w:val="ListParagraph"/>
        <w:numPr>
          <w:ilvl w:val="0"/>
          <w:numId w:val="2"/>
        </w:numPr>
        <w:ind w:left="426" w:hanging="426"/>
        <w:rPr>
          <w:rFonts w:asciiTheme="minorHAnsi" w:hAnsiTheme="minorHAnsi" w:cstheme="minorHAnsi"/>
          <w:sz w:val="22"/>
          <w:szCs w:val="22"/>
          <w:lang w:val="en-GB"/>
        </w:rPr>
      </w:pPr>
      <w:r w:rsidRPr="00711073">
        <w:rPr>
          <w:rFonts w:asciiTheme="minorHAnsi" w:hAnsiTheme="minorHAnsi" w:cstheme="minorHAnsi"/>
          <w:sz w:val="22"/>
          <w:szCs w:val="22"/>
          <w:lang w:val="en-GB"/>
        </w:rPr>
        <w:t xml:space="preserve">A country’s </w:t>
      </w:r>
      <w:r w:rsidRPr="00711073">
        <w:rPr>
          <w:rFonts w:asciiTheme="minorHAnsi" w:hAnsiTheme="minorHAnsi" w:cstheme="minorHAnsi"/>
          <w:i/>
          <w:sz w:val="22"/>
          <w:szCs w:val="22"/>
          <w:lang w:val="en-GB"/>
        </w:rPr>
        <w:t>fiscal strategy</w:t>
      </w:r>
      <w:r w:rsidRPr="00711073">
        <w:rPr>
          <w:rFonts w:asciiTheme="minorHAnsi" w:hAnsiTheme="minorHAnsi" w:cstheme="minorHAnsi"/>
          <w:sz w:val="22"/>
          <w:szCs w:val="22"/>
          <w:lang w:val="en-GB"/>
        </w:rPr>
        <w:t xml:space="preserve"> is a set of economic policies that make use of public expenditure</w:t>
      </w:r>
      <w:r w:rsidR="00DD3FC7">
        <w:rPr>
          <w:rFonts w:asciiTheme="minorHAnsi" w:hAnsiTheme="minorHAnsi" w:cstheme="minorHAnsi"/>
          <w:sz w:val="22"/>
          <w:szCs w:val="22"/>
          <w:lang w:val="en-GB"/>
        </w:rPr>
        <w:t>s</w:t>
      </w:r>
      <w:r w:rsidRPr="00711073">
        <w:rPr>
          <w:rFonts w:asciiTheme="minorHAnsi" w:hAnsiTheme="minorHAnsi" w:cstheme="minorHAnsi"/>
          <w:sz w:val="22"/>
          <w:szCs w:val="22"/>
          <w:lang w:val="en-GB"/>
        </w:rPr>
        <w:t>, public revenue</w:t>
      </w:r>
      <w:r w:rsidR="00DD3FC7">
        <w:rPr>
          <w:rFonts w:asciiTheme="minorHAnsi" w:hAnsiTheme="minorHAnsi" w:cstheme="minorHAnsi"/>
          <w:sz w:val="22"/>
          <w:szCs w:val="22"/>
          <w:lang w:val="en-GB"/>
        </w:rPr>
        <w:t>s</w:t>
      </w:r>
      <w:r w:rsidRPr="00711073">
        <w:rPr>
          <w:rFonts w:asciiTheme="minorHAnsi" w:hAnsiTheme="minorHAnsi" w:cstheme="minorHAnsi"/>
          <w:sz w:val="22"/>
          <w:szCs w:val="22"/>
          <w:lang w:val="en-GB"/>
        </w:rPr>
        <w:t xml:space="preserve">, the size of the budget surplus or deficit, the extent of public debt and the way in which it is managed, to support national policies (including economic stability and growth, poverty reduction, achievement of the MDGs, composition of growth, etc.). The specification of a fiscal strategy, and the preparation of a national budget, are </w:t>
      </w:r>
      <w:r w:rsidRPr="00711073">
        <w:rPr>
          <w:rFonts w:asciiTheme="minorHAnsi" w:hAnsiTheme="minorHAnsi" w:cstheme="minorHAnsi"/>
          <w:i/>
          <w:sz w:val="22"/>
          <w:szCs w:val="22"/>
          <w:lang w:val="en-GB"/>
        </w:rPr>
        <w:t>highly political acts</w:t>
      </w:r>
      <w:r w:rsidRPr="00711073">
        <w:rPr>
          <w:rFonts w:asciiTheme="minorHAnsi" w:hAnsiTheme="minorHAnsi" w:cstheme="minorHAnsi"/>
          <w:sz w:val="22"/>
          <w:szCs w:val="22"/>
          <w:lang w:val="en-GB"/>
        </w:rPr>
        <w:t xml:space="preserve"> involving the allocation of resources and reflecting the priorities of government. For optimal outcomes, policy, planning and budgeting shou</w:t>
      </w:r>
      <w:r w:rsidR="00AB3089">
        <w:rPr>
          <w:rFonts w:asciiTheme="minorHAnsi" w:hAnsiTheme="minorHAnsi" w:cstheme="minorHAnsi"/>
          <w:sz w:val="22"/>
          <w:szCs w:val="22"/>
          <w:lang w:val="en-GB"/>
        </w:rPr>
        <w:t>ld be integrated (</w:t>
      </w:r>
      <w:proofErr w:type="spellStart"/>
      <w:r w:rsidR="00AB3089">
        <w:rPr>
          <w:rFonts w:asciiTheme="minorHAnsi" w:hAnsiTheme="minorHAnsi" w:cstheme="minorHAnsi"/>
          <w:sz w:val="22"/>
          <w:szCs w:val="22"/>
          <w:lang w:val="en-GB"/>
        </w:rPr>
        <w:t>Tulkens</w:t>
      </w:r>
      <w:proofErr w:type="spellEnd"/>
      <w:r w:rsidR="00AB3089">
        <w:rPr>
          <w:rFonts w:asciiTheme="minorHAnsi" w:hAnsiTheme="minorHAnsi" w:cstheme="minorHAnsi"/>
          <w:sz w:val="22"/>
          <w:szCs w:val="22"/>
          <w:lang w:val="en-GB"/>
        </w:rPr>
        <w:t xml:space="preserve"> et al</w:t>
      </w:r>
      <w:r w:rsidRPr="00711073">
        <w:rPr>
          <w:rFonts w:asciiTheme="minorHAnsi" w:hAnsiTheme="minorHAnsi" w:cstheme="minorHAnsi"/>
          <w:sz w:val="22"/>
          <w:szCs w:val="22"/>
          <w:lang w:val="en-GB"/>
        </w:rPr>
        <w:t xml:space="preserve"> 2004). </w:t>
      </w:r>
    </w:p>
    <w:p w14:paraId="3B9DB9D3" w14:textId="77777777" w:rsidR="00711073" w:rsidRPr="00711073" w:rsidRDefault="00711073" w:rsidP="00711073">
      <w:pPr>
        <w:rPr>
          <w:rFonts w:asciiTheme="minorHAnsi" w:hAnsiTheme="minorHAnsi" w:cstheme="minorHAnsi"/>
          <w:sz w:val="22"/>
          <w:szCs w:val="22"/>
          <w:lang w:val="en-GB"/>
        </w:rPr>
      </w:pPr>
    </w:p>
    <w:p w14:paraId="2CEEAFAA" w14:textId="77777777" w:rsidR="00AF4DE8" w:rsidRPr="00AF4DE8" w:rsidRDefault="00711073" w:rsidP="007F6A77">
      <w:pPr>
        <w:pStyle w:val="ListParagraph"/>
        <w:numPr>
          <w:ilvl w:val="0"/>
          <w:numId w:val="2"/>
        </w:numPr>
        <w:ind w:left="426" w:hanging="426"/>
        <w:rPr>
          <w:rFonts w:asciiTheme="minorHAnsi" w:hAnsiTheme="minorHAnsi" w:cstheme="minorHAnsi"/>
          <w:sz w:val="22"/>
          <w:szCs w:val="22"/>
          <w:lang w:val="en-GB"/>
        </w:rPr>
      </w:pPr>
      <w:r w:rsidRPr="00711073">
        <w:rPr>
          <w:rFonts w:asciiTheme="minorHAnsi" w:hAnsiTheme="minorHAnsi" w:cstheme="minorHAnsi"/>
          <w:sz w:val="22"/>
          <w:szCs w:val="22"/>
          <w:lang w:val="en-GB"/>
        </w:rPr>
        <w:t xml:space="preserve">A </w:t>
      </w:r>
      <w:r w:rsidRPr="00C44F5A">
        <w:rPr>
          <w:rFonts w:asciiTheme="minorHAnsi" w:hAnsiTheme="minorHAnsi" w:cstheme="minorHAnsi"/>
          <w:i/>
          <w:sz w:val="22"/>
          <w:szCs w:val="22"/>
          <w:lang w:val="en-GB"/>
        </w:rPr>
        <w:t>budget</w:t>
      </w:r>
      <w:r w:rsidRPr="00711073">
        <w:rPr>
          <w:rFonts w:asciiTheme="minorHAnsi" w:hAnsiTheme="minorHAnsi" w:cstheme="minorHAnsi"/>
          <w:sz w:val="22"/>
          <w:szCs w:val="22"/>
          <w:lang w:val="en-GB"/>
        </w:rPr>
        <w:t xml:space="preserve"> is </w:t>
      </w:r>
      <w:r w:rsidR="00292C65">
        <w:rPr>
          <w:rFonts w:asciiTheme="minorHAnsi" w:hAnsiTheme="minorHAnsi" w:cstheme="minorHAnsi"/>
          <w:sz w:val="22"/>
          <w:szCs w:val="22"/>
          <w:lang w:val="en-GB"/>
        </w:rPr>
        <w:t xml:space="preserve">an </w:t>
      </w:r>
      <w:r w:rsidRPr="00711073">
        <w:rPr>
          <w:rFonts w:asciiTheme="minorHAnsi" w:hAnsiTheme="minorHAnsi" w:cstheme="minorHAnsi"/>
          <w:sz w:val="22"/>
          <w:szCs w:val="22"/>
          <w:lang w:val="en-GB"/>
        </w:rPr>
        <w:t>annual</w:t>
      </w:r>
      <w:r w:rsidR="00292C65">
        <w:rPr>
          <w:rFonts w:asciiTheme="minorHAnsi" w:hAnsiTheme="minorHAnsi" w:cstheme="minorHAnsi"/>
          <w:sz w:val="22"/>
          <w:szCs w:val="22"/>
          <w:lang w:val="en-GB"/>
        </w:rPr>
        <w:t xml:space="preserve"> instrument</w:t>
      </w:r>
      <w:r w:rsidRPr="00711073">
        <w:rPr>
          <w:rFonts w:asciiTheme="minorHAnsi" w:hAnsiTheme="minorHAnsi" w:cstheme="minorHAnsi"/>
          <w:sz w:val="22"/>
          <w:szCs w:val="22"/>
          <w:lang w:val="en-GB"/>
        </w:rPr>
        <w:t xml:space="preserve">. Given the time horizon of policies and strategies, it is useful to have a medium-term perspective for national and </w:t>
      </w:r>
      <w:r w:rsidR="004535C3">
        <w:rPr>
          <w:rFonts w:asciiTheme="minorHAnsi" w:hAnsiTheme="minorHAnsi" w:cstheme="minorHAnsi"/>
          <w:sz w:val="22"/>
          <w:szCs w:val="22"/>
          <w:lang w:val="en-GB"/>
        </w:rPr>
        <w:t>sector</w:t>
      </w:r>
      <w:r w:rsidRPr="00711073">
        <w:rPr>
          <w:rFonts w:asciiTheme="minorHAnsi" w:hAnsiTheme="minorHAnsi" w:cstheme="minorHAnsi"/>
          <w:sz w:val="22"/>
          <w:szCs w:val="22"/>
          <w:lang w:val="en-GB"/>
        </w:rPr>
        <w:t xml:space="preserve"> budgets</w:t>
      </w:r>
      <w:r w:rsidR="006F6267">
        <w:rPr>
          <w:rFonts w:asciiTheme="minorHAnsi" w:hAnsiTheme="minorHAnsi" w:cstheme="minorHAnsi"/>
          <w:sz w:val="22"/>
          <w:szCs w:val="22"/>
          <w:lang w:val="en-GB"/>
        </w:rPr>
        <w:t xml:space="preserve">; </w:t>
      </w:r>
      <w:r w:rsidR="008823F2">
        <w:rPr>
          <w:rFonts w:asciiTheme="minorHAnsi" w:hAnsiTheme="minorHAnsi" w:cstheme="minorHAnsi"/>
          <w:sz w:val="22"/>
          <w:szCs w:val="22"/>
          <w:lang w:val="en-GB"/>
        </w:rPr>
        <w:t>multi-year budgeting</w:t>
      </w:r>
      <w:r w:rsidR="006F6267">
        <w:rPr>
          <w:rFonts w:asciiTheme="minorHAnsi" w:hAnsiTheme="minorHAnsi" w:cstheme="minorHAnsi"/>
          <w:sz w:val="22"/>
          <w:szCs w:val="22"/>
          <w:lang w:val="en-GB"/>
        </w:rPr>
        <w:t xml:space="preserve"> supports fiscal stability </w:t>
      </w:r>
      <w:r w:rsidR="00B9107C">
        <w:rPr>
          <w:rFonts w:asciiTheme="minorHAnsi" w:hAnsiTheme="minorHAnsi" w:cstheme="minorHAnsi"/>
          <w:sz w:val="22"/>
          <w:szCs w:val="22"/>
          <w:lang w:val="en-GB"/>
        </w:rPr>
        <w:t xml:space="preserve">and discipline, improved predictability of budget resources </w:t>
      </w:r>
      <w:r w:rsidR="00C30976">
        <w:rPr>
          <w:rFonts w:asciiTheme="minorHAnsi" w:hAnsiTheme="minorHAnsi" w:cstheme="minorHAnsi"/>
          <w:sz w:val="22"/>
          <w:szCs w:val="22"/>
          <w:lang w:val="en-GB"/>
        </w:rPr>
        <w:t xml:space="preserve">and </w:t>
      </w:r>
      <w:r w:rsidR="006F6267">
        <w:rPr>
          <w:rFonts w:asciiTheme="minorHAnsi" w:hAnsiTheme="minorHAnsi" w:cstheme="minorHAnsi"/>
          <w:sz w:val="22"/>
          <w:szCs w:val="22"/>
          <w:lang w:val="en-GB"/>
        </w:rPr>
        <w:t xml:space="preserve">more </w:t>
      </w:r>
      <w:r w:rsidR="008823F2">
        <w:rPr>
          <w:rFonts w:asciiTheme="minorHAnsi" w:hAnsiTheme="minorHAnsi" w:cstheme="minorHAnsi"/>
          <w:sz w:val="22"/>
          <w:szCs w:val="22"/>
          <w:lang w:val="en-GB"/>
        </w:rPr>
        <w:t xml:space="preserve">effective and </w:t>
      </w:r>
      <w:r w:rsidR="006F6267">
        <w:rPr>
          <w:rFonts w:asciiTheme="minorHAnsi" w:hAnsiTheme="minorHAnsi" w:cstheme="minorHAnsi"/>
          <w:sz w:val="22"/>
          <w:szCs w:val="22"/>
          <w:lang w:val="en-GB"/>
        </w:rPr>
        <w:t>efficient allocation of resources (</w:t>
      </w:r>
      <w:proofErr w:type="spellStart"/>
      <w:r w:rsidR="006F6267">
        <w:rPr>
          <w:rFonts w:asciiTheme="minorHAnsi" w:hAnsiTheme="minorHAnsi" w:cstheme="minorHAnsi"/>
          <w:sz w:val="22"/>
          <w:szCs w:val="22"/>
          <w:lang w:val="en-GB"/>
        </w:rPr>
        <w:t>Petkova</w:t>
      </w:r>
      <w:proofErr w:type="spellEnd"/>
      <w:r w:rsidR="006F6267">
        <w:rPr>
          <w:rFonts w:asciiTheme="minorHAnsi" w:hAnsiTheme="minorHAnsi" w:cstheme="minorHAnsi"/>
          <w:sz w:val="22"/>
          <w:szCs w:val="22"/>
          <w:lang w:val="en-GB"/>
        </w:rPr>
        <w:t xml:space="preserve"> 2009)</w:t>
      </w:r>
      <w:r w:rsidRPr="00711073">
        <w:rPr>
          <w:rFonts w:asciiTheme="minorHAnsi" w:hAnsiTheme="minorHAnsi" w:cstheme="minorHAnsi"/>
          <w:sz w:val="22"/>
          <w:szCs w:val="22"/>
          <w:lang w:val="en-GB"/>
        </w:rPr>
        <w:t xml:space="preserve">. A </w:t>
      </w:r>
      <w:r w:rsidRPr="00711073">
        <w:rPr>
          <w:rFonts w:asciiTheme="minorHAnsi" w:hAnsiTheme="minorHAnsi" w:cstheme="minorHAnsi"/>
          <w:i/>
          <w:sz w:val="22"/>
          <w:szCs w:val="22"/>
          <w:lang w:val="en-GB"/>
        </w:rPr>
        <w:t>medium-term expenditure framework</w:t>
      </w:r>
      <w:r w:rsidRPr="00711073">
        <w:rPr>
          <w:rFonts w:asciiTheme="minorHAnsi" w:hAnsiTheme="minorHAnsi" w:cstheme="minorHAnsi"/>
          <w:sz w:val="22"/>
          <w:szCs w:val="22"/>
          <w:lang w:val="en-GB"/>
        </w:rPr>
        <w:t xml:space="preserve"> (MTEF) is a forward-looking budgetary planning tool covering a 3- to 5-year period that systematically links strategic objectives (national/</w:t>
      </w:r>
      <w:r w:rsidR="004535C3">
        <w:rPr>
          <w:rFonts w:asciiTheme="minorHAnsi" w:hAnsiTheme="minorHAnsi" w:cstheme="minorHAnsi"/>
          <w:sz w:val="22"/>
          <w:szCs w:val="22"/>
          <w:lang w:val="en-GB"/>
        </w:rPr>
        <w:t>sector</w:t>
      </w:r>
      <w:r w:rsidRPr="00711073">
        <w:rPr>
          <w:rFonts w:asciiTheme="minorHAnsi" w:hAnsiTheme="minorHAnsi" w:cstheme="minorHAnsi"/>
          <w:sz w:val="22"/>
          <w:szCs w:val="22"/>
          <w:lang w:val="en-GB"/>
        </w:rPr>
        <w:t>)</w:t>
      </w:r>
      <w:r w:rsidR="00D23609">
        <w:rPr>
          <w:rFonts w:asciiTheme="minorHAnsi" w:hAnsiTheme="minorHAnsi" w:cstheme="minorHAnsi"/>
          <w:sz w:val="22"/>
          <w:szCs w:val="22"/>
          <w:lang w:val="en-GB"/>
        </w:rPr>
        <w:t xml:space="preserve"> and related outputs/outcomes</w:t>
      </w:r>
      <w:r w:rsidRPr="00711073">
        <w:rPr>
          <w:rFonts w:asciiTheme="minorHAnsi" w:hAnsiTheme="minorHAnsi" w:cstheme="minorHAnsi"/>
          <w:sz w:val="22"/>
          <w:szCs w:val="22"/>
          <w:lang w:val="en-GB"/>
        </w:rPr>
        <w:t xml:space="preserve"> with actions required to achieve them, corresponding expenditures and resources/resource requ</w:t>
      </w:r>
      <w:r w:rsidR="00C30976">
        <w:rPr>
          <w:rFonts w:asciiTheme="minorHAnsi" w:hAnsiTheme="minorHAnsi" w:cstheme="minorHAnsi"/>
          <w:sz w:val="22"/>
          <w:szCs w:val="22"/>
          <w:lang w:val="en-GB"/>
        </w:rPr>
        <w:t>irements. By establishing inter</w:t>
      </w:r>
      <w:r w:rsidR="004535C3">
        <w:rPr>
          <w:rFonts w:asciiTheme="minorHAnsi" w:hAnsiTheme="minorHAnsi" w:cstheme="minorHAnsi"/>
          <w:sz w:val="22"/>
          <w:szCs w:val="22"/>
          <w:lang w:val="en-GB"/>
        </w:rPr>
        <w:t>sector</w:t>
      </w:r>
      <w:r w:rsidR="00C30976">
        <w:rPr>
          <w:rFonts w:asciiTheme="minorHAnsi" w:hAnsiTheme="minorHAnsi" w:cstheme="minorHAnsi"/>
          <w:sz w:val="22"/>
          <w:szCs w:val="22"/>
          <w:lang w:val="en-GB"/>
        </w:rPr>
        <w:t>al</w:t>
      </w:r>
      <w:r w:rsidRPr="00711073">
        <w:rPr>
          <w:rFonts w:asciiTheme="minorHAnsi" w:hAnsiTheme="minorHAnsi" w:cstheme="minorHAnsi"/>
          <w:sz w:val="22"/>
          <w:szCs w:val="22"/>
          <w:lang w:val="en-GB"/>
        </w:rPr>
        <w:t xml:space="preserve"> allocations (a</w:t>
      </w:r>
      <w:r w:rsidR="00C30976">
        <w:rPr>
          <w:rFonts w:asciiTheme="minorHAnsi" w:hAnsiTheme="minorHAnsi" w:cstheme="minorHAnsi"/>
          <w:sz w:val="22"/>
          <w:szCs w:val="22"/>
          <w:lang w:val="en-GB"/>
        </w:rPr>
        <w:t>t the national level) and intra</w:t>
      </w:r>
      <w:r w:rsidR="004535C3">
        <w:rPr>
          <w:rFonts w:asciiTheme="minorHAnsi" w:hAnsiTheme="minorHAnsi" w:cstheme="minorHAnsi"/>
          <w:sz w:val="22"/>
          <w:szCs w:val="22"/>
          <w:lang w:val="en-GB"/>
        </w:rPr>
        <w:t>sector</w:t>
      </w:r>
      <w:r w:rsidR="00C30976">
        <w:rPr>
          <w:rFonts w:asciiTheme="minorHAnsi" w:hAnsiTheme="minorHAnsi" w:cstheme="minorHAnsi"/>
          <w:sz w:val="22"/>
          <w:szCs w:val="22"/>
          <w:lang w:val="en-GB"/>
        </w:rPr>
        <w:t>al</w:t>
      </w:r>
      <w:r w:rsidRPr="00711073">
        <w:rPr>
          <w:rFonts w:asciiTheme="minorHAnsi" w:hAnsiTheme="minorHAnsi" w:cstheme="minorHAnsi"/>
          <w:sz w:val="22"/>
          <w:szCs w:val="22"/>
          <w:lang w:val="en-GB"/>
        </w:rPr>
        <w:t xml:space="preserve"> allocations (at the sector level)</w:t>
      </w:r>
      <w:r w:rsidR="00A92F4D">
        <w:rPr>
          <w:rFonts w:asciiTheme="minorHAnsi" w:hAnsiTheme="minorHAnsi" w:cstheme="minorHAnsi"/>
          <w:sz w:val="22"/>
          <w:szCs w:val="22"/>
          <w:lang w:val="en-GB"/>
        </w:rPr>
        <w:t xml:space="preserve"> </w:t>
      </w:r>
      <w:r w:rsidR="00AF4DE8">
        <w:rPr>
          <w:rFonts w:asciiTheme="minorHAnsi" w:hAnsiTheme="minorHAnsi" w:cstheme="minorHAnsi"/>
          <w:sz w:val="22"/>
          <w:szCs w:val="22"/>
          <w:lang w:val="en-GB"/>
        </w:rPr>
        <w:t xml:space="preserve">for the medium term </w:t>
      </w:r>
      <w:r w:rsidR="00A92F4D">
        <w:rPr>
          <w:rFonts w:asciiTheme="minorHAnsi" w:hAnsiTheme="minorHAnsi" w:cstheme="minorHAnsi"/>
          <w:sz w:val="22"/>
          <w:szCs w:val="22"/>
          <w:lang w:val="en-GB"/>
        </w:rPr>
        <w:t>and highlighting the links between a given level of expenditure and specific policy outcomes</w:t>
      </w:r>
      <w:r w:rsidRPr="00711073">
        <w:rPr>
          <w:rFonts w:asciiTheme="minorHAnsi" w:hAnsiTheme="minorHAnsi" w:cstheme="minorHAnsi"/>
          <w:sz w:val="22"/>
          <w:szCs w:val="22"/>
          <w:lang w:val="en-GB"/>
        </w:rPr>
        <w:t xml:space="preserve">, </w:t>
      </w:r>
      <w:r w:rsidR="00A92F4D">
        <w:rPr>
          <w:rFonts w:asciiTheme="minorHAnsi" w:hAnsiTheme="minorHAnsi" w:cstheme="minorHAnsi"/>
          <w:sz w:val="22"/>
          <w:szCs w:val="22"/>
          <w:lang w:val="en-GB"/>
        </w:rPr>
        <w:t xml:space="preserve">the </w:t>
      </w:r>
      <w:r w:rsidR="00D74E5B">
        <w:rPr>
          <w:rFonts w:asciiTheme="minorHAnsi" w:hAnsiTheme="minorHAnsi" w:cstheme="minorHAnsi"/>
          <w:sz w:val="22"/>
          <w:szCs w:val="22"/>
          <w:lang w:val="en-GB"/>
        </w:rPr>
        <w:t>medium-term expenditure planning</w:t>
      </w:r>
      <w:r w:rsidR="00A92F4D">
        <w:rPr>
          <w:rFonts w:asciiTheme="minorHAnsi" w:hAnsiTheme="minorHAnsi" w:cstheme="minorHAnsi"/>
          <w:sz w:val="22"/>
          <w:szCs w:val="22"/>
          <w:lang w:val="en-GB"/>
        </w:rPr>
        <w:t xml:space="preserve"> approach</w:t>
      </w:r>
      <w:r w:rsidRPr="00711073">
        <w:rPr>
          <w:rFonts w:asciiTheme="minorHAnsi" w:hAnsiTheme="minorHAnsi" w:cstheme="minorHAnsi"/>
          <w:sz w:val="22"/>
          <w:szCs w:val="22"/>
          <w:lang w:val="en-GB"/>
        </w:rPr>
        <w:t xml:space="preserve"> supports the</w:t>
      </w:r>
      <w:r w:rsidR="00AF4DE8">
        <w:rPr>
          <w:rFonts w:asciiTheme="minorHAnsi" w:hAnsiTheme="minorHAnsi" w:cstheme="minorHAnsi"/>
          <w:sz w:val="22"/>
          <w:szCs w:val="22"/>
          <w:lang w:val="en-GB"/>
        </w:rPr>
        <w:t xml:space="preserve"> prioritisation of expenditures and</w:t>
      </w:r>
      <w:r w:rsidRPr="00711073">
        <w:rPr>
          <w:rFonts w:asciiTheme="minorHAnsi" w:hAnsiTheme="minorHAnsi" w:cstheme="minorHAnsi"/>
          <w:sz w:val="22"/>
          <w:szCs w:val="22"/>
          <w:lang w:val="en-GB"/>
        </w:rPr>
        <w:t xml:space="preserve"> </w:t>
      </w:r>
      <w:r w:rsidR="00A92F4D">
        <w:rPr>
          <w:rFonts w:asciiTheme="minorHAnsi" w:hAnsiTheme="minorHAnsi" w:cstheme="minorHAnsi"/>
          <w:sz w:val="22"/>
          <w:szCs w:val="22"/>
          <w:lang w:val="en-GB"/>
        </w:rPr>
        <w:t>makes performance monitoring easier</w:t>
      </w:r>
      <w:r w:rsidR="00AF4DE8">
        <w:rPr>
          <w:rFonts w:asciiTheme="minorHAnsi" w:hAnsiTheme="minorHAnsi" w:cstheme="minorHAnsi"/>
          <w:sz w:val="22"/>
          <w:szCs w:val="22"/>
          <w:lang w:val="en-GB"/>
        </w:rPr>
        <w:t>.</w:t>
      </w:r>
      <w:r w:rsidR="00A92F4D">
        <w:rPr>
          <w:rFonts w:asciiTheme="minorHAnsi" w:hAnsiTheme="minorHAnsi" w:cstheme="minorHAnsi"/>
          <w:sz w:val="22"/>
          <w:szCs w:val="22"/>
          <w:lang w:val="en-GB"/>
        </w:rPr>
        <w:t xml:space="preserve"> </w:t>
      </w:r>
      <w:r w:rsidR="00AF4DE8">
        <w:rPr>
          <w:rFonts w:asciiTheme="minorHAnsi" w:hAnsiTheme="minorHAnsi" w:cstheme="minorHAnsi"/>
          <w:sz w:val="22"/>
          <w:szCs w:val="22"/>
          <w:lang w:val="en-GB"/>
        </w:rPr>
        <w:t xml:space="preserve">It </w:t>
      </w:r>
      <w:r w:rsidRPr="00711073">
        <w:rPr>
          <w:rFonts w:asciiTheme="minorHAnsi" w:hAnsiTheme="minorHAnsi" w:cstheme="minorHAnsi"/>
          <w:sz w:val="22"/>
          <w:szCs w:val="22"/>
          <w:lang w:val="en-GB"/>
        </w:rPr>
        <w:t>also facilitates consideration of the operating costs associated with new investment</w:t>
      </w:r>
      <w:r w:rsidR="000C6A3C">
        <w:rPr>
          <w:rFonts w:asciiTheme="minorHAnsi" w:hAnsiTheme="minorHAnsi" w:cstheme="minorHAnsi"/>
          <w:sz w:val="22"/>
          <w:szCs w:val="22"/>
          <w:lang w:val="en-GB"/>
        </w:rPr>
        <w:t xml:space="preserve"> (</w:t>
      </w:r>
      <w:r w:rsidR="00D96489">
        <w:rPr>
          <w:rFonts w:asciiTheme="minorHAnsi" w:hAnsiTheme="minorHAnsi" w:cstheme="minorHAnsi"/>
          <w:sz w:val="22"/>
          <w:szCs w:val="22"/>
          <w:lang w:val="en-GB"/>
        </w:rPr>
        <w:t xml:space="preserve">OECD 2006, </w:t>
      </w:r>
      <w:r w:rsidR="004B3401">
        <w:rPr>
          <w:rFonts w:asciiTheme="minorHAnsi" w:hAnsiTheme="minorHAnsi" w:cstheme="minorHAnsi"/>
          <w:sz w:val="22"/>
          <w:szCs w:val="22"/>
          <w:lang w:val="en-GB"/>
        </w:rPr>
        <w:t xml:space="preserve">EC 2007a, </w:t>
      </w:r>
      <w:proofErr w:type="spellStart"/>
      <w:r w:rsidR="00A92F4D">
        <w:rPr>
          <w:rFonts w:asciiTheme="minorHAnsi" w:hAnsiTheme="minorHAnsi" w:cstheme="minorHAnsi"/>
          <w:sz w:val="22"/>
          <w:szCs w:val="22"/>
          <w:lang w:val="en-GB"/>
        </w:rPr>
        <w:t>Petkova</w:t>
      </w:r>
      <w:proofErr w:type="spellEnd"/>
      <w:r w:rsidR="00A92F4D">
        <w:rPr>
          <w:rFonts w:asciiTheme="minorHAnsi" w:hAnsiTheme="minorHAnsi" w:cstheme="minorHAnsi"/>
          <w:sz w:val="22"/>
          <w:szCs w:val="22"/>
          <w:lang w:val="en-GB"/>
        </w:rPr>
        <w:t xml:space="preserve"> 2009</w:t>
      </w:r>
      <w:r w:rsidR="000C6A3C">
        <w:rPr>
          <w:rFonts w:asciiTheme="minorHAnsi" w:hAnsiTheme="minorHAnsi" w:cstheme="minorHAnsi"/>
          <w:sz w:val="22"/>
          <w:szCs w:val="22"/>
          <w:lang w:val="en-GB"/>
        </w:rPr>
        <w:t>)</w:t>
      </w:r>
      <w:r w:rsidRPr="00711073">
        <w:rPr>
          <w:rFonts w:asciiTheme="minorHAnsi" w:hAnsiTheme="minorHAnsi" w:cstheme="minorHAnsi"/>
          <w:sz w:val="22"/>
          <w:szCs w:val="22"/>
          <w:lang w:val="en-GB"/>
        </w:rPr>
        <w:t xml:space="preserve">. </w:t>
      </w:r>
      <w:r w:rsidR="00AF4DE8">
        <w:rPr>
          <w:rFonts w:asciiTheme="minorHAnsi" w:hAnsiTheme="minorHAnsi" w:cstheme="minorHAnsi"/>
          <w:sz w:val="22"/>
          <w:szCs w:val="22"/>
          <w:lang w:val="en-GB"/>
        </w:rPr>
        <w:t xml:space="preserve">This approach </w:t>
      </w:r>
      <w:r w:rsidR="00292C65">
        <w:rPr>
          <w:rFonts w:asciiTheme="minorHAnsi" w:hAnsiTheme="minorHAnsi" w:cstheme="minorHAnsi"/>
          <w:sz w:val="22"/>
          <w:szCs w:val="22"/>
          <w:lang w:val="en-GB"/>
        </w:rPr>
        <w:t>provides a</w:t>
      </w:r>
      <w:r w:rsidR="00AF4DE8">
        <w:rPr>
          <w:rFonts w:asciiTheme="minorHAnsi" w:hAnsiTheme="minorHAnsi" w:cstheme="minorHAnsi"/>
          <w:sz w:val="22"/>
          <w:szCs w:val="22"/>
          <w:lang w:val="en-GB"/>
        </w:rPr>
        <w:t xml:space="preserve"> </w:t>
      </w:r>
      <w:r w:rsidR="00292C65">
        <w:rPr>
          <w:rFonts w:asciiTheme="minorHAnsi" w:hAnsiTheme="minorHAnsi" w:cstheme="minorHAnsi"/>
          <w:sz w:val="22"/>
          <w:szCs w:val="22"/>
          <w:lang w:val="en-GB"/>
        </w:rPr>
        <w:t>particularly</w:t>
      </w:r>
      <w:r w:rsidR="00AF4DE8">
        <w:rPr>
          <w:rFonts w:asciiTheme="minorHAnsi" w:hAnsiTheme="minorHAnsi" w:cstheme="minorHAnsi"/>
          <w:sz w:val="22"/>
          <w:szCs w:val="22"/>
          <w:lang w:val="en-GB"/>
        </w:rPr>
        <w:t xml:space="preserve"> suitable </w:t>
      </w:r>
      <w:r w:rsidR="00292C65">
        <w:rPr>
          <w:rFonts w:asciiTheme="minorHAnsi" w:hAnsiTheme="minorHAnsi" w:cstheme="minorHAnsi"/>
          <w:sz w:val="22"/>
          <w:szCs w:val="22"/>
          <w:lang w:val="en-GB"/>
        </w:rPr>
        <w:t xml:space="preserve">framework </w:t>
      </w:r>
      <w:r w:rsidR="00AF4DE8">
        <w:rPr>
          <w:rFonts w:asciiTheme="minorHAnsi" w:hAnsiTheme="minorHAnsi" w:cstheme="minorHAnsi"/>
          <w:sz w:val="22"/>
          <w:szCs w:val="22"/>
          <w:lang w:val="en-GB"/>
        </w:rPr>
        <w:t xml:space="preserve">for </w:t>
      </w:r>
      <w:r w:rsidR="00292C65">
        <w:rPr>
          <w:rFonts w:asciiTheme="minorHAnsi" w:hAnsiTheme="minorHAnsi" w:cstheme="minorHAnsi"/>
          <w:sz w:val="22"/>
          <w:szCs w:val="22"/>
          <w:lang w:val="en-GB"/>
        </w:rPr>
        <w:t xml:space="preserve">resource allocation </w:t>
      </w:r>
      <w:r w:rsidR="00AF4DE8">
        <w:rPr>
          <w:rFonts w:asciiTheme="minorHAnsi" w:hAnsiTheme="minorHAnsi" w:cstheme="minorHAnsi"/>
          <w:sz w:val="22"/>
          <w:szCs w:val="22"/>
          <w:lang w:val="en-GB"/>
        </w:rPr>
        <w:t>decisions related to policies with a medium- to long-term horizon, such as environmental and climate-related policies (</w:t>
      </w:r>
      <w:proofErr w:type="spellStart"/>
      <w:r w:rsidR="00AF4DE8">
        <w:rPr>
          <w:rFonts w:asciiTheme="minorHAnsi" w:hAnsiTheme="minorHAnsi" w:cstheme="minorHAnsi"/>
          <w:sz w:val="22"/>
          <w:szCs w:val="22"/>
          <w:lang w:val="en-GB"/>
        </w:rPr>
        <w:t>Petkova</w:t>
      </w:r>
      <w:proofErr w:type="spellEnd"/>
      <w:r w:rsidR="00AF4DE8">
        <w:rPr>
          <w:rFonts w:asciiTheme="minorHAnsi" w:hAnsiTheme="minorHAnsi" w:cstheme="minorHAnsi"/>
          <w:sz w:val="22"/>
          <w:szCs w:val="22"/>
          <w:lang w:val="en-GB"/>
        </w:rPr>
        <w:t xml:space="preserve"> 2009).</w:t>
      </w:r>
      <w:r w:rsidR="00DE4B69">
        <w:rPr>
          <w:rFonts w:asciiTheme="minorHAnsi" w:hAnsiTheme="minorHAnsi" w:cstheme="minorHAnsi"/>
          <w:sz w:val="22"/>
          <w:szCs w:val="22"/>
          <w:lang w:val="en-GB"/>
        </w:rPr>
        <w:t xml:space="preserve"> </w:t>
      </w:r>
    </w:p>
    <w:p w14:paraId="5BD5E8B2" w14:textId="77777777" w:rsidR="00AF4DE8" w:rsidRPr="00AF4DE8" w:rsidRDefault="00AF4DE8" w:rsidP="00AF4DE8">
      <w:pPr>
        <w:rPr>
          <w:rFonts w:asciiTheme="minorHAnsi" w:hAnsiTheme="minorHAnsi" w:cstheme="minorHAnsi"/>
          <w:sz w:val="22"/>
          <w:szCs w:val="22"/>
          <w:lang w:val="en-GB"/>
        </w:rPr>
      </w:pPr>
    </w:p>
    <w:p w14:paraId="384CC9A2" w14:textId="77777777" w:rsidR="00711073" w:rsidRPr="00711073" w:rsidRDefault="00DD3FC7" w:rsidP="007F6A77">
      <w:pPr>
        <w:pStyle w:val="ListParagraph"/>
        <w:numPr>
          <w:ilvl w:val="0"/>
          <w:numId w:val="2"/>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A</w:t>
      </w:r>
      <w:r w:rsidR="00711073" w:rsidRPr="00711073">
        <w:rPr>
          <w:rFonts w:asciiTheme="minorHAnsi" w:hAnsiTheme="minorHAnsi" w:cstheme="minorHAnsi"/>
          <w:sz w:val="22"/>
          <w:szCs w:val="22"/>
          <w:lang w:val="en-GB"/>
        </w:rPr>
        <w:t xml:space="preserve"> full</w:t>
      </w:r>
      <w:r w:rsidR="00A92F4D">
        <w:rPr>
          <w:rFonts w:asciiTheme="minorHAnsi" w:hAnsiTheme="minorHAnsi" w:cstheme="minorHAnsi"/>
          <w:sz w:val="22"/>
          <w:szCs w:val="22"/>
          <w:lang w:val="en-GB"/>
        </w:rPr>
        <w:t>-fledged</w:t>
      </w:r>
      <w:r w:rsidR="00711073" w:rsidRPr="00711073">
        <w:rPr>
          <w:rFonts w:asciiTheme="minorHAnsi" w:hAnsiTheme="minorHAnsi" w:cstheme="minorHAnsi"/>
          <w:sz w:val="22"/>
          <w:szCs w:val="22"/>
          <w:lang w:val="en-GB"/>
        </w:rPr>
        <w:t xml:space="preserve"> MTEF is a rather </w:t>
      </w:r>
      <w:r w:rsidR="001D469E">
        <w:rPr>
          <w:rFonts w:asciiTheme="minorHAnsi" w:hAnsiTheme="minorHAnsi" w:cstheme="minorHAnsi"/>
          <w:sz w:val="22"/>
          <w:szCs w:val="22"/>
          <w:lang w:val="en-GB"/>
        </w:rPr>
        <w:t xml:space="preserve">demanding and </w:t>
      </w:r>
      <w:r w:rsidR="00711073" w:rsidRPr="00711073">
        <w:rPr>
          <w:rFonts w:asciiTheme="minorHAnsi" w:hAnsiTheme="minorHAnsi" w:cstheme="minorHAnsi"/>
          <w:sz w:val="22"/>
          <w:szCs w:val="22"/>
          <w:lang w:val="en-GB"/>
        </w:rPr>
        <w:t xml:space="preserve">sophisticated tool, </w:t>
      </w:r>
      <w:r w:rsidR="00F45A7F">
        <w:rPr>
          <w:rFonts w:asciiTheme="minorHAnsi" w:hAnsiTheme="minorHAnsi" w:cstheme="minorHAnsi"/>
          <w:sz w:val="22"/>
          <w:szCs w:val="22"/>
          <w:lang w:val="en-GB"/>
        </w:rPr>
        <w:t xml:space="preserve">currently </w:t>
      </w:r>
      <w:r w:rsidR="00711073" w:rsidRPr="00711073">
        <w:rPr>
          <w:rFonts w:asciiTheme="minorHAnsi" w:hAnsiTheme="minorHAnsi" w:cstheme="minorHAnsi"/>
          <w:sz w:val="22"/>
          <w:szCs w:val="22"/>
          <w:lang w:val="en-GB"/>
        </w:rPr>
        <w:t>used by relatively few</w:t>
      </w:r>
      <w:r w:rsidR="00AF4DE8">
        <w:rPr>
          <w:rFonts w:asciiTheme="minorHAnsi" w:hAnsiTheme="minorHAnsi" w:cstheme="minorHAnsi"/>
          <w:sz w:val="22"/>
          <w:szCs w:val="22"/>
          <w:lang w:val="en-GB"/>
        </w:rPr>
        <w:t xml:space="preserve"> countries.</w:t>
      </w:r>
      <w:r w:rsidR="00711073" w:rsidRPr="00711073">
        <w:rPr>
          <w:rFonts w:asciiTheme="minorHAnsi" w:hAnsiTheme="minorHAnsi" w:cstheme="minorHAnsi"/>
          <w:sz w:val="22"/>
          <w:szCs w:val="22"/>
          <w:lang w:val="en-GB"/>
        </w:rPr>
        <w:t xml:space="preserve"> </w:t>
      </w:r>
      <w:r w:rsidR="00F45A7F">
        <w:rPr>
          <w:rFonts w:asciiTheme="minorHAnsi" w:hAnsiTheme="minorHAnsi" w:cstheme="minorHAnsi"/>
          <w:sz w:val="22"/>
          <w:szCs w:val="22"/>
          <w:lang w:val="en-GB"/>
        </w:rPr>
        <w:t xml:space="preserve">To generate the expected benefits, the tool requires the existence of strong ‘budgetary basics’ </w:t>
      </w:r>
      <w:r w:rsidR="00AF7A34">
        <w:rPr>
          <w:rFonts w:asciiTheme="minorHAnsi" w:hAnsiTheme="minorHAnsi" w:cstheme="minorHAnsi"/>
          <w:sz w:val="22"/>
          <w:szCs w:val="22"/>
          <w:lang w:val="en-GB"/>
        </w:rPr>
        <w:t xml:space="preserve">and </w:t>
      </w:r>
      <w:r w:rsidR="00BA73FE">
        <w:rPr>
          <w:rFonts w:asciiTheme="minorHAnsi" w:hAnsiTheme="minorHAnsi" w:cstheme="minorHAnsi"/>
          <w:sz w:val="22"/>
          <w:szCs w:val="22"/>
          <w:lang w:val="en-GB"/>
        </w:rPr>
        <w:t xml:space="preserve">sound </w:t>
      </w:r>
      <w:r w:rsidR="00AF7A34">
        <w:rPr>
          <w:rFonts w:asciiTheme="minorHAnsi" w:hAnsiTheme="minorHAnsi" w:cstheme="minorHAnsi"/>
          <w:sz w:val="22"/>
          <w:szCs w:val="22"/>
          <w:lang w:val="en-GB"/>
        </w:rPr>
        <w:t xml:space="preserve">public financial management practices </w:t>
      </w:r>
      <w:r w:rsidR="00F45A7F">
        <w:rPr>
          <w:rFonts w:asciiTheme="minorHAnsi" w:hAnsiTheme="minorHAnsi" w:cstheme="minorHAnsi"/>
          <w:sz w:val="22"/>
          <w:szCs w:val="22"/>
          <w:lang w:val="en-GB"/>
        </w:rPr>
        <w:t>(</w:t>
      </w:r>
      <w:r w:rsidR="003855F9">
        <w:rPr>
          <w:rFonts w:asciiTheme="minorHAnsi" w:hAnsiTheme="minorHAnsi" w:cstheme="minorHAnsi"/>
          <w:sz w:val="22"/>
          <w:szCs w:val="22"/>
          <w:lang w:val="en-GB"/>
        </w:rPr>
        <w:t xml:space="preserve">e.g. </w:t>
      </w:r>
      <w:r w:rsidR="00695461">
        <w:rPr>
          <w:rFonts w:asciiTheme="minorHAnsi" w:hAnsiTheme="minorHAnsi" w:cstheme="minorHAnsi"/>
          <w:sz w:val="22"/>
          <w:szCs w:val="22"/>
          <w:lang w:val="en-GB"/>
        </w:rPr>
        <w:t xml:space="preserve">in terms of </w:t>
      </w:r>
      <w:r w:rsidR="00F45A7F">
        <w:rPr>
          <w:rFonts w:asciiTheme="minorHAnsi" w:hAnsiTheme="minorHAnsi" w:cstheme="minorHAnsi"/>
          <w:sz w:val="22"/>
          <w:szCs w:val="22"/>
          <w:lang w:val="en-GB"/>
        </w:rPr>
        <w:t>budget structure</w:t>
      </w:r>
      <w:r w:rsidR="00E31873">
        <w:rPr>
          <w:rFonts w:asciiTheme="minorHAnsi" w:hAnsiTheme="minorHAnsi" w:cstheme="minorHAnsi"/>
          <w:sz w:val="22"/>
          <w:szCs w:val="22"/>
          <w:lang w:val="en-GB"/>
        </w:rPr>
        <w:t>, scope</w:t>
      </w:r>
      <w:r w:rsidR="00F45A7F">
        <w:rPr>
          <w:rFonts w:asciiTheme="minorHAnsi" w:hAnsiTheme="minorHAnsi" w:cstheme="minorHAnsi"/>
          <w:sz w:val="22"/>
          <w:szCs w:val="22"/>
          <w:lang w:val="en-GB"/>
        </w:rPr>
        <w:t xml:space="preserve"> and classification</w:t>
      </w:r>
      <w:r w:rsidR="003855F9">
        <w:rPr>
          <w:rFonts w:asciiTheme="minorHAnsi" w:hAnsiTheme="minorHAnsi" w:cstheme="minorHAnsi"/>
          <w:sz w:val="22"/>
          <w:szCs w:val="22"/>
          <w:lang w:val="en-GB"/>
        </w:rPr>
        <w:t>;</w:t>
      </w:r>
      <w:r w:rsidR="00F45A7F">
        <w:rPr>
          <w:rFonts w:asciiTheme="minorHAnsi" w:hAnsiTheme="minorHAnsi" w:cstheme="minorHAnsi"/>
          <w:sz w:val="22"/>
          <w:szCs w:val="22"/>
          <w:lang w:val="en-GB"/>
        </w:rPr>
        <w:t xml:space="preserve"> </w:t>
      </w:r>
      <w:r w:rsidR="00695461">
        <w:rPr>
          <w:rFonts w:asciiTheme="minorHAnsi" w:hAnsiTheme="minorHAnsi" w:cstheme="minorHAnsi"/>
          <w:sz w:val="22"/>
          <w:szCs w:val="22"/>
          <w:lang w:val="en-GB"/>
        </w:rPr>
        <w:t xml:space="preserve">and of </w:t>
      </w:r>
      <w:r w:rsidR="00F45A7F">
        <w:rPr>
          <w:rFonts w:asciiTheme="minorHAnsi" w:hAnsiTheme="minorHAnsi" w:cstheme="minorHAnsi"/>
          <w:sz w:val="22"/>
          <w:szCs w:val="22"/>
          <w:lang w:val="en-GB"/>
        </w:rPr>
        <w:t>accounting, information, evalua</w:t>
      </w:r>
      <w:r w:rsidR="003855F9">
        <w:rPr>
          <w:rFonts w:asciiTheme="minorHAnsi" w:hAnsiTheme="minorHAnsi" w:cstheme="minorHAnsi"/>
          <w:sz w:val="22"/>
          <w:szCs w:val="22"/>
          <w:lang w:val="en-GB"/>
        </w:rPr>
        <w:t>tion and auditing procedures</w:t>
      </w:r>
      <w:r w:rsidR="00F45A7F">
        <w:rPr>
          <w:rFonts w:asciiTheme="minorHAnsi" w:hAnsiTheme="minorHAnsi" w:cstheme="minorHAnsi"/>
          <w:sz w:val="22"/>
          <w:szCs w:val="22"/>
          <w:lang w:val="en-GB"/>
        </w:rPr>
        <w:t>) (</w:t>
      </w:r>
      <w:proofErr w:type="spellStart"/>
      <w:r w:rsidR="00F45A7F">
        <w:rPr>
          <w:rFonts w:asciiTheme="minorHAnsi" w:hAnsiTheme="minorHAnsi" w:cstheme="minorHAnsi"/>
          <w:sz w:val="22"/>
          <w:szCs w:val="22"/>
          <w:lang w:val="en-GB"/>
        </w:rPr>
        <w:t>Petkova</w:t>
      </w:r>
      <w:proofErr w:type="spellEnd"/>
      <w:r w:rsidR="00F45A7F">
        <w:rPr>
          <w:rFonts w:asciiTheme="minorHAnsi" w:hAnsiTheme="minorHAnsi" w:cstheme="minorHAnsi"/>
          <w:sz w:val="22"/>
          <w:szCs w:val="22"/>
          <w:lang w:val="en-GB"/>
        </w:rPr>
        <w:t xml:space="preserve"> 2009). </w:t>
      </w:r>
      <w:r w:rsidR="00AF4DE8">
        <w:rPr>
          <w:rFonts w:asciiTheme="minorHAnsi" w:hAnsiTheme="minorHAnsi" w:cstheme="minorHAnsi"/>
          <w:sz w:val="22"/>
          <w:szCs w:val="22"/>
          <w:lang w:val="en-GB"/>
        </w:rPr>
        <w:t>A</w:t>
      </w:r>
      <w:r w:rsidR="001D469E">
        <w:rPr>
          <w:rFonts w:asciiTheme="minorHAnsi" w:hAnsiTheme="minorHAnsi" w:cstheme="minorHAnsi"/>
          <w:sz w:val="22"/>
          <w:szCs w:val="22"/>
          <w:lang w:val="en-GB"/>
        </w:rPr>
        <w:t>dopting</w:t>
      </w:r>
      <w:r w:rsidR="00711073" w:rsidRPr="00711073">
        <w:rPr>
          <w:rFonts w:asciiTheme="minorHAnsi" w:hAnsiTheme="minorHAnsi" w:cstheme="minorHAnsi"/>
          <w:sz w:val="22"/>
          <w:szCs w:val="22"/>
          <w:lang w:val="en-GB"/>
        </w:rPr>
        <w:t xml:space="preserve"> a medium-term </w:t>
      </w:r>
      <w:r w:rsidR="00AF4DE8">
        <w:rPr>
          <w:rFonts w:asciiTheme="minorHAnsi" w:hAnsiTheme="minorHAnsi" w:cstheme="minorHAnsi"/>
          <w:sz w:val="22"/>
          <w:szCs w:val="22"/>
          <w:lang w:val="en-GB"/>
        </w:rPr>
        <w:t xml:space="preserve">budgetary </w:t>
      </w:r>
      <w:r w:rsidR="00711073" w:rsidRPr="00711073">
        <w:rPr>
          <w:rFonts w:asciiTheme="minorHAnsi" w:hAnsiTheme="minorHAnsi" w:cstheme="minorHAnsi"/>
          <w:sz w:val="22"/>
          <w:szCs w:val="22"/>
          <w:lang w:val="en-GB"/>
        </w:rPr>
        <w:t xml:space="preserve">perspective </w:t>
      </w:r>
      <w:r w:rsidR="00AF4DE8">
        <w:rPr>
          <w:rFonts w:asciiTheme="minorHAnsi" w:hAnsiTheme="minorHAnsi" w:cstheme="minorHAnsi"/>
          <w:sz w:val="22"/>
          <w:szCs w:val="22"/>
          <w:lang w:val="en-GB"/>
        </w:rPr>
        <w:t>(for the budget as a whole or</w:t>
      </w:r>
      <w:r w:rsidR="00711073" w:rsidRPr="00711073">
        <w:rPr>
          <w:rFonts w:asciiTheme="minorHAnsi" w:hAnsiTheme="minorHAnsi" w:cstheme="minorHAnsi"/>
          <w:sz w:val="22"/>
          <w:szCs w:val="22"/>
          <w:lang w:val="en-GB"/>
        </w:rPr>
        <w:t xml:space="preserve"> for the expenditure part of the budget</w:t>
      </w:r>
      <w:r w:rsidR="00AF4DE8">
        <w:rPr>
          <w:rFonts w:asciiTheme="minorHAnsi" w:hAnsiTheme="minorHAnsi" w:cstheme="minorHAnsi"/>
          <w:sz w:val="22"/>
          <w:szCs w:val="22"/>
          <w:lang w:val="en-GB"/>
        </w:rPr>
        <w:t>)</w:t>
      </w:r>
      <w:r w:rsidR="00711073" w:rsidRPr="00711073">
        <w:rPr>
          <w:rFonts w:asciiTheme="minorHAnsi" w:hAnsiTheme="minorHAnsi" w:cstheme="minorHAnsi"/>
          <w:sz w:val="22"/>
          <w:szCs w:val="22"/>
          <w:lang w:val="en-GB"/>
        </w:rPr>
        <w:t xml:space="preserve"> </w:t>
      </w:r>
      <w:r w:rsidR="00F45A7F">
        <w:rPr>
          <w:rFonts w:asciiTheme="minorHAnsi" w:hAnsiTheme="minorHAnsi" w:cstheme="minorHAnsi"/>
          <w:sz w:val="22"/>
          <w:szCs w:val="22"/>
          <w:lang w:val="en-GB"/>
        </w:rPr>
        <w:t>without seeking to achieve all the features of a MTEF system (which notably requires a shift to results-oriented budgeting</w:t>
      </w:r>
      <w:r w:rsidR="00695461">
        <w:rPr>
          <w:rStyle w:val="FootnoteReference"/>
          <w:rFonts w:asciiTheme="minorHAnsi" w:hAnsiTheme="minorHAnsi" w:cstheme="minorHAnsi"/>
          <w:sz w:val="22"/>
          <w:szCs w:val="22"/>
          <w:lang w:val="en-GB"/>
        </w:rPr>
        <w:footnoteReference w:id="1"/>
      </w:r>
      <w:r w:rsidR="00F45A7F">
        <w:rPr>
          <w:rFonts w:asciiTheme="minorHAnsi" w:hAnsiTheme="minorHAnsi" w:cstheme="minorHAnsi"/>
          <w:sz w:val="22"/>
          <w:szCs w:val="22"/>
          <w:lang w:val="en-GB"/>
        </w:rPr>
        <w:t xml:space="preserve">) </w:t>
      </w:r>
      <w:r w:rsidR="00711073" w:rsidRPr="00711073">
        <w:rPr>
          <w:rFonts w:asciiTheme="minorHAnsi" w:hAnsiTheme="minorHAnsi" w:cstheme="minorHAnsi"/>
          <w:sz w:val="22"/>
          <w:szCs w:val="22"/>
          <w:lang w:val="en-GB"/>
        </w:rPr>
        <w:t>is a good starting point</w:t>
      </w:r>
      <w:r w:rsidR="00F45A7F">
        <w:rPr>
          <w:rFonts w:asciiTheme="minorHAnsi" w:hAnsiTheme="minorHAnsi" w:cstheme="minorHAnsi"/>
          <w:sz w:val="22"/>
          <w:szCs w:val="22"/>
          <w:lang w:val="en-GB"/>
        </w:rPr>
        <w:t>,</w:t>
      </w:r>
      <w:r w:rsidR="00711073" w:rsidRPr="00711073">
        <w:rPr>
          <w:rFonts w:asciiTheme="minorHAnsi" w:hAnsiTheme="minorHAnsi" w:cstheme="minorHAnsi"/>
          <w:sz w:val="22"/>
          <w:szCs w:val="22"/>
          <w:lang w:val="en-GB"/>
        </w:rPr>
        <w:t xml:space="preserve"> and may be enough in many cases</w:t>
      </w:r>
      <w:r w:rsidR="004B3401">
        <w:rPr>
          <w:rFonts w:asciiTheme="minorHAnsi" w:hAnsiTheme="minorHAnsi" w:cstheme="minorHAnsi"/>
          <w:sz w:val="22"/>
          <w:szCs w:val="22"/>
          <w:lang w:val="en-GB"/>
        </w:rPr>
        <w:t xml:space="preserve"> (EC 2007a</w:t>
      </w:r>
      <w:r w:rsidR="00F45A7F">
        <w:rPr>
          <w:rFonts w:asciiTheme="minorHAnsi" w:hAnsiTheme="minorHAnsi" w:cstheme="minorHAnsi"/>
          <w:sz w:val="22"/>
          <w:szCs w:val="22"/>
          <w:lang w:val="en-GB"/>
        </w:rPr>
        <w:t>, 2007b</w:t>
      </w:r>
      <w:r w:rsidR="004B3401">
        <w:rPr>
          <w:rFonts w:asciiTheme="minorHAnsi" w:hAnsiTheme="minorHAnsi" w:cstheme="minorHAnsi"/>
          <w:sz w:val="22"/>
          <w:szCs w:val="22"/>
          <w:lang w:val="en-GB"/>
        </w:rPr>
        <w:t>)</w:t>
      </w:r>
      <w:r w:rsidR="00711073" w:rsidRPr="00711073">
        <w:rPr>
          <w:rFonts w:asciiTheme="minorHAnsi" w:hAnsiTheme="minorHAnsi" w:cstheme="minorHAnsi"/>
          <w:sz w:val="22"/>
          <w:szCs w:val="22"/>
          <w:lang w:val="en-GB"/>
        </w:rPr>
        <w:t xml:space="preserve">. </w:t>
      </w:r>
    </w:p>
    <w:p w14:paraId="74E024F0" w14:textId="77777777" w:rsidR="00A73072" w:rsidRDefault="00A73072" w:rsidP="007F6A77">
      <w:pPr>
        <w:numPr>
          <w:ilvl w:val="0"/>
          <w:numId w:val="2"/>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lastRenderedPageBreak/>
        <w:t>An OECD study on ‘integrating environmental public expenditure within multi-year budgetary frameworks’ (</w:t>
      </w:r>
      <w:proofErr w:type="spellStart"/>
      <w:r>
        <w:rPr>
          <w:rFonts w:asciiTheme="minorHAnsi" w:hAnsiTheme="minorHAnsi" w:cstheme="minorHAnsi"/>
          <w:sz w:val="22"/>
          <w:szCs w:val="22"/>
          <w:lang w:val="en-GB"/>
        </w:rPr>
        <w:t>Petkova</w:t>
      </w:r>
      <w:proofErr w:type="spellEnd"/>
      <w:r>
        <w:rPr>
          <w:rFonts w:asciiTheme="minorHAnsi" w:hAnsiTheme="minorHAnsi" w:cstheme="minorHAnsi"/>
          <w:sz w:val="22"/>
          <w:szCs w:val="22"/>
          <w:lang w:val="en-GB"/>
        </w:rPr>
        <w:t xml:space="preserve"> 2009) reaches the following conclusions, which are </w:t>
      </w:r>
      <w:r w:rsidR="00695461">
        <w:rPr>
          <w:rFonts w:asciiTheme="minorHAnsi" w:hAnsiTheme="minorHAnsi" w:cstheme="minorHAnsi"/>
          <w:sz w:val="22"/>
          <w:szCs w:val="22"/>
          <w:lang w:val="en-GB"/>
        </w:rPr>
        <w:t xml:space="preserve">also </w:t>
      </w:r>
      <w:r>
        <w:rPr>
          <w:rFonts w:asciiTheme="minorHAnsi" w:hAnsiTheme="minorHAnsi" w:cstheme="minorHAnsi"/>
          <w:sz w:val="22"/>
          <w:szCs w:val="22"/>
          <w:lang w:val="en-GB"/>
        </w:rPr>
        <w:t>relevant for the integration of climate adaptation- and mitigation-related expenditures:</w:t>
      </w:r>
    </w:p>
    <w:p w14:paraId="55F60A44" w14:textId="1923DBC9" w:rsidR="00A73072" w:rsidRDefault="00A73072" w:rsidP="007F6A77">
      <w:pPr>
        <w:numPr>
          <w:ilvl w:val="1"/>
          <w:numId w:val="2"/>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Allocating resources on the basis of well-designed</w:t>
      </w:r>
      <w:r w:rsidR="00A05D26">
        <w:rPr>
          <w:rFonts w:asciiTheme="minorHAnsi" w:hAnsiTheme="minorHAnsi" w:cstheme="minorHAnsi"/>
          <w:sz w:val="22"/>
          <w:szCs w:val="22"/>
          <w:lang w:val="en-GB"/>
        </w:rPr>
        <w:t xml:space="preserve"> and well-costed </w:t>
      </w:r>
      <w:r>
        <w:rPr>
          <w:rFonts w:asciiTheme="minorHAnsi" w:hAnsiTheme="minorHAnsi" w:cstheme="minorHAnsi"/>
          <w:sz w:val="22"/>
          <w:szCs w:val="22"/>
          <w:lang w:val="en-GB"/>
        </w:rPr>
        <w:t xml:space="preserve">programmes is better than doing so by department or </w:t>
      </w:r>
      <w:r w:rsidR="00A05D26">
        <w:rPr>
          <w:rFonts w:asciiTheme="minorHAnsi" w:hAnsiTheme="minorHAnsi" w:cstheme="minorHAnsi"/>
          <w:sz w:val="22"/>
          <w:szCs w:val="22"/>
          <w:lang w:val="en-GB"/>
        </w:rPr>
        <w:t xml:space="preserve">by </w:t>
      </w:r>
      <w:r>
        <w:rPr>
          <w:rFonts w:asciiTheme="minorHAnsi" w:hAnsiTheme="minorHAnsi" w:cstheme="minorHAnsi"/>
          <w:sz w:val="22"/>
          <w:szCs w:val="22"/>
          <w:lang w:val="en-GB"/>
        </w:rPr>
        <w:t>economic classification</w:t>
      </w:r>
      <w:r w:rsidR="00980653">
        <w:rPr>
          <w:rStyle w:val="FootnoteReference"/>
          <w:rFonts w:asciiTheme="minorHAnsi" w:hAnsiTheme="minorHAnsi" w:cstheme="minorHAnsi"/>
          <w:sz w:val="22"/>
          <w:szCs w:val="22"/>
          <w:lang w:val="en-GB"/>
        </w:rPr>
        <w:footnoteReference w:id="2"/>
      </w:r>
      <w:r>
        <w:rPr>
          <w:rFonts w:asciiTheme="minorHAnsi" w:hAnsiTheme="minorHAnsi" w:cstheme="minorHAnsi"/>
          <w:sz w:val="22"/>
          <w:szCs w:val="22"/>
          <w:lang w:val="en-GB"/>
        </w:rPr>
        <w:t>.</w:t>
      </w:r>
      <w:r w:rsidR="0034351A">
        <w:rPr>
          <w:rFonts w:asciiTheme="minorHAnsi" w:hAnsiTheme="minorHAnsi" w:cstheme="minorHAnsi"/>
          <w:sz w:val="22"/>
          <w:szCs w:val="22"/>
          <w:lang w:val="en-GB"/>
        </w:rPr>
        <w:t xml:space="preserve"> (This may apply both to </w:t>
      </w:r>
      <w:r w:rsidR="00C1593B">
        <w:rPr>
          <w:rFonts w:asciiTheme="minorHAnsi" w:hAnsiTheme="minorHAnsi" w:cstheme="minorHAnsi"/>
          <w:sz w:val="22"/>
          <w:szCs w:val="22"/>
          <w:lang w:val="en-GB"/>
        </w:rPr>
        <w:t>environment,</w:t>
      </w:r>
      <w:bookmarkStart w:id="0" w:name="_GoBack"/>
      <w:r w:rsidR="00683C2A">
        <w:rPr>
          <w:rFonts w:asciiTheme="minorHAnsi" w:hAnsiTheme="minorHAnsi" w:cstheme="minorHAnsi"/>
          <w:sz w:val="22"/>
          <w:szCs w:val="22"/>
          <w:lang w:val="en-GB"/>
        </w:rPr>
        <w:t xml:space="preserve"> </w:t>
      </w:r>
      <w:bookmarkEnd w:id="0"/>
      <w:r w:rsidR="0034351A">
        <w:rPr>
          <w:rFonts w:asciiTheme="minorHAnsi" w:hAnsiTheme="minorHAnsi" w:cstheme="minorHAnsi"/>
          <w:sz w:val="22"/>
          <w:szCs w:val="22"/>
          <w:lang w:val="en-GB"/>
        </w:rPr>
        <w:t>climate adaptation and mitigation programmes, and to ‘non-</w:t>
      </w:r>
      <w:r w:rsidR="00683C2A">
        <w:rPr>
          <w:rFonts w:asciiTheme="minorHAnsi" w:hAnsiTheme="minorHAnsi" w:cstheme="minorHAnsi"/>
          <w:sz w:val="22"/>
          <w:szCs w:val="22"/>
          <w:lang w:val="en-GB"/>
        </w:rPr>
        <w:t xml:space="preserve">environment or </w:t>
      </w:r>
      <w:r w:rsidR="0034351A">
        <w:rPr>
          <w:rFonts w:asciiTheme="minorHAnsi" w:hAnsiTheme="minorHAnsi" w:cstheme="minorHAnsi"/>
          <w:sz w:val="22"/>
          <w:szCs w:val="22"/>
          <w:lang w:val="en-GB"/>
        </w:rPr>
        <w:t xml:space="preserve">climate’ programmes that have mainstreamed </w:t>
      </w:r>
      <w:r w:rsidR="00683C2A">
        <w:rPr>
          <w:rFonts w:asciiTheme="minorHAnsi" w:hAnsiTheme="minorHAnsi" w:cstheme="minorHAnsi"/>
          <w:sz w:val="22"/>
          <w:szCs w:val="22"/>
          <w:lang w:val="en-GB"/>
        </w:rPr>
        <w:t xml:space="preserve">these </w:t>
      </w:r>
      <w:r w:rsidR="0034351A">
        <w:rPr>
          <w:rFonts w:asciiTheme="minorHAnsi" w:hAnsiTheme="minorHAnsi" w:cstheme="minorHAnsi"/>
          <w:sz w:val="22"/>
          <w:szCs w:val="22"/>
          <w:lang w:val="en-GB"/>
        </w:rPr>
        <w:t>aspects</w:t>
      </w:r>
      <w:r w:rsidR="00A05D26">
        <w:rPr>
          <w:rFonts w:asciiTheme="minorHAnsi" w:hAnsiTheme="minorHAnsi" w:cstheme="minorHAnsi"/>
          <w:sz w:val="22"/>
          <w:szCs w:val="22"/>
          <w:lang w:val="en-GB"/>
        </w:rPr>
        <w:t>.)</w:t>
      </w:r>
    </w:p>
    <w:p w14:paraId="5AF4AEF0" w14:textId="77777777" w:rsidR="00A73072" w:rsidRDefault="00A73072" w:rsidP="007F6A77">
      <w:pPr>
        <w:numPr>
          <w:ilvl w:val="1"/>
          <w:numId w:val="2"/>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 xml:space="preserve">To be credible, these programmes need to be based on </w:t>
      </w:r>
      <w:r w:rsidR="0034351A">
        <w:rPr>
          <w:rFonts w:asciiTheme="minorHAnsi" w:hAnsiTheme="minorHAnsi" w:cstheme="minorHAnsi"/>
          <w:sz w:val="22"/>
          <w:szCs w:val="22"/>
          <w:lang w:val="en-GB"/>
        </w:rPr>
        <w:t xml:space="preserve">sound economic analysis of their costs and benefits </w:t>
      </w:r>
      <w:r w:rsidR="00AE2847">
        <w:rPr>
          <w:rFonts w:asciiTheme="minorHAnsi" w:hAnsiTheme="minorHAnsi" w:cstheme="minorHAnsi"/>
          <w:sz w:val="22"/>
          <w:szCs w:val="22"/>
          <w:lang w:val="en-GB"/>
        </w:rPr>
        <w:t xml:space="preserve">(see Module 7) </w:t>
      </w:r>
      <w:r w:rsidR="0034351A">
        <w:rPr>
          <w:rFonts w:asciiTheme="minorHAnsi" w:hAnsiTheme="minorHAnsi" w:cstheme="minorHAnsi"/>
          <w:sz w:val="22"/>
          <w:szCs w:val="22"/>
          <w:lang w:val="en-GB"/>
        </w:rPr>
        <w:t xml:space="preserve">– and on public expenditure reviews (see </w:t>
      </w:r>
      <w:r w:rsidR="00AE2847">
        <w:rPr>
          <w:rFonts w:asciiTheme="minorHAnsi" w:hAnsiTheme="minorHAnsi" w:cstheme="minorHAnsi"/>
          <w:sz w:val="22"/>
          <w:szCs w:val="22"/>
          <w:lang w:val="en-GB"/>
        </w:rPr>
        <w:t>below</w:t>
      </w:r>
      <w:r w:rsidR="0034351A">
        <w:rPr>
          <w:rFonts w:asciiTheme="minorHAnsi" w:hAnsiTheme="minorHAnsi" w:cstheme="minorHAnsi"/>
          <w:sz w:val="22"/>
          <w:szCs w:val="22"/>
          <w:lang w:val="en-GB"/>
        </w:rPr>
        <w:t>) that support requests for higher levels of resources (i.e. demonstrate that the money can be spent and well spent).</w:t>
      </w:r>
    </w:p>
    <w:p w14:paraId="77E81E07" w14:textId="77777777" w:rsidR="0034351A" w:rsidRDefault="0034351A" w:rsidP="007F6A77">
      <w:pPr>
        <w:numPr>
          <w:ilvl w:val="1"/>
          <w:numId w:val="2"/>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 xml:space="preserve">A good understanding by </w:t>
      </w:r>
      <w:r w:rsidR="006D7672">
        <w:rPr>
          <w:rFonts w:asciiTheme="minorHAnsi" w:hAnsiTheme="minorHAnsi" w:cstheme="minorHAnsi"/>
          <w:sz w:val="22"/>
          <w:szCs w:val="22"/>
          <w:lang w:val="en-GB"/>
        </w:rPr>
        <w:t>ministries of financ</w:t>
      </w:r>
      <w:r>
        <w:rPr>
          <w:rFonts w:asciiTheme="minorHAnsi" w:hAnsiTheme="minorHAnsi" w:cstheme="minorHAnsi"/>
          <w:sz w:val="22"/>
          <w:szCs w:val="22"/>
          <w:lang w:val="en-GB"/>
        </w:rPr>
        <w:t>e of how environmental (and climate-related) programmes and measures can contribute to economic growth is key for obtaining adequate resources</w:t>
      </w:r>
      <w:r w:rsidRPr="0034351A">
        <w:rPr>
          <w:rFonts w:asciiTheme="minorHAnsi" w:hAnsiTheme="minorHAnsi" w:cstheme="minorHAnsi"/>
          <w:sz w:val="22"/>
          <w:szCs w:val="22"/>
          <w:lang w:val="en-GB"/>
        </w:rPr>
        <w:t>.</w:t>
      </w:r>
      <w:r>
        <w:rPr>
          <w:rFonts w:asciiTheme="minorHAnsi" w:hAnsiTheme="minorHAnsi" w:cstheme="minorHAnsi"/>
          <w:sz w:val="22"/>
          <w:szCs w:val="22"/>
          <w:lang w:val="en-GB"/>
        </w:rPr>
        <w:t xml:space="preserve"> </w:t>
      </w:r>
    </w:p>
    <w:p w14:paraId="1ED4E184" w14:textId="77777777" w:rsidR="0034351A" w:rsidRPr="0034351A" w:rsidRDefault="00CD1FC6" w:rsidP="007F6A77">
      <w:pPr>
        <w:numPr>
          <w:ilvl w:val="1"/>
          <w:numId w:val="2"/>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 xml:space="preserve">Public disclosure of the costs </w:t>
      </w:r>
      <w:r w:rsidR="0034351A">
        <w:rPr>
          <w:rFonts w:asciiTheme="minorHAnsi" w:hAnsiTheme="minorHAnsi" w:cstheme="minorHAnsi"/>
          <w:sz w:val="22"/>
          <w:szCs w:val="22"/>
          <w:lang w:val="en-GB"/>
        </w:rPr>
        <w:t>and expected benefits of environmental (and climate-related) programmes and measures contributes to transparency and accountability.</w:t>
      </w:r>
    </w:p>
    <w:p w14:paraId="67DC38E0" w14:textId="77777777" w:rsidR="00E41A2C" w:rsidRDefault="00E41A2C" w:rsidP="00E41A2C">
      <w:pPr>
        <w:rPr>
          <w:rFonts w:asciiTheme="minorHAnsi" w:hAnsiTheme="minorHAnsi" w:cstheme="minorHAnsi"/>
          <w:sz w:val="22"/>
          <w:szCs w:val="22"/>
          <w:lang w:val="en-GB"/>
        </w:rPr>
      </w:pPr>
    </w:p>
    <w:p w14:paraId="067EE4DC" w14:textId="55385909" w:rsidR="00EB02EC" w:rsidRPr="00EB02EC" w:rsidRDefault="00EB02EC" w:rsidP="00E41A2C">
      <w:pPr>
        <w:rPr>
          <w:rFonts w:asciiTheme="minorHAnsi" w:hAnsiTheme="minorHAnsi" w:cstheme="minorHAnsi"/>
          <w:i/>
          <w:sz w:val="22"/>
          <w:szCs w:val="22"/>
          <w:lang w:val="en-GB"/>
        </w:rPr>
      </w:pPr>
      <w:r w:rsidRPr="00EB02EC">
        <w:rPr>
          <w:rFonts w:asciiTheme="minorHAnsi" w:hAnsiTheme="minorHAnsi" w:cstheme="minorHAnsi"/>
          <w:i/>
          <w:sz w:val="22"/>
          <w:szCs w:val="22"/>
          <w:lang w:val="en-GB"/>
        </w:rPr>
        <w:t>Entry points for</w:t>
      </w:r>
      <w:r w:rsidR="00834FE6">
        <w:rPr>
          <w:rFonts w:asciiTheme="minorHAnsi" w:hAnsiTheme="minorHAnsi" w:cstheme="minorHAnsi"/>
          <w:i/>
          <w:sz w:val="22"/>
          <w:szCs w:val="22"/>
          <w:lang w:val="en-GB"/>
        </w:rPr>
        <w:t xml:space="preserve"> environment and</w:t>
      </w:r>
      <w:r w:rsidRPr="00EB02EC">
        <w:rPr>
          <w:rFonts w:asciiTheme="minorHAnsi" w:hAnsiTheme="minorHAnsi" w:cstheme="minorHAnsi"/>
          <w:i/>
          <w:sz w:val="22"/>
          <w:szCs w:val="22"/>
          <w:lang w:val="en-GB"/>
        </w:rPr>
        <w:t xml:space="preserve"> climate change mainstreaming</w:t>
      </w:r>
    </w:p>
    <w:p w14:paraId="4D1E8C96" w14:textId="77777777" w:rsidR="00291454" w:rsidRPr="00711073" w:rsidRDefault="00291454" w:rsidP="00291454">
      <w:pPr>
        <w:rPr>
          <w:rFonts w:asciiTheme="minorHAnsi" w:hAnsiTheme="minorHAnsi" w:cstheme="minorHAnsi"/>
          <w:sz w:val="22"/>
          <w:szCs w:val="22"/>
          <w:lang w:val="en-GB"/>
        </w:rPr>
      </w:pPr>
    </w:p>
    <w:p w14:paraId="280426F8" w14:textId="77777777" w:rsidR="00B72961" w:rsidRDefault="00B72961" w:rsidP="007F6A77">
      <w:pPr>
        <w:numPr>
          <w:ilvl w:val="0"/>
          <w:numId w:val="2"/>
        </w:numPr>
        <w:ind w:left="426" w:hanging="426"/>
        <w:rPr>
          <w:rFonts w:asciiTheme="minorHAnsi" w:hAnsiTheme="minorHAnsi" w:cstheme="minorHAnsi"/>
          <w:sz w:val="22"/>
          <w:szCs w:val="22"/>
          <w:lang w:val="en-GB"/>
        </w:rPr>
      </w:pPr>
      <w:r w:rsidRPr="00B72961">
        <w:rPr>
          <w:rFonts w:asciiTheme="minorHAnsi" w:hAnsiTheme="minorHAnsi" w:cstheme="minorHAnsi"/>
          <w:b/>
          <w:sz w:val="22"/>
          <w:szCs w:val="22"/>
          <w:lang w:val="en-GB"/>
        </w:rPr>
        <w:t xml:space="preserve">Annex </w:t>
      </w:r>
      <w:r>
        <w:rPr>
          <w:rFonts w:asciiTheme="minorHAnsi" w:hAnsiTheme="minorHAnsi" w:cstheme="minorHAnsi"/>
          <w:b/>
          <w:sz w:val="22"/>
          <w:szCs w:val="22"/>
          <w:lang w:val="en-GB"/>
        </w:rPr>
        <w:t>8</w:t>
      </w:r>
      <w:r w:rsidRPr="00B72961">
        <w:rPr>
          <w:rFonts w:asciiTheme="minorHAnsi" w:hAnsiTheme="minorHAnsi" w:cstheme="minorHAnsi"/>
          <w:b/>
          <w:sz w:val="22"/>
          <w:szCs w:val="22"/>
          <w:lang w:val="en-GB"/>
        </w:rPr>
        <w:t>.1</w:t>
      </w:r>
      <w:r>
        <w:rPr>
          <w:rFonts w:asciiTheme="minorHAnsi" w:hAnsiTheme="minorHAnsi" w:cstheme="minorHAnsi"/>
          <w:sz w:val="22"/>
          <w:szCs w:val="22"/>
          <w:lang w:val="en-GB"/>
        </w:rPr>
        <w:t xml:space="preserve"> provides a set of guiding questions for engaging in the budgetary process.</w:t>
      </w:r>
    </w:p>
    <w:p w14:paraId="4257AEB7" w14:textId="77777777" w:rsidR="00B72961" w:rsidRDefault="00B72961" w:rsidP="00B72961">
      <w:pPr>
        <w:rPr>
          <w:rFonts w:asciiTheme="minorHAnsi" w:hAnsiTheme="minorHAnsi" w:cstheme="minorHAnsi"/>
          <w:sz w:val="22"/>
          <w:szCs w:val="22"/>
          <w:lang w:val="en-GB"/>
        </w:rPr>
      </w:pPr>
    </w:p>
    <w:p w14:paraId="38D68C48" w14:textId="6DBC81BD" w:rsidR="00291454" w:rsidRDefault="00291454" w:rsidP="007F6A77">
      <w:pPr>
        <w:numPr>
          <w:ilvl w:val="0"/>
          <w:numId w:val="2"/>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 xml:space="preserve">At the </w:t>
      </w:r>
      <w:r w:rsidRPr="00291454">
        <w:rPr>
          <w:rFonts w:asciiTheme="minorHAnsi" w:hAnsiTheme="minorHAnsi" w:cstheme="minorHAnsi"/>
          <w:i/>
          <w:sz w:val="22"/>
          <w:szCs w:val="22"/>
          <w:lang w:val="en-GB"/>
        </w:rPr>
        <w:t>resource allocation stage</w:t>
      </w:r>
      <w:r w:rsidR="00CD1FC6">
        <w:rPr>
          <w:rFonts w:asciiTheme="minorHAnsi" w:hAnsiTheme="minorHAnsi" w:cstheme="minorHAnsi"/>
          <w:sz w:val="22"/>
          <w:szCs w:val="22"/>
          <w:lang w:val="en-GB"/>
        </w:rPr>
        <w:t xml:space="preserve"> of the policy cycle</w:t>
      </w:r>
      <w:r>
        <w:rPr>
          <w:rFonts w:asciiTheme="minorHAnsi" w:hAnsiTheme="minorHAnsi" w:cstheme="minorHAnsi"/>
          <w:sz w:val="22"/>
          <w:szCs w:val="22"/>
          <w:lang w:val="en-GB"/>
        </w:rPr>
        <w:t xml:space="preserve">, the mainstreaming of </w:t>
      </w:r>
      <w:r w:rsidR="00834FE6">
        <w:rPr>
          <w:rFonts w:asciiTheme="minorHAnsi" w:hAnsiTheme="minorHAnsi" w:cstheme="minorHAnsi"/>
          <w:sz w:val="22"/>
          <w:szCs w:val="22"/>
          <w:lang w:val="en-GB"/>
        </w:rPr>
        <w:t xml:space="preserve">environment and </w:t>
      </w:r>
      <w:r>
        <w:rPr>
          <w:rFonts w:asciiTheme="minorHAnsi" w:hAnsiTheme="minorHAnsi" w:cstheme="minorHAnsi"/>
          <w:sz w:val="22"/>
          <w:szCs w:val="22"/>
          <w:lang w:val="en-GB"/>
        </w:rPr>
        <w:t>climate change requires:</w:t>
      </w:r>
    </w:p>
    <w:p w14:paraId="19D06BEB" w14:textId="2ADAEE3A" w:rsidR="004F3D1B" w:rsidRDefault="004F3D1B" w:rsidP="007F6A77">
      <w:pPr>
        <w:pStyle w:val="ListParagraph"/>
        <w:numPr>
          <w:ilvl w:val="1"/>
          <w:numId w:val="2"/>
        </w:numPr>
        <w:spacing w:before="120"/>
        <w:ind w:left="709" w:hanging="284"/>
        <w:contextualSpacing w:val="0"/>
        <w:rPr>
          <w:rFonts w:asciiTheme="minorHAnsi" w:hAnsiTheme="minorHAnsi" w:cstheme="minorHAnsi"/>
          <w:sz w:val="22"/>
          <w:szCs w:val="22"/>
          <w:lang w:val="en-GB"/>
        </w:rPr>
      </w:pPr>
      <w:r>
        <w:rPr>
          <w:rFonts w:asciiTheme="minorHAnsi" w:hAnsiTheme="minorHAnsi" w:cstheme="minorHAnsi"/>
          <w:sz w:val="22"/>
          <w:szCs w:val="22"/>
          <w:lang w:val="en-GB"/>
        </w:rPr>
        <w:t xml:space="preserve">adapting </w:t>
      </w:r>
      <w:r w:rsidR="005628D4">
        <w:rPr>
          <w:rFonts w:asciiTheme="minorHAnsi" w:hAnsiTheme="minorHAnsi" w:cstheme="minorHAnsi"/>
          <w:sz w:val="22"/>
          <w:szCs w:val="22"/>
          <w:lang w:val="en-GB"/>
        </w:rPr>
        <w:t xml:space="preserve">the </w:t>
      </w:r>
      <w:r>
        <w:rPr>
          <w:rFonts w:asciiTheme="minorHAnsi" w:hAnsiTheme="minorHAnsi" w:cstheme="minorHAnsi"/>
          <w:sz w:val="22"/>
          <w:szCs w:val="22"/>
          <w:lang w:val="en-GB"/>
        </w:rPr>
        <w:t xml:space="preserve">budgetary and MTEF processes to incorporate </w:t>
      </w:r>
      <w:r w:rsidR="00834FE6">
        <w:rPr>
          <w:rFonts w:asciiTheme="minorHAnsi" w:hAnsiTheme="minorHAnsi" w:cstheme="minorHAnsi"/>
          <w:sz w:val="22"/>
          <w:szCs w:val="22"/>
          <w:lang w:val="en-GB"/>
        </w:rPr>
        <w:t>environmental and climate change (</w:t>
      </w:r>
      <w:r>
        <w:rPr>
          <w:rFonts w:asciiTheme="minorHAnsi" w:hAnsiTheme="minorHAnsi" w:cstheme="minorHAnsi"/>
          <w:sz w:val="22"/>
          <w:szCs w:val="22"/>
          <w:lang w:val="en-GB"/>
        </w:rPr>
        <w:t>adaptation- and mitigation</w:t>
      </w:r>
      <w:r w:rsidR="00834FE6">
        <w:rPr>
          <w:rFonts w:asciiTheme="minorHAnsi" w:hAnsiTheme="minorHAnsi" w:cstheme="minorHAnsi"/>
          <w:sz w:val="22"/>
          <w:szCs w:val="22"/>
          <w:lang w:val="en-GB"/>
        </w:rPr>
        <w:t>)</w:t>
      </w:r>
      <w:r>
        <w:rPr>
          <w:rFonts w:asciiTheme="minorHAnsi" w:hAnsiTheme="minorHAnsi" w:cstheme="minorHAnsi"/>
          <w:sz w:val="22"/>
          <w:szCs w:val="22"/>
          <w:lang w:val="en-GB"/>
        </w:rPr>
        <w:t>-related priorities in resource allocation procedures;</w:t>
      </w:r>
    </w:p>
    <w:p w14:paraId="6BC8CDF7" w14:textId="77777777" w:rsidR="00E4541E" w:rsidRDefault="00291454" w:rsidP="007F6A77">
      <w:pPr>
        <w:pStyle w:val="ListParagraph"/>
        <w:numPr>
          <w:ilvl w:val="1"/>
          <w:numId w:val="2"/>
        </w:numPr>
        <w:spacing w:before="120"/>
        <w:ind w:left="709" w:hanging="284"/>
        <w:contextualSpacing w:val="0"/>
        <w:rPr>
          <w:rFonts w:asciiTheme="minorHAnsi" w:hAnsiTheme="minorHAnsi" w:cstheme="minorHAnsi"/>
          <w:sz w:val="22"/>
          <w:szCs w:val="22"/>
          <w:lang w:val="en-GB"/>
        </w:rPr>
      </w:pPr>
      <w:r>
        <w:rPr>
          <w:rFonts w:asciiTheme="minorHAnsi" w:hAnsiTheme="minorHAnsi" w:cstheme="minorHAnsi"/>
          <w:sz w:val="22"/>
          <w:szCs w:val="22"/>
          <w:lang w:val="en-GB"/>
        </w:rPr>
        <w:t>realloca</w:t>
      </w:r>
      <w:r w:rsidR="00213181" w:rsidRPr="00291454">
        <w:rPr>
          <w:rFonts w:asciiTheme="minorHAnsi" w:hAnsiTheme="minorHAnsi" w:cstheme="minorHAnsi"/>
          <w:sz w:val="22"/>
          <w:szCs w:val="22"/>
          <w:lang w:val="en-GB"/>
        </w:rPr>
        <w:t>ting funding to more vulnerable and/or priority sectors and regions</w:t>
      </w:r>
      <w:r>
        <w:rPr>
          <w:rFonts w:asciiTheme="minorHAnsi" w:hAnsiTheme="minorHAnsi" w:cstheme="minorHAnsi"/>
          <w:sz w:val="22"/>
          <w:szCs w:val="22"/>
          <w:lang w:val="en-GB"/>
        </w:rPr>
        <w:t>;</w:t>
      </w:r>
    </w:p>
    <w:p w14:paraId="11927465" w14:textId="6F8109F8" w:rsidR="00E26879" w:rsidRPr="00291454" w:rsidRDefault="00E26879" w:rsidP="007F6A77">
      <w:pPr>
        <w:pStyle w:val="ListParagraph"/>
        <w:numPr>
          <w:ilvl w:val="1"/>
          <w:numId w:val="2"/>
        </w:numPr>
        <w:spacing w:before="120"/>
        <w:ind w:left="709" w:hanging="284"/>
        <w:contextualSpacing w:val="0"/>
        <w:rPr>
          <w:rFonts w:asciiTheme="minorHAnsi" w:hAnsiTheme="minorHAnsi" w:cstheme="minorHAnsi"/>
          <w:sz w:val="22"/>
          <w:szCs w:val="22"/>
          <w:lang w:val="en-GB"/>
        </w:rPr>
      </w:pPr>
      <w:r w:rsidRPr="00291454">
        <w:rPr>
          <w:rFonts w:asciiTheme="minorHAnsi" w:hAnsiTheme="minorHAnsi" w:cstheme="minorHAnsi"/>
          <w:sz w:val="22"/>
          <w:szCs w:val="22"/>
          <w:lang w:val="en-GB"/>
        </w:rPr>
        <w:t xml:space="preserve">providing funding for </w:t>
      </w:r>
      <w:r w:rsidR="00834FE6">
        <w:rPr>
          <w:rFonts w:asciiTheme="minorHAnsi" w:hAnsiTheme="minorHAnsi" w:cstheme="minorHAnsi"/>
          <w:sz w:val="22"/>
          <w:szCs w:val="22"/>
          <w:lang w:val="en-GB"/>
        </w:rPr>
        <w:t>environment and climate change (</w:t>
      </w:r>
      <w:r w:rsidRPr="00291454">
        <w:rPr>
          <w:rFonts w:asciiTheme="minorHAnsi" w:hAnsiTheme="minorHAnsi" w:cstheme="minorHAnsi"/>
          <w:sz w:val="22"/>
          <w:szCs w:val="22"/>
          <w:lang w:val="en-GB"/>
        </w:rPr>
        <w:t>adaptation- and/or mitigation</w:t>
      </w:r>
      <w:r w:rsidR="00834FE6">
        <w:rPr>
          <w:rFonts w:asciiTheme="minorHAnsi" w:hAnsiTheme="minorHAnsi" w:cstheme="minorHAnsi"/>
          <w:sz w:val="22"/>
          <w:szCs w:val="22"/>
          <w:lang w:val="en-GB"/>
        </w:rPr>
        <w:t>)</w:t>
      </w:r>
      <w:r w:rsidRPr="00291454">
        <w:rPr>
          <w:rFonts w:asciiTheme="minorHAnsi" w:hAnsiTheme="minorHAnsi" w:cstheme="minorHAnsi"/>
          <w:sz w:val="22"/>
          <w:szCs w:val="22"/>
          <w:lang w:val="en-GB"/>
        </w:rPr>
        <w:t>-specific plans or activities</w:t>
      </w:r>
      <w:r w:rsidR="004F3D1B">
        <w:rPr>
          <w:rFonts w:asciiTheme="minorHAnsi" w:hAnsiTheme="minorHAnsi" w:cstheme="minorHAnsi"/>
          <w:sz w:val="22"/>
          <w:szCs w:val="22"/>
          <w:lang w:val="en-GB"/>
        </w:rPr>
        <w:t>;</w:t>
      </w:r>
      <w:r w:rsidR="00CD1FC6">
        <w:rPr>
          <w:rFonts w:asciiTheme="minorHAnsi" w:hAnsiTheme="minorHAnsi" w:cstheme="minorHAnsi"/>
          <w:sz w:val="22"/>
          <w:szCs w:val="22"/>
          <w:lang w:val="en-GB"/>
        </w:rPr>
        <w:t xml:space="preserve"> </w:t>
      </w:r>
      <w:r w:rsidR="004F3D1B">
        <w:rPr>
          <w:rFonts w:asciiTheme="minorHAnsi" w:hAnsiTheme="minorHAnsi" w:cstheme="minorHAnsi"/>
          <w:sz w:val="22"/>
          <w:szCs w:val="22"/>
          <w:lang w:val="en-GB"/>
        </w:rPr>
        <w:t xml:space="preserve">the mainstreaming of </w:t>
      </w:r>
      <w:r w:rsidR="00834FE6">
        <w:rPr>
          <w:rFonts w:asciiTheme="minorHAnsi" w:hAnsiTheme="minorHAnsi" w:cstheme="minorHAnsi"/>
          <w:sz w:val="22"/>
          <w:szCs w:val="22"/>
          <w:lang w:val="en-GB"/>
        </w:rPr>
        <w:t xml:space="preserve">climate change </w:t>
      </w:r>
      <w:r w:rsidR="004F3D1B">
        <w:rPr>
          <w:rFonts w:asciiTheme="minorHAnsi" w:hAnsiTheme="minorHAnsi" w:cstheme="minorHAnsi"/>
          <w:sz w:val="22"/>
          <w:szCs w:val="22"/>
          <w:lang w:val="en-GB"/>
        </w:rPr>
        <w:t xml:space="preserve">adaptation, in particular, may be helped by </w:t>
      </w:r>
      <w:r w:rsidR="00CD1FC6">
        <w:rPr>
          <w:rFonts w:asciiTheme="minorHAnsi" w:hAnsiTheme="minorHAnsi" w:cstheme="minorHAnsi"/>
          <w:sz w:val="22"/>
          <w:szCs w:val="22"/>
          <w:lang w:val="en-GB"/>
        </w:rPr>
        <w:t xml:space="preserve">the establishment of a horizontal ‘adaptation fund’ from which </w:t>
      </w:r>
      <w:r w:rsidR="004535C3">
        <w:rPr>
          <w:rFonts w:asciiTheme="minorHAnsi" w:hAnsiTheme="minorHAnsi" w:cstheme="minorHAnsi"/>
          <w:sz w:val="22"/>
          <w:szCs w:val="22"/>
          <w:lang w:val="en-GB"/>
        </w:rPr>
        <w:t>sector</w:t>
      </w:r>
      <w:r w:rsidR="00CD1FC6">
        <w:rPr>
          <w:rFonts w:asciiTheme="minorHAnsi" w:hAnsiTheme="minorHAnsi" w:cstheme="minorHAnsi"/>
          <w:sz w:val="22"/>
          <w:szCs w:val="22"/>
          <w:lang w:val="en-GB"/>
        </w:rPr>
        <w:t xml:space="preserve"> departments and agencies can draw resources to finance the extra costs of addressing </w:t>
      </w:r>
      <w:r w:rsidR="004F3D1B">
        <w:rPr>
          <w:rFonts w:asciiTheme="minorHAnsi" w:hAnsiTheme="minorHAnsi" w:cstheme="minorHAnsi"/>
          <w:sz w:val="22"/>
          <w:szCs w:val="22"/>
          <w:lang w:val="en-GB"/>
        </w:rPr>
        <w:t>climate change in their programmes and investments</w:t>
      </w:r>
      <w:r>
        <w:rPr>
          <w:rFonts w:asciiTheme="minorHAnsi" w:hAnsiTheme="minorHAnsi" w:cstheme="minorHAnsi"/>
          <w:sz w:val="22"/>
          <w:szCs w:val="22"/>
          <w:lang w:val="en-GB"/>
        </w:rPr>
        <w:t>;</w:t>
      </w:r>
    </w:p>
    <w:p w14:paraId="3A87FD51" w14:textId="44686D7F" w:rsidR="00E26879" w:rsidRPr="00291454" w:rsidRDefault="00E26879" w:rsidP="007F6A77">
      <w:pPr>
        <w:pStyle w:val="ListParagraph"/>
        <w:numPr>
          <w:ilvl w:val="1"/>
          <w:numId w:val="2"/>
        </w:numPr>
        <w:spacing w:before="120"/>
        <w:ind w:left="709" w:hanging="284"/>
        <w:contextualSpacing w:val="0"/>
        <w:rPr>
          <w:rFonts w:asciiTheme="minorHAnsi" w:hAnsiTheme="minorHAnsi" w:cstheme="minorHAnsi"/>
          <w:sz w:val="22"/>
          <w:szCs w:val="22"/>
          <w:lang w:val="en-GB"/>
        </w:rPr>
      </w:pPr>
      <w:r w:rsidRPr="00291454">
        <w:rPr>
          <w:rFonts w:asciiTheme="minorHAnsi" w:hAnsiTheme="minorHAnsi" w:cstheme="minorHAnsi"/>
          <w:sz w:val="22"/>
          <w:szCs w:val="22"/>
          <w:lang w:val="en-GB"/>
        </w:rPr>
        <w:t xml:space="preserve">adding </w:t>
      </w:r>
      <w:r w:rsidR="00834FE6">
        <w:rPr>
          <w:rFonts w:asciiTheme="minorHAnsi" w:hAnsiTheme="minorHAnsi" w:cstheme="minorHAnsi"/>
          <w:sz w:val="22"/>
          <w:szCs w:val="22"/>
          <w:lang w:val="en-GB"/>
        </w:rPr>
        <w:t xml:space="preserve">environmental and </w:t>
      </w:r>
      <w:r w:rsidRPr="00291454">
        <w:rPr>
          <w:rFonts w:asciiTheme="minorHAnsi" w:hAnsiTheme="minorHAnsi" w:cstheme="minorHAnsi"/>
          <w:sz w:val="22"/>
          <w:szCs w:val="22"/>
          <w:lang w:val="en-GB"/>
        </w:rPr>
        <w:t xml:space="preserve">climate change </w:t>
      </w:r>
      <w:r w:rsidR="004F3D1B">
        <w:rPr>
          <w:rFonts w:asciiTheme="minorHAnsi" w:hAnsiTheme="minorHAnsi" w:cstheme="minorHAnsi"/>
          <w:sz w:val="22"/>
          <w:szCs w:val="22"/>
          <w:lang w:val="en-GB"/>
        </w:rPr>
        <w:t>consideration</w:t>
      </w:r>
      <w:r w:rsidR="00C30976">
        <w:rPr>
          <w:rFonts w:asciiTheme="minorHAnsi" w:hAnsiTheme="minorHAnsi" w:cstheme="minorHAnsi"/>
          <w:sz w:val="22"/>
          <w:szCs w:val="22"/>
          <w:lang w:val="en-GB"/>
        </w:rPr>
        <w:t>s</w:t>
      </w:r>
      <w:r w:rsidR="004F3D1B">
        <w:rPr>
          <w:rFonts w:asciiTheme="minorHAnsi" w:hAnsiTheme="minorHAnsi" w:cstheme="minorHAnsi"/>
          <w:sz w:val="22"/>
          <w:szCs w:val="22"/>
          <w:lang w:val="en-GB"/>
        </w:rPr>
        <w:t xml:space="preserve"> to</w:t>
      </w:r>
      <w:r w:rsidRPr="00291454">
        <w:rPr>
          <w:rFonts w:asciiTheme="minorHAnsi" w:hAnsiTheme="minorHAnsi" w:cstheme="minorHAnsi"/>
          <w:sz w:val="22"/>
          <w:szCs w:val="22"/>
          <w:lang w:val="en-GB"/>
        </w:rPr>
        <w:t xml:space="preserve"> the criteria </w:t>
      </w:r>
      <w:r w:rsidR="004F3D1B">
        <w:rPr>
          <w:rFonts w:asciiTheme="minorHAnsi" w:hAnsiTheme="minorHAnsi" w:cstheme="minorHAnsi"/>
          <w:sz w:val="22"/>
          <w:szCs w:val="22"/>
          <w:lang w:val="en-GB"/>
        </w:rPr>
        <w:t xml:space="preserve">used </w:t>
      </w:r>
      <w:r w:rsidRPr="00291454">
        <w:rPr>
          <w:rFonts w:asciiTheme="minorHAnsi" w:hAnsiTheme="minorHAnsi" w:cstheme="minorHAnsi"/>
          <w:sz w:val="22"/>
          <w:szCs w:val="22"/>
          <w:lang w:val="en-GB"/>
        </w:rPr>
        <w:t xml:space="preserve">for </w:t>
      </w:r>
      <w:r w:rsidR="004F3D1B">
        <w:rPr>
          <w:rFonts w:asciiTheme="minorHAnsi" w:hAnsiTheme="minorHAnsi" w:cstheme="minorHAnsi"/>
          <w:sz w:val="22"/>
          <w:szCs w:val="22"/>
          <w:lang w:val="en-GB"/>
        </w:rPr>
        <w:t xml:space="preserve">screening and </w:t>
      </w:r>
      <w:r w:rsidRPr="00291454">
        <w:rPr>
          <w:rFonts w:asciiTheme="minorHAnsi" w:hAnsiTheme="minorHAnsi" w:cstheme="minorHAnsi"/>
          <w:sz w:val="22"/>
          <w:szCs w:val="22"/>
          <w:lang w:val="en-GB"/>
        </w:rPr>
        <w:t>selecting projects and investments</w:t>
      </w:r>
      <w:r>
        <w:rPr>
          <w:rFonts w:asciiTheme="minorHAnsi" w:hAnsiTheme="minorHAnsi" w:cstheme="minorHAnsi"/>
          <w:sz w:val="22"/>
          <w:szCs w:val="22"/>
          <w:lang w:val="en-GB"/>
        </w:rPr>
        <w:t>;</w:t>
      </w:r>
    </w:p>
    <w:p w14:paraId="0E0DCFDD" w14:textId="753D8B75" w:rsidR="00E4541E" w:rsidRPr="00291454" w:rsidRDefault="00E26879" w:rsidP="007F6A77">
      <w:pPr>
        <w:pStyle w:val="ListParagraph"/>
        <w:numPr>
          <w:ilvl w:val="1"/>
          <w:numId w:val="2"/>
        </w:numPr>
        <w:spacing w:before="120"/>
        <w:ind w:left="709" w:hanging="284"/>
        <w:contextualSpacing w:val="0"/>
        <w:rPr>
          <w:rFonts w:asciiTheme="minorHAnsi" w:hAnsiTheme="minorHAnsi" w:cstheme="minorHAnsi"/>
          <w:sz w:val="22"/>
          <w:szCs w:val="22"/>
          <w:lang w:val="en-GB"/>
        </w:rPr>
      </w:pPr>
      <w:proofErr w:type="gramStart"/>
      <w:r>
        <w:rPr>
          <w:rFonts w:asciiTheme="minorHAnsi" w:hAnsiTheme="minorHAnsi" w:cstheme="minorHAnsi"/>
          <w:sz w:val="22"/>
          <w:szCs w:val="22"/>
          <w:lang w:val="en-GB"/>
        </w:rPr>
        <w:t>and</w:t>
      </w:r>
      <w:proofErr w:type="gramEnd"/>
      <w:r>
        <w:rPr>
          <w:rFonts w:asciiTheme="minorHAnsi" w:hAnsiTheme="minorHAnsi" w:cstheme="minorHAnsi"/>
          <w:sz w:val="22"/>
          <w:szCs w:val="22"/>
          <w:lang w:val="en-GB"/>
        </w:rPr>
        <w:t xml:space="preserve"> </w:t>
      </w:r>
      <w:r w:rsidR="00291454">
        <w:rPr>
          <w:rFonts w:asciiTheme="minorHAnsi" w:hAnsiTheme="minorHAnsi" w:cstheme="minorHAnsi"/>
          <w:sz w:val="22"/>
          <w:szCs w:val="22"/>
          <w:lang w:val="en-GB"/>
        </w:rPr>
        <w:t>making roo</w:t>
      </w:r>
      <w:r w:rsidR="00EF4492">
        <w:rPr>
          <w:rFonts w:asciiTheme="minorHAnsi" w:hAnsiTheme="minorHAnsi" w:cstheme="minorHAnsi"/>
          <w:sz w:val="22"/>
          <w:szCs w:val="22"/>
          <w:lang w:val="en-GB"/>
        </w:rPr>
        <w:t xml:space="preserve">m for </w:t>
      </w:r>
      <w:r w:rsidR="00834FE6">
        <w:rPr>
          <w:rFonts w:asciiTheme="minorHAnsi" w:hAnsiTheme="minorHAnsi" w:cstheme="minorHAnsi"/>
          <w:sz w:val="22"/>
          <w:szCs w:val="22"/>
          <w:lang w:val="en-GB"/>
        </w:rPr>
        <w:t xml:space="preserve">environment- and </w:t>
      </w:r>
      <w:r w:rsidR="00EF4492">
        <w:rPr>
          <w:rFonts w:asciiTheme="minorHAnsi" w:hAnsiTheme="minorHAnsi" w:cstheme="minorHAnsi"/>
          <w:sz w:val="22"/>
          <w:szCs w:val="22"/>
          <w:lang w:val="en-GB"/>
        </w:rPr>
        <w:t>climate-related measures and activities identified in the context of cross-</w:t>
      </w:r>
      <w:r w:rsidR="004535C3">
        <w:rPr>
          <w:rFonts w:asciiTheme="minorHAnsi" w:hAnsiTheme="minorHAnsi" w:cstheme="minorHAnsi"/>
          <w:sz w:val="22"/>
          <w:szCs w:val="22"/>
          <w:lang w:val="en-GB"/>
        </w:rPr>
        <w:t>sector</w:t>
      </w:r>
      <w:r w:rsidR="00FC7EDD">
        <w:rPr>
          <w:rFonts w:asciiTheme="minorHAnsi" w:hAnsiTheme="minorHAnsi" w:cstheme="minorHAnsi"/>
          <w:sz w:val="22"/>
          <w:szCs w:val="22"/>
          <w:lang w:val="en-GB"/>
        </w:rPr>
        <w:t>al</w:t>
      </w:r>
      <w:r w:rsidR="00EF4492">
        <w:rPr>
          <w:rFonts w:asciiTheme="minorHAnsi" w:hAnsiTheme="minorHAnsi" w:cstheme="minorHAnsi"/>
          <w:sz w:val="22"/>
          <w:szCs w:val="22"/>
          <w:lang w:val="en-GB"/>
        </w:rPr>
        <w:t xml:space="preserve"> plans (e.g. disaster risk reduction plans)</w:t>
      </w:r>
      <w:r>
        <w:rPr>
          <w:rFonts w:asciiTheme="minorHAnsi" w:hAnsiTheme="minorHAnsi" w:cstheme="minorHAnsi"/>
          <w:sz w:val="22"/>
          <w:szCs w:val="22"/>
          <w:lang w:val="en-GB"/>
        </w:rPr>
        <w:t xml:space="preserve"> (OECD 2009a).</w:t>
      </w:r>
    </w:p>
    <w:p w14:paraId="42EC170B" w14:textId="77777777" w:rsidR="00711073" w:rsidRPr="00711073" w:rsidRDefault="00711073" w:rsidP="00711073">
      <w:pPr>
        <w:rPr>
          <w:rFonts w:asciiTheme="minorHAnsi" w:hAnsiTheme="minorHAnsi" w:cstheme="minorHAnsi"/>
          <w:sz w:val="22"/>
          <w:szCs w:val="22"/>
          <w:lang w:val="en-GB"/>
        </w:rPr>
      </w:pPr>
    </w:p>
    <w:p w14:paraId="763CDEF4" w14:textId="4DC4EC94" w:rsidR="00711073" w:rsidRPr="00711073" w:rsidRDefault="00711073" w:rsidP="007F6A77">
      <w:pPr>
        <w:numPr>
          <w:ilvl w:val="0"/>
          <w:numId w:val="2"/>
        </w:numPr>
        <w:ind w:left="426" w:hanging="426"/>
        <w:rPr>
          <w:rFonts w:asciiTheme="minorHAnsi" w:hAnsiTheme="minorHAnsi" w:cstheme="minorHAnsi"/>
          <w:sz w:val="22"/>
          <w:szCs w:val="22"/>
          <w:lang w:val="en-GB"/>
        </w:rPr>
      </w:pPr>
      <w:r w:rsidRPr="00711073">
        <w:rPr>
          <w:rFonts w:asciiTheme="minorHAnsi" w:hAnsiTheme="minorHAnsi" w:cstheme="minorHAnsi"/>
          <w:i/>
          <w:sz w:val="22"/>
          <w:szCs w:val="22"/>
          <w:lang w:val="en-GB"/>
        </w:rPr>
        <w:t>Entry points for</w:t>
      </w:r>
      <w:r w:rsidR="00834FE6">
        <w:rPr>
          <w:rFonts w:asciiTheme="minorHAnsi" w:hAnsiTheme="minorHAnsi" w:cstheme="minorHAnsi"/>
          <w:i/>
          <w:sz w:val="22"/>
          <w:szCs w:val="22"/>
          <w:lang w:val="en-GB"/>
        </w:rPr>
        <w:t xml:space="preserve"> environmental</w:t>
      </w:r>
      <w:r w:rsidRPr="00711073">
        <w:rPr>
          <w:rFonts w:asciiTheme="minorHAnsi" w:hAnsiTheme="minorHAnsi" w:cstheme="minorHAnsi"/>
          <w:i/>
          <w:sz w:val="22"/>
          <w:szCs w:val="22"/>
          <w:lang w:val="en-GB"/>
        </w:rPr>
        <w:t xml:space="preserve"> </w:t>
      </w:r>
      <w:r w:rsidR="00683C2A">
        <w:rPr>
          <w:rFonts w:asciiTheme="minorHAnsi" w:hAnsiTheme="minorHAnsi" w:cstheme="minorHAnsi"/>
          <w:i/>
          <w:sz w:val="22"/>
          <w:szCs w:val="22"/>
          <w:lang w:val="en-GB"/>
        </w:rPr>
        <w:t xml:space="preserve">and </w:t>
      </w:r>
      <w:r w:rsidRPr="00711073">
        <w:rPr>
          <w:rFonts w:asciiTheme="minorHAnsi" w:hAnsiTheme="minorHAnsi" w:cstheme="minorHAnsi"/>
          <w:i/>
          <w:sz w:val="22"/>
          <w:szCs w:val="22"/>
          <w:lang w:val="en-GB"/>
        </w:rPr>
        <w:t>climate change integration</w:t>
      </w:r>
      <w:r w:rsidRPr="00711073">
        <w:rPr>
          <w:rFonts w:asciiTheme="minorHAnsi" w:hAnsiTheme="minorHAnsi" w:cstheme="minorHAnsi"/>
          <w:sz w:val="22"/>
          <w:szCs w:val="22"/>
          <w:lang w:val="en-GB"/>
        </w:rPr>
        <w:t xml:space="preserve"> exist at practically all stages of the budgetary process</w:t>
      </w:r>
      <w:r w:rsidR="00D827D7">
        <w:rPr>
          <w:rStyle w:val="FootnoteReference"/>
          <w:rFonts w:asciiTheme="minorHAnsi" w:hAnsiTheme="minorHAnsi" w:cstheme="minorHAnsi"/>
          <w:sz w:val="22"/>
          <w:szCs w:val="22"/>
          <w:lang w:val="en-GB"/>
        </w:rPr>
        <w:footnoteReference w:id="3"/>
      </w:r>
      <w:r w:rsidRPr="00711073">
        <w:rPr>
          <w:rFonts w:asciiTheme="minorHAnsi" w:hAnsiTheme="minorHAnsi" w:cstheme="minorHAnsi"/>
          <w:sz w:val="22"/>
          <w:szCs w:val="22"/>
          <w:lang w:val="en-GB"/>
        </w:rPr>
        <w:t>:</w:t>
      </w:r>
    </w:p>
    <w:p w14:paraId="18422E4E" w14:textId="477C5315" w:rsidR="00711073" w:rsidRPr="00711073" w:rsidRDefault="00711073" w:rsidP="00B72961">
      <w:pPr>
        <w:numPr>
          <w:ilvl w:val="0"/>
          <w:numId w:val="28"/>
        </w:numPr>
        <w:spacing w:before="120"/>
        <w:ind w:left="709" w:hanging="283"/>
        <w:rPr>
          <w:rFonts w:asciiTheme="minorHAnsi" w:hAnsiTheme="minorHAnsi" w:cstheme="minorHAnsi"/>
          <w:sz w:val="22"/>
          <w:szCs w:val="22"/>
          <w:lang w:val="en-GB"/>
        </w:rPr>
      </w:pPr>
      <w:r w:rsidRPr="00711073">
        <w:rPr>
          <w:rFonts w:asciiTheme="minorHAnsi" w:hAnsiTheme="minorHAnsi" w:cstheme="minorHAnsi"/>
          <w:sz w:val="22"/>
          <w:szCs w:val="22"/>
          <w:lang w:val="en-GB"/>
        </w:rPr>
        <w:lastRenderedPageBreak/>
        <w:t xml:space="preserve">The determination of the macroeconomic outlook may increasingly involve consideration of the </w:t>
      </w:r>
      <w:r w:rsidR="00AE2847">
        <w:rPr>
          <w:rFonts w:asciiTheme="minorHAnsi" w:hAnsiTheme="minorHAnsi" w:cstheme="minorHAnsi"/>
          <w:sz w:val="22"/>
          <w:szCs w:val="22"/>
          <w:lang w:val="en-GB"/>
        </w:rPr>
        <w:t>impacts of</w:t>
      </w:r>
      <w:r w:rsidRPr="00711073">
        <w:rPr>
          <w:rFonts w:asciiTheme="minorHAnsi" w:hAnsiTheme="minorHAnsi" w:cstheme="minorHAnsi"/>
          <w:sz w:val="22"/>
          <w:szCs w:val="22"/>
          <w:lang w:val="en-GB"/>
        </w:rPr>
        <w:t xml:space="preserve"> climate variability and change</w:t>
      </w:r>
      <w:r w:rsidR="00B70A33">
        <w:rPr>
          <w:rFonts w:asciiTheme="minorHAnsi" w:hAnsiTheme="minorHAnsi" w:cstheme="minorHAnsi"/>
          <w:sz w:val="22"/>
          <w:szCs w:val="22"/>
          <w:lang w:val="en-GB"/>
        </w:rPr>
        <w:t xml:space="preserve">, </w:t>
      </w:r>
      <w:r w:rsidR="00683C2A">
        <w:rPr>
          <w:rFonts w:asciiTheme="minorHAnsi" w:hAnsiTheme="minorHAnsi" w:cstheme="minorHAnsi"/>
          <w:sz w:val="22"/>
          <w:szCs w:val="22"/>
          <w:lang w:val="en-GB"/>
        </w:rPr>
        <w:t xml:space="preserve">the unsustainable use </w:t>
      </w:r>
      <w:r w:rsidR="00B70A33">
        <w:rPr>
          <w:rFonts w:asciiTheme="minorHAnsi" w:hAnsiTheme="minorHAnsi" w:cstheme="minorHAnsi"/>
          <w:sz w:val="22"/>
          <w:szCs w:val="22"/>
          <w:lang w:val="en-GB"/>
        </w:rPr>
        <w:t>of natural resources,</w:t>
      </w:r>
      <w:r w:rsidRPr="00711073">
        <w:rPr>
          <w:rFonts w:asciiTheme="minorHAnsi" w:hAnsiTheme="minorHAnsi" w:cstheme="minorHAnsi"/>
          <w:sz w:val="22"/>
          <w:szCs w:val="22"/>
          <w:lang w:val="en-GB"/>
        </w:rPr>
        <w:t xml:space="preserve"> </w:t>
      </w:r>
      <w:r w:rsidR="00AE2847">
        <w:rPr>
          <w:rFonts w:asciiTheme="minorHAnsi" w:hAnsiTheme="minorHAnsi" w:cstheme="minorHAnsi"/>
          <w:sz w:val="22"/>
          <w:szCs w:val="22"/>
          <w:lang w:val="en-GB"/>
        </w:rPr>
        <w:t xml:space="preserve">and </w:t>
      </w:r>
      <w:r w:rsidRPr="00711073">
        <w:rPr>
          <w:rFonts w:asciiTheme="minorHAnsi" w:hAnsiTheme="minorHAnsi" w:cstheme="minorHAnsi"/>
          <w:sz w:val="22"/>
          <w:szCs w:val="22"/>
          <w:lang w:val="en-GB"/>
        </w:rPr>
        <w:t xml:space="preserve">of </w:t>
      </w:r>
      <w:r w:rsidR="005628D4">
        <w:rPr>
          <w:rFonts w:asciiTheme="minorHAnsi" w:hAnsiTheme="minorHAnsi" w:cstheme="minorHAnsi"/>
          <w:sz w:val="22"/>
          <w:szCs w:val="22"/>
          <w:lang w:val="en-GB"/>
        </w:rPr>
        <w:t>responses</w:t>
      </w:r>
      <w:r w:rsidR="00683C2A">
        <w:rPr>
          <w:rFonts w:asciiTheme="minorHAnsi" w:hAnsiTheme="minorHAnsi" w:cstheme="minorHAnsi"/>
          <w:sz w:val="22"/>
          <w:szCs w:val="22"/>
          <w:lang w:val="en-GB"/>
        </w:rPr>
        <w:t xml:space="preserve"> in terms of sustainable </w:t>
      </w:r>
      <w:r w:rsidR="00B70A33">
        <w:rPr>
          <w:rFonts w:asciiTheme="minorHAnsi" w:hAnsiTheme="minorHAnsi" w:cstheme="minorHAnsi"/>
          <w:sz w:val="22"/>
          <w:szCs w:val="22"/>
          <w:lang w:val="en-GB"/>
        </w:rPr>
        <w:t xml:space="preserve">environmental </w:t>
      </w:r>
      <w:r w:rsidR="00683C2A">
        <w:rPr>
          <w:rFonts w:asciiTheme="minorHAnsi" w:hAnsiTheme="minorHAnsi" w:cstheme="minorHAnsi"/>
          <w:sz w:val="22"/>
          <w:szCs w:val="22"/>
          <w:lang w:val="en-GB"/>
        </w:rPr>
        <w:t xml:space="preserve">management </w:t>
      </w:r>
      <w:r w:rsidR="00B70A33">
        <w:rPr>
          <w:rFonts w:asciiTheme="minorHAnsi" w:hAnsiTheme="minorHAnsi" w:cstheme="minorHAnsi"/>
          <w:sz w:val="22"/>
          <w:szCs w:val="22"/>
          <w:lang w:val="en-GB"/>
        </w:rPr>
        <w:t xml:space="preserve">and climate change adaptation </w:t>
      </w:r>
      <w:r w:rsidR="00683C2A">
        <w:rPr>
          <w:rFonts w:asciiTheme="minorHAnsi" w:hAnsiTheme="minorHAnsi" w:cstheme="minorHAnsi"/>
          <w:sz w:val="22"/>
          <w:szCs w:val="22"/>
          <w:lang w:val="en-GB"/>
        </w:rPr>
        <w:t xml:space="preserve">and </w:t>
      </w:r>
      <w:r w:rsidR="00B70A33">
        <w:rPr>
          <w:rFonts w:asciiTheme="minorHAnsi" w:hAnsiTheme="minorHAnsi" w:cstheme="minorHAnsi"/>
          <w:sz w:val="22"/>
          <w:szCs w:val="22"/>
          <w:lang w:val="en-GB"/>
        </w:rPr>
        <w:t>mitigation</w:t>
      </w:r>
      <w:r w:rsidRPr="00711073">
        <w:rPr>
          <w:rFonts w:asciiTheme="minorHAnsi" w:hAnsiTheme="minorHAnsi" w:cstheme="minorHAnsi"/>
          <w:sz w:val="22"/>
          <w:szCs w:val="22"/>
          <w:lang w:val="en-GB"/>
        </w:rPr>
        <w:t xml:space="preserve">, </w:t>
      </w:r>
      <w:r w:rsidR="00C44F5A">
        <w:rPr>
          <w:rFonts w:asciiTheme="minorHAnsi" w:hAnsiTheme="minorHAnsi" w:cstheme="minorHAnsi"/>
          <w:sz w:val="22"/>
          <w:szCs w:val="22"/>
          <w:lang w:val="en-GB"/>
        </w:rPr>
        <w:t>on economic activity and growth. Where adaptation and mitigation are expected to generate significant inflows of foreign currencies, this aspect should also be integrated in the macroeconomic outlook (</w:t>
      </w:r>
      <w:proofErr w:type="spellStart"/>
      <w:r w:rsidR="00C44F5A">
        <w:rPr>
          <w:rFonts w:asciiTheme="minorHAnsi" w:hAnsiTheme="minorHAnsi" w:cstheme="minorHAnsi"/>
          <w:sz w:val="22"/>
          <w:szCs w:val="22"/>
          <w:lang w:val="en-GB"/>
        </w:rPr>
        <w:t>Fankhauser</w:t>
      </w:r>
      <w:proofErr w:type="spellEnd"/>
      <w:r w:rsidR="00C44F5A">
        <w:rPr>
          <w:rFonts w:asciiTheme="minorHAnsi" w:hAnsiTheme="minorHAnsi" w:cstheme="minorHAnsi"/>
          <w:sz w:val="22"/>
          <w:szCs w:val="22"/>
          <w:lang w:val="en-GB"/>
        </w:rPr>
        <w:t xml:space="preserve"> &amp; Schmidt-</w:t>
      </w:r>
      <w:proofErr w:type="spellStart"/>
      <w:r w:rsidR="00C44F5A">
        <w:rPr>
          <w:rFonts w:asciiTheme="minorHAnsi" w:hAnsiTheme="minorHAnsi" w:cstheme="minorHAnsi"/>
          <w:sz w:val="22"/>
          <w:szCs w:val="22"/>
          <w:lang w:val="en-GB"/>
        </w:rPr>
        <w:t>Traub</w:t>
      </w:r>
      <w:proofErr w:type="spellEnd"/>
      <w:r w:rsidR="00C44F5A">
        <w:rPr>
          <w:rFonts w:asciiTheme="minorHAnsi" w:hAnsiTheme="minorHAnsi" w:cstheme="minorHAnsi"/>
          <w:sz w:val="22"/>
          <w:szCs w:val="22"/>
          <w:lang w:val="en-GB"/>
        </w:rPr>
        <w:t xml:space="preserve"> 2010).</w:t>
      </w:r>
    </w:p>
    <w:p w14:paraId="3DF71CF6" w14:textId="5381FE82" w:rsidR="00711073" w:rsidRPr="00711073" w:rsidRDefault="00711073" w:rsidP="00B72961">
      <w:pPr>
        <w:numPr>
          <w:ilvl w:val="0"/>
          <w:numId w:val="28"/>
        </w:numPr>
        <w:spacing w:before="120"/>
        <w:ind w:left="709" w:hanging="283"/>
        <w:rPr>
          <w:rFonts w:asciiTheme="minorHAnsi" w:hAnsiTheme="minorHAnsi" w:cstheme="minorHAnsi"/>
          <w:sz w:val="22"/>
          <w:szCs w:val="22"/>
          <w:lang w:val="en-GB"/>
        </w:rPr>
      </w:pPr>
      <w:r w:rsidRPr="00711073">
        <w:rPr>
          <w:rFonts w:asciiTheme="minorHAnsi" w:hAnsiTheme="minorHAnsi" w:cstheme="minorHAnsi"/>
          <w:sz w:val="22"/>
          <w:szCs w:val="22"/>
          <w:lang w:val="en-GB"/>
        </w:rPr>
        <w:t xml:space="preserve">At the stage of multi-year strategic planning and determination of the next year’s revenues and expenditures, account should be taken of the (extra) cost of implementing </w:t>
      </w:r>
      <w:r w:rsidR="00B70A33">
        <w:rPr>
          <w:rFonts w:asciiTheme="minorHAnsi" w:hAnsiTheme="minorHAnsi" w:cstheme="minorHAnsi"/>
          <w:sz w:val="22"/>
          <w:szCs w:val="22"/>
          <w:lang w:val="en-GB"/>
        </w:rPr>
        <w:t>environmental and climate change (</w:t>
      </w:r>
      <w:r w:rsidRPr="00711073">
        <w:rPr>
          <w:rFonts w:asciiTheme="minorHAnsi" w:hAnsiTheme="minorHAnsi" w:cstheme="minorHAnsi"/>
          <w:sz w:val="22"/>
          <w:szCs w:val="22"/>
          <w:lang w:val="en-GB"/>
        </w:rPr>
        <w:t>adaptation and mitigation</w:t>
      </w:r>
      <w:r w:rsidR="00B70A33">
        <w:rPr>
          <w:rFonts w:asciiTheme="minorHAnsi" w:hAnsiTheme="minorHAnsi" w:cstheme="minorHAnsi"/>
          <w:sz w:val="22"/>
          <w:szCs w:val="22"/>
          <w:lang w:val="en-GB"/>
        </w:rPr>
        <w:t>)</w:t>
      </w:r>
      <w:r w:rsidRPr="00711073">
        <w:rPr>
          <w:rFonts w:asciiTheme="minorHAnsi" w:hAnsiTheme="minorHAnsi" w:cstheme="minorHAnsi"/>
          <w:sz w:val="22"/>
          <w:szCs w:val="22"/>
          <w:lang w:val="en-GB"/>
        </w:rPr>
        <w:t xml:space="preserve"> programmes </w:t>
      </w:r>
      <w:r w:rsidR="00292C65">
        <w:rPr>
          <w:rFonts w:asciiTheme="minorHAnsi" w:hAnsiTheme="minorHAnsi" w:cstheme="minorHAnsi"/>
          <w:sz w:val="22"/>
          <w:szCs w:val="22"/>
          <w:lang w:val="en-GB"/>
        </w:rPr>
        <w:t>and</w:t>
      </w:r>
      <w:r w:rsidRPr="00711073">
        <w:rPr>
          <w:rFonts w:asciiTheme="minorHAnsi" w:hAnsiTheme="minorHAnsi" w:cstheme="minorHAnsi"/>
          <w:sz w:val="22"/>
          <w:szCs w:val="22"/>
          <w:lang w:val="en-GB"/>
        </w:rPr>
        <w:t xml:space="preserve"> measures, the extra external resources required and pledged in support of </w:t>
      </w:r>
      <w:r w:rsidR="00B70A33">
        <w:rPr>
          <w:rFonts w:asciiTheme="minorHAnsi" w:hAnsiTheme="minorHAnsi" w:cstheme="minorHAnsi"/>
          <w:sz w:val="22"/>
          <w:szCs w:val="22"/>
          <w:lang w:val="en-GB"/>
        </w:rPr>
        <w:t>environmental and climate change (</w:t>
      </w:r>
      <w:r w:rsidRPr="00711073">
        <w:rPr>
          <w:rFonts w:asciiTheme="minorHAnsi" w:hAnsiTheme="minorHAnsi" w:cstheme="minorHAnsi"/>
          <w:sz w:val="22"/>
          <w:szCs w:val="22"/>
          <w:lang w:val="en-GB"/>
        </w:rPr>
        <w:t>adaptation/mitigation</w:t>
      </w:r>
      <w:r w:rsidR="00B70A33">
        <w:rPr>
          <w:rFonts w:asciiTheme="minorHAnsi" w:hAnsiTheme="minorHAnsi" w:cstheme="minorHAnsi"/>
          <w:sz w:val="22"/>
          <w:szCs w:val="22"/>
          <w:lang w:val="en-GB"/>
        </w:rPr>
        <w:t>)</w:t>
      </w:r>
      <w:r w:rsidRPr="00711073">
        <w:rPr>
          <w:rFonts w:asciiTheme="minorHAnsi" w:hAnsiTheme="minorHAnsi" w:cstheme="minorHAnsi"/>
          <w:sz w:val="22"/>
          <w:szCs w:val="22"/>
          <w:lang w:val="en-GB"/>
        </w:rPr>
        <w:t xml:space="preserve"> efforts, and the revenues and/or cost savings possibly generated by policies in support of </w:t>
      </w:r>
      <w:r w:rsidR="00B70A33">
        <w:rPr>
          <w:rFonts w:asciiTheme="minorHAnsi" w:hAnsiTheme="minorHAnsi" w:cstheme="minorHAnsi"/>
          <w:sz w:val="22"/>
          <w:szCs w:val="22"/>
          <w:lang w:val="en-GB"/>
        </w:rPr>
        <w:t>environment and climate change</w:t>
      </w:r>
      <w:r w:rsidRPr="00711073">
        <w:rPr>
          <w:rFonts w:asciiTheme="minorHAnsi" w:hAnsiTheme="minorHAnsi" w:cstheme="minorHAnsi"/>
          <w:sz w:val="22"/>
          <w:szCs w:val="22"/>
          <w:lang w:val="en-GB"/>
        </w:rPr>
        <w:t>.</w:t>
      </w:r>
    </w:p>
    <w:p w14:paraId="4C1ECCCD" w14:textId="77777777" w:rsidR="00711073" w:rsidRPr="00711073" w:rsidRDefault="00711073" w:rsidP="00B72961">
      <w:pPr>
        <w:numPr>
          <w:ilvl w:val="0"/>
          <w:numId w:val="28"/>
        </w:numPr>
        <w:spacing w:before="120"/>
        <w:ind w:left="709" w:hanging="283"/>
        <w:rPr>
          <w:rFonts w:asciiTheme="minorHAnsi" w:hAnsiTheme="minorHAnsi" w:cstheme="minorHAnsi"/>
          <w:sz w:val="22"/>
          <w:szCs w:val="22"/>
          <w:lang w:val="en-GB"/>
        </w:rPr>
      </w:pPr>
      <w:r w:rsidRPr="00711073">
        <w:rPr>
          <w:rFonts w:asciiTheme="minorHAnsi" w:hAnsiTheme="minorHAnsi" w:cstheme="minorHAnsi"/>
          <w:sz w:val="22"/>
          <w:szCs w:val="22"/>
          <w:lang w:val="en-GB"/>
        </w:rPr>
        <w:t xml:space="preserve">At the time of pre-allocating resources among line ministries, a (re-)allocation of funds to sectors </w:t>
      </w:r>
      <w:r w:rsidR="00442CE9">
        <w:rPr>
          <w:rFonts w:asciiTheme="minorHAnsi" w:hAnsiTheme="minorHAnsi" w:cstheme="minorHAnsi"/>
          <w:sz w:val="22"/>
          <w:szCs w:val="22"/>
          <w:lang w:val="en-GB"/>
        </w:rPr>
        <w:t xml:space="preserve">or regions </w:t>
      </w:r>
      <w:r w:rsidRPr="00711073">
        <w:rPr>
          <w:rFonts w:asciiTheme="minorHAnsi" w:hAnsiTheme="minorHAnsi" w:cstheme="minorHAnsi"/>
          <w:sz w:val="22"/>
          <w:szCs w:val="22"/>
          <w:lang w:val="en-GB"/>
        </w:rPr>
        <w:t xml:space="preserve">identified as particularly vulnerable and/or </w:t>
      </w:r>
      <w:r w:rsidR="00442CE9">
        <w:rPr>
          <w:rFonts w:asciiTheme="minorHAnsi" w:hAnsiTheme="minorHAnsi" w:cstheme="minorHAnsi"/>
          <w:sz w:val="22"/>
          <w:szCs w:val="22"/>
          <w:lang w:val="en-GB"/>
        </w:rPr>
        <w:t xml:space="preserve">sectors </w:t>
      </w:r>
      <w:r w:rsidRPr="00711073">
        <w:rPr>
          <w:rFonts w:asciiTheme="minorHAnsi" w:hAnsiTheme="minorHAnsi" w:cstheme="minorHAnsi"/>
          <w:sz w:val="22"/>
          <w:szCs w:val="22"/>
          <w:lang w:val="en-GB"/>
        </w:rPr>
        <w:t>playing a key role in mitigation efforts may be necessary</w:t>
      </w:r>
      <w:r w:rsidR="00442CE9">
        <w:rPr>
          <w:rFonts w:asciiTheme="minorHAnsi" w:hAnsiTheme="minorHAnsi" w:cstheme="minorHAnsi"/>
          <w:sz w:val="22"/>
          <w:szCs w:val="22"/>
          <w:lang w:val="en-GB"/>
        </w:rPr>
        <w:t xml:space="preserve"> (OECD 2009a)</w:t>
      </w:r>
      <w:r w:rsidRPr="00711073">
        <w:rPr>
          <w:rFonts w:asciiTheme="minorHAnsi" w:hAnsiTheme="minorHAnsi" w:cstheme="minorHAnsi"/>
          <w:sz w:val="22"/>
          <w:szCs w:val="22"/>
          <w:lang w:val="en-GB"/>
        </w:rPr>
        <w:t>.</w:t>
      </w:r>
    </w:p>
    <w:p w14:paraId="54A3C098" w14:textId="77777777" w:rsidR="00AE2847" w:rsidRDefault="00711073" w:rsidP="00B72961">
      <w:pPr>
        <w:numPr>
          <w:ilvl w:val="0"/>
          <w:numId w:val="28"/>
        </w:numPr>
        <w:spacing w:before="120"/>
        <w:ind w:left="709" w:hanging="283"/>
        <w:rPr>
          <w:rFonts w:asciiTheme="minorHAnsi" w:hAnsiTheme="minorHAnsi" w:cstheme="minorHAnsi"/>
          <w:sz w:val="22"/>
          <w:szCs w:val="22"/>
          <w:lang w:val="en-GB"/>
        </w:rPr>
      </w:pPr>
      <w:r w:rsidRPr="00711073">
        <w:rPr>
          <w:rFonts w:asciiTheme="minorHAnsi" w:hAnsiTheme="minorHAnsi" w:cstheme="minorHAnsi"/>
          <w:sz w:val="22"/>
          <w:szCs w:val="22"/>
          <w:lang w:val="en-GB"/>
        </w:rPr>
        <w:t xml:space="preserve">At the time of preparing the budget circular, instructions </w:t>
      </w:r>
      <w:r w:rsidR="00AE2847" w:rsidRPr="00711073">
        <w:rPr>
          <w:rFonts w:asciiTheme="minorHAnsi" w:hAnsiTheme="minorHAnsi" w:cstheme="minorHAnsi"/>
          <w:sz w:val="22"/>
          <w:szCs w:val="22"/>
          <w:lang w:val="en-GB"/>
        </w:rPr>
        <w:t>should be provided to line ministries and agencies</w:t>
      </w:r>
      <w:r w:rsidR="00AE2847">
        <w:rPr>
          <w:rFonts w:asciiTheme="minorHAnsi" w:hAnsiTheme="minorHAnsi" w:cstheme="minorHAnsi"/>
          <w:sz w:val="22"/>
          <w:szCs w:val="22"/>
          <w:lang w:val="en-GB"/>
        </w:rPr>
        <w:t xml:space="preserve"> </w:t>
      </w:r>
      <w:r w:rsidRPr="00711073">
        <w:rPr>
          <w:rFonts w:asciiTheme="minorHAnsi" w:hAnsiTheme="minorHAnsi" w:cstheme="minorHAnsi"/>
          <w:sz w:val="22"/>
          <w:szCs w:val="22"/>
          <w:lang w:val="en-GB"/>
        </w:rPr>
        <w:t>on</w:t>
      </w:r>
      <w:r w:rsidR="00AE2847">
        <w:rPr>
          <w:rFonts w:asciiTheme="minorHAnsi" w:hAnsiTheme="minorHAnsi" w:cstheme="minorHAnsi"/>
          <w:sz w:val="22"/>
          <w:szCs w:val="22"/>
          <w:lang w:val="en-GB"/>
        </w:rPr>
        <w:t>:</w:t>
      </w:r>
    </w:p>
    <w:p w14:paraId="2920652E" w14:textId="6016C4B6" w:rsidR="00AE2847" w:rsidRDefault="00292C65" w:rsidP="007F6A77">
      <w:pPr>
        <w:numPr>
          <w:ilvl w:val="1"/>
          <w:numId w:val="3"/>
        </w:numPr>
        <w:spacing w:before="120"/>
        <w:ind w:left="1134" w:hanging="425"/>
        <w:rPr>
          <w:rFonts w:asciiTheme="minorHAnsi" w:hAnsiTheme="minorHAnsi" w:cstheme="minorHAnsi"/>
          <w:sz w:val="22"/>
          <w:szCs w:val="22"/>
          <w:lang w:val="en-GB"/>
        </w:rPr>
      </w:pPr>
      <w:r>
        <w:rPr>
          <w:rFonts w:asciiTheme="minorHAnsi" w:hAnsiTheme="minorHAnsi" w:cstheme="minorHAnsi"/>
          <w:sz w:val="22"/>
          <w:szCs w:val="22"/>
          <w:lang w:val="en-GB"/>
        </w:rPr>
        <w:t>the</w:t>
      </w:r>
      <w:r w:rsidR="00AE2847">
        <w:rPr>
          <w:rFonts w:asciiTheme="minorHAnsi" w:hAnsiTheme="minorHAnsi" w:cstheme="minorHAnsi"/>
          <w:sz w:val="22"/>
          <w:szCs w:val="22"/>
          <w:lang w:val="en-GB"/>
        </w:rPr>
        <w:t xml:space="preserve"> screening of sector programmes and projects for</w:t>
      </w:r>
      <w:r w:rsidR="00B70A33">
        <w:rPr>
          <w:rFonts w:asciiTheme="minorHAnsi" w:hAnsiTheme="minorHAnsi" w:cstheme="minorHAnsi"/>
          <w:sz w:val="22"/>
          <w:szCs w:val="22"/>
          <w:lang w:val="en-GB"/>
        </w:rPr>
        <w:t xml:space="preserve"> environmental</w:t>
      </w:r>
      <w:r w:rsidR="00AE2847">
        <w:rPr>
          <w:rFonts w:asciiTheme="minorHAnsi" w:hAnsiTheme="minorHAnsi" w:cstheme="minorHAnsi"/>
          <w:sz w:val="22"/>
          <w:szCs w:val="22"/>
          <w:lang w:val="en-GB"/>
        </w:rPr>
        <w:t xml:space="preserve"> and climate-related considerations</w:t>
      </w:r>
      <w:r w:rsidR="00B70A33">
        <w:rPr>
          <w:rFonts w:asciiTheme="minorHAnsi" w:hAnsiTheme="minorHAnsi" w:cstheme="minorHAnsi"/>
          <w:sz w:val="22"/>
          <w:szCs w:val="22"/>
          <w:lang w:val="en-GB"/>
        </w:rPr>
        <w:t xml:space="preserve"> (including climate risk)</w:t>
      </w:r>
      <w:r w:rsidR="00AE2847">
        <w:rPr>
          <w:rFonts w:asciiTheme="minorHAnsi" w:hAnsiTheme="minorHAnsi" w:cstheme="minorHAnsi"/>
          <w:sz w:val="22"/>
          <w:szCs w:val="22"/>
          <w:lang w:val="en-GB"/>
        </w:rPr>
        <w:t xml:space="preserve">; and </w:t>
      </w:r>
    </w:p>
    <w:p w14:paraId="5AD66702" w14:textId="6E98BA22" w:rsidR="00711073" w:rsidRPr="00711073" w:rsidRDefault="00AE2847" w:rsidP="007F6A77">
      <w:pPr>
        <w:numPr>
          <w:ilvl w:val="1"/>
          <w:numId w:val="3"/>
        </w:numPr>
        <w:spacing w:before="120"/>
        <w:ind w:left="1134" w:hanging="425"/>
        <w:rPr>
          <w:rFonts w:asciiTheme="minorHAnsi" w:hAnsiTheme="minorHAnsi" w:cstheme="minorHAnsi"/>
          <w:sz w:val="22"/>
          <w:szCs w:val="22"/>
          <w:lang w:val="en-GB"/>
        </w:rPr>
      </w:pPr>
      <w:proofErr w:type="gramStart"/>
      <w:r>
        <w:rPr>
          <w:rFonts w:asciiTheme="minorHAnsi" w:hAnsiTheme="minorHAnsi" w:cstheme="minorHAnsi"/>
          <w:sz w:val="22"/>
          <w:szCs w:val="22"/>
          <w:lang w:val="en-GB"/>
        </w:rPr>
        <w:t>the</w:t>
      </w:r>
      <w:proofErr w:type="gramEnd"/>
      <w:r>
        <w:rPr>
          <w:rFonts w:asciiTheme="minorHAnsi" w:hAnsiTheme="minorHAnsi" w:cstheme="minorHAnsi"/>
          <w:sz w:val="22"/>
          <w:szCs w:val="22"/>
          <w:lang w:val="en-GB"/>
        </w:rPr>
        <w:t xml:space="preserve"> </w:t>
      </w:r>
      <w:r w:rsidR="00711073" w:rsidRPr="00711073">
        <w:rPr>
          <w:rFonts w:asciiTheme="minorHAnsi" w:hAnsiTheme="minorHAnsi" w:cstheme="minorHAnsi"/>
          <w:sz w:val="22"/>
          <w:szCs w:val="22"/>
          <w:lang w:val="en-GB"/>
        </w:rPr>
        <w:t xml:space="preserve">costing of </w:t>
      </w:r>
      <w:r w:rsidR="00B70A33">
        <w:rPr>
          <w:rFonts w:asciiTheme="minorHAnsi" w:hAnsiTheme="minorHAnsi" w:cstheme="minorHAnsi"/>
          <w:sz w:val="22"/>
          <w:szCs w:val="22"/>
          <w:lang w:val="en-GB"/>
        </w:rPr>
        <w:t>environmental and climate change (</w:t>
      </w:r>
      <w:r w:rsidR="00711073" w:rsidRPr="00711073">
        <w:rPr>
          <w:rFonts w:asciiTheme="minorHAnsi" w:hAnsiTheme="minorHAnsi" w:cstheme="minorHAnsi"/>
          <w:sz w:val="22"/>
          <w:szCs w:val="22"/>
          <w:lang w:val="en-GB"/>
        </w:rPr>
        <w:t>adaptation- and mitigation</w:t>
      </w:r>
      <w:r w:rsidR="00B70A33">
        <w:rPr>
          <w:rFonts w:asciiTheme="minorHAnsi" w:hAnsiTheme="minorHAnsi" w:cstheme="minorHAnsi"/>
          <w:sz w:val="22"/>
          <w:szCs w:val="22"/>
          <w:lang w:val="en-GB"/>
        </w:rPr>
        <w:t>)</w:t>
      </w:r>
      <w:r w:rsidR="00711073" w:rsidRPr="00711073">
        <w:rPr>
          <w:rFonts w:asciiTheme="minorHAnsi" w:hAnsiTheme="minorHAnsi" w:cstheme="minorHAnsi"/>
          <w:sz w:val="22"/>
          <w:szCs w:val="22"/>
          <w:lang w:val="en-GB"/>
        </w:rPr>
        <w:t>-related policies and measures</w:t>
      </w:r>
      <w:r w:rsidR="00A73072">
        <w:rPr>
          <w:rFonts w:asciiTheme="minorHAnsi" w:hAnsiTheme="minorHAnsi" w:cstheme="minorHAnsi"/>
          <w:sz w:val="22"/>
          <w:szCs w:val="22"/>
          <w:lang w:val="en-GB"/>
        </w:rPr>
        <w:t xml:space="preserve"> (and ideally also the </w:t>
      </w:r>
      <w:r w:rsidR="00DE4B69">
        <w:rPr>
          <w:rFonts w:asciiTheme="minorHAnsi" w:hAnsiTheme="minorHAnsi" w:cstheme="minorHAnsi"/>
          <w:sz w:val="22"/>
          <w:szCs w:val="22"/>
          <w:lang w:val="en-GB"/>
        </w:rPr>
        <w:t>valuation of their expected benefits</w:t>
      </w:r>
      <w:r w:rsidR="00A73072">
        <w:rPr>
          <w:rFonts w:asciiTheme="minorHAnsi" w:hAnsiTheme="minorHAnsi" w:cstheme="minorHAnsi"/>
          <w:sz w:val="22"/>
          <w:szCs w:val="22"/>
          <w:lang w:val="en-GB"/>
        </w:rPr>
        <w:t>)</w:t>
      </w:r>
      <w:r w:rsidR="00711073" w:rsidRPr="00711073">
        <w:rPr>
          <w:rFonts w:asciiTheme="minorHAnsi" w:hAnsiTheme="minorHAnsi" w:cstheme="minorHAnsi"/>
          <w:sz w:val="22"/>
          <w:szCs w:val="22"/>
          <w:lang w:val="en-GB"/>
        </w:rPr>
        <w:t>.</w:t>
      </w:r>
    </w:p>
    <w:p w14:paraId="6E3A94A3" w14:textId="1FA217ED" w:rsidR="00AE2847" w:rsidRDefault="00711073" w:rsidP="00B72961">
      <w:pPr>
        <w:numPr>
          <w:ilvl w:val="0"/>
          <w:numId w:val="3"/>
        </w:numPr>
        <w:spacing w:before="120"/>
        <w:ind w:left="709" w:hanging="283"/>
        <w:rPr>
          <w:rFonts w:asciiTheme="minorHAnsi" w:hAnsiTheme="minorHAnsi" w:cstheme="minorHAnsi"/>
          <w:sz w:val="22"/>
          <w:szCs w:val="22"/>
          <w:lang w:val="en-GB"/>
        </w:rPr>
      </w:pPr>
      <w:r w:rsidRPr="005628D4">
        <w:rPr>
          <w:rFonts w:asciiTheme="minorHAnsi" w:hAnsiTheme="minorHAnsi" w:cstheme="minorHAnsi"/>
          <w:sz w:val="22"/>
          <w:szCs w:val="22"/>
          <w:lang w:val="en-GB"/>
        </w:rPr>
        <w:t>At the sector resource allocation stage</w:t>
      </w:r>
      <w:r w:rsidRPr="00711073">
        <w:rPr>
          <w:rFonts w:asciiTheme="minorHAnsi" w:hAnsiTheme="minorHAnsi" w:cstheme="minorHAnsi"/>
          <w:sz w:val="22"/>
          <w:szCs w:val="22"/>
          <w:lang w:val="en-GB"/>
        </w:rPr>
        <w:t xml:space="preserve">, in particular the </w:t>
      </w:r>
      <w:r w:rsidR="00442CE9">
        <w:rPr>
          <w:rFonts w:asciiTheme="minorHAnsi" w:hAnsiTheme="minorHAnsi" w:cstheme="minorHAnsi"/>
          <w:sz w:val="22"/>
          <w:szCs w:val="22"/>
          <w:lang w:val="en-GB"/>
        </w:rPr>
        <w:t xml:space="preserve">preparation and </w:t>
      </w:r>
      <w:r w:rsidRPr="00711073">
        <w:rPr>
          <w:rFonts w:asciiTheme="minorHAnsi" w:hAnsiTheme="minorHAnsi" w:cstheme="minorHAnsi"/>
          <w:sz w:val="22"/>
          <w:szCs w:val="22"/>
          <w:lang w:val="en-GB"/>
        </w:rPr>
        <w:t xml:space="preserve">submission of </w:t>
      </w:r>
      <w:r w:rsidR="004535C3">
        <w:rPr>
          <w:rFonts w:asciiTheme="minorHAnsi" w:hAnsiTheme="minorHAnsi" w:cstheme="minorHAnsi"/>
          <w:sz w:val="22"/>
          <w:szCs w:val="22"/>
          <w:lang w:val="en-GB"/>
        </w:rPr>
        <w:t>sector</w:t>
      </w:r>
      <w:r w:rsidRPr="00711073">
        <w:rPr>
          <w:rFonts w:asciiTheme="minorHAnsi" w:hAnsiTheme="minorHAnsi" w:cstheme="minorHAnsi"/>
          <w:sz w:val="22"/>
          <w:szCs w:val="22"/>
          <w:lang w:val="en-GB"/>
        </w:rPr>
        <w:t xml:space="preserve"> bids, </w:t>
      </w:r>
      <w:r w:rsidR="00B70A33">
        <w:rPr>
          <w:rFonts w:asciiTheme="minorHAnsi" w:hAnsiTheme="minorHAnsi" w:cstheme="minorHAnsi"/>
          <w:sz w:val="22"/>
          <w:szCs w:val="22"/>
          <w:lang w:val="en-GB"/>
        </w:rPr>
        <w:t xml:space="preserve">environmental and </w:t>
      </w:r>
      <w:r w:rsidRPr="00711073">
        <w:rPr>
          <w:rFonts w:asciiTheme="minorHAnsi" w:hAnsiTheme="minorHAnsi" w:cstheme="minorHAnsi"/>
          <w:sz w:val="22"/>
          <w:szCs w:val="22"/>
          <w:lang w:val="en-GB"/>
        </w:rPr>
        <w:t xml:space="preserve">climate change integration requires: </w:t>
      </w:r>
    </w:p>
    <w:p w14:paraId="5865140B" w14:textId="078C2CC4" w:rsidR="00AE2847" w:rsidRPr="00AE2847" w:rsidRDefault="00683C2A" w:rsidP="007F6A77">
      <w:pPr>
        <w:numPr>
          <w:ilvl w:val="1"/>
          <w:numId w:val="9"/>
        </w:numPr>
        <w:spacing w:before="120"/>
        <w:ind w:left="1134" w:hanging="425"/>
        <w:rPr>
          <w:rFonts w:asciiTheme="minorHAnsi" w:hAnsiTheme="minorHAnsi" w:cstheme="minorHAnsi"/>
          <w:sz w:val="22"/>
          <w:szCs w:val="22"/>
          <w:lang w:val="en-GB"/>
        </w:rPr>
      </w:pPr>
      <w:proofErr w:type="gramStart"/>
      <w:r>
        <w:rPr>
          <w:rFonts w:asciiTheme="minorHAnsi" w:hAnsiTheme="minorHAnsi" w:cstheme="minorHAnsi"/>
          <w:sz w:val="22"/>
          <w:szCs w:val="22"/>
          <w:lang w:val="en-GB"/>
        </w:rPr>
        <w:t>a</w:t>
      </w:r>
      <w:r w:rsidR="00711073" w:rsidRPr="00711073">
        <w:rPr>
          <w:rFonts w:asciiTheme="minorHAnsi" w:hAnsiTheme="minorHAnsi" w:cstheme="minorHAnsi"/>
          <w:sz w:val="22"/>
          <w:szCs w:val="22"/>
          <w:lang w:val="en-GB"/>
        </w:rPr>
        <w:t>dding</w:t>
      </w:r>
      <w:proofErr w:type="gramEnd"/>
      <w:r w:rsidR="00B70A33">
        <w:rPr>
          <w:rFonts w:asciiTheme="minorHAnsi" w:hAnsiTheme="minorHAnsi" w:cstheme="minorHAnsi"/>
          <w:sz w:val="22"/>
          <w:szCs w:val="22"/>
          <w:lang w:val="en-GB"/>
        </w:rPr>
        <w:t xml:space="preserve"> environmental and</w:t>
      </w:r>
      <w:r w:rsidR="00711073" w:rsidRPr="00711073">
        <w:rPr>
          <w:rFonts w:asciiTheme="minorHAnsi" w:hAnsiTheme="minorHAnsi" w:cstheme="minorHAnsi"/>
          <w:sz w:val="22"/>
          <w:szCs w:val="22"/>
          <w:lang w:val="en-GB"/>
        </w:rPr>
        <w:t xml:space="preserve"> climate change considerations to the range of criteria used to screen and select projects</w:t>
      </w:r>
      <w:r w:rsidR="005628D4">
        <w:rPr>
          <w:rFonts w:asciiTheme="minorHAnsi" w:hAnsiTheme="minorHAnsi" w:cstheme="minorHAnsi"/>
          <w:sz w:val="22"/>
          <w:szCs w:val="22"/>
          <w:lang w:val="en-GB"/>
        </w:rPr>
        <w:t xml:space="preserve"> and </w:t>
      </w:r>
      <w:r w:rsidR="00711073" w:rsidRPr="00711073">
        <w:rPr>
          <w:rFonts w:asciiTheme="minorHAnsi" w:hAnsiTheme="minorHAnsi" w:cstheme="minorHAnsi"/>
          <w:sz w:val="22"/>
          <w:szCs w:val="22"/>
          <w:lang w:val="en-GB"/>
        </w:rPr>
        <w:t>specific investments</w:t>
      </w:r>
      <w:r w:rsidR="00711073" w:rsidRPr="00AE2847">
        <w:rPr>
          <w:rFonts w:asciiTheme="minorHAnsi" w:hAnsiTheme="minorHAnsi" w:cstheme="minorHAnsi"/>
          <w:sz w:val="22"/>
          <w:szCs w:val="22"/>
          <w:lang w:val="en-GB"/>
        </w:rPr>
        <w:t xml:space="preserve">; </w:t>
      </w:r>
    </w:p>
    <w:p w14:paraId="38BEDA50" w14:textId="6A4E6BE4" w:rsidR="00AE2847" w:rsidRDefault="00711073" w:rsidP="007F6A77">
      <w:pPr>
        <w:numPr>
          <w:ilvl w:val="1"/>
          <w:numId w:val="9"/>
        </w:numPr>
        <w:spacing w:before="120"/>
        <w:ind w:left="1134" w:hanging="425"/>
        <w:rPr>
          <w:rFonts w:asciiTheme="minorHAnsi" w:hAnsiTheme="minorHAnsi" w:cstheme="minorHAnsi"/>
          <w:sz w:val="22"/>
          <w:szCs w:val="22"/>
          <w:lang w:val="en-GB"/>
        </w:rPr>
      </w:pPr>
      <w:r w:rsidRPr="00711073">
        <w:rPr>
          <w:rFonts w:asciiTheme="minorHAnsi" w:hAnsiTheme="minorHAnsi" w:cstheme="minorHAnsi"/>
          <w:sz w:val="22"/>
          <w:szCs w:val="22"/>
          <w:lang w:val="en-GB"/>
        </w:rPr>
        <w:t xml:space="preserve">incorporating </w:t>
      </w:r>
      <w:r w:rsidR="00B70A33">
        <w:rPr>
          <w:rFonts w:asciiTheme="minorHAnsi" w:hAnsiTheme="minorHAnsi" w:cstheme="minorHAnsi"/>
          <w:sz w:val="22"/>
          <w:szCs w:val="22"/>
          <w:lang w:val="en-GB"/>
        </w:rPr>
        <w:t>environmental and/or climate change (</w:t>
      </w:r>
      <w:r w:rsidRPr="00711073">
        <w:rPr>
          <w:rFonts w:asciiTheme="minorHAnsi" w:hAnsiTheme="minorHAnsi" w:cstheme="minorHAnsi"/>
          <w:sz w:val="22"/>
          <w:szCs w:val="22"/>
          <w:lang w:val="en-GB"/>
        </w:rPr>
        <w:t>adaptation and/or mitigation</w:t>
      </w:r>
      <w:r w:rsidR="00B70A33">
        <w:rPr>
          <w:rFonts w:asciiTheme="minorHAnsi" w:hAnsiTheme="minorHAnsi" w:cstheme="minorHAnsi"/>
          <w:sz w:val="22"/>
          <w:szCs w:val="22"/>
          <w:lang w:val="en-GB"/>
        </w:rPr>
        <w:t>)</w:t>
      </w:r>
      <w:r w:rsidRPr="00711073">
        <w:rPr>
          <w:rFonts w:asciiTheme="minorHAnsi" w:hAnsiTheme="minorHAnsi" w:cstheme="minorHAnsi"/>
          <w:sz w:val="22"/>
          <w:szCs w:val="22"/>
          <w:lang w:val="en-GB"/>
        </w:rPr>
        <w:t xml:space="preserve"> projects, activities and measures identified at the sector planning stage; and </w:t>
      </w:r>
    </w:p>
    <w:p w14:paraId="0CCA139F" w14:textId="4CE32BA7" w:rsidR="00AE2847" w:rsidRDefault="00711073" w:rsidP="007F6A77">
      <w:pPr>
        <w:numPr>
          <w:ilvl w:val="1"/>
          <w:numId w:val="9"/>
        </w:numPr>
        <w:spacing w:before="120"/>
        <w:ind w:left="1134" w:hanging="425"/>
        <w:rPr>
          <w:rFonts w:asciiTheme="minorHAnsi" w:hAnsiTheme="minorHAnsi" w:cstheme="minorHAnsi"/>
          <w:sz w:val="22"/>
          <w:szCs w:val="22"/>
          <w:lang w:val="en-GB"/>
        </w:rPr>
      </w:pPr>
      <w:proofErr w:type="gramStart"/>
      <w:r w:rsidRPr="00711073">
        <w:rPr>
          <w:rFonts w:asciiTheme="minorHAnsi" w:hAnsiTheme="minorHAnsi" w:cstheme="minorHAnsi"/>
          <w:sz w:val="22"/>
          <w:szCs w:val="22"/>
          <w:lang w:val="en-GB"/>
        </w:rPr>
        <w:t>making</w:t>
      </w:r>
      <w:proofErr w:type="gramEnd"/>
      <w:r w:rsidRPr="00711073">
        <w:rPr>
          <w:rFonts w:asciiTheme="minorHAnsi" w:hAnsiTheme="minorHAnsi" w:cstheme="minorHAnsi"/>
          <w:sz w:val="22"/>
          <w:szCs w:val="22"/>
          <w:lang w:val="en-GB"/>
        </w:rPr>
        <w:t xml:space="preserve"> room in the budget for </w:t>
      </w:r>
      <w:r w:rsidR="00B70A33">
        <w:rPr>
          <w:rFonts w:asciiTheme="minorHAnsi" w:hAnsiTheme="minorHAnsi" w:cstheme="minorHAnsi"/>
          <w:sz w:val="22"/>
          <w:szCs w:val="22"/>
          <w:lang w:val="en-GB"/>
        </w:rPr>
        <w:t xml:space="preserve">environmental and </w:t>
      </w:r>
      <w:r w:rsidRPr="00711073">
        <w:rPr>
          <w:rFonts w:asciiTheme="minorHAnsi" w:hAnsiTheme="minorHAnsi" w:cstheme="minorHAnsi"/>
          <w:sz w:val="22"/>
          <w:szCs w:val="22"/>
          <w:lang w:val="en-GB"/>
        </w:rPr>
        <w:t>climate change responses identified in the context of cross-</w:t>
      </w:r>
      <w:r w:rsidR="004535C3">
        <w:rPr>
          <w:rFonts w:asciiTheme="minorHAnsi" w:hAnsiTheme="minorHAnsi" w:cstheme="minorHAnsi"/>
          <w:sz w:val="22"/>
          <w:szCs w:val="22"/>
          <w:lang w:val="en-GB"/>
        </w:rPr>
        <w:t>sector</w:t>
      </w:r>
      <w:r w:rsidR="00FC7EDD">
        <w:rPr>
          <w:rFonts w:asciiTheme="minorHAnsi" w:hAnsiTheme="minorHAnsi" w:cstheme="minorHAnsi"/>
          <w:sz w:val="22"/>
          <w:szCs w:val="22"/>
          <w:lang w:val="en-GB"/>
        </w:rPr>
        <w:t>al</w:t>
      </w:r>
      <w:r w:rsidRPr="00711073">
        <w:rPr>
          <w:rFonts w:asciiTheme="minorHAnsi" w:hAnsiTheme="minorHAnsi" w:cstheme="minorHAnsi"/>
          <w:sz w:val="22"/>
          <w:szCs w:val="22"/>
          <w:lang w:val="en-GB"/>
        </w:rPr>
        <w:t xml:space="preserve"> plans, or claiming resources from a ‘hori</w:t>
      </w:r>
      <w:r w:rsidR="00B70A33">
        <w:rPr>
          <w:rFonts w:asciiTheme="minorHAnsi" w:hAnsiTheme="minorHAnsi" w:cstheme="minorHAnsi"/>
          <w:sz w:val="22"/>
          <w:szCs w:val="22"/>
          <w:lang w:val="en-GB"/>
        </w:rPr>
        <w:t>zontal’ fund to implement them</w:t>
      </w:r>
      <w:r w:rsidRPr="00711073">
        <w:rPr>
          <w:rFonts w:asciiTheme="minorHAnsi" w:hAnsiTheme="minorHAnsi" w:cstheme="minorHAnsi"/>
          <w:sz w:val="22"/>
          <w:szCs w:val="22"/>
          <w:lang w:val="en-GB"/>
        </w:rPr>
        <w:t xml:space="preserve">. </w:t>
      </w:r>
    </w:p>
    <w:p w14:paraId="3F5F6519" w14:textId="79ED204F" w:rsidR="00711073" w:rsidRPr="00711073" w:rsidRDefault="00711073" w:rsidP="00AE2847">
      <w:pPr>
        <w:spacing w:before="120"/>
        <w:ind w:left="709"/>
        <w:rPr>
          <w:rFonts w:asciiTheme="minorHAnsi" w:hAnsiTheme="minorHAnsi" w:cstheme="minorHAnsi"/>
          <w:sz w:val="22"/>
          <w:szCs w:val="22"/>
          <w:lang w:val="en-GB"/>
        </w:rPr>
      </w:pPr>
      <w:r w:rsidRPr="00711073">
        <w:rPr>
          <w:rFonts w:asciiTheme="minorHAnsi" w:hAnsiTheme="minorHAnsi" w:cstheme="minorHAnsi"/>
          <w:sz w:val="22"/>
          <w:szCs w:val="22"/>
          <w:lang w:val="en-GB"/>
        </w:rPr>
        <w:t xml:space="preserve">The </w:t>
      </w:r>
      <w:r w:rsidR="004535C3">
        <w:rPr>
          <w:rFonts w:asciiTheme="minorHAnsi" w:hAnsiTheme="minorHAnsi" w:cstheme="minorHAnsi"/>
          <w:sz w:val="22"/>
          <w:szCs w:val="22"/>
          <w:lang w:val="en-GB"/>
        </w:rPr>
        <w:t>sector</w:t>
      </w:r>
      <w:r w:rsidRPr="00711073">
        <w:rPr>
          <w:rFonts w:asciiTheme="minorHAnsi" w:hAnsiTheme="minorHAnsi" w:cstheme="minorHAnsi"/>
          <w:sz w:val="22"/>
          <w:szCs w:val="22"/>
          <w:lang w:val="en-GB"/>
        </w:rPr>
        <w:t xml:space="preserve"> bids submitted by line ministries and agencies for a share of the national budget can thus include the description and costs of </w:t>
      </w:r>
      <w:r w:rsidR="00B70A33">
        <w:rPr>
          <w:rFonts w:asciiTheme="minorHAnsi" w:hAnsiTheme="minorHAnsi" w:cstheme="minorHAnsi"/>
          <w:sz w:val="22"/>
          <w:szCs w:val="22"/>
          <w:lang w:val="en-GB"/>
        </w:rPr>
        <w:t>environmental and climate change (</w:t>
      </w:r>
      <w:r w:rsidRPr="00711073">
        <w:rPr>
          <w:rFonts w:asciiTheme="minorHAnsi" w:hAnsiTheme="minorHAnsi" w:cstheme="minorHAnsi"/>
          <w:sz w:val="22"/>
          <w:szCs w:val="22"/>
          <w:lang w:val="en-GB"/>
        </w:rPr>
        <w:t>adapt</w:t>
      </w:r>
      <w:r w:rsidR="00683C2A">
        <w:rPr>
          <w:rFonts w:asciiTheme="minorHAnsi" w:hAnsiTheme="minorHAnsi" w:cstheme="minorHAnsi"/>
          <w:sz w:val="22"/>
          <w:szCs w:val="22"/>
          <w:lang w:val="en-GB"/>
        </w:rPr>
        <w:t>at</w:t>
      </w:r>
      <w:r w:rsidRPr="00711073">
        <w:rPr>
          <w:rFonts w:asciiTheme="minorHAnsi" w:hAnsiTheme="minorHAnsi" w:cstheme="minorHAnsi"/>
          <w:sz w:val="22"/>
          <w:szCs w:val="22"/>
          <w:lang w:val="en-GB"/>
        </w:rPr>
        <w:t>i</w:t>
      </w:r>
      <w:r w:rsidR="00B70A33">
        <w:rPr>
          <w:rFonts w:asciiTheme="minorHAnsi" w:hAnsiTheme="minorHAnsi" w:cstheme="minorHAnsi"/>
          <w:sz w:val="22"/>
          <w:szCs w:val="22"/>
          <w:lang w:val="en-GB"/>
        </w:rPr>
        <w:t>on/</w:t>
      </w:r>
      <w:r w:rsidRPr="00711073">
        <w:rPr>
          <w:rFonts w:asciiTheme="minorHAnsi" w:hAnsiTheme="minorHAnsi" w:cstheme="minorHAnsi"/>
          <w:sz w:val="22"/>
          <w:szCs w:val="22"/>
          <w:lang w:val="en-GB"/>
        </w:rPr>
        <w:t xml:space="preserve"> mitigation</w:t>
      </w:r>
      <w:r w:rsidR="00B70A33">
        <w:rPr>
          <w:rFonts w:asciiTheme="minorHAnsi" w:hAnsiTheme="minorHAnsi" w:cstheme="minorHAnsi"/>
          <w:sz w:val="22"/>
          <w:szCs w:val="22"/>
          <w:lang w:val="en-GB"/>
        </w:rPr>
        <w:t>)</w:t>
      </w:r>
      <w:r w:rsidRPr="00711073">
        <w:rPr>
          <w:rFonts w:asciiTheme="minorHAnsi" w:hAnsiTheme="minorHAnsi" w:cstheme="minorHAnsi"/>
          <w:sz w:val="22"/>
          <w:szCs w:val="22"/>
          <w:lang w:val="en-GB"/>
        </w:rPr>
        <w:t xml:space="preserve">-related policies and measures – especially if the budget circular emphasized this aspect. The review of these </w:t>
      </w:r>
      <w:r w:rsidR="004535C3">
        <w:rPr>
          <w:rFonts w:asciiTheme="minorHAnsi" w:hAnsiTheme="minorHAnsi" w:cstheme="minorHAnsi"/>
          <w:sz w:val="22"/>
          <w:szCs w:val="22"/>
          <w:lang w:val="en-GB"/>
        </w:rPr>
        <w:t>sector</w:t>
      </w:r>
      <w:r w:rsidRPr="00711073">
        <w:rPr>
          <w:rFonts w:asciiTheme="minorHAnsi" w:hAnsiTheme="minorHAnsi" w:cstheme="minorHAnsi"/>
          <w:sz w:val="22"/>
          <w:szCs w:val="22"/>
          <w:lang w:val="en-GB"/>
        </w:rPr>
        <w:t xml:space="preserve"> bids may involve a review of the robustness of the costing of such measures. The existence and </w:t>
      </w:r>
      <w:r w:rsidR="007A4272">
        <w:rPr>
          <w:rFonts w:asciiTheme="minorHAnsi" w:hAnsiTheme="minorHAnsi" w:cstheme="minorHAnsi"/>
          <w:sz w:val="22"/>
          <w:szCs w:val="22"/>
          <w:lang w:val="en-GB"/>
        </w:rPr>
        <w:t>effe</w:t>
      </w:r>
      <w:r w:rsidR="006D7672">
        <w:rPr>
          <w:rFonts w:asciiTheme="minorHAnsi" w:hAnsiTheme="minorHAnsi" w:cstheme="minorHAnsi"/>
          <w:sz w:val="22"/>
          <w:szCs w:val="22"/>
          <w:lang w:val="en-GB"/>
        </w:rPr>
        <w:t>c</w:t>
      </w:r>
      <w:r w:rsidR="007A4272">
        <w:rPr>
          <w:rFonts w:asciiTheme="minorHAnsi" w:hAnsiTheme="minorHAnsi" w:cstheme="minorHAnsi"/>
          <w:sz w:val="22"/>
          <w:szCs w:val="22"/>
          <w:lang w:val="en-GB"/>
        </w:rPr>
        <w:t>tiveness</w:t>
      </w:r>
      <w:r w:rsidRPr="00711073">
        <w:rPr>
          <w:rFonts w:asciiTheme="minorHAnsi" w:hAnsiTheme="minorHAnsi" w:cstheme="minorHAnsi"/>
          <w:sz w:val="22"/>
          <w:szCs w:val="22"/>
          <w:lang w:val="en-GB"/>
        </w:rPr>
        <w:t xml:space="preserve"> of </w:t>
      </w:r>
      <w:r w:rsidR="00B70A33">
        <w:rPr>
          <w:rFonts w:asciiTheme="minorHAnsi" w:hAnsiTheme="minorHAnsi" w:cstheme="minorHAnsi"/>
          <w:sz w:val="22"/>
          <w:szCs w:val="22"/>
          <w:lang w:val="en-GB"/>
        </w:rPr>
        <w:t xml:space="preserve">SEA screening and </w:t>
      </w:r>
      <w:r w:rsidRPr="00711073">
        <w:rPr>
          <w:rFonts w:asciiTheme="minorHAnsi" w:hAnsiTheme="minorHAnsi" w:cstheme="minorHAnsi"/>
          <w:sz w:val="22"/>
          <w:szCs w:val="22"/>
          <w:lang w:val="en-GB"/>
        </w:rPr>
        <w:t xml:space="preserve">climate risk screening procedures </w:t>
      </w:r>
      <w:r w:rsidR="00AE2847">
        <w:rPr>
          <w:rFonts w:asciiTheme="minorHAnsi" w:hAnsiTheme="minorHAnsi" w:cstheme="minorHAnsi"/>
          <w:sz w:val="22"/>
          <w:szCs w:val="22"/>
          <w:lang w:val="en-GB"/>
        </w:rPr>
        <w:t>for</w:t>
      </w:r>
      <w:r w:rsidRPr="00711073">
        <w:rPr>
          <w:rFonts w:asciiTheme="minorHAnsi" w:hAnsiTheme="minorHAnsi" w:cstheme="minorHAnsi"/>
          <w:sz w:val="22"/>
          <w:szCs w:val="22"/>
          <w:lang w:val="en-GB"/>
        </w:rPr>
        <w:t xml:space="preserve"> sector programmes and projects included in </w:t>
      </w:r>
      <w:r w:rsidR="004535C3">
        <w:rPr>
          <w:rFonts w:asciiTheme="minorHAnsi" w:hAnsiTheme="minorHAnsi" w:cstheme="minorHAnsi"/>
          <w:sz w:val="22"/>
          <w:szCs w:val="22"/>
          <w:lang w:val="en-GB"/>
        </w:rPr>
        <w:t>sector</w:t>
      </w:r>
      <w:r w:rsidRPr="00711073">
        <w:rPr>
          <w:rFonts w:asciiTheme="minorHAnsi" w:hAnsiTheme="minorHAnsi" w:cstheme="minorHAnsi"/>
          <w:sz w:val="22"/>
          <w:szCs w:val="22"/>
          <w:lang w:val="en-GB"/>
        </w:rPr>
        <w:t xml:space="preserve"> bids can also be reviewed at this stage. </w:t>
      </w:r>
    </w:p>
    <w:p w14:paraId="49B63B9C" w14:textId="061F5363" w:rsidR="00711073" w:rsidRPr="00711073" w:rsidRDefault="00711073" w:rsidP="007F6A77">
      <w:pPr>
        <w:numPr>
          <w:ilvl w:val="0"/>
          <w:numId w:val="3"/>
        </w:numPr>
        <w:spacing w:before="120"/>
        <w:ind w:left="709" w:hanging="284"/>
        <w:rPr>
          <w:rFonts w:asciiTheme="minorHAnsi" w:hAnsiTheme="minorHAnsi" w:cstheme="minorHAnsi"/>
          <w:sz w:val="22"/>
          <w:szCs w:val="22"/>
          <w:lang w:val="en-GB"/>
        </w:rPr>
      </w:pPr>
      <w:r w:rsidRPr="00711073">
        <w:rPr>
          <w:rFonts w:asciiTheme="minorHAnsi" w:hAnsiTheme="minorHAnsi" w:cstheme="minorHAnsi"/>
          <w:sz w:val="22"/>
          <w:szCs w:val="22"/>
          <w:lang w:val="en-GB"/>
        </w:rPr>
        <w:t xml:space="preserve">Budget negotiations, and the final endorsement of the budget by government, still provide opportunities for prioritising </w:t>
      </w:r>
      <w:r w:rsidR="005D47C1">
        <w:rPr>
          <w:rFonts w:asciiTheme="minorHAnsi" w:hAnsiTheme="minorHAnsi" w:cstheme="minorHAnsi"/>
          <w:sz w:val="22"/>
          <w:szCs w:val="22"/>
          <w:lang w:val="en-GB"/>
        </w:rPr>
        <w:t>environmental- and climate change</w:t>
      </w:r>
      <w:r w:rsidRPr="00711073">
        <w:rPr>
          <w:rFonts w:asciiTheme="minorHAnsi" w:hAnsiTheme="minorHAnsi" w:cstheme="minorHAnsi"/>
          <w:sz w:val="22"/>
          <w:szCs w:val="22"/>
          <w:lang w:val="en-GB"/>
        </w:rPr>
        <w:t>-</w:t>
      </w:r>
      <w:r w:rsidR="005D47C1">
        <w:rPr>
          <w:rFonts w:asciiTheme="minorHAnsi" w:hAnsiTheme="minorHAnsi" w:cstheme="minorHAnsi"/>
          <w:sz w:val="22"/>
          <w:szCs w:val="22"/>
          <w:lang w:val="en-GB"/>
        </w:rPr>
        <w:t xml:space="preserve"> </w:t>
      </w:r>
      <w:r w:rsidRPr="00711073">
        <w:rPr>
          <w:rFonts w:asciiTheme="minorHAnsi" w:hAnsiTheme="minorHAnsi" w:cstheme="minorHAnsi"/>
          <w:sz w:val="22"/>
          <w:szCs w:val="22"/>
          <w:lang w:val="en-GB"/>
        </w:rPr>
        <w:t xml:space="preserve">related policies and measures. If </w:t>
      </w:r>
      <w:r w:rsidR="006D7672">
        <w:rPr>
          <w:rFonts w:asciiTheme="minorHAnsi" w:hAnsiTheme="minorHAnsi" w:cstheme="minorHAnsi"/>
          <w:sz w:val="22"/>
          <w:szCs w:val="22"/>
          <w:lang w:val="en-GB"/>
        </w:rPr>
        <w:t>m</w:t>
      </w:r>
      <w:r w:rsidRPr="00711073">
        <w:rPr>
          <w:rFonts w:asciiTheme="minorHAnsi" w:hAnsiTheme="minorHAnsi" w:cstheme="minorHAnsi"/>
          <w:sz w:val="22"/>
          <w:szCs w:val="22"/>
          <w:lang w:val="en-GB"/>
        </w:rPr>
        <w:t xml:space="preserve">inistries with decision-making power on budget allocations are actively involved in the coordination of </w:t>
      </w:r>
      <w:r w:rsidR="005D47C1">
        <w:rPr>
          <w:rFonts w:asciiTheme="minorHAnsi" w:hAnsiTheme="minorHAnsi" w:cstheme="minorHAnsi"/>
          <w:sz w:val="22"/>
          <w:szCs w:val="22"/>
          <w:lang w:val="en-GB"/>
        </w:rPr>
        <w:t xml:space="preserve">environmental and </w:t>
      </w:r>
      <w:r w:rsidRPr="00711073">
        <w:rPr>
          <w:rFonts w:asciiTheme="minorHAnsi" w:hAnsiTheme="minorHAnsi" w:cstheme="minorHAnsi"/>
          <w:sz w:val="22"/>
          <w:szCs w:val="22"/>
          <w:lang w:val="en-GB"/>
        </w:rPr>
        <w:t>climate change mainstreaming, there are better chances than otherwise that climate-related considerations are given weight in negotiations and influence final decisions.</w:t>
      </w:r>
    </w:p>
    <w:p w14:paraId="6F19AD1B" w14:textId="7ACEBC5A" w:rsidR="00711073" w:rsidRPr="00711073" w:rsidRDefault="00711073" w:rsidP="007F6A77">
      <w:pPr>
        <w:numPr>
          <w:ilvl w:val="0"/>
          <w:numId w:val="3"/>
        </w:numPr>
        <w:spacing w:before="120"/>
        <w:ind w:left="709" w:hanging="284"/>
        <w:rPr>
          <w:rFonts w:asciiTheme="minorHAnsi" w:hAnsiTheme="minorHAnsi" w:cstheme="minorHAnsi"/>
          <w:sz w:val="22"/>
          <w:szCs w:val="22"/>
          <w:lang w:val="en-GB"/>
        </w:rPr>
      </w:pPr>
      <w:r w:rsidRPr="00711073">
        <w:rPr>
          <w:rFonts w:asciiTheme="minorHAnsi" w:hAnsiTheme="minorHAnsi" w:cstheme="minorHAnsi"/>
          <w:sz w:val="22"/>
          <w:szCs w:val="22"/>
          <w:lang w:val="en-GB"/>
        </w:rPr>
        <w:t>The discussion</w:t>
      </w:r>
      <w:r w:rsidR="006D7672">
        <w:rPr>
          <w:rFonts w:asciiTheme="minorHAnsi" w:hAnsiTheme="minorHAnsi" w:cstheme="minorHAnsi"/>
          <w:sz w:val="22"/>
          <w:szCs w:val="22"/>
          <w:lang w:val="en-GB"/>
        </w:rPr>
        <w:t xml:space="preserve"> and adoption of the budget by p</w:t>
      </w:r>
      <w:r w:rsidRPr="00711073">
        <w:rPr>
          <w:rFonts w:asciiTheme="minorHAnsi" w:hAnsiTheme="minorHAnsi" w:cstheme="minorHAnsi"/>
          <w:sz w:val="22"/>
          <w:szCs w:val="22"/>
          <w:lang w:val="en-GB"/>
        </w:rPr>
        <w:t xml:space="preserve">arliament offers yet another opportunity of discussing </w:t>
      </w:r>
      <w:r w:rsidR="005D47C1">
        <w:rPr>
          <w:rFonts w:asciiTheme="minorHAnsi" w:hAnsiTheme="minorHAnsi" w:cstheme="minorHAnsi"/>
          <w:sz w:val="22"/>
          <w:szCs w:val="22"/>
          <w:lang w:val="en-GB"/>
        </w:rPr>
        <w:t xml:space="preserve">environment- and </w:t>
      </w:r>
      <w:r w:rsidRPr="00711073">
        <w:rPr>
          <w:rFonts w:asciiTheme="minorHAnsi" w:hAnsiTheme="minorHAnsi" w:cstheme="minorHAnsi"/>
          <w:sz w:val="22"/>
          <w:szCs w:val="22"/>
          <w:lang w:val="en-GB"/>
        </w:rPr>
        <w:t xml:space="preserve">climate-related issues and priorities. </w:t>
      </w:r>
    </w:p>
    <w:p w14:paraId="4712D20E" w14:textId="77777777" w:rsidR="00A73072" w:rsidRDefault="00A73072" w:rsidP="00A73072">
      <w:pPr>
        <w:rPr>
          <w:rFonts w:asciiTheme="minorHAnsi" w:hAnsiTheme="minorHAnsi" w:cstheme="minorHAnsi"/>
          <w:sz w:val="22"/>
          <w:szCs w:val="22"/>
          <w:lang w:val="en-GB"/>
        </w:rPr>
      </w:pPr>
    </w:p>
    <w:p w14:paraId="381136A2" w14:textId="238D2777" w:rsidR="00A178C6" w:rsidRDefault="00711073" w:rsidP="007F6A77">
      <w:pPr>
        <w:numPr>
          <w:ilvl w:val="0"/>
          <w:numId w:val="2"/>
        </w:numPr>
        <w:ind w:left="426" w:hanging="426"/>
        <w:rPr>
          <w:rFonts w:asciiTheme="minorHAnsi" w:hAnsiTheme="minorHAnsi" w:cstheme="minorHAnsi"/>
          <w:sz w:val="22"/>
          <w:szCs w:val="22"/>
          <w:lang w:val="en-GB"/>
        </w:rPr>
      </w:pPr>
      <w:r w:rsidRPr="005E0567">
        <w:rPr>
          <w:rFonts w:asciiTheme="minorHAnsi" w:hAnsiTheme="minorHAnsi" w:cstheme="minorHAnsi"/>
          <w:sz w:val="22"/>
          <w:szCs w:val="22"/>
          <w:lang w:val="en-GB"/>
        </w:rPr>
        <w:t>Governments engaged</w:t>
      </w:r>
      <w:r w:rsidRPr="00711073">
        <w:rPr>
          <w:rFonts w:asciiTheme="minorHAnsi" w:hAnsiTheme="minorHAnsi" w:cstheme="minorHAnsi"/>
          <w:sz w:val="22"/>
          <w:szCs w:val="22"/>
          <w:lang w:val="en-GB"/>
        </w:rPr>
        <w:t xml:space="preserve"> in the mainstreaming of </w:t>
      </w:r>
      <w:r w:rsidR="005D47C1">
        <w:rPr>
          <w:rFonts w:asciiTheme="minorHAnsi" w:hAnsiTheme="minorHAnsi" w:cstheme="minorHAnsi"/>
          <w:sz w:val="22"/>
          <w:szCs w:val="22"/>
          <w:lang w:val="en-GB"/>
        </w:rPr>
        <w:t xml:space="preserve">environment and </w:t>
      </w:r>
      <w:r w:rsidRPr="00711073">
        <w:rPr>
          <w:rFonts w:asciiTheme="minorHAnsi" w:hAnsiTheme="minorHAnsi" w:cstheme="minorHAnsi"/>
          <w:sz w:val="22"/>
          <w:szCs w:val="22"/>
          <w:lang w:val="en-GB"/>
        </w:rPr>
        <w:t xml:space="preserve">climate change in their national and </w:t>
      </w:r>
      <w:r w:rsidR="004535C3">
        <w:rPr>
          <w:rFonts w:asciiTheme="minorHAnsi" w:hAnsiTheme="minorHAnsi" w:cstheme="minorHAnsi"/>
          <w:sz w:val="22"/>
          <w:szCs w:val="22"/>
          <w:lang w:val="en-GB"/>
        </w:rPr>
        <w:t>sector</w:t>
      </w:r>
      <w:r w:rsidRPr="00711073">
        <w:rPr>
          <w:rFonts w:asciiTheme="minorHAnsi" w:hAnsiTheme="minorHAnsi" w:cstheme="minorHAnsi"/>
          <w:sz w:val="22"/>
          <w:szCs w:val="22"/>
          <w:lang w:val="en-GB"/>
        </w:rPr>
        <w:t xml:space="preserve"> policies should take specific care, during budget preparation and then implementation, </w:t>
      </w:r>
      <w:r w:rsidRPr="00711073">
        <w:rPr>
          <w:rFonts w:asciiTheme="minorHAnsi" w:hAnsiTheme="minorHAnsi" w:cstheme="minorHAnsi"/>
          <w:sz w:val="22"/>
          <w:szCs w:val="22"/>
          <w:lang w:val="en-GB"/>
        </w:rPr>
        <w:lastRenderedPageBreak/>
        <w:t xml:space="preserve">monitoring and reporting, to </w:t>
      </w:r>
      <w:r w:rsidRPr="00711073">
        <w:rPr>
          <w:rFonts w:asciiTheme="minorHAnsi" w:hAnsiTheme="minorHAnsi" w:cstheme="minorHAnsi"/>
          <w:i/>
          <w:sz w:val="22"/>
          <w:szCs w:val="22"/>
          <w:lang w:val="en-GB"/>
        </w:rPr>
        <w:t>‘keep track’ of all</w:t>
      </w:r>
      <w:r w:rsidR="005D47C1">
        <w:rPr>
          <w:rFonts w:asciiTheme="minorHAnsi" w:hAnsiTheme="minorHAnsi" w:cstheme="minorHAnsi"/>
          <w:i/>
          <w:sz w:val="22"/>
          <w:szCs w:val="22"/>
          <w:lang w:val="en-GB"/>
        </w:rPr>
        <w:t xml:space="preserve"> environment- and</w:t>
      </w:r>
      <w:r w:rsidRPr="00711073">
        <w:rPr>
          <w:rFonts w:asciiTheme="minorHAnsi" w:hAnsiTheme="minorHAnsi" w:cstheme="minorHAnsi"/>
          <w:i/>
          <w:sz w:val="22"/>
          <w:szCs w:val="22"/>
          <w:lang w:val="en-GB"/>
        </w:rPr>
        <w:t xml:space="preserve"> climate-related</w:t>
      </w:r>
      <w:r w:rsidRPr="00711073">
        <w:rPr>
          <w:rFonts w:asciiTheme="minorHAnsi" w:hAnsiTheme="minorHAnsi" w:cstheme="minorHAnsi"/>
          <w:sz w:val="22"/>
          <w:szCs w:val="22"/>
          <w:lang w:val="en-GB"/>
        </w:rPr>
        <w:t xml:space="preserve"> (adaptation and mitigation) </w:t>
      </w:r>
      <w:r w:rsidRPr="00711073">
        <w:rPr>
          <w:rFonts w:asciiTheme="minorHAnsi" w:hAnsiTheme="minorHAnsi" w:cstheme="minorHAnsi"/>
          <w:i/>
          <w:sz w:val="22"/>
          <w:szCs w:val="22"/>
          <w:lang w:val="en-GB"/>
        </w:rPr>
        <w:t>public expenditures</w:t>
      </w:r>
      <w:r w:rsidRPr="00711073">
        <w:rPr>
          <w:rFonts w:asciiTheme="minorHAnsi" w:hAnsiTheme="minorHAnsi" w:cstheme="minorHAnsi"/>
          <w:sz w:val="22"/>
          <w:szCs w:val="22"/>
          <w:lang w:val="en-GB"/>
        </w:rPr>
        <w:t xml:space="preserve">. Indeed, in most cases the official budget classification does not have specific </w:t>
      </w:r>
      <w:r w:rsidR="00BD4A69">
        <w:rPr>
          <w:rFonts w:asciiTheme="minorHAnsi" w:hAnsiTheme="minorHAnsi" w:cstheme="minorHAnsi"/>
          <w:sz w:val="22"/>
          <w:szCs w:val="22"/>
          <w:lang w:val="en-GB"/>
        </w:rPr>
        <w:t xml:space="preserve">categories or </w:t>
      </w:r>
      <w:r w:rsidRPr="00711073">
        <w:rPr>
          <w:rFonts w:asciiTheme="minorHAnsi" w:hAnsiTheme="minorHAnsi" w:cstheme="minorHAnsi"/>
          <w:sz w:val="22"/>
          <w:szCs w:val="22"/>
          <w:lang w:val="en-GB"/>
        </w:rPr>
        <w:t xml:space="preserve">line items for such expenditures – and even if specific </w:t>
      </w:r>
      <w:r w:rsidR="00BD4A69">
        <w:rPr>
          <w:rFonts w:asciiTheme="minorHAnsi" w:hAnsiTheme="minorHAnsi" w:cstheme="minorHAnsi"/>
          <w:sz w:val="22"/>
          <w:szCs w:val="22"/>
          <w:lang w:val="en-GB"/>
        </w:rPr>
        <w:t xml:space="preserve">categories or </w:t>
      </w:r>
      <w:r w:rsidR="00D23609">
        <w:rPr>
          <w:rFonts w:asciiTheme="minorHAnsi" w:hAnsiTheme="minorHAnsi" w:cstheme="minorHAnsi"/>
          <w:sz w:val="22"/>
          <w:szCs w:val="22"/>
          <w:lang w:val="en-GB"/>
        </w:rPr>
        <w:t>line items exist</w:t>
      </w:r>
      <w:r w:rsidRPr="00711073">
        <w:rPr>
          <w:rFonts w:asciiTheme="minorHAnsi" w:hAnsiTheme="minorHAnsi" w:cstheme="minorHAnsi"/>
          <w:sz w:val="22"/>
          <w:szCs w:val="22"/>
          <w:lang w:val="en-GB"/>
        </w:rPr>
        <w:t xml:space="preserve">, the </w:t>
      </w:r>
      <w:r w:rsidR="005D47C1">
        <w:rPr>
          <w:rFonts w:asciiTheme="minorHAnsi" w:hAnsiTheme="minorHAnsi" w:cstheme="minorHAnsi"/>
          <w:sz w:val="22"/>
          <w:szCs w:val="22"/>
          <w:lang w:val="en-GB"/>
        </w:rPr>
        <w:t xml:space="preserve">environment- and </w:t>
      </w:r>
      <w:r w:rsidRPr="00711073">
        <w:rPr>
          <w:rFonts w:asciiTheme="minorHAnsi" w:hAnsiTheme="minorHAnsi" w:cstheme="minorHAnsi"/>
          <w:sz w:val="22"/>
          <w:szCs w:val="22"/>
          <w:lang w:val="en-GB"/>
        </w:rPr>
        <w:t xml:space="preserve">climate-related expenditures ‘embedded’ in national and sector programmes </w:t>
      </w:r>
      <w:r w:rsidR="00E95620">
        <w:rPr>
          <w:rFonts w:asciiTheme="minorHAnsi" w:hAnsiTheme="minorHAnsi" w:cstheme="minorHAnsi"/>
          <w:sz w:val="22"/>
          <w:szCs w:val="22"/>
          <w:lang w:val="en-GB"/>
        </w:rPr>
        <w:t xml:space="preserve">as a result of the mainstreaming process </w:t>
      </w:r>
      <w:r w:rsidR="00D23609">
        <w:rPr>
          <w:rFonts w:asciiTheme="minorHAnsi" w:hAnsiTheme="minorHAnsi" w:cstheme="minorHAnsi"/>
          <w:sz w:val="22"/>
          <w:szCs w:val="22"/>
          <w:lang w:val="en-GB"/>
        </w:rPr>
        <w:t>may</w:t>
      </w:r>
      <w:r w:rsidRPr="00711073">
        <w:rPr>
          <w:rFonts w:asciiTheme="minorHAnsi" w:hAnsiTheme="minorHAnsi" w:cstheme="minorHAnsi"/>
          <w:sz w:val="22"/>
          <w:szCs w:val="22"/>
          <w:lang w:val="en-GB"/>
        </w:rPr>
        <w:t xml:space="preserve"> not appear as such. </w:t>
      </w:r>
      <w:r w:rsidR="00442CE9">
        <w:rPr>
          <w:rFonts w:asciiTheme="minorHAnsi" w:hAnsiTheme="minorHAnsi" w:cstheme="minorHAnsi"/>
          <w:sz w:val="22"/>
          <w:szCs w:val="22"/>
          <w:lang w:val="en-GB"/>
        </w:rPr>
        <w:t xml:space="preserve">It may thus be useful to </w:t>
      </w:r>
      <w:r w:rsidR="00BD4A69">
        <w:rPr>
          <w:rFonts w:asciiTheme="minorHAnsi" w:hAnsiTheme="minorHAnsi" w:cstheme="minorHAnsi"/>
          <w:sz w:val="22"/>
          <w:szCs w:val="22"/>
          <w:lang w:val="en-GB"/>
        </w:rPr>
        <w:t>adapt the</w:t>
      </w:r>
      <w:r w:rsidR="00442CE9">
        <w:rPr>
          <w:rFonts w:asciiTheme="minorHAnsi" w:hAnsiTheme="minorHAnsi" w:cstheme="minorHAnsi"/>
          <w:sz w:val="22"/>
          <w:szCs w:val="22"/>
          <w:lang w:val="en-GB"/>
        </w:rPr>
        <w:t xml:space="preserve"> budget classification and/or find ways of ‘flagging’ </w:t>
      </w:r>
      <w:r w:rsidR="005D47C1">
        <w:rPr>
          <w:rFonts w:asciiTheme="minorHAnsi" w:hAnsiTheme="minorHAnsi" w:cstheme="minorHAnsi"/>
          <w:sz w:val="22"/>
          <w:szCs w:val="22"/>
          <w:lang w:val="en-GB"/>
        </w:rPr>
        <w:t xml:space="preserve">environment- and </w:t>
      </w:r>
      <w:r w:rsidR="008B6A1D">
        <w:rPr>
          <w:rFonts w:asciiTheme="minorHAnsi" w:hAnsiTheme="minorHAnsi" w:cstheme="minorHAnsi"/>
          <w:sz w:val="22"/>
          <w:szCs w:val="22"/>
          <w:lang w:val="en-GB"/>
        </w:rPr>
        <w:t xml:space="preserve">climate-related expenditures in </w:t>
      </w:r>
      <w:r w:rsidR="00D23609">
        <w:rPr>
          <w:rFonts w:asciiTheme="minorHAnsi" w:hAnsiTheme="minorHAnsi" w:cstheme="minorHAnsi"/>
          <w:sz w:val="22"/>
          <w:szCs w:val="22"/>
          <w:lang w:val="en-GB"/>
        </w:rPr>
        <w:t>non-</w:t>
      </w:r>
      <w:r w:rsidR="005D47C1">
        <w:rPr>
          <w:rFonts w:asciiTheme="minorHAnsi" w:hAnsiTheme="minorHAnsi" w:cstheme="minorHAnsi"/>
          <w:sz w:val="22"/>
          <w:szCs w:val="22"/>
          <w:lang w:val="en-GB"/>
        </w:rPr>
        <w:t>environment/non-</w:t>
      </w:r>
      <w:r w:rsidR="00D23609">
        <w:rPr>
          <w:rFonts w:asciiTheme="minorHAnsi" w:hAnsiTheme="minorHAnsi" w:cstheme="minorHAnsi"/>
          <w:sz w:val="22"/>
          <w:szCs w:val="22"/>
          <w:lang w:val="en-GB"/>
        </w:rPr>
        <w:t xml:space="preserve">climate </w:t>
      </w:r>
      <w:r w:rsidR="008B6A1D">
        <w:rPr>
          <w:rFonts w:asciiTheme="minorHAnsi" w:hAnsiTheme="minorHAnsi" w:cstheme="minorHAnsi"/>
          <w:sz w:val="22"/>
          <w:szCs w:val="22"/>
          <w:lang w:val="en-GB"/>
        </w:rPr>
        <w:t>programmes and projects</w:t>
      </w:r>
      <w:r w:rsidR="00E95620">
        <w:rPr>
          <w:rFonts w:asciiTheme="minorHAnsi" w:hAnsiTheme="minorHAnsi" w:cstheme="minorHAnsi"/>
          <w:sz w:val="22"/>
          <w:szCs w:val="22"/>
          <w:lang w:val="en-GB"/>
        </w:rPr>
        <w:t xml:space="preserve"> (</w:t>
      </w:r>
      <w:r w:rsidR="005D47C1">
        <w:rPr>
          <w:rFonts w:asciiTheme="minorHAnsi" w:hAnsiTheme="minorHAnsi" w:cstheme="minorHAnsi"/>
          <w:sz w:val="22"/>
          <w:szCs w:val="22"/>
          <w:lang w:val="en-GB"/>
        </w:rPr>
        <w:t xml:space="preserve">e.g. </w:t>
      </w:r>
      <w:r w:rsidR="00E95620">
        <w:rPr>
          <w:rFonts w:asciiTheme="minorHAnsi" w:hAnsiTheme="minorHAnsi" w:cstheme="minorHAnsi"/>
          <w:sz w:val="22"/>
          <w:szCs w:val="22"/>
          <w:lang w:val="en-GB"/>
        </w:rPr>
        <w:t>Hass 2008)</w:t>
      </w:r>
      <w:r w:rsidR="008B6A1D">
        <w:rPr>
          <w:rFonts w:asciiTheme="minorHAnsi" w:hAnsiTheme="minorHAnsi" w:cstheme="minorHAnsi"/>
          <w:sz w:val="22"/>
          <w:szCs w:val="22"/>
          <w:lang w:val="en-GB"/>
        </w:rPr>
        <w:t xml:space="preserve">. </w:t>
      </w:r>
      <w:r w:rsidRPr="00711073">
        <w:rPr>
          <w:rFonts w:asciiTheme="minorHAnsi" w:hAnsiTheme="minorHAnsi" w:cstheme="minorHAnsi"/>
          <w:sz w:val="22"/>
          <w:szCs w:val="22"/>
          <w:lang w:val="en-GB"/>
        </w:rPr>
        <w:t xml:space="preserve">Such tracking </w:t>
      </w:r>
      <w:r w:rsidR="00D23609">
        <w:rPr>
          <w:rFonts w:asciiTheme="minorHAnsi" w:hAnsiTheme="minorHAnsi" w:cstheme="minorHAnsi"/>
          <w:sz w:val="22"/>
          <w:szCs w:val="22"/>
          <w:lang w:val="en-GB"/>
        </w:rPr>
        <w:t>is useful for</w:t>
      </w:r>
      <w:r w:rsidR="00A178C6">
        <w:rPr>
          <w:rFonts w:asciiTheme="minorHAnsi" w:hAnsiTheme="minorHAnsi" w:cstheme="minorHAnsi"/>
          <w:sz w:val="22"/>
          <w:szCs w:val="22"/>
          <w:lang w:val="en-GB"/>
        </w:rPr>
        <w:t>:</w:t>
      </w:r>
    </w:p>
    <w:p w14:paraId="0769ACA3" w14:textId="792FD1D3" w:rsidR="00E95620" w:rsidRDefault="00E95620" w:rsidP="007F6A77">
      <w:pPr>
        <w:numPr>
          <w:ilvl w:val="1"/>
          <w:numId w:val="2"/>
        </w:numPr>
        <w:spacing w:before="120"/>
        <w:ind w:left="709" w:hanging="284"/>
        <w:rPr>
          <w:rFonts w:asciiTheme="minorHAnsi" w:hAnsiTheme="minorHAnsi" w:cstheme="minorHAnsi"/>
          <w:sz w:val="22"/>
          <w:szCs w:val="22"/>
          <w:lang w:val="en-GB"/>
        </w:rPr>
      </w:pPr>
      <w:r w:rsidRPr="00BA73FE">
        <w:rPr>
          <w:rFonts w:asciiTheme="minorHAnsi" w:hAnsiTheme="minorHAnsi" w:cstheme="minorHAnsi"/>
          <w:sz w:val="22"/>
          <w:szCs w:val="22"/>
          <w:lang w:val="en-GB"/>
        </w:rPr>
        <w:t xml:space="preserve">monitoring the implementation of </w:t>
      </w:r>
      <w:r w:rsidR="005D47C1">
        <w:rPr>
          <w:rFonts w:asciiTheme="minorHAnsi" w:hAnsiTheme="minorHAnsi" w:cstheme="minorHAnsi"/>
          <w:sz w:val="22"/>
          <w:szCs w:val="22"/>
          <w:lang w:val="en-GB"/>
        </w:rPr>
        <w:t xml:space="preserve">environment- and </w:t>
      </w:r>
      <w:r w:rsidRPr="00BA73FE">
        <w:rPr>
          <w:rFonts w:asciiTheme="minorHAnsi" w:hAnsiTheme="minorHAnsi" w:cstheme="minorHAnsi"/>
          <w:sz w:val="22"/>
          <w:szCs w:val="22"/>
          <w:lang w:val="en-GB"/>
        </w:rPr>
        <w:t>climate-related measures in national and sector strategies</w:t>
      </w:r>
      <w:r w:rsidR="00A8466B">
        <w:rPr>
          <w:rFonts w:asciiTheme="minorHAnsi" w:hAnsiTheme="minorHAnsi" w:cstheme="minorHAnsi"/>
          <w:sz w:val="22"/>
          <w:szCs w:val="22"/>
          <w:lang w:val="en-GB"/>
        </w:rPr>
        <w:t>, including in the context of public expenditure reviews (see next point)</w:t>
      </w:r>
      <w:r>
        <w:rPr>
          <w:rFonts w:asciiTheme="minorHAnsi" w:hAnsiTheme="minorHAnsi" w:cstheme="minorHAnsi"/>
          <w:sz w:val="22"/>
          <w:szCs w:val="22"/>
          <w:lang w:val="en-GB"/>
        </w:rPr>
        <w:t>;</w:t>
      </w:r>
    </w:p>
    <w:p w14:paraId="7C109D23" w14:textId="56690278" w:rsidR="00A178C6" w:rsidRDefault="00A178C6" w:rsidP="007F6A77">
      <w:pPr>
        <w:numPr>
          <w:ilvl w:val="1"/>
          <w:numId w:val="2"/>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reporting</w:t>
      </w:r>
      <w:r w:rsidR="00683C2A">
        <w:rPr>
          <w:rFonts w:asciiTheme="minorHAnsi" w:hAnsiTheme="minorHAnsi" w:cstheme="minorHAnsi"/>
          <w:sz w:val="22"/>
          <w:szCs w:val="22"/>
          <w:lang w:val="en-GB"/>
        </w:rPr>
        <w:t>, e.g.</w:t>
      </w:r>
      <w:r>
        <w:rPr>
          <w:rFonts w:asciiTheme="minorHAnsi" w:hAnsiTheme="minorHAnsi" w:cstheme="minorHAnsi"/>
          <w:sz w:val="22"/>
          <w:szCs w:val="22"/>
          <w:lang w:val="en-GB"/>
        </w:rPr>
        <w:t xml:space="preserve"> to the UNFCCC (National Communication </w:t>
      </w:r>
      <w:r w:rsidR="003C1704">
        <w:rPr>
          <w:rFonts w:asciiTheme="minorHAnsi" w:hAnsiTheme="minorHAnsi" w:cstheme="minorHAnsi"/>
          <w:sz w:val="22"/>
          <w:szCs w:val="22"/>
          <w:lang w:val="en-GB"/>
        </w:rPr>
        <w:t>reports</w:t>
      </w:r>
      <w:r>
        <w:rPr>
          <w:rFonts w:asciiTheme="minorHAnsi" w:hAnsiTheme="minorHAnsi" w:cstheme="minorHAnsi"/>
          <w:sz w:val="22"/>
          <w:szCs w:val="22"/>
          <w:lang w:val="en-GB"/>
        </w:rPr>
        <w:t>)</w:t>
      </w:r>
      <w:r w:rsidR="00E95620">
        <w:rPr>
          <w:rFonts w:asciiTheme="minorHAnsi" w:hAnsiTheme="minorHAnsi" w:cstheme="minorHAnsi"/>
          <w:sz w:val="22"/>
          <w:szCs w:val="22"/>
          <w:lang w:val="en-GB"/>
        </w:rPr>
        <w:t xml:space="preserve"> (Hass 2008)</w:t>
      </w:r>
      <w:r w:rsidR="00683C2A">
        <w:rPr>
          <w:rFonts w:asciiTheme="minorHAnsi" w:hAnsiTheme="minorHAnsi" w:cstheme="minorHAnsi"/>
          <w:sz w:val="22"/>
          <w:szCs w:val="22"/>
          <w:lang w:val="en-GB"/>
        </w:rPr>
        <w:t xml:space="preserve"> and donors</w:t>
      </w:r>
      <w:r>
        <w:rPr>
          <w:rFonts w:asciiTheme="minorHAnsi" w:hAnsiTheme="minorHAnsi" w:cstheme="minorHAnsi"/>
          <w:sz w:val="22"/>
          <w:szCs w:val="22"/>
          <w:lang w:val="en-GB"/>
        </w:rPr>
        <w:t>;</w:t>
      </w:r>
    </w:p>
    <w:p w14:paraId="24694333" w14:textId="1AD77325" w:rsidR="00711073" w:rsidRPr="00711073" w:rsidRDefault="008B6A1D" w:rsidP="007F6A77">
      <w:pPr>
        <w:numPr>
          <w:ilvl w:val="1"/>
          <w:numId w:val="2"/>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securing</w:t>
      </w:r>
      <w:r w:rsidR="00711073" w:rsidRPr="00711073">
        <w:rPr>
          <w:rFonts w:asciiTheme="minorHAnsi" w:hAnsiTheme="minorHAnsi" w:cstheme="minorHAnsi"/>
          <w:sz w:val="22"/>
          <w:szCs w:val="22"/>
          <w:lang w:val="en-GB"/>
        </w:rPr>
        <w:t xml:space="preserve"> eligibility for funding from specific climate adaptation/mitigation funds</w:t>
      </w:r>
      <w:r w:rsidR="00BA73FE">
        <w:rPr>
          <w:rFonts w:asciiTheme="minorHAnsi" w:hAnsiTheme="minorHAnsi" w:cstheme="minorHAnsi"/>
          <w:sz w:val="22"/>
          <w:szCs w:val="22"/>
          <w:lang w:val="en-GB"/>
        </w:rPr>
        <w:t>, which may</w:t>
      </w:r>
      <w:r w:rsidR="003C1704">
        <w:rPr>
          <w:rFonts w:asciiTheme="minorHAnsi" w:hAnsiTheme="minorHAnsi" w:cstheme="minorHAnsi"/>
          <w:sz w:val="22"/>
          <w:szCs w:val="22"/>
          <w:lang w:val="en-GB"/>
        </w:rPr>
        <w:t xml:space="preserve"> emphasis</w:t>
      </w:r>
      <w:r w:rsidR="00BA73FE">
        <w:rPr>
          <w:rFonts w:asciiTheme="minorHAnsi" w:hAnsiTheme="minorHAnsi" w:cstheme="minorHAnsi"/>
          <w:sz w:val="22"/>
          <w:szCs w:val="22"/>
          <w:lang w:val="en-GB"/>
        </w:rPr>
        <w:t>e a separation of adaptation from development-related costs and limit eligibility to the former</w:t>
      </w:r>
      <w:r>
        <w:rPr>
          <w:rFonts w:asciiTheme="minorHAnsi" w:hAnsiTheme="minorHAnsi" w:cstheme="minorHAnsi"/>
          <w:sz w:val="22"/>
          <w:szCs w:val="22"/>
          <w:lang w:val="en-GB"/>
        </w:rPr>
        <w:t xml:space="preserve"> (Burton &amp; van Aalst 2004</w:t>
      </w:r>
      <w:r w:rsidR="00C44F5A">
        <w:rPr>
          <w:rFonts w:asciiTheme="minorHAnsi" w:hAnsiTheme="minorHAnsi" w:cstheme="minorHAnsi"/>
          <w:sz w:val="22"/>
          <w:szCs w:val="22"/>
          <w:lang w:val="en-GB"/>
        </w:rPr>
        <w:t xml:space="preserve">, </w:t>
      </w:r>
      <w:proofErr w:type="spellStart"/>
      <w:r w:rsidR="00C44F5A">
        <w:rPr>
          <w:rFonts w:asciiTheme="minorHAnsi" w:hAnsiTheme="minorHAnsi" w:cstheme="minorHAnsi"/>
          <w:sz w:val="22"/>
          <w:szCs w:val="22"/>
          <w:lang w:val="en-GB"/>
        </w:rPr>
        <w:t>Fankhauser</w:t>
      </w:r>
      <w:proofErr w:type="spellEnd"/>
      <w:r w:rsidR="00C44F5A">
        <w:rPr>
          <w:rFonts w:asciiTheme="minorHAnsi" w:hAnsiTheme="minorHAnsi" w:cstheme="minorHAnsi"/>
          <w:sz w:val="22"/>
          <w:szCs w:val="22"/>
          <w:lang w:val="en-GB"/>
        </w:rPr>
        <w:t xml:space="preserve"> &amp; Schmidt-</w:t>
      </w:r>
      <w:proofErr w:type="spellStart"/>
      <w:r w:rsidR="00C44F5A">
        <w:rPr>
          <w:rFonts w:asciiTheme="minorHAnsi" w:hAnsiTheme="minorHAnsi" w:cstheme="minorHAnsi"/>
          <w:sz w:val="22"/>
          <w:szCs w:val="22"/>
          <w:lang w:val="en-GB"/>
        </w:rPr>
        <w:t>Traub</w:t>
      </w:r>
      <w:proofErr w:type="spellEnd"/>
      <w:r w:rsidR="00C44F5A">
        <w:rPr>
          <w:rFonts w:asciiTheme="minorHAnsi" w:hAnsiTheme="minorHAnsi" w:cstheme="minorHAnsi"/>
          <w:sz w:val="22"/>
          <w:szCs w:val="22"/>
          <w:lang w:val="en-GB"/>
        </w:rPr>
        <w:t xml:space="preserve"> 2010</w:t>
      </w:r>
      <w:r>
        <w:rPr>
          <w:rFonts w:asciiTheme="minorHAnsi" w:hAnsiTheme="minorHAnsi" w:cstheme="minorHAnsi"/>
          <w:sz w:val="22"/>
          <w:szCs w:val="22"/>
          <w:lang w:val="en-GB"/>
        </w:rPr>
        <w:t>)</w:t>
      </w:r>
      <w:r w:rsidR="00BA73FE">
        <w:rPr>
          <w:rFonts w:asciiTheme="minorHAnsi" w:hAnsiTheme="minorHAnsi" w:cstheme="minorHAnsi"/>
          <w:sz w:val="22"/>
          <w:szCs w:val="22"/>
          <w:lang w:val="en-GB"/>
        </w:rPr>
        <w:t>, or place a special emphasis on the ‘additionality’ of mitigation-related activities</w:t>
      </w:r>
      <w:r w:rsidR="00711073" w:rsidRPr="00711073">
        <w:rPr>
          <w:rFonts w:asciiTheme="minorHAnsi" w:hAnsiTheme="minorHAnsi" w:cstheme="minorHAnsi"/>
          <w:sz w:val="22"/>
          <w:szCs w:val="22"/>
          <w:lang w:val="en-GB"/>
        </w:rPr>
        <w:t>.</w:t>
      </w:r>
    </w:p>
    <w:p w14:paraId="7543BC30" w14:textId="77777777" w:rsidR="00EB02EC" w:rsidRDefault="00EB02EC" w:rsidP="00E41A2C">
      <w:pPr>
        <w:rPr>
          <w:rFonts w:asciiTheme="minorHAnsi" w:hAnsiTheme="minorHAnsi" w:cstheme="minorHAnsi"/>
          <w:sz w:val="22"/>
          <w:szCs w:val="22"/>
          <w:lang w:val="en-GB"/>
        </w:rPr>
      </w:pPr>
    </w:p>
    <w:p w14:paraId="42977446" w14:textId="03C64EDD" w:rsidR="00EB02EC" w:rsidRPr="00EB02EC" w:rsidRDefault="005D47C1" w:rsidP="00E41A2C">
      <w:pPr>
        <w:rPr>
          <w:rFonts w:asciiTheme="minorHAnsi" w:hAnsiTheme="minorHAnsi" w:cstheme="minorHAnsi"/>
          <w:i/>
          <w:sz w:val="22"/>
          <w:szCs w:val="22"/>
          <w:lang w:val="en-GB"/>
        </w:rPr>
      </w:pPr>
      <w:r>
        <w:rPr>
          <w:rFonts w:asciiTheme="minorHAnsi" w:hAnsiTheme="minorHAnsi" w:cstheme="minorHAnsi"/>
          <w:i/>
          <w:sz w:val="22"/>
          <w:szCs w:val="22"/>
          <w:lang w:val="en-GB"/>
        </w:rPr>
        <w:t>T</w:t>
      </w:r>
      <w:r w:rsidR="008D468C" w:rsidRPr="008D468C">
        <w:rPr>
          <w:rFonts w:asciiTheme="minorHAnsi" w:hAnsiTheme="minorHAnsi" w:cstheme="minorHAnsi"/>
          <w:i/>
          <w:sz w:val="22"/>
          <w:szCs w:val="22"/>
          <w:lang w:val="en-GB"/>
        </w:rPr>
        <w:t>ool</w:t>
      </w:r>
      <w:r>
        <w:rPr>
          <w:rFonts w:asciiTheme="minorHAnsi" w:hAnsiTheme="minorHAnsi" w:cstheme="minorHAnsi"/>
          <w:i/>
          <w:sz w:val="22"/>
          <w:szCs w:val="22"/>
          <w:lang w:val="en-GB"/>
        </w:rPr>
        <w:t>s</w:t>
      </w:r>
      <w:r w:rsidR="008D468C" w:rsidRPr="008D468C">
        <w:rPr>
          <w:rFonts w:asciiTheme="minorHAnsi" w:hAnsiTheme="minorHAnsi" w:cstheme="minorHAnsi"/>
          <w:i/>
          <w:sz w:val="22"/>
          <w:szCs w:val="22"/>
          <w:lang w:val="en-GB"/>
        </w:rPr>
        <w:t xml:space="preserve"> for mainstreaming</w:t>
      </w:r>
      <w:r w:rsidR="001B1EC8">
        <w:rPr>
          <w:rFonts w:asciiTheme="minorHAnsi" w:hAnsiTheme="minorHAnsi" w:cstheme="minorHAnsi"/>
          <w:i/>
          <w:sz w:val="22"/>
          <w:szCs w:val="22"/>
          <w:lang w:val="en-GB"/>
        </w:rPr>
        <w:t xml:space="preserve"> environment and</w:t>
      </w:r>
      <w:r w:rsidR="008D468C" w:rsidRPr="008D468C">
        <w:rPr>
          <w:rFonts w:asciiTheme="minorHAnsi" w:hAnsiTheme="minorHAnsi" w:cstheme="minorHAnsi"/>
          <w:i/>
          <w:sz w:val="22"/>
          <w:szCs w:val="22"/>
          <w:lang w:val="en-GB"/>
        </w:rPr>
        <w:t xml:space="preserve"> climate change in the budgetary process: </w:t>
      </w:r>
      <w:r w:rsidR="008D468C">
        <w:rPr>
          <w:rFonts w:asciiTheme="minorHAnsi" w:hAnsiTheme="minorHAnsi" w:cstheme="minorHAnsi"/>
          <w:i/>
          <w:sz w:val="22"/>
          <w:szCs w:val="22"/>
          <w:lang w:val="en-GB"/>
        </w:rPr>
        <w:t>p</w:t>
      </w:r>
      <w:r w:rsidR="00EB02EC" w:rsidRPr="00EB02EC">
        <w:rPr>
          <w:rFonts w:asciiTheme="minorHAnsi" w:hAnsiTheme="minorHAnsi" w:cstheme="minorHAnsi"/>
          <w:i/>
          <w:sz w:val="22"/>
          <w:szCs w:val="22"/>
          <w:lang w:val="en-GB"/>
        </w:rPr>
        <w:t>ublic expenditure reviews (PERs)</w:t>
      </w:r>
      <w:r w:rsidR="001B1EC8">
        <w:rPr>
          <w:rFonts w:asciiTheme="minorHAnsi" w:hAnsiTheme="minorHAnsi" w:cstheme="minorHAnsi"/>
          <w:i/>
          <w:sz w:val="22"/>
          <w:szCs w:val="22"/>
          <w:lang w:val="en-GB"/>
        </w:rPr>
        <w:t>,</w:t>
      </w:r>
      <w:r>
        <w:rPr>
          <w:rFonts w:asciiTheme="minorHAnsi" w:hAnsiTheme="minorHAnsi" w:cstheme="minorHAnsi"/>
          <w:i/>
          <w:sz w:val="22"/>
          <w:szCs w:val="22"/>
          <w:lang w:val="en-GB"/>
        </w:rPr>
        <w:t xml:space="preserve"> public environmental expenditure reviews (PEERs)</w:t>
      </w:r>
      <w:r w:rsidR="001B1EC8">
        <w:rPr>
          <w:rFonts w:asciiTheme="minorHAnsi" w:hAnsiTheme="minorHAnsi" w:cstheme="minorHAnsi"/>
          <w:i/>
          <w:sz w:val="22"/>
          <w:szCs w:val="22"/>
          <w:lang w:val="en-GB"/>
        </w:rPr>
        <w:t xml:space="preserve"> and climate public expenditure and institutional review (CPEIR)</w:t>
      </w:r>
    </w:p>
    <w:p w14:paraId="47547E91" w14:textId="77777777" w:rsidR="00DB7217" w:rsidRPr="00DB7217" w:rsidRDefault="00DB7217" w:rsidP="00DB7217">
      <w:pPr>
        <w:rPr>
          <w:rFonts w:asciiTheme="minorHAnsi" w:hAnsiTheme="minorHAnsi" w:cstheme="minorHAnsi"/>
          <w:sz w:val="22"/>
          <w:szCs w:val="22"/>
          <w:lang w:val="en-GB"/>
        </w:rPr>
      </w:pPr>
    </w:p>
    <w:p w14:paraId="0F88520D" w14:textId="77777777" w:rsidR="003C1704" w:rsidRDefault="00DB7217" w:rsidP="007F6A77">
      <w:pPr>
        <w:numPr>
          <w:ilvl w:val="0"/>
          <w:numId w:val="2"/>
        </w:numPr>
        <w:ind w:left="426" w:hanging="426"/>
        <w:rPr>
          <w:rFonts w:asciiTheme="minorHAnsi" w:hAnsiTheme="minorHAnsi" w:cstheme="minorHAnsi"/>
          <w:sz w:val="22"/>
          <w:szCs w:val="22"/>
          <w:lang w:val="en-GB"/>
        </w:rPr>
      </w:pPr>
      <w:r w:rsidRPr="008776CC">
        <w:rPr>
          <w:rFonts w:asciiTheme="minorHAnsi" w:hAnsiTheme="minorHAnsi" w:cstheme="minorHAnsi"/>
          <w:i/>
          <w:sz w:val="22"/>
          <w:szCs w:val="22"/>
          <w:lang w:val="en-GB"/>
        </w:rPr>
        <w:t>Public expenditure reviews</w:t>
      </w:r>
      <w:r w:rsidRPr="008776CC">
        <w:rPr>
          <w:rFonts w:asciiTheme="minorHAnsi" w:hAnsiTheme="minorHAnsi" w:cstheme="minorHAnsi"/>
          <w:sz w:val="22"/>
          <w:szCs w:val="22"/>
          <w:lang w:val="en-GB"/>
        </w:rPr>
        <w:t xml:space="preserve"> </w:t>
      </w:r>
      <w:r w:rsidR="008776CC">
        <w:rPr>
          <w:rFonts w:asciiTheme="minorHAnsi" w:hAnsiTheme="minorHAnsi" w:cstheme="minorHAnsi"/>
          <w:sz w:val="22"/>
          <w:szCs w:val="22"/>
          <w:lang w:val="en-GB"/>
        </w:rPr>
        <w:t xml:space="preserve">(PERs) </w:t>
      </w:r>
      <w:r w:rsidRPr="008776CC">
        <w:rPr>
          <w:rFonts w:asciiTheme="minorHAnsi" w:hAnsiTheme="minorHAnsi" w:cstheme="minorHAnsi"/>
          <w:sz w:val="22"/>
          <w:szCs w:val="22"/>
          <w:lang w:val="en-GB"/>
        </w:rPr>
        <w:t xml:space="preserve">are a tool for analysing how budget resources are planned, allocated and actually spent across competing claims, objectives and priorities. </w:t>
      </w:r>
      <w:r w:rsidR="008776CC" w:rsidRPr="008776CC">
        <w:rPr>
          <w:rFonts w:asciiTheme="minorHAnsi" w:hAnsiTheme="minorHAnsi" w:cstheme="minorHAnsi"/>
          <w:sz w:val="22"/>
          <w:szCs w:val="22"/>
          <w:lang w:val="en-GB"/>
        </w:rPr>
        <w:t xml:space="preserve">Public </w:t>
      </w:r>
      <w:r w:rsidR="0083335D" w:rsidRPr="008776CC">
        <w:rPr>
          <w:rFonts w:asciiTheme="minorHAnsi" w:hAnsiTheme="minorHAnsi" w:cstheme="minorHAnsi"/>
          <w:sz w:val="22"/>
          <w:szCs w:val="22"/>
          <w:lang w:val="en-GB"/>
        </w:rPr>
        <w:t xml:space="preserve">environmental expenditure reviews </w:t>
      </w:r>
      <w:r w:rsidR="008776CC">
        <w:rPr>
          <w:rFonts w:asciiTheme="minorHAnsi" w:hAnsiTheme="minorHAnsi" w:cstheme="minorHAnsi"/>
          <w:sz w:val="22"/>
          <w:szCs w:val="22"/>
          <w:lang w:val="en-GB"/>
        </w:rPr>
        <w:t xml:space="preserve">(PEERs) </w:t>
      </w:r>
      <w:r w:rsidR="008776CC" w:rsidRPr="008776CC">
        <w:rPr>
          <w:rFonts w:asciiTheme="minorHAnsi" w:hAnsiTheme="minorHAnsi" w:cstheme="minorHAnsi"/>
          <w:sz w:val="22"/>
          <w:szCs w:val="22"/>
          <w:lang w:val="en-GB"/>
        </w:rPr>
        <w:t xml:space="preserve">are public expenditure reviews focused specifically on environment-related expenditures </w:t>
      </w:r>
      <w:r w:rsidR="008776CC">
        <w:rPr>
          <w:rFonts w:asciiTheme="minorHAnsi" w:hAnsiTheme="minorHAnsi" w:cstheme="minorHAnsi"/>
          <w:sz w:val="22"/>
          <w:szCs w:val="22"/>
          <w:lang w:val="en-GB"/>
        </w:rPr>
        <w:t xml:space="preserve">– those </w:t>
      </w:r>
      <w:r w:rsidR="008776CC" w:rsidRPr="008776CC">
        <w:rPr>
          <w:rFonts w:asciiTheme="minorHAnsi" w:hAnsiTheme="minorHAnsi" w:cstheme="minorHAnsi"/>
          <w:sz w:val="22"/>
          <w:szCs w:val="22"/>
          <w:lang w:val="en-GB"/>
        </w:rPr>
        <w:t xml:space="preserve">incurred not only by the </w:t>
      </w:r>
      <w:r w:rsidR="006D7672" w:rsidRPr="008776CC">
        <w:rPr>
          <w:rFonts w:asciiTheme="minorHAnsi" w:hAnsiTheme="minorHAnsi" w:cstheme="minorHAnsi"/>
          <w:sz w:val="22"/>
          <w:szCs w:val="22"/>
          <w:lang w:val="en-GB"/>
        </w:rPr>
        <w:t>ministry of environ</w:t>
      </w:r>
      <w:r w:rsidR="008776CC" w:rsidRPr="008776CC">
        <w:rPr>
          <w:rFonts w:asciiTheme="minorHAnsi" w:hAnsiTheme="minorHAnsi" w:cstheme="minorHAnsi"/>
          <w:sz w:val="22"/>
          <w:szCs w:val="22"/>
          <w:lang w:val="en-GB"/>
        </w:rPr>
        <w:t>ment and environmental agencies, but also by other branches of government. They are useful for the purpose of</w:t>
      </w:r>
      <w:r w:rsidR="003C1704">
        <w:rPr>
          <w:rFonts w:asciiTheme="minorHAnsi" w:hAnsiTheme="minorHAnsi" w:cstheme="minorHAnsi"/>
          <w:sz w:val="22"/>
          <w:szCs w:val="22"/>
          <w:lang w:val="en-GB"/>
        </w:rPr>
        <w:t>:</w:t>
      </w:r>
    </w:p>
    <w:p w14:paraId="7BC07A3C" w14:textId="77777777" w:rsidR="003C1704" w:rsidRDefault="008776CC" w:rsidP="007F6A77">
      <w:pPr>
        <w:numPr>
          <w:ilvl w:val="1"/>
          <w:numId w:val="2"/>
        </w:numPr>
        <w:spacing w:before="120"/>
        <w:ind w:left="709" w:hanging="284"/>
        <w:rPr>
          <w:rFonts w:asciiTheme="minorHAnsi" w:hAnsiTheme="minorHAnsi" w:cstheme="minorHAnsi"/>
          <w:sz w:val="22"/>
          <w:szCs w:val="22"/>
          <w:lang w:val="en-GB"/>
        </w:rPr>
      </w:pPr>
      <w:r w:rsidRPr="008776CC">
        <w:rPr>
          <w:rFonts w:asciiTheme="minorHAnsi" w:hAnsiTheme="minorHAnsi" w:cstheme="minorHAnsi"/>
          <w:sz w:val="22"/>
          <w:szCs w:val="22"/>
          <w:lang w:val="en-GB"/>
        </w:rPr>
        <w:t xml:space="preserve"> establishing the true amount of public environmental expenditures (part of which are usually ‘hidden’ in the budget allocations of non-environmental departments and agencies)</w:t>
      </w:r>
      <w:r w:rsidR="003C1704">
        <w:rPr>
          <w:rFonts w:asciiTheme="minorHAnsi" w:hAnsiTheme="minorHAnsi" w:cstheme="minorHAnsi"/>
          <w:sz w:val="22"/>
          <w:szCs w:val="22"/>
          <w:lang w:val="en-GB"/>
        </w:rPr>
        <w:t>;</w:t>
      </w:r>
    </w:p>
    <w:p w14:paraId="221E54DF" w14:textId="77777777" w:rsidR="003C1704" w:rsidRDefault="003C1704" w:rsidP="007F6A77">
      <w:pPr>
        <w:numPr>
          <w:ilvl w:val="1"/>
          <w:numId w:val="2"/>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assessing the level of environmental mainstreaming in non-environmental sectors;</w:t>
      </w:r>
    </w:p>
    <w:p w14:paraId="00AAB945" w14:textId="77777777" w:rsidR="008776CC" w:rsidRDefault="003C1704" w:rsidP="007F6A77">
      <w:pPr>
        <w:numPr>
          <w:ilvl w:val="1"/>
          <w:numId w:val="2"/>
        </w:numPr>
        <w:spacing w:before="120"/>
        <w:ind w:left="709" w:hanging="284"/>
        <w:rPr>
          <w:rFonts w:asciiTheme="minorHAnsi" w:hAnsiTheme="minorHAnsi" w:cstheme="minorHAnsi"/>
          <w:sz w:val="22"/>
          <w:szCs w:val="22"/>
          <w:lang w:val="en-GB"/>
        </w:rPr>
      </w:pPr>
      <w:proofErr w:type="gramStart"/>
      <w:r>
        <w:rPr>
          <w:rFonts w:asciiTheme="minorHAnsi" w:hAnsiTheme="minorHAnsi" w:cstheme="minorHAnsi"/>
          <w:sz w:val="22"/>
          <w:szCs w:val="22"/>
          <w:lang w:val="en-GB"/>
        </w:rPr>
        <w:t>assessing</w:t>
      </w:r>
      <w:proofErr w:type="gramEnd"/>
      <w:r>
        <w:rPr>
          <w:rFonts w:asciiTheme="minorHAnsi" w:hAnsiTheme="minorHAnsi" w:cstheme="minorHAnsi"/>
          <w:sz w:val="22"/>
          <w:szCs w:val="22"/>
          <w:lang w:val="en-GB"/>
        </w:rPr>
        <w:t xml:space="preserve"> how well environmental policies are being carried out, based on how well budgeted and actual </w:t>
      </w:r>
      <w:r w:rsidRPr="008776CC">
        <w:rPr>
          <w:rFonts w:asciiTheme="minorHAnsi" w:hAnsiTheme="minorHAnsi" w:cstheme="minorHAnsi"/>
          <w:sz w:val="22"/>
          <w:szCs w:val="22"/>
          <w:lang w:val="en-GB"/>
        </w:rPr>
        <w:t>expenditures match policy objectives and priorities</w:t>
      </w:r>
      <w:r w:rsidR="008776CC">
        <w:rPr>
          <w:rFonts w:asciiTheme="minorHAnsi" w:hAnsiTheme="minorHAnsi" w:cstheme="minorHAnsi"/>
          <w:sz w:val="22"/>
          <w:szCs w:val="22"/>
          <w:lang w:val="en-GB"/>
        </w:rPr>
        <w:t xml:space="preserve"> </w:t>
      </w:r>
      <w:r w:rsidR="00A8466B">
        <w:rPr>
          <w:rFonts w:asciiTheme="minorHAnsi" w:hAnsiTheme="minorHAnsi" w:cstheme="minorHAnsi"/>
          <w:sz w:val="22"/>
          <w:szCs w:val="22"/>
          <w:lang w:val="en-GB"/>
        </w:rPr>
        <w:t>(allocative efficiency, quality and effectiveness of public spending</w:t>
      </w:r>
      <w:r w:rsidR="00871212">
        <w:rPr>
          <w:rFonts w:asciiTheme="minorHAnsi" w:hAnsiTheme="minorHAnsi" w:cstheme="minorHAnsi"/>
          <w:sz w:val="22"/>
          <w:szCs w:val="22"/>
          <w:lang w:val="en-GB"/>
        </w:rPr>
        <w:t>, availability of resources for operations and maintenance to match capital expenditures, ...</w:t>
      </w:r>
      <w:r w:rsidR="00A8466B">
        <w:rPr>
          <w:rFonts w:asciiTheme="minorHAnsi" w:hAnsiTheme="minorHAnsi" w:cstheme="minorHAnsi"/>
          <w:sz w:val="22"/>
          <w:szCs w:val="22"/>
          <w:lang w:val="en-GB"/>
        </w:rPr>
        <w:t xml:space="preserve">) </w:t>
      </w:r>
      <w:r w:rsidR="008776CC">
        <w:rPr>
          <w:rFonts w:asciiTheme="minorHAnsi" w:hAnsiTheme="minorHAnsi" w:cstheme="minorHAnsi"/>
          <w:sz w:val="22"/>
          <w:szCs w:val="22"/>
          <w:lang w:val="en-GB"/>
        </w:rPr>
        <w:t>(</w:t>
      </w:r>
      <w:r w:rsidR="00D96489">
        <w:rPr>
          <w:rFonts w:asciiTheme="minorHAnsi" w:hAnsiTheme="minorHAnsi" w:cstheme="minorHAnsi"/>
          <w:sz w:val="22"/>
          <w:szCs w:val="22"/>
          <w:lang w:val="en-GB"/>
        </w:rPr>
        <w:t>Swanson</w:t>
      </w:r>
      <w:r w:rsidR="00D96489" w:rsidRPr="008776CC">
        <w:rPr>
          <w:rFonts w:asciiTheme="minorHAnsi" w:hAnsiTheme="minorHAnsi" w:cstheme="minorHAnsi"/>
          <w:sz w:val="22"/>
          <w:szCs w:val="22"/>
          <w:lang w:val="en-GB"/>
        </w:rPr>
        <w:t xml:space="preserve"> &amp; </w:t>
      </w:r>
      <w:proofErr w:type="spellStart"/>
      <w:r w:rsidR="00D96489" w:rsidRPr="008776CC">
        <w:rPr>
          <w:rFonts w:asciiTheme="minorHAnsi" w:hAnsiTheme="minorHAnsi" w:cstheme="minorHAnsi"/>
          <w:sz w:val="22"/>
          <w:szCs w:val="22"/>
          <w:lang w:val="en-GB"/>
        </w:rPr>
        <w:t>Lundethors</w:t>
      </w:r>
      <w:proofErr w:type="spellEnd"/>
      <w:r w:rsidR="00D96489">
        <w:rPr>
          <w:rFonts w:asciiTheme="minorHAnsi" w:hAnsiTheme="minorHAnsi" w:cstheme="minorHAnsi"/>
          <w:sz w:val="22"/>
          <w:szCs w:val="22"/>
          <w:lang w:val="en-GB"/>
        </w:rPr>
        <w:t xml:space="preserve"> 2003, </w:t>
      </w:r>
      <w:r w:rsidR="008776CC">
        <w:rPr>
          <w:rFonts w:asciiTheme="minorHAnsi" w:hAnsiTheme="minorHAnsi" w:cstheme="minorHAnsi"/>
          <w:sz w:val="22"/>
          <w:szCs w:val="22"/>
          <w:lang w:val="en-GB"/>
        </w:rPr>
        <w:t>EC 2009b</w:t>
      </w:r>
      <w:r w:rsidR="00E33041">
        <w:rPr>
          <w:rFonts w:asciiTheme="minorHAnsi" w:hAnsiTheme="minorHAnsi" w:cstheme="minorHAnsi"/>
          <w:sz w:val="22"/>
          <w:szCs w:val="22"/>
          <w:lang w:val="en-GB"/>
        </w:rPr>
        <w:t>).</w:t>
      </w:r>
    </w:p>
    <w:p w14:paraId="2A2E6F3D" w14:textId="0257ADEF" w:rsidR="00FF0000" w:rsidRDefault="008A62EC" w:rsidP="008A62EC">
      <w:pPr>
        <w:numPr>
          <w:ilvl w:val="0"/>
          <w:numId w:val="2"/>
        </w:numPr>
        <w:spacing w:before="120"/>
        <w:ind w:left="426"/>
        <w:rPr>
          <w:rFonts w:asciiTheme="minorHAnsi" w:hAnsiTheme="minorHAnsi" w:cstheme="minorHAnsi"/>
          <w:sz w:val="22"/>
          <w:szCs w:val="22"/>
          <w:lang w:val="en-GB"/>
        </w:rPr>
      </w:pPr>
      <w:r>
        <w:rPr>
          <w:rFonts w:asciiTheme="minorHAnsi" w:hAnsiTheme="minorHAnsi" w:cstheme="minorHAnsi"/>
          <w:i/>
          <w:sz w:val="22"/>
          <w:szCs w:val="22"/>
          <w:lang w:val="en-GB"/>
        </w:rPr>
        <w:t>Climate public expenditure and institutional reviews (CPEIRs)</w:t>
      </w:r>
      <w:r>
        <w:rPr>
          <w:rFonts w:asciiTheme="minorHAnsi" w:hAnsiTheme="minorHAnsi" w:cstheme="minorHAnsi"/>
          <w:sz w:val="22"/>
          <w:szCs w:val="22"/>
          <w:lang w:val="en-GB"/>
        </w:rPr>
        <w:t xml:space="preserve"> are a UNDP-developed tool currently piloted in Asia-Pacific countries and aimed at reviewing how national climate change policy aims were reflected in public expenditures, and how institutions might be adjusted to ensure that financing a response to climate change is delivered in a coherent way across government.</w:t>
      </w:r>
    </w:p>
    <w:p w14:paraId="30923FC5" w14:textId="77777777" w:rsidR="008776CC" w:rsidRDefault="008776CC" w:rsidP="008776CC">
      <w:pPr>
        <w:rPr>
          <w:rFonts w:asciiTheme="minorHAnsi" w:hAnsiTheme="minorHAnsi" w:cstheme="minorHAnsi"/>
          <w:sz w:val="22"/>
          <w:szCs w:val="22"/>
          <w:lang w:val="en-GB"/>
        </w:rPr>
      </w:pPr>
    </w:p>
    <w:p w14:paraId="75A528C7" w14:textId="3390AE21" w:rsidR="00DB7217" w:rsidRPr="008776CC" w:rsidRDefault="00A8466B" w:rsidP="007F6A77">
      <w:pPr>
        <w:numPr>
          <w:ilvl w:val="0"/>
          <w:numId w:val="2"/>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General PERs</w:t>
      </w:r>
      <w:r w:rsidR="008A62EC">
        <w:rPr>
          <w:rFonts w:asciiTheme="minorHAnsi" w:hAnsiTheme="minorHAnsi" w:cstheme="minorHAnsi"/>
          <w:sz w:val="22"/>
          <w:szCs w:val="22"/>
          <w:lang w:val="en-GB"/>
        </w:rPr>
        <w:t>,</w:t>
      </w:r>
      <w:r>
        <w:rPr>
          <w:rFonts w:asciiTheme="minorHAnsi" w:hAnsiTheme="minorHAnsi" w:cstheme="minorHAnsi"/>
          <w:sz w:val="22"/>
          <w:szCs w:val="22"/>
          <w:lang w:val="en-GB"/>
        </w:rPr>
        <w:t xml:space="preserve"> PEERs</w:t>
      </w:r>
      <w:r w:rsidR="00DB7217" w:rsidRPr="008776CC">
        <w:rPr>
          <w:rFonts w:asciiTheme="minorHAnsi" w:hAnsiTheme="minorHAnsi" w:cstheme="minorHAnsi"/>
          <w:sz w:val="22"/>
          <w:szCs w:val="22"/>
          <w:lang w:val="en-GB"/>
        </w:rPr>
        <w:t xml:space="preserve"> </w:t>
      </w:r>
      <w:r w:rsidR="008A62EC">
        <w:rPr>
          <w:rFonts w:asciiTheme="minorHAnsi" w:hAnsiTheme="minorHAnsi" w:cstheme="minorHAnsi"/>
          <w:sz w:val="22"/>
          <w:szCs w:val="22"/>
          <w:lang w:val="en-GB"/>
        </w:rPr>
        <w:t xml:space="preserve">or CPEIRs </w:t>
      </w:r>
      <w:r w:rsidR="00DB7217" w:rsidRPr="008776CC">
        <w:rPr>
          <w:rFonts w:asciiTheme="minorHAnsi" w:hAnsiTheme="minorHAnsi" w:cstheme="minorHAnsi"/>
          <w:sz w:val="22"/>
          <w:szCs w:val="22"/>
          <w:lang w:val="en-GB"/>
        </w:rPr>
        <w:t xml:space="preserve">can be used as a tool for supporting the mainstreaming of </w:t>
      </w:r>
      <w:r w:rsidR="000A7546">
        <w:rPr>
          <w:rFonts w:asciiTheme="minorHAnsi" w:hAnsiTheme="minorHAnsi" w:cstheme="minorHAnsi"/>
          <w:sz w:val="22"/>
          <w:szCs w:val="22"/>
          <w:lang w:val="en-GB"/>
        </w:rPr>
        <w:t xml:space="preserve">environment and </w:t>
      </w:r>
      <w:r w:rsidR="00DB7217" w:rsidRPr="008776CC">
        <w:rPr>
          <w:rFonts w:asciiTheme="minorHAnsi" w:hAnsiTheme="minorHAnsi" w:cstheme="minorHAnsi"/>
          <w:sz w:val="22"/>
          <w:szCs w:val="22"/>
          <w:lang w:val="en-GB"/>
        </w:rPr>
        <w:t xml:space="preserve">climate change. For this purpose, </w:t>
      </w:r>
      <w:r>
        <w:rPr>
          <w:rFonts w:asciiTheme="minorHAnsi" w:hAnsiTheme="minorHAnsi" w:cstheme="minorHAnsi"/>
          <w:sz w:val="22"/>
          <w:szCs w:val="22"/>
          <w:lang w:val="en-GB"/>
        </w:rPr>
        <w:t>they</w:t>
      </w:r>
      <w:r w:rsidR="00DB7217" w:rsidRPr="008776CC">
        <w:rPr>
          <w:rFonts w:asciiTheme="minorHAnsi" w:hAnsiTheme="minorHAnsi" w:cstheme="minorHAnsi"/>
          <w:sz w:val="22"/>
          <w:szCs w:val="22"/>
          <w:lang w:val="en-GB"/>
        </w:rPr>
        <w:t xml:space="preserve"> </w:t>
      </w:r>
      <w:r w:rsidR="003D0C28">
        <w:rPr>
          <w:rFonts w:asciiTheme="minorHAnsi" w:hAnsiTheme="minorHAnsi" w:cstheme="minorHAnsi"/>
          <w:sz w:val="22"/>
          <w:szCs w:val="22"/>
          <w:lang w:val="en-GB"/>
        </w:rPr>
        <w:t>can specifically analyse</w:t>
      </w:r>
      <w:r w:rsidR="00DB7217" w:rsidRPr="008776CC">
        <w:rPr>
          <w:rFonts w:asciiTheme="minorHAnsi" w:hAnsiTheme="minorHAnsi" w:cstheme="minorHAnsi"/>
          <w:sz w:val="22"/>
          <w:szCs w:val="22"/>
          <w:lang w:val="en-GB"/>
        </w:rPr>
        <w:t xml:space="preserve"> adaptation- and mitigation-specific spending</w:t>
      </w:r>
      <w:r w:rsidR="008C238F">
        <w:rPr>
          <w:rFonts w:asciiTheme="minorHAnsi" w:hAnsiTheme="minorHAnsi" w:cstheme="minorHAnsi"/>
          <w:sz w:val="22"/>
          <w:szCs w:val="22"/>
          <w:lang w:val="en-GB"/>
        </w:rPr>
        <w:t xml:space="preserve"> </w:t>
      </w:r>
      <w:r w:rsidR="003D0C28">
        <w:rPr>
          <w:rFonts w:asciiTheme="minorHAnsi" w:hAnsiTheme="minorHAnsi" w:cstheme="minorHAnsi"/>
          <w:sz w:val="22"/>
          <w:szCs w:val="22"/>
          <w:lang w:val="en-GB"/>
        </w:rPr>
        <w:t>along with other development and environmental expenditures</w:t>
      </w:r>
      <w:r w:rsidR="00DB7217" w:rsidRPr="008776CC">
        <w:rPr>
          <w:rFonts w:asciiTheme="minorHAnsi" w:hAnsiTheme="minorHAnsi" w:cstheme="minorHAnsi"/>
          <w:sz w:val="22"/>
          <w:szCs w:val="22"/>
          <w:lang w:val="en-GB"/>
        </w:rPr>
        <w:t xml:space="preserve"> (</w:t>
      </w:r>
      <w:r w:rsidR="005E5444">
        <w:rPr>
          <w:rFonts w:asciiTheme="minorHAnsi" w:hAnsiTheme="minorHAnsi" w:cstheme="minorHAnsi"/>
          <w:sz w:val="22"/>
          <w:szCs w:val="22"/>
          <w:lang w:val="en-GB"/>
        </w:rPr>
        <w:t xml:space="preserve">World Bank </w:t>
      </w:r>
      <w:proofErr w:type="spellStart"/>
      <w:r w:rsidR="005E5444">
        <w:rPr>
          <w:rFonts w:asciiTheme="minorHAnsi" w:hAnsiTheme="minorHAnsi" w:cstheme="minorHAnsi"/>
          <w:sz w:val="22"/>
          <w:szCs w:val="22"/>
          <w:lang w:val="en-GB"/>
        </w:rPr>
        <w:t>n.d.</w:t>
      </w:r>
      <w:proofErr w:type="spellEnd"/>
      <w:r w:rsidR="005E5444">
        <w:rPr>
          <w:rFonts w:asciiTheme="minorHAnsi" w:hAnsiTheme="minorHAnsi" w:cstheme="minorHAnsi"/>
          <w:sz w:val="22"/>
          <w:szCs w:val="22"/>
          <w:lang w:val="en-GB"/>
        </w:rPr>
        <w:t xml:space="preserve"> Guidance Note #4, </w:t>
      </w:r>
      <w:r w:rsidR="008C238F" w:rsidRPr="008776CC">
        <w:rPr>
          <w:rFonts w:asciiTheme="minorHAnsi" w:hAnsiTheme="minorHAnsi" w:cstheme="minorHAnsi"/>
          <w:sz w:val="22"/>
          <w:szCs w:val="22"/>
          <w:lang w:val="en-GB"/>
        </w:rPr>
        <w:t>UNDP-UNEP 201</w:t>
      </w:r>
      <w:r w:rsidR="005E5444">
        <w:rPr>
          <w:rFonts w:asciiTheme="minorHAnsi" w:hAnsiTheme="minorHAnsi" w:cstheme="minorHAnsi"/>
          <w:sz w:val="22"/>
          <w:szCs w:val="22"/>
          <w:lang w:val="en-GB"/>
        </w:rPr>
        <w:t>1</w:t>
      </w:r>
      <w:r w:rsidR="00DB7217" w:rsidRPr="008776CC">
        <w:rPr>
          <w:rFonts w:asciiTheme="minorHAnsi" w:hAnsiTheme="minorHAnsi" w:cstheme="minorHAnsi"/>
          <w:sz w:val="22"/>
          <w:szCs w:val="22"/>
          <w:lang w:val="en-GB"/>
        </w:rPr>
        <w:t>).</w:t>
      </w:r>
      <w:r w:rsidR="006F2CCF">
        <w:rPr>
          <w:rFonts w:asciiTheme="minorHAnsi" w:hAnsiTheme="minorHAnsi" w:cstheme="minorHAnsi"/>
          <w:sz w:val="22"/>
          <w:szCs w:val="22"/>
          <w:lang w:val="en-GB"/>
        </w:rPr>
        <w:t xml:space="preserve"> </w:t>
      </w:r>
      <w:r w:rsidR="00B72961" w:rsidRPr="00B72961">
        <w:rPr>
          <w:rFonts w:asciiTheme="minorHAnsi" w:hAnsiTheme="minorHAnsi" w:cstheme="minorHAnsi"/>
          <w:b/>
          <w:sz w:val="22"/>
          <w:szCs w:val="22"/>
          <w:lang w:val="en-GB"/>
        </w:rPr>
        <w:t xml:space="preserve">Annex </w:t>
      </w:r>
      <w:r w:rsidR="00B72961">
        <w:rPr>
          <w:rFonts w:asciiTheme="minorHAnsi" w:hAnsiTheme="minorHAnsi" w:cstheme="minorHAnsi"/>
          <w:b/>
          <w:sz w:val="22"/>
          <w:szCs w:val="22"/>
          <w:lang w:val="en-GB"/>
        </w:rPr>
        <w:t>8</w:t>
      </w:r>
      <w:r w:rsidR="00B72961" w:rsidRPr="00B72961">
        <w:rPr>
          <w:rFonts w:asciiTheme="minorHAnsi" w:hAnsiTheme="minorHAnsi" w:cstheme="minorHAnsi"/>
          <w:b/>
          <w:sz w:val="22"/>
          <w:szCs w:val="22"/>
          <w:lang w:val="en-GB"/>
        </w:rPr>
        <w:t>.1</w:t>
      </w:r>
      <w:r w:rsidR="00B72961">
        <w:rPr>
          <w:rFonts w:asciiTheme="minorHAnsi" w:hAnsiTheme="minorHAnsi" w:cstheme="minorHAnsi"/>
          <w:sz w:val="22"/>
          <w:szCs w:val="22"/>
          <w:lang w:val="en-GB"/>
        </w:rPr>
        <w:t xml:space="preserve"> provides a set of guiding questions that can be answered by a public expenditure review.</w:t>
      </w:r>
    </w:p>
    <w:p w14:paraId="5C1A592F" w14:textId="77777777" w:rsidR="00DB7217" w:rsidRPr="00DB7217" w:rsidRDefault="00DB7217" w:rsidP="00DB7217">
      <w:pPr>
        <w:rPr>
          <w:rFonts w:asciiTheme="minorHAnsi" w:hAnsiTheme="minorHAnsi" w:cstheme="minorHAnsi"/>
          <w:sz w:val="22"/>
          <w:szCs w:val="22"/>
          <w:lang w:val="en-GB"/>
        </w:rPr>
      </w:pPr>
    </w:p>
    <w:p w14:paraId="79DC3E1B" w14:textId="35FB7F27" w:rsidR="00DB7217" w:rsidRPr="00DB7217" w:rsidRDefault="00DB7217" w:rsidP="007F6A77">
      <w:pPr>
        <w:numPr>
          <w:ilvl w:val="0"/>
          <w:numId w:val="2"/>
        </w:numPr>
        <w:ind w:left="426" w:hanging="426"/>
        <w:rPr>
          <w:rFonts w:asciiTheme="minorHAnsi" w:hAnsiTheme="minorHAnsi" w:cstheme="minorHAnsi"/>
          <w:sz w:val="22"/>
          <w:szCs w:val="22"/>
          <w:lang w:val="en-GB"/>
        </w:rPr>
      </w:pPr>
      <w:r w:rsidRPr="00DB7217">
        <w:rPr>
          <w:rFonts w:asciiTheme="minorHAnsi" w:hAnsiTheme="minorHAnsi" w:cstheme="minorHAnsi"/>
          <w:i/>
          <w:sz w:val="22"/>
          <w:szCs w:val="22"/>
          <w:lang w:val="en-GB"/>
        </w:rPr>
        <w:t xml:space="preserve">Entry points for </w:t>
      </w:r>
      <w:r w:rsidR="000A7546">
        <w:rPr>
          <w:rFonts w:asciiTheme="minorHAnsi" w:hAnsiTheme="minorHAnsi" w:cstheme="minorHAnsi"/>
          <w:i/>
          <w:sz w:val="22"/>
          <w:szCs w:val="22"/>
          <w:lang w:val="en-GB"/>
        </w:rPr>
        <w:t>mainstreaming environment and</w:t>
      </w:r>
      <w:r w:rsidRPr="00DB7217">
        <w:rPr>
          <w:rFonts w:asciiTheme="minorHAnsi" w:hAnsiTheme="minorHAnsi" w:cstheme="minorHAnsi"/>
          <w:i/>
          <w:sz w:val="22"/>
          <w:szCs w:val="22"/>
          <w:lang w:val="en-GB"/>
        </w:rPr>
        <w:t xml:space="preserve"> climate change in a PER</w:t>
      </w:r>
      <w:r w:rsidRPr="00DB7217">
        <w:rPr>
          <w:rFonts w:asciiTheme="minorHAnsi" w:hAnsiTheme="minorHAnsi" w:cstheme="minorHAnsi"/>
          <w:sz w:val="22"/>
          <w:szCs w:val="22"/>
          <w:lang w:val="en-GB"/>
        </w:rPr>
        <w:t xml:space="preserve"> include the analysis of:</w:t>
      </w:r>
    </w:p>
    <w:p w14:paraId="11479071" w14:textId="0C49C7D3" w:rsidR="00DB7217" w:rsidRPr="00DB7217" w:rsidRDefault="00DB7217" w:rsidP="007F6A77">
      <w:pPr>
        <w:numPr>
          <w:ilvl w:val="1"/>
          <w:numId w:val="2"/>
        </w:numPr>
        <w:spacing w:before="120"/>
        <w:ind w:left="709" w:hanging="284"/>
        <w:rPr>
          <w:rFonts w:asciiTheme="minorHAnsi" w:hAnsiTheme="minorHAnsi" w:cstheme="minorHAnsi"/>
          <w:sz w:val="22"/>
          <w:szCs w:val="22"/>
          <w:lang w:val="en-GB"/>
        </w:rPr>
      </w:pPr>
      <w:r w:rsidRPr="00DB7217">
        <w:rPr>
          <w:rFonts w:asciiTheme="minorHAnsi" w:hAnsiTheme="minorHAnsi" w:cstheme="minorHAnsi"/>
          <w:sz w:val="22"/>
          <w:szCs w:val="22"/>
          <w:lang w:val="en-GB"/>
        </w:rPr>
        <w:t xml:space="preserve">the budget planning process: investigate the role of </w:t>
      </w:r>
      <w:r w:rsidR="000A7546">
        <w:rPr>
          <w:rFonts w:asciiTheme="minorHAnsi" w:hAnsiTheme="minorHAnsi" w:cstheme="minorHAnsi"/>
          <w:sz w:val="22"/>
          <w:szCs w:val="22"/>
          <w:lang w:val="en-GB"/>
        </w:rPr>
        <w:t xml:space="preserve">environment- and </w:t>
      </w:r>
      <w:r w:rsidRPr="00DB7217">
        <w:rPr>
          <w:rFonts w:asciiTheme="minorHAnsi" w:hAnsiTheme="minorHAnsi" w:cstheme="minorHAnsi"/>
          <w:sz w:val="22"/>
          <w:szCs w:val="22"/>
          <w:lang w:val="en-GB"/>
        </w:rPr>
        <w:t xml:space="preserve">climate-related considerations in </w:t>
      </w:r>
      <w:r w:rsidR="00DC7218">
        <w:rPr>
          <w:rFonts w:asciiTheme="minorHAnsi" w:hAnsiTheme="minorHAnsi" w:cstheme="minorHAnsi"/>
          <w:sz w:val="22"/>
          <w:szCs w:val="22"/>
          <w:lang w:val="en-GB"/>
        </w:rPr>
        <w:t xml:space="preserve">resource </w:t>
      </w:r>
      <w:r w:rsidRPr="00DB7217">
        <w:rPr>
          <w:rFonts w:asciiTheme="minorHAnsi" w:hAnsiTheme="minorHAnsi" w:cstheme="minorHAnsi"/>
          <w:sz w:val="22"/>
          <w:szCs w:val="22"/>
          <w:lang w:val="en-GB"/>
        </w:rPr>
        <w:t>allocation decisions;</w:t>
      </w:r>
    </w:p>
    <w:p w14:paraId="017CF1A2" w14:textId="1FFAF264" w:rsidR="00DB7217" w:rsidRPr="00DB7217" w:rsidRDefault="00DB7217" w:rsidP="007F6A77">
      <w:pPr>
        <w:numPr>
          <w:ilvl w:val="1"/>
          <w:numId w:val="2"/>
        </w:numPr>
        <w:spacing w:before="120"/>
        <w:ind w:left="709" w:hanging="284"/>
        <w:rPr>
          <w:rFonts w:asciiTheme="minorHAnsi" w:hAnsiTheme="minorHAnsi" w:cstheme="minorHAnsi"/>
          <w:sz w:val="22"/>
          <w:szCs w:val="22"/>
          <w:lang w:val="en-GB"/>
        </w:rPr>
      </w:pPr>
      <w:r w:rsidRPr="00DB7217">
        <w:rPr>
          <w:rFonts w:asciiTheme="minorHAnsi" w:hAnsiTheme="minorHAnsi" w:cstheme="minorHAnsi"/>
          <w:sz w:val="22"/>
          <w:szCs w:val="22"/>
          <w:lang w:val="en-GB"/>
        </w:rPr>
        <w:t xml:space="preserve">expenditure trends and categories: compare actual spending to budget allocations </w:t>
      </w:r>
      <w:r w:rsidR="00F12F36">
        <w:rPr>
          <w:rFonts w:asciiTheme="minorHAnsi" w:hAnsiTheme="minorHAnsi" w:cstheme="minorHAnsi"/>
          <w:sz w:val="22"/>
          <w:szCs w:val="22"/>
          <w:lang w:val="en-GB"/>
        </w:rPr>
        <w:t>for</w:t>
      </w:r>
      <w:r w:rsidRPr="00DB7217">
        <w:rPr>
          <w:rFonts w:asciiTheme="minorHAnsi" w:hAnsiTheme="minorHAnsi" w:cstheme="minorHAnsi"/>
          <w:sz w:val="22"/>
          <w:szCs w:val="22"/>
          <w:lang w:val="en-GB"/>
        </w:rPr>
        <w:t xml:space="preserve"> </w:t>
      </w:r>
      <w:r w:rsidR="000A7546">
        <w:rPr>
          <w:rFonts w:asciiTheme="minorHAnsi" w:hAnsiTheme="minorHAnsi" w:cstheme="minorHAnsi"/>
          <w:sz w:val="22"/>
          <w:szCs w:val="22"/>
          <w:lang w:val="en-GB"/>
        </w:rPr>
        <w:t xml:space="preserve">environment and climate change </w:t>
      </w:r>
      <w:r w:rsidRPr="00DB7217">
        <w:rPr>
          <w:rFonts w:asciiTheme="minorHAnsi" w:hAnsiTheme="minorHAnsi" w:cstheme="minorHAnsi"/>
          <w:sz w:val="22"/>
          <w:szCs w:val="22"/>
          <w:lang w:val="en-GB"/>
        </w:rPr>
        <w:t xml:space="preserve">measures, but also development programmes with a focus on </w:t>
      </w:r>
      <w:r w:rsidR="000A7546">
        <w:rPr>
          <w:rFonts w:asciiTheme="minorHAnsi" w:hAnsiTheme="minorHAnsi" w:cstheme="minorHAnsi"/>
          <w:sz w:val="22"/>
          <w:szCs w:val="22"/>
          <w:lang w:val="en-GB"/>
        </w:rPr>
        <w:t xml:space="preserve">environment, </w:t>
      </w:r>
      <w:r w:rsidRPr="00DB7217">
        <w:rPr>
          <w:rFonts w:asciiTheme="minorHAnsi" w:hAnsiTheme="minorHAnsi" w:cstheme="minorHAnsi"/>
          <w:sz w:val="22"/>
          <w:szCs w:val="22"/>
          <w:lang w:val="en-GB"/>
        </w:rPr>
        <w:t xml:space="preserve">climate risk management and climate-resilient / low-emission development; </w:t>
      </w:r>
      <w:r w:rsidRPr="00DB7217">
        <w:rPr>
          <w:rFonts w:asciiTheme="minorHAnsi" w:hAnsiTheme="minorHAnsi" w:cstheme="minorHAnsi"/>
          <w:sz w:val="22"/>
          <w:szCs w:val="22"/>
          <w:lang w:val="en-GB"/>
        </w:rPr>
        <w:lastRenderedPageBreak/>
        <w:t xml:space="preserve">consider whether recurrent funding for </w:t>
      </w:r>
      <w:r w:rsidR="000A7546">
        <w:rPr>
          <w:rFonts w:asciiTheme="minorHAnsi" w:hAnsiTheme="minorHAnsi" w:cstheme="minorHAnsi"/>
          <w:sz w:val="22"/>
          <w:szCs w:val="22"/>
          <w:lang w:val="en-GB"/>
        </w:rPr>
        <w:t xml:space="preserve">environmental and </w:t>
      </w:r>
      <w:r w:rsidRPr="00DB7217">
        <w:rPr>
          <w:rFonts w:asciiTheme="minorHAnsi" w:hAnsiTheme="minorHAnsi" w:cstheme="minorHAnsi"/>
          <w:sz w:val="22"/>
          <w:szCs w:val="22"/>
          <w:lang w:val="en-GB"/>
        </w:rPr>
        <w:t xml:space="preserve">climate risk monitoring and management is sufficient, </w:t>
      </w:r>
      <w:r w:rsidR="003D0C28">
        <w:rPr>
          <w:rFonts w:asciiTheme="minorHAnsi" w:hAnsiTheme="minorHAnsi" w:cstheme="minorHAnsi"/>
          <w:sz w:val="22"/>
          <w:szCs w:val="22"/>
          <w:lang w:val="en-GB"/>
        </w:rPr>
        <w:t>especially</w:t>
      </w:r>
      <w:r w:rsidRPr="00DB7217">
        <w:rPr>
          <w:rFonts w:asciiTheme="minorHAnsi" w:hAnsiTheme="minorHAnsi" w:cstheme="minorHAnsi"/>
          <w:sz w:val="22"/>
          <w:szCs w:val="22"/>
          <w:lang w:val="en-GB"/>
        </w:rPr>
        <w:t xml:space="preserve"> in proportion to capital investment in this area;</w:t>
      </w:r>
    </w:p>
    <w:p w14:paraId="314E7845" w14:textId="5F0AA8F3" w:rsidR="00DB7217" w:rsidRPr="00DB7217" w:rsidRDefault="00DB7217" w:rsidP="007F6A77">
      <w:pPr>
        <w:numPr>
          <w:ilvl w:val="1"/>
          <w:numId w:val="2"/>
        </w:numPr>
        <w:spacing w:before="120"/>
        <w:ind w:left="709" w:hanging="284"/>
        <w:rPr>
          <w:rFonts w:asciiTheme="minorHAnsi" w:hAnsiTheme="minorHAnsi" w:cstheme="minorHAnsi"/>
          <w:sz w:val="22"/>
          <w:szCs w:val="22"/>
          <w:lang w:val="en-GB"/>
        </w:rPr>
      </w:pPr>
      <w:r w:rsidRPr="00DB7217">
        <w:rPr>
          <w:rFonts w:asciiTheme="minorHAnsi" w:hAnsiTheme="minorHAnsi" w:cstheme="minorHAnsi"/>
          <w:sz w:val="22"/>
          <w:szCs w:val="22"/>
          <w:lang w:val="en-GB"/>
        </w:rPr>
        <w:t xml:space="preserve">budget financing: consider the level of and trends in allocations to </w:t>
      </w:r>
      <w:r w:rsidR="000A7546">
        <w:rPr>
          <w:rFonts w:asciiTheme="minorHAnsi" w:hAnsiTheme="minorHAnsi" w:cstheme="minorHAnsi"/>
          <w:sz w:val="22"/>
          <w:szCs w:val="22"/>
          <w:lang w:val="en-GB"/>
        </w:rPr>
        <w:t>environment- and climate-relevant</w:t>
      </w:r>
      <w:r w:rsidRPr="00DB7217">
        <w:rPr>
          <w:rFonts w:asciiTheme="minorHAnsi" w:hAnsiTheme="minorHAnsi" w:cstheme="minorHAnsi"/>
          <w:sz w:val="22"/>
          <w:szCs w:val="22"/>
          <w:lang w:val="en-GB"/>
        </w:rPr>
        <w:t xml:space="preserve"> sectors and agencies, and the origin of such allocations (internal </w:t>
      </w:r>
      <w:r w:rsidRPr="00DB7217">
        <w:rPr>
          <w:rFonts w:asciiTheme="minorHAnsi" w:hAnsiTheme="minorHAnsi" w:cstheme="minorHAnsi"/>
          <w:i/>
          <w:iCs/>
          <w:sz w:val="22"/>
          <w:szCs w:val="22"/>
          <w:lang w:val="en-GB"/>
        </w:rPr>
        <w:t>vs.</w:t>
      </w:r>
      <w:r w:rsidRPr="00DB7217">
        <w:rPr>
          <w:rFonts w:asciiTheme="minorHAnsi" w:hAnsiTheme="minorHAnsi" w:cstheme="minorHAnsi"/>
          <w:sz w:val="22"/>
          <w:szCs w:val="22"/>
          <w:lang w:val="en-GB"/>
        </w:rPr>
        <w:t xml:space="preserve"> external funding); examine the possibility of increasing internal resources </w:t>
      </w:r>
      <w:r w:rsidR="00DC7218">
        <w:rPr>
          <w:rFonts w:asciiTheme="minorHAnsi" w:hAnsiTheme="minorHAnsi" w:cstheme="minorHAnsi"/>
          <w:sz w:val="22"/>
          <w:szCs w:val="22"/>
          <w:lang w:val="en-GB"/>
        </w:rPr>
        <w:t>contributing to</w:t>
      </w:r>
      <w:r w:rsidRPr="00DB7217">
        <w:rPr>
          <w:rFonts w:asciiTheme="minorHAnsi" w:hAnsiTheme="minorHAnsi" w:cstheme="minorHAnsi"/>
          <w:sz w:val="22"/>
          <w:szCs w:val="22"/>
          <w:lang w:val="en-GB"/>
        </w:rPr>
        <w:t xml:space="preserve"> </w:t>
      </w:r>
      <w:r w:rsidR="000A7546">
        <w:rPr>
          <w:rFonts w:asciiTheme="minorHAnsi" w:hAnsiTheme="minorHAnsi" w:cstheme="minorHAnsi"/>
          <w:sz w:val="22"/>
          <w:szCs w:val="22"/>
          <w:lang w:val="en-GB"/>
        </w:rPr>
        <w:t xml:space="preserve">environmentally sustainable and </w:t>
      </w:r>
      <w:r w:rsidRPr="00DB7217">
        <w:rPr>
          <w:rFonts w:asciiTheme="minorHAnsi" w:hAnsiTheme="minorHAnsi" w:cstheme="minorHAnsi"/>
          <w:sz w:val="22"/>
          <w:szCs w:val="22"/>
          <w:lang w:val="en-GB"/>
        </w:rPr>
        <w:t xml:space="preserve">climate-resilient development as a result of policies in support of </w:t>
      </w:r>
      <w:r w:rsidR="000A7546">
        <w:rPr>
          <w:rFonts w:asciiTheme="minorHAnsi" w:hAnsiTheme="minorHAnsi" w:cstheme="minorHAnsi"/>
          <w:sz w:val="22"/>
          <w:szCs w:val="22"/>
          <w:lang w:val="en-GB"/>
        </w:rPr>
        <w:t xml:space="preserve">environmental integration, </w:t>
      </w:r>
      <w:r w:rsidRPr="00DB7217">
        <w:rPr>
          <w:rFonts w:asciiTheme="minorHAnsi" w:hAnsiTheme="minorHAnsi" w:cstheme="minorHAnsi"/>
          <w:sz w:val="22"/>
          <w:szCs w:val="22"/>
          <w:lang w:val="en-GB"/>
        </w:rPr>
        <w:t xml:space="preserve">adaptation (e.g. enhanced contribution of relevant economic sectors to climate-resilient growth) and/or mitigation (e.g. fiscal reforms involving a reduction in fossil fuel subsidies) (World Bank </w:t>
      </w:r>
      <w:proofErr w:type="spellStart"/>
      <w:r w:rsidRPr="00DB7217">
        <w:rPr>
          <w:rFonts w:asciiTheme="minorHAnsi" w:hAnsiTheme="minorHAnsi" w:cstheme="minorHAnsi"/>
          <w:sz w:val="22"/>
          <w:szCs w:val="22"/>
          <w:lang w:val="en-GB"/>
        </w:rPr>
        <w:t>n.d.</w:t>
      </w:r>
      <w:proofErr w:type="spellEnd"/>
      <w:r w:rsidRPr="00DB7217">
        <w:rPr>
          <w:rFonts w:asciiTheme="minorHAnsi" w:hAnsiTheme="minorHAnsi" w:cstheme="minorHAnsi"/>
          <w:sz w:val="22"/>
          <w:szCs w:val="22"/>
          <w:lang w:val="en-GB"/>
        </w:rPr>
        <w:t xml:space="preserve"> G</w:t>
      </w:r>
      <w:r w:rsidR="00B72943">
        <w:rPr>
          <w:rFonts w:asciiTheme="minorHAnsi" w:hAnsiTheme="minorHAnsi" w:cstheme="minorHAnsi"/>
          <w:sz w:val="22"/>
          <w:szCs w:val="22"/>
          <w:lang w:val="en-GB"/>
        </w:rPr>
        <w:t xml:space="preserve">uidance </w:t>
      </w:r>
      <w:r w:rsidRPr="00DB7217">
        <w:rPr>
          <w:rFonts w:asciiTheme="minorHAnsi" w:hAnsiTheme="minorHAnsi" w:cstheme="minorHAnsi"/>
          <w:sz w:val="22"/>
          <w:szCs w:val="22"/>
          <w:lang w:val="en-GB"/>
        </w:rPr>
        <w:t>N</w:t>
      </w:r>
      <w:r w:rsidR="00B72943">
        <w:rPr>
          <w:rFonts w:asciiTheme="minorHAnsi" w:hAnsiTheme="minorHAnsi" w:cstheme="minorHAnsi"/>
          <w:sz w:val="22"/>
          <w:szCs w:val="22"/>
          <w:lang w:val="en-GB"/>
        </w:rPr>
        <w:t>ote #</w:t>
      </w:r>
      <w:r w:rsidRPr="00DB7217">
        <w:rPr>
          <w:rFonts w:asciiTheme="minorHAnsi" w:hAnsiTheme="minorHAnsi" w:cstheme="minorHAnsi"/>
          <w:sz w:val="22"/>
          <w:szCs w:val="22"/>
          <w:lang w:val="en-GB"/>
        </w:rPr>
        <w:t>4, UNDP-UNEP 201</w:t>
      </w:r>
      <w:r w:rsidR="005E5444">
        <w:rPr>
          <w:rFonts w:asciiTheme="minorHAnsi" w:hAnsiTheme="minorHAnsi" w:cstheme="minorHAnsi"/>
          <w:sz w:val="22"/>
          <w:szCs w:val="22"/>
          <w:lang w:val="en-GB"/>
        </w:rPr>
        <w:t>1</w:t>
      </w:r>
      <w:r w:rsidRPr="00DB7217">
        <w:rPr>
          <w:rFonts w:asciiTheme="minorHAnsi" w:hAnsiTheme="minorHAnsi" w:cstheme="minorHAnsi"/>
          <w:sz w:val="22"/>
          <w:szCs w:val="22"/>
          <w:lang w:val="en-GB"/>
        </w:rPr>
        <w:t>).</w:t>
      </w:r>
    </w:p>
    <w:p w14:paraId="2A68AD2F" w14:textId="77777777" w:rsidR="00EB02EC" w:rsidRDefault="00EB02EC" w:rsidP="00E41A2C">
      <w:pPr>
        <w:rPr>
          <w:rFonts w:asciiTheme="minorHAnsi" w:hAnsiTheme="minorHAnsi" w:cstheme="minorHAnsi"/>
          <w:sz w:val="22"/>
          <w:szCs w:val="22"/>
          <w:lang w:val="en-GB"/>
        </w:rPr>
      </w:pPr>
    </w:p>
    <w:p w14:paraId="0CC8B94F" w14:textId="77777777" w:rsidR="00EB02EC" w:rsidRPr="00EB02EC" w:rsidRDefault="00EB02EC" w:rsidP="00E41A2C">
      <w:pPr>
        <w:rPr>
          <w:rFonts w:asciiTheme="minorHAnsi" w:hAnsiTheme="minorHAnsi" w:cstheme="minorHAnsi"/>
          <w:i/>
          <w:sz w:val="22"/>
          <w:szCs w:val="22"/>
          <w:lang w:val="en-GB"/>
        </w:rPr>
      </w:pPr>
      <w:r w:rsidRPr="00EB02EC">
        <w:rPr>
          <w:rFonts w:asciiTheme="minorHAnsi" w:hAnsiTheme="minorHAnsi" w:cstheme="minorHAnsi"/>
          <w:i/>
          <w:sz w:val="22"/>
          <w:szCs w:val="22"/>
          <w:lang w:val="en-GB"/>
        </w:rPr>
        <w:t>External resources</w:t>
      </w:r>
    </w:p>
    <w:p w14:paraId="0B79C3A3" w14:textId="77777777" w:rsidR="00892824" w:rsidRPr="00892824" w:rsidRDefault="00892824" w:rsidP="00892824">
      <w:pPr>
        <w:rPr>
          <w:rFonts w:asciiTheme="minorHAnsi" w:hAnsiTheme="minorHAnsi" w:cstheme="minorHAnsi"/>
          <w:sz w:val="22"/>
          <w:szCs w:val="22"/>
          <w:lang w:val="en-GB"/>
        </w:rPr>
      </w:pPr>
    </w:p>
    <w:p w14:paraId="5952FB53" w14:textId="77777777" w:rsidR="00B72961" w:rsidRPr="00B72961" w:rsidRDefault="00892824" w:rsidP="00B72961">
      <w:pPr>
        <w:numPr>
          <w:ilvl w:val="0"/>
          <w:numId w:val="2"/>
        </w:numPr>
        <w:ind w:left="426" w:hanging="426"/>
        <w:rPr>
          <w:rFonts w:asciiTheme="minorHAnsi" w:hAnsiTheme="minorHAnsi" w:cstheme="minorHAnsi"/>
          <w:sz w:val="22"/>
          <w:szCs w:val="22"/>
          <w:lang w:val="en-GB"/>
        </w:rPr>
      </w:pPr>
      <w:r w:rsidRPr="00B72961">
        <w:rPr>
          <w:rFonts w:asciiTheme="minorHAnsi" w:hAnsiTheme="minorHAnsi" w:cstheme="minorHAnsi"/>
          <w:i/>
          <w:sz w:val="22"/>
          <w:szCs w:val="22"/>
          <w:lang w:val="en-GB"/>
        </w:rPr>
        <w:t>External resources</w:t>
      </w:r>
      <w:r w:rsidRPr="00B72961">
        <w:rPr>
          <w:rFonts w:asciiTheme="minorHAnsi" w:hAnsiTheme="minorHAnsi" w:cstheme="minorHAnsi"/>
          <w:sz w:val="22"/>
          <w:szCs w:val="22"/>
          <w:lang w:val="en-GB"/>
        </w:rPr>
        <w:t xml:space="preserve"> can supplement domestic resources to enhance government revenues (grants), and/or finance public deficits (loans). </w:t>
      </w:r>
      <w:r w:rsidR="00353BD3" w:rsidRPr="00B72961">
        <w:rPr>
          <w:rFonts w:asciiTheme="minorHAnsi" w:hAnsiTheme="minorHAnsi" w:cstheme="minorHAnsi"/>
          <w:b/>
          <w:sz w:val="22"/>
          <w:szCs w:val="22"/>
          <w:lang w:val="en-GB"/>
        </w:rPr>
        <w:t>Table 8.1</w:t>
      </w:r>
      <w:r w:rsidR="00353BD3" w:rsidRPr="00B72961">
        <w:rPr>
          <w:rFonts w:asciiTheme="minorHAnsi" w:hAnsiTheme="minorHAnsi" w:cstheme="minorHAnsi"/>
          <w:sz w:val="22"/>
          <w:szCs w:val="22"/>
          <w:lang w:val="en-GB"/>
        </w:rPr>
        <w:t xml:space="preserve">, based on information available on </w:t>
      </w:r>
      <w:hyperlink r:id="rId14" w:history="1">
        <w:r w:rsidR="00353BD3" w:rsidRPr="00B72961">
          <w:rPr>
            <w:rStyle w:val="Hyperlink"/>
            <w:rFonts w:asciiTheme="minorHAnsi" w:hAnsiTheme="minorHAnsi" w:cstheme="minorHAnsi"/>
            <w:sz w:val="22"/>
            <w:szCs w:val="22"/>
            <w:lang w:val="en-GB"/>
          </w:rPr>
          <w:t>www.climatefundsupdate.org</w:t>
        </w:r>
      </w:hyperlink>
      <w:r w:rsidR="00353BD3" w:rsidRPr="00B72961">
        <w:rPr>
          <w:rFonts w:asciiTheme="minorHAnsi" w:hAnsiTheme="minorHAnsi" w:cstheme="minorHAnsi"/>
          <w:sz w:val="22"/>
          <w:szCs w:val="22"/>
          <w:lang w:val="en-GB"/>
        </w:rPr>
        <w:t>, lists t</w:t>
      </w:r>
      <w:r w:rsidRPr="00B72961">
        <w:rPr>
          <w:rFonts w:asciiTheme="minorHAnsi" w:hAnsiTheme="minorHAnsi" w:cstheme="minorHAnsi"/>
          <w:sz w:val="22"/>
          <w:szCs w:val="22"/>
          <w:lang w:val="en-GB"/>
        </w:rPr>
        <w:t>he main sources of external public financing for climate c</w:t>
      </w:r>
      <w:r w:rsidR="00353BD3" w:rsidRPr="00B72961">
        <w:rPr>
          <w:rFonts w:asciiTheme="minorHAnsi" w:hAnsiTheme="minorHAnsi" w:cstheme="minorHAnsi"/>
          <w:sz w:val="22"/>
          <w:szCs w:val="22"/>
          <w:lang w:val="en-GB"/>
        </w:rPr>
        <w:t>hange adaptation and mitigation.</w:t>
      </w:r>
      <w:r w:rsidR="00B72961" w:rsidRPr="00B72961">
        <w:rPr>
          <w:rFonts w:asciiTheme="minorHAnsi" w:hAnsiTheme="minorHAnsi" w:cstheme="minorHAnsi"/>
          <w:sz w:val="22"/>
          <w:szCs w:val="22"/>
          <w:lang w:val="en-GB"/>
        </w:rPr>
        <w:t xml:space="preserve"> </w:t>
      </w:r>
      <w:r w:rsidR="00B72961" w:rsidRPr="00B72961">
        <w:rPr>
          <w:rFonts w:asciiTheme="minorHAnsi" w:hAnsiTheme="minorHAnsi" w:cstheme="minorHAnsi"/>
          <w:b/>
          <w:sz w:val="22"/>
          <w:szCs w:val="22"/>
          <w:lang w:val="en-GB"/>
        </w:rPr>
        <w:t>Table 8.2</w:t>
      </w:r>
      <w:r w:rsidR="00B72961" w:rsidRPr="00B72961">
        <w:rPr>
          <w:rFonts w:asciiTheme="minorHAnsi" w:hAnsiTheme="minorHAnsi" w:cstheme="minorHAnsi"/>
          <w:sz w:val="22"/>
          <w:szCs w:val="22"/>
          <w:lang w:val="en-GB"/>
        </w:rPr>
        <w:t xml:space="preserve"> highlights four (public) financing mechanisms that provide specific support for climate change mainstreaming.</w:t>
      </w:r>
    </w:p>
    <w:p w14:paraId="5F807CB3" w14:textId="77777777" w:rsidR="00B72961" w:rsidRDefault="00B72961" w:rsidP="00B72961">
      <w:pPr>
        <w:ind w:left="426"/>
        <w:rPr>
          <w:rFonts w:asciiTheme="minorHAnsi" w:hAnsiTheme="minorHAnsi" w:cstheme="minorHAnsi"/>
          <w:sz w:val="22"/>
          <w:szCs w:val="22"/>
          <w:lang w:val="en-GB"/>
        </w:rPr>
      </w:pPr>
      <w:r>
        <w:rPr>
          <w:rFonts w:asciiTheme="minorHAnsi" w:hAnsiTheme="minorHAnsi" w:cstheme="minorHAnsi"/>
          <w:sz w:val="22"/>
          <w:szCs w:val="22"/>
          <w:lang w:val="en-GB"/>
        </w:rPr>
        <w:t xml:space="preserve"> </w:t>
      </w:r>
    </w:p>
    <w:p w14:paraId="5F3CC394" w14:textId="77777777" w:rsidR="00B72961" w:rsidRPr="00892824" w:rsidRDefault="00B72961" w:rsidP="00B72961">
      <w:pPr>
        <w:numPr>
          <w:ilvl w:val="0"/>
          <w:numId w:val="2"/>
        </w:numPr>
        <w:ind w:left="426" w:hanging="426"/>
        <w:rPr>
          <w:rFonts w:asciiTheme="minorHAnsi" w:hAnsiTheme="minorHAnsi" w:cstheme="minorHAnsi"/>
          <w:sz w:val="22"/>
          <w:szCs w:val="22"/>
          <w:lang w:val="en-GB"/>
        </w:rPr>
      </w:pPr>
      <w:r w:rsidRPr="00892824">
        <w:rPr>
          <w:rFonts w:asciiTheme="minorHAnsi" w:hAnsiTheme="minorHAnsi" w:cstheme="minorHAnsi"/>
          <w:sz w:val="22"/>
          <w:szCs w:val="22"/>
          <w:lang w:val="en-GB"/>
        </w:rPr>
        <w:t>In addition and for the record, private funding is available in the context of:</w:t>
      </w:r>
    </w:p>
    <w:p w14:paraId="3927FBD4" w14:textId="77777777" w:rsidR="00B72961" w:rsidRPr="00892824" w:rsidRDefault="00B72961" w:rsidP="00B72961">
      <w:pPr>
        <w:numPr>
          <w:ilvl w:val="0"/>
          <w:numId w:val="5"/>
        </w:numPr>
        <w:spacing w:before="120"/>
        <w:ind w:left="709" w:hanging="284"/>
        <w:rPr>
          <w:rFonts w:asciiTheme="minorHAnsi" w:hAnsiTheme="minorHAnsi" w:cstheme="minorHAnsi"/>
          <w:sz w:val="22"/>
          <w:szCs w:val="22"/>
          <w:lang w:val="en-GB"/>
        </w:rPr>
      </w:pPr>
      <w:r w:rsidRPr="00892824">
        <w:rPr>
          <w:rFonts w:asciiTheme="minorHAnsi" w:hAnsiTheme="minorHAnsi" w:cstheme="minorHAnsi"/>
          <w:sz w:val="22"/>
          <w:szCs w:val="22"/>
          <w:lang w:val="en-GB"/>
        </w:rPr>
        <w:t>the Clean Development Mechanism;</w:t>
      </w:r>
    </w:p>
    <w:p w14:paraId="4DF4BF8B" w14:textId="77777777" w:rsidR="00B72961" w:rsidRPr="00892824" w:rsidRDefault="00B72961" w:rsidP="00B72961">
      <w:pPr>
        <w:numPr>
          <w:ilvl w:val="0"/>
          <w:numId w:val="5"/>
        </w:numPr>
        <w:spacing w:before="120"/>
        <w:ind w:left="709" w:hanging="284"/>
        <w:contextualSpacing/>
        <w:rPr>
          <w:rFonts w:asciiTheme="minorHAnsi" w:hAnsiTheme="minorHAnsi" w:cstheme="minorHAnsi"/>
          <w:sz w:val="22"/>
          <w:szCs w:val="22"/>
          <w:lang w:val="en-GB"/>
        </w:rPr>
      </w:pPr>
      <w:r w:rsidRPr="00892824">
        <w:rPr>
          <w:rFonts w:asciiTheme="minorHAnsi" w:hAnsiTheme="minorHAnsi" w:cstheme="minorHAnsi"/>
          <w:sz w:val="22"/>
          <w:szCs w:val="22"/>
          <w:lang w:val="en-GB"/>
        </w:rPr>
        <w:t>and voluntary carbon markets.</w:t>
      </w:r>
    </w:p>
    <w:p w14:paraId="416514EF" w14:textId="77777777" w:rsidR="00B72961" w:rsidRPr="00892824" w:rsidRDefault="00B72961" w:rsidP="00B72961">
      <w:pPr>
        <w:rPr>
          <w:rFonts w:asciiTheme="minorHAnsi" w:hAnsiTheme="minorHAnsi" w:cstheme="minorHAnsi"/>
          <w:sz w:val="22"/>
          <w:szCs w:val="22"/>
          <w:lang w:val="en-GB"/>
        </w:rPr>
      </w:pPr>
    </w:p>
    <w:p w14:paraId="5DE0DBB4" w14:textId="77777777" w:rsidR="00B72961" w:rsidRPr="00892824" w:rsidRDefault="00B72961" w:rsidP="00B72961">
      <w:pPr>
        <w:numPr>
          <w:ilvl w:val="0"/>
          <w:numId w:val="2"/>
        </w:numPr>
        <w:ind w:left="426" w:hanging="426"/>
        <w:rPr>
          <w:rFonts w:asciiTheme="minorHAnsi" w:hAnsiTheme="minorHAnsi" w:cstheme="minorHAnsi"/>
          <w:sz w:val="22"/>
          <w:szCs w:val="22"/>
          <w:lang w:val="en-GB"/>
        </w:rPr>
      </w:pPr>
      <w:r w:rsidRPr="00892824">
        <w:rPr>
          <w:rFonts w:asciiTheme="minorHAnsi" w:hAnsiTheme="minorHAnsi" w:cstheme="minorHAnsi"/>
          <w:i/>
          <w:sz w:val="22"/>
          <w:szCs w:val="22"/>
          <w:lang w:val="en-GB"/>
        </w:rPr>
        <w:t>Budget support</w:t>
      </w:r>
      <w:r w:rsidRPr="00892824">
        <w:rPr>
          <w:rFonts w:asciiTheme="minorHAnsi" w:hAnsiTheme="minorHAnsi" w:cstheme="minorHAnsi"/>
          <w:sz w:val="22"/>
          <w:szCs w:val="22"/>
          <w:lang w:val="en-GB"/>
        </w:rPr>
        <w:t xml:space="preserve"> is a ‘transfer of financial resources of an external financing agency to the National Treasury of a partner country, following the respect by the latter of agreed conditions for payment’</w:t>
      </w:r>
      <w:r>
        <w:rPr>
          <w:rFonts w:asciiTheme="minorHAnsi" w:hAnsiTheme="minorHAnsi" w:cstheme="minorHAnsi"/>
          <w:sz w:val="22"/>
          <w:szCs w:val="22"/>
          <w:lang w:val="en-GB"/>
        </w:rPr>
        <w:t xml:space="preserve"> (EC 2007b: 10)</w:t>
      </w:r>
      <w:r w:rsidRPr="00892824">
        <w:rPr>
          <w:rFonts w:asciiTheme="minorHAnsi" w:hAnsiTheme="minorHAnsi" w:cstheme="minorHAnsi"/>
          <w:sz w:val="22"/>
          <w:szCs w:val="22"/>
          <w:lang w:val="en-GB"/>
        </w:rPr>
        <w:t>. Whether ‘</w:t>
      </w:r>
      <w:r>
        <w:rPr>
          <w:rFonts w:asciiTheme="minorHAnsi" w:hAnsiTheme="minorHAnsi" w:cstheme="minorHAnsi"/>
          <w:sz w:val="22"/>
          <w:szCs w:val="22"/>
          <w:lang w:val="en-GB"/>
        </w:rPr>
        <w:t>sector</w:t>
      </w:r>
      <w:r w:rsidRPr="00892824">
        <w:rPr>
          <w:rFonts w:asciiTheme="minorHAnsi" w:hAnsiTheme="minorHAnsi" w:cstheme="minorHAnsi"/>
          <w:sz w:val="22"/>
          <w:szCs w:val="22"/>
          <w:lang w:val="en-GB"/>
        </w:rPr>
        <w:t>’ or ‘general’, it provides extra resources for the national budget, either in the form of grants (e.g. EC) or loans (e.g. World Bank). National procedures apply to the commitment and disbursement of funds (budget support is implemented via the national publ</w:t>
      </w:r>
      <w:r>
        <w:rPr>
          <w:rFonts w:asciiTheme="minorHAnsi" w:hAnsiTheme="minorHAnsi" w:cstheme="minorHAnsi"/>
          <w:sz w:val="22"/>
          <w:szCs w:val="22"/>
          <w:lang w:val="en-GB"/>
        </w:rPr>
        <w:t>ic financial management system). This</w:t>
      </w:r>
      <w:r w:rsidRPr="00892824">
        <w:rPr>
          <w:rFonts w:asciiTheme="minorHAnsi" w:hAnsiTheme="minorHAnsi" w:cstheme="minorHAnsi"/>
          <w:sz w:val="22"/>
          <w:szCs w:val="22"/>
          <w:lang w:val="en-GB"/>
        </w:rPr>
        <w:t xml:space="preserve"> is expected to result in </w:t>
      </w:r>
      <w:r>
        <w:rPr>
          <w:rFonts w:asciiTheme="minorHAnsi" w:hAnsiTheme="minorHAnsi" w:cstheme="minorHAnsi"/>
          <w:sz w:val="22"/>
          <w:szCs w:val="22"/>
          <w:lang w:val="en-GB"/>
        </w:rPr>
        <w:t>improved aid effectiveness (</w:t>
      </w:r>
      <w:r w:rsidRPr="00892824">
        <w:rPr>
          <w:rFonts w:asciiTheme="minorHAnsi" w:hAnsiTheme="minorHAnsi" w:cstheme="minorHAnsi"/>
          <w:sz w:val="22"/>
          <w:szCs w:val="22"/>
          <w:lang w:val="en-GB"/>
        </w:rPr>
        <w:t>increased national ownership</w:t>
      </w:r>
      <w:r>
        <w:rPr>
          <w:rFonts w:asciiTheme="minorHAnsi" w:hAnsiTheme="minorHAnsi" w:cstheme="minorHAnsi"/>
          <w:sz w:val="22"/>
          <w:szCs w:val="22"/>
          <w:lang w:val="en-GB"/>
        </w:rPr>
        <w:t>, increased alignment with country agendas and systems) and reduced transaction costs</w:t>
      </w:r>
      <w:r w:rsidRPr="00892824">
        <w:rPr>
          <w:rFonts w:asciiTheme="minorHAnsi" w:hAnsiTheme="minorHAnsi" w:cstheme="minorHAnsi"/>
          <w:sz w:val="22"/>
          <w:szCs w:val="22"/>
          <w:lang w:val="en-GB"/>
        </w:rPr>
        <w:t xml:space="preserve">. Budget support is the tool by excellence for supporting national policies and priorities, either at the macroeconomic level or at the </w:t>
      </w:r>
      <w:r>
        <w:rPr>
          <w:rFonts w:asciiTheme="minorHAnsi" w:hAnsiTheme="minorHAnsi" w:cstheme="minorHAnsi"/>
          <w:sz w:val="22"/>
          <w:szCs w:val="22"/>
          <w:lang w:val="en-GB"/>
        </w:rPr>
        <w:t>sector</w:t>
      </w:r>
      <w:r w:rsidRPr="00892824">
        <w:rPr>
          <w:rFonts w:asciiTheme="minorHAnsi" w:hAnsiTheme="minorHAnsi" w:cstheme="minorHAnsi"/>
          <w:sz w:val="22"/>
          <w:szCs w:val="22"/>
          <w:lang w:val="en-GB"/>
        </w:rPr>
        <w:t xml:space="preserve"> level. In contrast with project-based approaches, the focus of donors (in particular the EC) is primarily on results (outputs </w:t>
      </w:r>
      <w:r>
        <w:rPr>
          <w:rFonts w:asciiTheme="minorHAnsi" w:hAnsiTheme="minorHAnsi" w:cstheme="minorHAnsi"/>
          <w:sz w:val="22"/>
          <w:szCs w:val="22"/>
          <w:lang w:val="en-GB"/>
        </w:rPr>
        <w:t>and</w:t>
      </w:r>
      <w:r w:rsidRPr="00892824">
        <w:rPr>
          <w:rFonts w:asciiTheme="minorHAnsi" w:hAnsiTheme="minorHAnsi" w:cstheme="minorHAnsi"/>
          <w:sz w:val="22"/>
          <w:szCs w:val="22"/>
          <w:lang w:val="en-GB"/>
        </w:rPr>
        <w:t xml:space="preserve"> outcomes) rather than on inputs and methods – which requires a performance assessment framework with indicators and associated targets to monitor achievements</w:t>
      </w:r>
      <w:r>
        <w:rPr>
          <w:rFonts w:asciiTheme="minorHAnsi" w:hAnsiTheme="minorHAnsi" w:cstheme="minorHAnsi"/>
          <w:sz w:val="22"/>
          <w:szCs w:val="22"/>
          <w:lang w:val="en-GB"/>
        </w:rPr>
        <w:t xml:space="preserve"> (EC 2007a, 2007b)</w:t>
      </w:r>
      <w:r w:rsidRPr="00892824">
        <w:rPr>
          <w:rFonts w:asciiTheme="minorHAnsi" w:hAnsiTheme="minorHAnsi" w:cstheme="minorHAnsi"/>
          <w:sz w:val="22"/>
          <w:szCs w:val="22"/>
          <w:lang w:val="en-GB"/>
        </w:rPr>
        <w:t>.</w:t>
      </w:r>
    </w:p>
    <w:p w14:paraId="16598227" w14:textId="77777777" w:rsidR="00B72961" w:rsidRPr="00892824" w:rsidRDefault="00B72961" w:rsidP="00B72961">
      <w:pPr>
        <w:rPr>
          <w:rFonts w:asciiTheme="minorHAnsi" w:hAnsiTheme="minorHAnsi" w:cstheme="minorHAnsi"/>
          <w:sz w:val="22"/>
          <w:szCs w:val="22"/>
          <w:lang w:val="en-GB"/>
        </w:rPr>
      </w:pPr>
    </w:p>
    <w:p w14:paraId="02E2CC04" w14:textId="279E1067" w:rsidR="00B72961" w:rsidRPr="00892824" w:rsidRDefault="00B72961" w:rsidP="00B72961">
      <w:pPr>
        <w:numPr>
          <w:ilvl w:val="0"/>
          <w:numId w:val="2"/>
        </w:numPr>
        <w:ind w:left="426" w:hanging="426"/>
        <w:rPr>
          <w:rFonts w:asciiTheme="minorHAnsi" w:hAnsiTheme="minorHAnsi" w:cstheme="minorHAnsi"/>
          <w:sz w:val="22"/>
          <w:szCs w:val="22"/>
          <w:lang w:val="en-GB"/>
        </w:rPr>
      </w:pPr>
      <w:r w:rsidRPr="00892824">
        <w:rPr>
          <w:rFonts w:asciiTheme="minorHAnsi" w:hAnsiTheme="minorHAnsi" w:cstheme="minorHAnsi"/>
          <w:sz w:val="22"/>
          <w:szCs w:val="22"/>
          <w:lang w:val="en-GB"/>
        </w:rPr>
        <w:t xml:space="preserve">Budget support is </w:t>
      </w:r>
      <w:r w:rsidR="00683C2A">
        <w:rPr>
          <w:rFonts w:asciiTheme="minorHAnsi" w:hAnsiTheme="minorHAnsi" w:cstheme="minorHAnsi"/>
          <w:sz w:val="22"/>
          <w:szCs w:val="22"/>
          <w:lang w:val="en-GB"/>
        </w:rPr>
        <w:t>a</w:t>
      </w:r>
      <w:r w:rsidR="00683C2A" w:rsidRPr="00892824">
        <w:rPr>
          <w:rFonts w:asciiTheme="minorHAnsi" w:hAnsiTheme="minorHAnsi" w:cstheme="minorHAnsi"/>
          <w:sz w:val="22"/>
          <w:szCs w:val="22"/>
          <w:lang w:val="en-GB"/>
        </w:rPr>
        <w:t xml:space="preserve"> </w:t>
      </w:r>
      <w:r w:rsidRPr="00892824">
        <w:rPr>
          <w:rFonts w:asciiTheme="minorHAnsi" w:hAnsiTheme="minorHAnsi" w:cstheme="minorHAnsi"/>
          <w:sz w:val="22"/>
          <w:szCs w:val="22"/>
          <w:lang w:val="en-GB"/>
        </w:rPr>
        <w:t xml:space="preserve">preferred financing modality of the EC </w:t>
      </w:r>
      <w:r>
        <w:rPr>
          <w:rFonts w:asciiTheme="minorHAnsi" w:hAnsiTheme="minorHAnsi" w:cstheme="minorHAnsi"/>
          <w:sz w:val="22"/>
          <w:szCs w:val="22"/>
          <w:lang w:val="en-GB"/>
        </w:rPr>
        <w:t xml:space="preserve">(and the GCCA) </w:t>
      </w:r>
      <w:r w:rsidRPr="00892824">
        <w:rPr>
          <w:rFonts w:asciiTheme="minorHAnsi" w:hAnsiTheme="minorHAnsi" w:cstheme="minorHAnsi"/>
          <w:sz w:val="22"/>
          <w:szCs w:val="22"/>
          <w:lang w:val="en-GB"/>
        </w:rPr>
        <w:t>where basic eligibility conditions are met. It can be provided in the form of sector budget support (to support a sector policy or programme</w:t>
      </w:r>
      <w:r>
        <w:rPr>
          <w:rFonts w:asciiTheme="minorHAnsi" w:hAnsiTheme="minorHAnsi" w:cstheme="minorHAnsi"/>
          <w:sz w:val="22"/>
          <w:szCs w:val="22"/>
          <w:lang w:val="en-GB"/>
        </w:rPr>
        <w:t xml:space="preserve"> [o</w:t>
      </w:r>
      <w:r w:rsidRPr="006252C5">
        <w:rPr>
          <w:rFonts w:asciiTheme="minorHAnsi" w:hAnsiTheme="minorHAnsi" w:cstheme="minorHAnsi"/>
          <w:sz w:val="22"/>
          <w:szCs w:val="22"/>
          <w:lang w:val="en-GB"/>
        </w:rPr>
        <w:t xml:space="preserve">r the mainstreaming of climate change in the sector, </w:t>
      </w:r>
      <w:r w:rsidR="000A7546">
        <w:rPr>
          <w:rFonts w:asciiTheme="minorHAnsi" w:hAnsiTheme="minorHAnsi" w:cstheme="minorHAnsi"/>
          <w:sz w:val="22"/>
          <w:szCs w:val="22"/>
          <w:lang w:val="en-GB"/>
        </w:rPr>
        <w:t xml:space="preserve">e.g. </w:t>
      </w:r>
      <w:r w:rsidRPr="006252C5">
        <w:rPr>
          <w:rFonts w:asciiTheme="minorHAnsi" w:hAnsiTheme="minorHAnsi" w:cstheme="minorHAnsi"/>
          <w:sz w:val="22"/>
          <w:szCs w:val="22"/>
          <w:lang w:val="en-GB"/>
        </w:rPr>
        <w:t>in the case of the GCCA</w:t>
      </w:r>
      <w:r>
        <w:rPr>
          <w:rFonts w:asciiTheme="minorHAnsi" w:hAnsiTheme="minorHAnsi" w:cstheme="minorHAnsi"/>
          <w:sz w:val="22"/>
          <w:szCs w:val="22"/>
          <w:lang w:val="en-GB"/>
        </w:rPr>
        <w:t>]</w:t>
      </w:r>
      <w:r w:rsidRPr="00892824">
        <w:rPr>
          <w:rFonts w:asciiTheme="minorHAnsi" w:hAnsiTheme="minorHAnsi" w:cstheme="minorHAnsi"/>
          <w:sz w:val="22"/>
          <w:szCs w:val="22"/>
          <w:lang w:val="en-GB"/>
        </w:rPr>
        <w:t>), or general budget support (to support an overall development, poverty reduction or reform strategy</w:t>
      </w:r>
      <w:r>
        <w:rPr>
          <w:rFonts w:asciiTheme="minorHAnsi" w:hAnsiTheme="minorHAnsi" w:cstheme="minorHAnsi"/>
          <w:sz w:val="22"/>
          <w:szCs w:val="22"/>
          <w:lang w:val="en-GB"/>
        </w:rPr>
        <w:t xml:space="preserve"> [o</w:t>
      </w:r>
      <w:r w:rsidRPr="006252C5">
        <w:rPr>
          <w:rFonts w:asciiTheme="minorHAnsi" w:hAnsiTheme="minorHAnsi" w:cstheme="minorHAnsi"/>
          <w:sz w:val="22"/>
          <w:szCs w:val="22"/>
          <w:lang w:val="en-GB"/>
        </w:rPr>
        <w:t>r the mainstreaming of climate change at national and cross-sectoral levels</w:t>
      </w:r>
      <w:r>
        <w:rPr>
          <w:rFonts w:asciiTheme="minorHAnsi" w:hAnsiTheme="minorHAnsi" w:cstheme="minorHAnsi"/>
          <w:sz w:val="22"/>
          <w:szCs w:val="22"/>
          <w:lang w:val="en-GB"/>
        </w:rPr>
        <w:t>]</w:t>
      </w:r>
      <w:r w:rsidRPr="00892824">
        <w:rPr>
          <w:rFonts w:asciiTheme="minorHAnsi" w:hAnsiTheme="minorHAnsi" w:cstheme="minorHAnsi"/>
          <w:sz w:val="22"/>
          <w:szCs w:val="22"/>
          <w:lang w:val="en-GB"/>
        </w:rPr>
        <w:t>)</w:t>
      </w:r>
      <w:r>
        <w:rPr>
          <w:rFonts w:asciiTheme="minorHAnsi" w:hAnsiTheme="minorHAnsi" w:cstheme="minorHAnsi"/>
          <w:sz w:val="22"/>
          <w:szCs w:val="22"/>
          <w:lang w:val="en-GB"/>
        </w:rPr>
        <w:t xml:space="preserve"> (EC 2007a, 2007b)</w:t>
      </w:r>
      <w:r w:rsidRPr="00892824">
        <w:rPr>
          <w:rFonts w:asciiTheme="minorHAnsi" w:hAnsiTheme="minorHAnsi" w:cstheme="minorHAnsi"/>
          <w:sz w:val="22"/>
          <w:szCs w:val="22"/>
          <w:lang w:val="en-GB"/>
        </w:rPr>
        <w:t xml:space="preserve">. Joint budget support operations are conducted with other donors where </w:t>
      </w:r>
      <w:r>
        <w:rPr>
          <w:rFonts w:asciiTheme="minorHAnsi" w:hAnsiTheme="minorHAnsi" w:cstheme="minorHAnsi"/>
          <w:sz w:val="22"/>
          <w:szCs w:val="22"/>
          <w:lang w:val="en-GB"/>
        </w:rPr>
        <w:t>possible</w:t>
      </w:r>
      <w:r w:rsidRPr="00892824">
        <w:rPr>
          <w:rFonts w:asciiTheme="minorHAnsi" w:hAnsiTheme="minorHAnsi" w:cstheme="minorHAnsi"/>
          <w:sz w:val="22"/>
          <w:szCs w:val="22"/>
          <w:lang w:val="en-GB"/>
        </w:rPr>
        <w:t>. An EC budget support programme typically has a 3</w:t>
      </w:r>
      <w:r>
        <w:rPr>
          <w:rFonts w:asciiTheme="minorHAnsi" w:hAnsiTheme="minorHAnsi" w:cstheme="minorHAnsi"/>
          <w:sz w:val="22"/>
          <w:szCs w:val="22"/>
          <w:lang w:val="en-GB"/>
        </w:rPr>
        <w:t>–</w:t>
      </w:r>
      <w:r w:rsidRPr="00892824">
        <w:rPr>
          <w:rFonts w:asciiTheme="minorHAnsi" w:hAnsiTheme="minorHAnsi" w:cstheme="minorHAnsi"/>
          <w:sz w:val="22"/>
          <w:szCs w:val="22"/>
          <w:lang w:val="en-GB"/>
        </w:rPr>
        <w:t xml:space="preserve">4 year duration, with annual disbursements. </w:t>
      </w:r>
    </w:p>
    <w:p w14:paraId="51B9719F" w14:textId="77777777" w:rsidR="00B72961" w:rsidRPr="00892824" w:rsidRDefault="00B72961" w:rsidP="00B72961">
      <w:pPr>
        <w:rPr>
          <w:rFonts w:asciiTheme="minorHAnsi" w:hAnsiTheme="minorHAnsi" w:cstheme="minorHAnsi"/>
          <w:sz w:val="22"/>
          <w:szCs w:val="22"/>
          <w:lang w:val="en-GB"/>
        </w:rPr>
      </w:pPr>
    </w:p>
    <w:p w14:paraId="5248B522" w14:textId="2FDD4157" w:rsidR="00B72961" w:rsidRDefault="008A62EC" w:rsidP="00B72961">
      <w:pPr>
        <w:numPr>
          <w:ilvl w:val="0"/>
          <w:numId w:val="2"/>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There are 4</w:t>
      </w:r>
      <w:r w:rsidR="00B72961" w:rsidRPr="00892824">
        <w:rPr>
          <w:rFonts w:asciiTheme="minorHAnsi" w:hAnsiTheme="minorHAnsi" w:cstheme="minorHAnsi"/>
          <w:sz w:val="22"/>
          <w:szCs w:val="22"/>
          <w:lang w:val="en-GB"/>
        </w:rPr>
        <w:t xml:space="preserve"> </w:t>
      </w:r>
      <w:r w:rsidR="00B72961" w:rsidRPr="00892824">
        <w:rPr>
          <w:rFonts w:asciiTheme="minorHAnsi" w:hAnsiTheme="minorHAnsi" w:cstheme="minorHAnsi"/>
          <w:i/>
          <w:sz w:val="22"/>
          <w:szCs w:val="22"/>
          <w:lang w:val="en-GB"/>
        </w:rPr>
        <w:t>general eligibility conditions</w:t>
      </w:r>
      <w:r w:rsidR="00B72961" w:rsidRPr="00892824">
        <w:rPr>
          <w:rFonts w:asciiTheme="minorHAnsi" w:hAnsiTheme="minorHAnsi" w:cstheme="minorHAnsi"/>
          <w:sz w:val="22"/>
          <w:szCs w:val="22"/>
          <w:lang w:val="en-GB"/>
        </w:rPr>
        <w:t xml:space="preserve"> for EC budget support: </w:t>
      </w:r>
    </w:p>
    <w:p w14:paraId="4A59B810" w14:textId="77777777" w:rsidR="00B72961" w:rsidRDefault="00B72961" w:rsidP="00B72961">
      <w:pPr>
        <w:numPr>
          <w:ilvl w:val="1"/>
          <w:numId w:val="26"/>
        </w:numPr>
        <w:spacing w:before="120"/>
        <w:ind w:left="850" w:hanging="425"/>
        <w:rPr>
          <w:rFonts w:asciiTheme="minorHAnsi" w:hAnsiTheme="minorHAnsi" w:cstheme="minorHAnsi"/>
          <w:sz w:val="22"/>
          <w:szCs w:val="22"/>
          <w:lang w:val="en-GB"/>
        </w:rPr>
      </w:pPr>
      <w:r w:rsidRPr="00892824">
        <w:rPr>
          <w:rFonts w:asciiTheme="minorHAnsi" w:hAnsiTheme="minorHAnsi" w:cstheme="minorHAnsi"/>
          <w:sz w:val="22"/>
          <w:szCs w:val="22"/>
          <w:lang w:val="en-GB"/>
        </w:rPr>
        <w:t xml:space="preserve">the existence of a well-articulated national or </w:t>
      </w:r>
      <w:r>
        <w:rPr>
          <w:rFonts w:asciiTheme="minorHAnsi" w:hAnsiTheme="minorHAnsi" w:cstheme="minorHAnsi"/>
          <w:sz w:val="22"/>
          <w:szCs w:val="22"/>
          <w:lang w:val="en-GB"/>
        </w:rPr>
        <w:t>sector</w:t>
      </w:r>
      <w:r w:rsidRPr="00892824">
        <w:rPr>
          <w:rFonts w:asciiTheme="minorHAnsi" w:hAnsiTheme="minorHAnsi" w:cstheme="minorHAnsi"/>
          <w:sz w:val="22"/>
          <w:szCs w:val="22"/>
          <w:lang w:val="en-GB"/>
        </w:rPr>
        <w:t xml:space="preserve"> policy/strategy to which the budget transfer will contribute</w:t>
      </w:r>
      <w:r>
        <w:rPr>
          <w:rFonts w:asciiTheme="minorHAnsi" w:hAnsiTheme="minorHAnsi" w:cstheme="minorHAnsi"/>
          <w:sz w:val="22"/>
          <w:szCs w:val="22"/>
          <w:lang w:val="en-GB"/>
        </w:rPr>
        <w:t xml:space="preserve"> </w:t>
      </w:r>
      <w:r w:rsidRPr="0064288E">
        <w:rPr>
          <w:rFonts w:asciiTheme="minorHAnsi" w:hAnsiTheme="minorHAnsi" w:cstheme="minorHAnsi"/>
          <w:sz w:val="22"/>
          <w:szCs w:val="22"/>
          <w:lang w:val="en-GB"/>
        </w:rPr>
        <w:t>(when it comes to climate change budget support, the policy/strategy either already integrates climate considerations or more often is expected to make progress in this direction through the budget support programme)</w:t>
      </w:r>
      <w:r w:rsidRPr="00892824">
        <w:rPr>
          <w:rFonts w:asciiTheme="minorHAnsi" w:hAnsiTheme="minorHAnsi" w:cstheme="minorHAnsi"/>
          <w:sz w:val="22"/>
          <w:szCs w:val="22"/>
          <w:lang w:val="en-GB"/>
        </w:rPr>
        <w:t xml:space="preserve">; </w:t>
      </w:r>
    </w:p>
    <w:p w14:paraId="6EF70810" w14:textId="56207CEC" w:rsidR="00B72961" w:rsidRDefault="00B72961" w:rsidP="00B72961">
      <w:pPr>
        <w:numPr>
          <w:ilvl w:val="1"/>
          <w:numId w:val="26"/>
        </w:numPr>
        <w:spacing w:before="120"/>
        <w:ind w:left="850" w:hanging="425"/>
        <w:rPr>
          <w:rFonts w:asciiTheme="minorHAnsi" w:hAnsiTheme="minorHAnsi" w:cstheme="minorHAnsi"/>
          <w:sz w:val="22"/>
          <w:szCs w:val="22"/>
          <w:lang w:val="en-GB"/>
        </w:rPr>
      </w:pPr>
      <w:r w:rsidRPr="00892824">
        <w:rPr>
          <w:rFonts w:asciiTheme="minorHAnsi" w:hAnsiTheme="minorHAnsi" w:cstheme="minorHAnsi"/>
          <w:sz w:val="22"/>
          <w:szCs w:val="22"/>
          <w:lang w:val="en-GB"/>
        </w:rPr>
        <w:t xml:space="preserve">a reasonably stable macroeconomic framework; </w:t>
      </w:r>
    </w:p>
    <w:p w14:paraId="15FD4E3E" w14:textId="041C144D" w:rsidR="00B72961" w:rsidRDefault="00B72961" w:rsidP="00B72961">
      <w:pPr>
        <w:numPr>
          <w:ilvl w:val="1"/>
          <w:numId w:val="26"/>
        </w:numPr>
        <w:spacing w:before="120"/>
        <w:ind w:left="850" w:hanging="425"/>
        <w:rPr>
          <w:rFonts w:asciiTheme="minorHAnsi" w:hAnsiTheme="minorHAnsi" w:cstheme="minorHAnsi"/>
          <w:sz w:val="22"/>
          <w:szCs w:val="22"/>
          <w:lang w:val="en-GB"/>
        </w:rPr>
      </w:pPr>
      <w:r w:rsidRPr="00892824">
        <w:rPr>
          <w:rFonts w:asciiTheme="minorHAnsi" w:hAnsiTheme="minorHAnsi" w:cstheme="minorHAnsi"/>
          <w:sz w:val="22"/>
          <w:szCs w:val="22"/>
          <w:lang w:val="en-GB"/>
        </w:rPr>
        <w:t>a reliable or improving pub</w:t>
      </w:r>
      <w:r w:rsidR="008A62EC">
        <w:rPr>
          <w:rFonts w:asciiTheme="minorHAnsi" w:hAnsiTheme="minorHAnsi" w:cstheme="minorHAnsi"/>
          <w:sz w:val="22"/>
          <w:szCs w:val="22"/>
          <w:lang w:val="en-GB"/>
        </w:rPr>
        <w:t>lic financial management system;</w:t>
      </w:r>
    </w:p>
    <w:p w14:paraId="444E1F85" w14:textId="44437F6D" w:rsidR="008A62EC" w:rsidRDefault="008A62EC" w:rsidP="00B72961">
      <w:pPr>
        <w:numPr>
          <w:ilvl w:val="1"/>
          <w:numId w:val="26"/>
        </w:numPr>
        <w:spacing w:before="120"/>
        <w:ind w:left="850" w:hanging="425"/>
        <w:rPr>
          <w:rFonts w:asciiTheme="minorHAnsi" w:hAnsiTheme="minorHAnsi" w:cstheme="minorHAnsi"/>
          <w:sz w:val="22"/>
          <w:szCs w:val="22"/>
          <w:lang w:val="en-GB"/>
        </w:rPr>
      </w:pPr>
      <w:proofErr w:type="gramStart"/>
      <w:r>
        <w:rPr>
          <w:rFonts w:asciiTheme="minorHAnsi" w:hAnsiTheme="minorHAnsi" w:cstheme="minorHAnsi"/>
          <w:sz w:val="22"/>
          <w:szCs w:val="22"/>
          <w:lang w:val="en-GB"/>
        </w:rPr>
        <w:lastRenderedPageBreak/>
        <w:t>transparency</w:t>
      </w:r>
      <w:proofErr w:type="gramEnd"/>
      <w:r>
        <w:rPr>
          <w:rFonts w:asciiTheme="minorHAnsi" w:hAnsiTheme="minorHAnsi" w:cstheme="minorHAnsi"/>
          <w:sz w:val="22"/>
          <w:szCs w:val="22"/>
          <w:lang w:val="en-GB"/>
        </w:rPr>
        <w:t xml:space="preserve"> and oversight of the budget.</w:t>
      </w:r>
    </w:p>
    <w:p w14:paraId="31AF60E3" w14:textId="77777777" w:rsidR="00B72961" w:rsidRDefault="00B72961" w:rsidP="00B72961">
      <w:pPr>
        <w:pStyle w:val="ListParagraph"/>
        <w:rPr>
          <w:rFonts w:asciiTheme="minorHAnsi" w:hAnsiTheme="minorHAnsi" w:cstheme="minorHAnsi"/>
          <w:sz w:val="22"/>
          <w:szCs w:val="22"/>
          <w:lang w:val="en-GB"/>
        </w:rPr>
      </w:pPr>
    </w:p>
    <w:p w14:paraId="3024BF6E" w14:textId="77777777" w:rsidR="00B72961" w:rsidRPr="00892824" w:rsidRDefault="00B72961" w:rsidP="00B72961">
      <w:pPr>
        <w:numPr>
          <w:ilvl w:val="0"/>
          <w:numId w:val="2"/>
        </w:numPr>
        <w:ind w:left="426" w:hanging="426"/>
        <w:rPr>
          <w:rFonts w:asciiTheme="minorHAnsi" w:hAnsiTheme="minorHAnsi" w:cstheme="minorHAnsi"/>
          <w:sz w:val="22"/>
          <w:szCs w:val="22"/>
          <w:lang w:val="en-GB"/>
        </w:rPr>
      </w:pPr>
      <w:r w:rsidRPr="00892824">
        <w:rPr>
          <w:rFonts w:asciiTheme="minorHAnsi" w:hAnsiTheme="minorHAnsi" w:cstheme="minorHAnsi"/>
          <w:sz w:val="22"/>
          <w:szCs w:val="22"/>
          <w:lang w:val="en-GB"/>
        </w:rPr>
        <w:t>Another characteristic of EC budget support is that annual disbursements include two types of ‘tranches’:</w:t>
      </w:r>
    </w:p>
    <w:p w14:paraId="0CD0A612" w14:textId="77777777" w:rsidR="00B72961" w:rsidRPr="00892824" w:rsidRDefault="00B72961" w:rsidP="00B72961">
      <w:pPr>
        <w:numPr>
          <w:ilvl w:val="0"/>
          <w:numId w:val="8"/>
        </w:numPr>
        <w:spacing w:before="120"/>
        <w:ind w:left="709" w:hanging="284"/>
        <w:rPr>
          <w:rFonts w:asciiTheme="minorHAnsi" w:hAnsiTheme="minorHAnsi" w:cstheme="minorHAnsi"/>
          <w:sz w:val="22"/>
          <w:szCs w:val="22"/>
          <w:lang w:val="en-GB"/>
        </w:rPr>
      </w:pPr>
      <w:r w:rsidRPr="00892824">
        <w:rPr>
          <w:rFonts w:asciiTheme="minorHAnsi" w:hAnsiTheme="minorHAnsi" w:cstheme="minorHAnsi"/>
          <w:i/>
          <w:sz w:val="22"/>
          <w:szCs w:val="22"/>
          <w:lang w:val="en-GB"/>
        </w:rPr>
        <w:t>fixed tranche</w:t>
      </w:r>
      <w:r>
        <w:rPr>
          <w:rFonts w:asciiTheme="minorHAnsi" w:hAnsiTheme="minorHAnsi" w:cstheme="minorHAnsi"/>
          <w:i/>
          <w:sz w:val="22"/>
          <w:szCs w:val="22"/>
          <w:lang w:val="en-GB"/>
        </w:rPr>
        <w:t>s</w:t>
      </w:r>
      <w:r w:rsidRPr="00892824">
        <w:rPr>
          <w:rFonts w:asciiTheme="minorHAnsi" w:hAnsiTheme="minorHAnsi" w:cstheme="minorHAnsi"/>
          <w:sz w:val="22"/>
          <w:szCs w:val="22"/>
          <w:lang w:val="en-GB"/>
        </w:rPr>
        <w:t xml:space="preserve">, paid in full as long as </w:t>
      </w:r>
      <w:r>
        <w:rPr>
          <w:rFonts w:asciiTheme="minorHAnsi" w:hAnsiTheme="minorHAnsi" w:cstheme="minorHAnsi"/>
          <w:sz w:val="22"/>
          <w:szCs w:val="22"/>
          <w:lang w:val="en-GB"/>
        </w:rPr>
        <w:t xml:space="preserve">general </w:t>
      </w:r>
      <w:r w:rsidRPr="00892824">
        <w:rPr>
          <w:rFonts w:asciiTheme="minorHAnsi" w:hAnsiTheme="minorHAnsi" w:cstheme="minorHAnsi"/>
          <w:sz w:val="22"/>
          <w:szCs w:val="22"/>
          <w:lang w:val="en-GB"/>
        </w:rPr>
        <w:t xml:space="preserve">eligibility conditions are </w:t>
      </w:r>
      <w:r>
        <w:rPr>
          <w:rFonts w:asciiTheme="minorHAnsi" w:hAnsiTheme="minorHAnsi" w:cstheme="minorHAnsi"/>
          <w:sz w:val="22"/>
          <w:szCs w:val="22"/>
          <w:lang w:val="en-GB"/>
        </w:rPr>
        <w:t>met</w:t>
      </w:r>
      <w:r w:rsidRPr="00892824">
        <w:rPr>
          <w:rFonts w:asciiTheme="minorHAnsi" w:hAnsiTheme="minorHAnsi" w:cstheme="minorHAnsi"/>
          <w:sz w:val="22"/>
          <w:szCs w:val="22"/>
          <w:lang w:val="en-GB"/>
        </w:rPr>
        <w:t xml:space="preserve">; </w:t>
      </w:r>
      <w:r>
        <w:rPr>
          <w:rFonts w:asciiTheme="minorHAnsi" w:hAnsiTheme="minorHAnsi" w:cstheme="minorHAnsi"/>
          <w:sz w:val="22"/>
          <w:szCs w:val="22"/>
          <w:lang w:val="en-GB"/>
        </w:rPr>
        <w:t>they</w:t>
      </w:r>
      <w:r w:rsidRPr="00892824">
        <w:rPr>
          <w:rFonts w:asciiTheme="minorHAnsi" w:hAnsiTheme="minorHAnsi" w:cstheme="minorHAnsi"/>
          <w:sz w:val="22"/>
          <w:szCs w:val="22"/>
          <w:lang w:val="en-GB"/>
        </w:rPr>
        <w:t xml:space="preserve"> provide an element of predictability;</w:t>
      </w:r>
      <w:r>
        <w:rPr>
          <w:rFonts w:asciiTheme="minorHAnsi" w:hAnsiTheme="minorHAnsi" w:cstheme="minorHAnsi"/>
          <w:sz w:val="22"/>
          <w:szCs w:val="22"/>
          <w:lang w:val="en-GB"/>
        </w:rPr>
        <w:t xml:space="preserve"> </w:t>
      </w:r>
      <w:r w:rsidRPr="007D60B9">
        <w:rPr>
          <w:rFonts w:asciiTheme="minorHAnsi" w:hAnsiTheme="minorHAnsi" w:cstheme="minorHAnsi"/>
          <w:sz w:val="22"/>
          <w:szCs w:val="22"/>
          <w:lang w:val="en-GB"/>
        </w:rPr>
        <w:t>additional specific conditions for the fixed tranches can be agreed on and included in the programme if deemed appropriate</w:t>
      </w:r>
      <w:r>
        <w:rPr>
          <w:rFonts w:asciiTheme="minorHAnsi" w:hAnsiTheme="minorHAnsi" w:cstheme="minorHAnsi"/>
          <w:sz w:val="22"/>
          <w:szCs w:val="22"/>
          <w:lang w:val="en-GB"/>
        </w:rPr>
        <w:t>;</w:t>
      </w:r>
    </w:p>
    <w:p w14:paraId="3B7FC27A" w14:textId="77777777" w:rsidR="00B72961" w:rsidRPr="00892824" w:rsidRDefault="00B72961" w:rsidP="00B72961">
      <w:pPr>
        <w:numPr>
          <w:ilvl w:val="0"/>
          <w:numId w:val="8"/>
        </w:numPr>
        <w:spacing w:before="120"/>
        <w:ind w:left="709" w:hanging="284"/>
        <w:rPr>
          <w:rFonts w:asciiTheme="minorHAnsi" w:hAnsiTheme="minorHAnsi" w:cstheme="minorHAnsi"/>
          <w:sz w:val="22"/>
          <w:szCs w:val="22"/>
          <w:lang w:val="en-GB"/>
        </w:rPr>
      </w:pPr>
      <w:r w:rsidRPr="00892824">
        <w:rPr>
          <w:rFonts w:asciiTheme="minorHAnsi" w:hAnsiTheme="minorHAnsi" w:cstheme="minorHAnsi"/>
          <w:i/>
          <w:sz w:val="22"/>
          <w:szCs w:val="22"/>
          <w:lang w:val="en-GB"/>
        </w:rPr>
        <w:t>variable tranche</w:t>
      </w:r>
      <w:r>
        <w:rPr>
          <w:rFonts w:asciiTheme="minorHAnsi" w:hAnsiTheme="minorHAnsi" w:cstheme="minorHAnsi"/>
          <w:i/>
          <w:sz w:val="22"/>
          <w:szCs w:val="22"/>
          <w:lang w:val="en-GB"/>
        </w:rPr>
        <w:t>s</w:t>
      </w:r>
      <w:r w:rsidRPr="00892824">
        <w:rPr>
          <w:rFonts w:asciiTheme="minorHAnsi" w:hAnsiTheme="minorHAnsi" w:cstheme="minorHAnsi"/>
          <w:sz w:val="22"/>
          <w:szCs w:val="22"/>
          <w:lang w:val="en-GB"/>
        </w:rPr>
        <w:t xml:space="preserve">, paid in full or (more often) in part based on actual performance against </w:t>
      </w:r>
      <w:r>
        <w:rPr>
          <w:rFonts w:asciiTheme="minorHAnsi" w:hAnsiTheme="minorHAnsi" w:cstheme="minorHAnsi"/>
          <w:sz w:val="22"/>
          <w:szCs w:val="22"/>
          <w:lang w:val="en-GB"/>
        </w:rPr>
        <w:t>specific conditions (gradual in nature)</w:t>
      </w:r>
      <w:r w:rsidR="00633331">
        <w:rPr>
          <w:rFonts w:asciiTheme="minorHAnsi" w:hAnsiTheme="minorHAnsi" w:cstheme="minorHAnsi"/>
          <w:sz w:val="22"/>
          <w:szCs w:val="22"/>
          <w:lang w:val="en-GB"/>
        </w:rPr>
        <w:t xml:space="preserve"> and as long as general eligibility conditions are met</w:t>
      </w:r>
      <w:r w:rsidRPr="00892824">
        <w:rPr>
          <w:rFonts w:asciiTheme="minorHAnsi" w:hAnsiTheme="minorHAnsi" w:cstheme="minorHAnsi"/>
          <w:sz w:val="22"/>
          <w:szCs w:val="22"/>
          <w:lang w:val="en-GB"/>
        </w:rPr>
        <w:t xml:space="preserve">; the criteria and targets are </w:t>
      </w:r>
      <w:r>
        <w:rPr>
          <w:rFonts w:asciiTheme="minorHAnsi" w:hAnsiTheme="minorHAnsi" w:cstheme="minorHAnsi"/>
          <w:sz w:val="22"/>
          <w:szCs w:val="22"/>
          <w:lang w:val="en-GB"/>
        </w:rPr>
        <w:t>i</w:t>
      </w:r>
      <w:r w:rsidRPr="00892824">
        <w:rPr>
          <w:rFonts w:asciiTheme="minorHAnsi" w:hAnsiTheme="minorHAnsi" w:cstheme="minorHAnsi"/>
          <w:sz w:val="22"/>
          <w:szCs w:val="22"/>
          <w:lang w:val="en-GB"/>
        </w:rPr>
        <w:t xml:space="preserve">n principle taken from the </w:t>
      </w:r>
      <w:r>
        <w:rPr>
          <w:rFonts w:asciiTheme="minorHAnsi" w:hAnsiTheme="minorHAnsi" w:cstheme="minorHAnsi"/>
          <w:sz w:val="22"/>
          <w:szCs w:val="22"/>
          <w:lang w:val="en-GB"/>
        </w:rPr>
        <w:t>performance assessment framework</w:t>
      </w:r>
      <w:r w:rsidRPr="00892824">
        <w:rPr>
          <w:rFonts w:asciiTheme="minorHAnsi" w:hAnsiTheme="minorHAnsi" w:cstheme="minorHAnsi"/>
          <w:sz w:val="22"/>
          <w:szCs w:val="22"/>
          <w:lang w:val="en-GB"/>
        </w:rPr>
        <w:t xml:space="preserve"> associated with the supported policy or strategy</w:t>
      </w:r>
      <w:r>
        <w:rPr>
          <w:rFonts w:asciiTheme="minorHAnsi" w:hAnsiTheme="minorHAnsi" w:cstheme="minorHAnsi"/>
          <w:sz w:val="22"/>
          <w:szCs w:val="22"/>
          <w:lang w:val="en-GB"/>
        </w:rPr>
        <w:t xml:space="preserve"> (see Module 9)</w:t>
      </w:r>
      <w:r w:rsidRPr="00892824">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with a view </w:t>
      </w:r>
      <w:r w:rsidRPr="00892824">
        <w:rPr>
          <w:rFonts w:asciiTheme="minorHAnsi" w:hAnsiTheme="minorHAnsi" w:cstheme="minorHAnsi"/>
          <w:sz w:val="22"/>
          <w:szCs w:val="22"/>
          <w:lang w:val="en-GB"/>
        </w:rPr>
        <w:t>to provid</w:t>
      </w:r>
      <w:r>
        <w:rPr>
          <w:rFonts w:asciiTheme="minorHAnsi" w:hAnsiTheme="minorHAnsi" w:cstheme="minorHAnsi"/>
          <w:sz w:val="22"/>
          <w:szCs w:val="22"/>
          <w:lang w:val="en-GB"/>
        </w:rPr>
        <w:t>ing</w:t>
      </w:r>
      <w:r w:rsidRPr="00892824">
        <w:rPr>
          <w:rFonts w:asciiTheme="minorHAnsi" w:hAnsiTheme="minorHAnsi" w:cstheme="minorHAnsi"/>
          <w:sz w:val="22"/>
          <w:szCs w:val="22"/>
          <w:lang w:val="en-GB"/>
        </w:rPr>
        <w:t xml:space="preserve"> a results-oriented performance incentive</w:t>
      </w:r>
      <w:r>
        <w:rPr>
          <w:rFonts w:asciiTheme="minorHAnsi" w:hAnsiTheme="minorHAnsi" w:cstheme="minorHAnsi"/>
          <w:sz w:val="22"/>
          <w:szCs w:val="22"/>
          <w:lang w:val="en-GB"/>
        </w:rPr>
        <w:t xml:space="preserve"> (EC 2007a, 2007b)</w:t>
      </w:r>
      <w:r w:rsidRPr="00892824">
        <w:rPr>
          <w:rFonts w:asciiTheme="minorHAnsi" w:hAnsiTheme="minorHAnsi" w:cstheme="minorHAnsi"/>
          <w:sz w:val="22"/>
          <w:szCs w:val="22"/>
          <w:lang w:val="en-GB"/>
        </w:rPr>
        <w:t>.</w:t>
      </w:r>
    </w:p>
    <w:p w14:paraId="2F54962B" w14:textId="77777777" w:rsidR="00B72961" w:rsidRDefault="00B72961" w:rsidP="00353BD3">
      <w:pPr>
        <w:rPr>
          <w:rFonts w:asciiTheme="minorHAnsi" w:hAnsiTheme="minorHAnsi" w:cstheme="minorHAnsi"/>
          <w:sz w:val="22"/>
          <w:szCs w:val="22"/>
          <w:lang w:val="en-GB"/>
        </w:rPr>
        <w:sectPr w:rsidR="00B72961" w:rsidSect="00765B2A">
          <w:headerReference w:type="default" r:id="rId15"/>
          <w:footerReference w:type="default" r:id="rId16"/>
          <w:pgSz w:w="11906" w:h="16838" w:code="9"/>
          <w:pgMar w:top="1134" w:right="1418" w:bottom="1134" w:left="1276" w:header="709" w:footer="567" w:gutter="0"/>
          <w:pgNumType w:start="1"/>
          <w:cols w:space="708"/>
          <w:docGrid w:linePitch="360"/>
        </w:sectPr>
      </w:pPr>
    </w:p>
    <w:p w14:paraId="5B11ACE9" w14:textId="77777777" w:rsidR="00353BD3" w:rsidRPr="00353BD3" w:rsidRDefault="00353BD3" w:rsidP="00353BD3">
      <w:pPr>
        <w:spacing w:after="120"/>
        <w:jc w:val="center"/>
        <w:rPr>
          <w:rFonts w:asciiTheme="minorHAnsi" w:hAnsiTheme="minorHAnsi" w:cstheme="minorHAnsi"/>
          <w:b/>
          <w:sz w:val="20"/>
          <w:szCs w:val="20"/>
          <w:lang w:val="en-GB"/>
        </w:rPr>
      </w:pPr>
      <w:r w:rsidRPr="00353BD3">
        <w:rPr>
          <w:rFonts w:asciiTheme="minorHAnsi" w:hAnsiTheme="minorHAnsi" w:cstheme="minorHAnsi"/>
          <w:b/>
          <w:sz w:val="20"/>
          <w:szCs w:val="20"/>
          <w:lang w:val="en-GB"/>
        </w:rPr>
        <w:lastRenderedPageBreak/>
        <w:t>Table 8.1 – Sources of external public financing for climate change adaptation and mitigation</w:t>
      </w:r>
    </w:p>
    <w:tbl>
      <w:tblPr>
        <w:tblStyle w:val="TableGrid"/>
        <w:tblW w:w="0" w:type="auto"/>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H w:val="single" w:sz="6" w:space="0" w:color="244061" w:themeColor="accent1" w:themeShade="80"/>
          <w:insideV w:val="single" w:sz="6" w:space="0" w:color="244061" w:themeColor="accent1" w:themeShade="80"/>
        </w:tblBorders>
        <w:tblLook w:val="04A0" w:firstRow="1" w:lastRow="0" w:firstColumn="1" w:lastColumn="0" w:noHBand="0" w:noVBand="1"/>
      </w:tblPr>
      <w:tblGrid>
        <w:gridCol w:w="3227"/>
        <w:gridCol w:w="5953"/>
        <w:gridCol w:w="1059"/>
        <w:gridCol w:w="999"/>
        <w:gridCol w:w="3260"/>
      </w:tblGrid>
      <w:tr w:rsidR="00353BD3" w:rsidRPr="00D949A5" w14:paraId="76F203CF" w14:textId="77777777" w:rsidTr="000E665D">
        <w:trPr>
          <w:tblHeader/>
        </w:trPr>
        <w:tc>
          <w:tcPr>
            <w:tcW w:w="3227" w:type="dxa"/>
            <w:shd w:val="clear" w:color="auto" w:fill="365F91" w:themeFill="accent1" w:themeFillShade="BF"/>
            <w:vAlign w:val="center"/>
          </w:tcPr>
          <w:p w14:paraId="502356D0" w14:textId="77777777" w:rsidR="00353BD3" w:rsidRPr="00D949A5" w:rsidRDefault="00353BD3" w:rsidP="0044096F">
            <w:pPr>
              <w:spacing w:before="40" w:after="40"/>
              <w:jc w:val="left"/>
              <w:rPr>
                <w:rFonts w:asciiTheme="minorHAnsi" w:hAnsiTheme="minorHAnsi" w:cstheme="minorHAnsi"/>
                <w:b/>
                <w:color w:val="FFFFFF" w:themeColor="background1"/>
                <w:sz w:val="20"/>
                <w:szCs w:val="20"/>
                <w:lang w:val="en-GB"/>
              </w:rPr>
            </w:pPr>
            <w:r w:rsidRPr="00D949A5">
              <w:rPr>
                <w:rFonts w:asciiTheme="minorHAnsi" w:hAnsiTheme="minorHAnsi" w:cstheme="minorHAnsi"/>
                <w:b/>
                <w:color w:val="FFFFFF" w:themeColor="background1"/>
                <w:sz w:val="20"/>
                <w:szCs w:val="20"/>
                <w:lang w:val="en-GB"/>
              </w:rPr>
              <w:t>Source of funding</w:t>
            </w:r>
          </w:p>
        </w:tc>
        <w:tc>
          <w:tcPr>
            <w:tcW w:w="5953" w:type="dxa"/>
            <w:shd w:val="clear" w:color="auto" w:fill="365F91" w:themeFill="accent1" w:themeFillShade="BF"/>
            <w:vAlign w:val="center"/>
          </w:tcPr>
          <w:p w14:paraId="76C6402D" w14:textId="77777777" w:rsidR="00353BD3" w:rsidRPr="00D949A5" w:rsidRDefault="00353BD3" w:rsidP="0044096F">
            <w:pPr>
              <w:spacing w:before="40" w:after="40"/>
              <w:jc w:val="left"/>
              <w:rPr>
                <w:rFonts w:asciiTheme="minorHAnsi" w:hAnsiTheme="minorHAnsi" w:cstheme="minorHAnsi"/>
                <w:b/>
                <w:color w:val="FFFFFF" w:themeColor="background1"/>
                <w:sz w:val="20"/>
                <w:szCs w:val="20"/>
                <w:lang w:val="en-GB"/>
              </w:rPr>
            </w:pPr>
            <w:r w:rsidRPr="00D949A5">
              <w:rPr>
                <w:rFonts w:asciiTheme="minorHAnsi" w:hAnsiTheme="minorHAnsi" w:cstheme="minorHAnsi"/>
                <w:b/>
                <w:color w:val="FFFFFF" w:themeColor="background1"/>
                <w:sz w:val="20"/>
                <w:szCs w:val="20"/>
                <w:lang w:val="en-GB"/>
              </w:rPr>
              <w:t>Activities supported</w:t>
            </w:r>
          </w:p>
        </w:tc>
        <w:tc>
          <w:tcPr>
            <w:tcW w:w="1059" w:type="dxa"/>
            <w:shd w:val="clear" w:color="auto" w:fill="365F91" w:themeFill="accent1" w:themeFillShade="BF"/>
            <w:vAlign w:val="center"/>
          </w:tcPr>
          <w:p w14:paraId="2E98FDA7" w14:textId="77777777" w:rsidR="00353BD3" w:rsidRPr="00D949A5" w:rsidRDefault="00353BD3" w:rsidP="0044096F">
            <w:pPr>
              <w:spacing w:before="40" w:after="40"/>
              <w:jc w:val="center"/>
              <w:rPr>
                <w:rFonts w:asciiTheme="minorHAnsi" w:hAnsiTheme="minorHAnsi" w:cstheme="minorHAnsi"/>
                <w:b/>
                <w:color w:val="FFFFFF" w:themeColor="background1"/>
                <w:sz w:val="18"/>
                <w:szCs w:val="18"/>
                <w:lang w:val="en-GB"/>
              </w:rPr>
            </w:pPr>
            <w:r w:rsidRPr="00D949A5">
              <w:rPr>
                <w:rFonts w:asciiTheme="minorHAnsi" w:hAnsiTheme="minorHAnsi" w:cstheme="minorHAnsi"/>
                <w:b/>
                <w:color w:val="FFFFFF" w:themeColor="background1"/>
                <w:sz w:val="18"/>
                <w:szCs w:val="18"/>
                <w:lang w:val="en-GB"/>
              </w:rPr>
              <w:t>Adaptation</w:t>
            </w:r>
          </w:p>
        </w:tc>
        <w:tc>
          <w:tcPr>
            <w:tcW w:w="999" w:type="dxa"/>
            <w:shd w:val="clear" w:color="auto" w:fill="365F91" w:themeFill="accent1" w:themeFillShade="BF"/>
            <w:vAlign w:val="center"/>
          </w:tcPr>
          <w:p w14:paraId="3E47BA86" w14:textId="77777777" w:rsidR="00353BD3" w:rsidRPr="00D949A5" w:rsidRDefault="00353BD3" w:rsidP="0044096F">
            <w:pPr>
              <w:spacing w:before="40" w:after="40"/>
              <w:jc w:val="center"/>
              <w:rPr>
                <w:rFonts w:asciiTheme="minorHAnsi" w:hAnsiTheme="minorHAnsi" w:cstheme="minorHAnsi"/>
                <w:b/>
                <w:color w:val="FFFFFF" w:themeColor="background1"/>
                <w:sz w:val="18"/>
                <w:szCs w:val="18"/>
                <w:lang w:val="en-GB"/>
              </w:rPr>
            </w:pPr>
            <w:r w:rsidRPr="00D949A5">
              <w:rPr>
                <w:rFonts w:asciiTheme="minorHAnsi" w:hAnsiTheme="minorHAnsi" w:cstheme="minorHAnsi"/>
                <w:b/>
                <w:color w:val="FFFFFF" w:themeColor="background1"/>
                <w:sz w:val="18"/>
                <w:szCs w:val="18"/>
                <w:lang w:val="en-GB"/>
              </w:rPr>
              <w:t>Mitigation</w:t>
            </w:r>
          </w:p>
        </w:tc>
        <w:tc>
          <w:tcPr>
            <w:tcW w:w="3260" w:type="dxa"/>
            <w:shd w:val="clear" w:color="auto" w:fill="365F91" w:themeFill="accent1" w:themeFillShade="BF"/>
            <w:vAlign w:val="center"/>
          </w:tcPr>
          <w:p w14:paraId="60CB6BC3" w14:textId="77777777" w:rsidR="00353BD3" w:rsidRPr="00D949A5" w:rsidRDefault="0044096F" w:rsidP="0044096F">
            <w:pPr>
              <w:spacing w:before="40" w:after="40"/>
              <w:jc w:val="left"/>
              <w:rPr>
                <w:rFonts w:asciiTheme="minorHAnsi" w:hAnsiTheme="minorHAnsi" w:cstheme="minorHAnsi"/>
                <w:b/>
                <w:color w:val="FFFFFF" w:themeColor="background1"/>
                <w:sz w:val="20"/>
                <w:szCs w:val="20"/>
                <w:lang w:val="en-GB"/>
              </w:rPr>
            </w:pPr>
            <w:r w:rsidRPr="00D949A5">
              <w:rPr>
                <w:rFonts w:asciiTheme="minorHAnsi" w:hAnsiTheme="minorHAnsi" w:cstheme="minorHAnsi"/>
                <w:b/>
                <w:color w:val="FFFFFF" w:themeColor="background1"/>
                <w:sz w:val="20"/>
                <w:szCs w:val="20"/>
                <w:lang w:val="en-GB"/>
              </w:rPr>
              <w:t>Remarks</w:t>
            </w:r>
          </w:p>
        </w:tc>
      </w:tr>
      <w:tr w:rsidR="00353BD3" w:rsidRPr="00F45D2E" w14:paraId="7F6DCE13" w14:textId="77777777" w:rsidTr="000E665D">
        <w:tc>
          <w:tcPr>
            <w:tcW w:w="3227" w:type="dxa"/>
            <w:shd w:val="clear" w:color="auto" w:fill="DBE5F1" w:themeFill="accent1" w:themeFillTint="33"/>
          </w:tcPr>
          <w:p w14:paraId="3D891296" w14:textId="77777777" w:rsidR="00353BD3" w:rsidRPr="00C133AE" w:rsidRDefault="00C133AE" w:rsidP="0044096F">
            <w:pPr>
              <w:spacing w:before="40" w:after="40"/>
              <w:jc w:val="left"/>
              <w:rPr>
                <w:rFonts w:asciiTheme="minorHAnsi" w:hAnsiTheme="minorHAnsi" w:cstheme="minorHAnsi"/>
                <w:sz w:val="20"/>
                <w:szCs w:val="20"/>
                <w:lang w:val="en-GB"/>
              </w:rPr>
            </w:pPr>
            <w:r w:rsidRPr="00C133AE">
              <w:rPr>
                <w:rFonts w:asciiTheme="minorHAnsi" w:hAnsiTheme="minorHAnsi" w:cstheme="minorHAnsi"/>
                <w:sz w:val="20"/>
                <w:szCs w:val="20"/>
                <w:lang w:val="en-GB"/>
              </w:rPr>
              <w:t xml:space="preserve">Development cooperation programmes </w:t>
            </w:r>
          </w:p>
        </w:tc>
        <w:tc>
          <w:tcPr>
            <w:tcW w:w="5953" w:type="dxa"/>
          </w:tcPr>
          <w:p w14:paraId="4E9ADE08" w14:textId="77777777" w:rsidR="00353BD3" w:rsidRDefault="00C133AE" w:rsidP="007F6A77">
            <w:pPr>
              <w:pStyle w:val="ListParagraph"/>
              <w:numPr>
                <w:ilvl w:val="0"/>
                <w:numId w:val="3"/>
              </w:numPr>
              <w:spacing w:before="40" w:after="40"/>
              <w:ind w:left="175" w:hanging="141"/>
              <w:contextualSpacing w:val="0"/>
              <w:jc w:val="left"/>
              <w:rPr>
                <w:rFonts w:asciiTheme="minorHAnsi" w:hAnsiTheme="minorHAnsi" w:cstheme="minorHAnsi"/>
                <w:sz w:val="20"/>
                <w:szCs w:val="20"/>
                <w:lang w:val="en-GB"/>
              </w:rPr>
            </w:pPr>
            <w:r>
              <w:rPr>
                <w:rFonts w:asciiTheme="minorHAnsi" w:hAnsiTheme="minorHAnsi" w:cstheme="minorHAnsi"/>
                <w:sz w:val="20"/>
                <w:szCs w:val="20"/>
                <w:lang w:val="en-GB"/>
              </w:rPr>
              <w:t>Defined with the partner government or organisations.</w:t>
            </w:r>
          </w:p>
          <w:p w14:paraId="2644B512" w14:textId="77777777" w:rsidR="00C133AE" w:rsidRPr="00C133AE" w:rsidRDefault="00C133AE" w:rsidP="007F6A77">
            <w:pPr>
              <w:pStyle w:val="ListParagraph"/>
              <w:numPr>
                <w:ilvl w:val="0"/>
                <w:numId w:val="3"/>
              </w:numPr>
              <w:spacing w:before="40" w:after="40"/>
              <w:ind w:left="175" w:hanging="141"/>
              <w:contextualSpacing w:val="0"/>
              <w:jc w:val="left"/>
              <w:rPr>
                <w:rFonts w:asciiTheme="minorHAnsi" w:hAnsiTheme="minorHAnsi" w:cstheme="minorHAnsi"/>
                <w:sz w:val="20"/>
                <w:szCs w:val="20"/>
                <w:lang w:val="en-GB"/>
              </w:rPr>
            </w:pPr>
            <w:r>
              <w:rPr>
                <w:rFonts w:asciiTheme="minorHAnsi" w:hAnsiTheme="minorHAnsi" w:cstheme="minorHAnsi"/>
                <w:sz w:val="20"/>
                <w:szCs w:val="20"/>
                <w:lang w:val="en-GB"/>
              </w:rPr>
              <w:t>Focused on development.</w:t>
            </w:r>
            <w:r w:rsidR="00747938">
              <w:rPr>
                <w:rStyle w:val="FootnoteReference"/>
                <w:rFonts w:asciiTheme="minorHAnsi" w:hAnsiTheme="minorHAnsi" w:cstheme="minorHAnsi"/>
                <w:sz w:val="22"/>
                <w:szCs w:val="22"/>
                <w:lang w:val="en-GB"/>
              </w:rPr>
              <w:footnoteReference w:id="4"/>
            </w:r>
          </w:p>
        </w:tc>
        <w:tc>
          <w:tcPr>
            <w:tcW w:w="1059" w:type="dxa"/>
          </w:tcPr>
          <w:p w14:paraId="34E3370D" w14:textId="77777777" w:rsidR="00353BD3" w:rsidRPr="00C133AE" w:rsidRDefault="00C133AE" w:rsidP="0044096F">
            <w:pPr>
              <w:spacing w:before="40" w:after="40"/>
              <w:jc w:val="center"/>
              <w:rPr>
                <w:rFonts w:asciiTheme="minorHAnsi" w:hAnsiTheme="minorHAnsi" w:cstheme="minorHAnsi"/>
                <w:sz w:val="20"/>
                <w:szCs w:val="20"/>
                <w:lang w:val="en-GB"/>
              </w:rPr>
            </w:pPr>
            <w:r>
              <w:rPr>
                <w:rFonts w:asciiTheme="minorHAnsi" w:hAnsiTheme="minorHAnsi" w:cstheme="minorHAnsi"/>
                <w:sz w:val="20"/>
                <w:szCs w:val="20"/>
                <w:lang w:val="en-GB"/>
              </w:rPr>
              <w:t>√</w:t>
            </w:r>
          </w:p>
        </w:tc>
        <w:tc>
          <w:tcPr>
            <w:tcW w:w="999" w:type="dxa"/>
          </w:tcPr>
          <w:p w14:paraId="0BC3BA74" w14:textId="77777777" w:rsidR="00353BD3" w:rsidRPr="00C133AE" w:rsidRDefault="00C133AE" w:rsidP="0044096F">
            <w:pPr>
              <w:spacing w:before="40" w:after="40"/>
              <w:jc w:val="center"/>
              <w:rPr>
                <w:rFonts w:asciiTheme="minorHAnsi" w:hAnsiTheme="minorHAnsi" w:cstheme="minorHAnsi"/>
                <w:sz w:val="20"/>
                <w:szCs w:val="20"/>
                <w:lang w:val="en-GB"/>
              </w:rPr>
            </w:pPr>
            <w:r>
              <w:rPr>
                <w:rFonts w:asciiTheme="minorHAnsi" w:hAnsiTheme="minorHAnsi" w:cstheme="minorHAnsi"/>
                <w:sz w:val="20"/>
                <w:szCs w:val="20"/>
                <w:lang w:val="en-GB"/>
              </w:rPr>
              <w:t>√</w:t>
            </w:r>
          </w:p>
        </w:tc>
        <w:tc>
          <w:tcPr>
            <w:tcW w:w="3260" w:type="dxa"/>
          </w:tcPr>
          <w:p w14:paraId="6ED4A79D" w14:textId="77777777" w:rsidR="00C133AE" w:rsidRPr="00C133AE" w:rsidRDefault="00C133AE" w:rsidP="007F6A77">
            <w:pPr>
              <w:pStyle w:val="ListParagraph"/>
              <w:numPr>
                <w:ilvl w:val="0"/>
                <w:numId w:val="10"/>
              </w:numPr>
              <w:spacing w:before="40" w:after="40"/>
              <w:ind w:left="104" w:hanging="142"/>
              <w:contextualSpacing w:val="0"/>
              <w:jc w:val="left"/>
              <w:rPr>
                <w:rFonts w:asciiTheme="minorHAnsi" w:hAnsiTheme="minorHAnsi" w:cstheme="minorHAnsi"/>
                <w:sz w:val="20"/>
                <w:szCs w:val="20"/>
                <w:lang w:val="en-GB"/>
              </w:rPr>
            </w:pPr>
            <w:r>
              <w:rPr>
                <w:rFonts w:asciiTheme="minorHAnsi" w:hAnsiTheme="minorHAnsi" w:cstheme="minorHAnsi"/>
                <w:sz w:val="20"/>
                <w:szCs w:val="20"/>
                <w:lang w:val="en-GB"/>
              </w:rPr>
              <w:t>A</w:t>
            </w:r>
            <w:r w:rsidRPr="00C133AE">
              <w:rPr>
                <w:rFonts w:asciiTheme="minorHAnsi" w:hAnsiTheme="minorHAnsi" w:cstheme="minorHAnsi"/>
                <w:sz w:val="20"/>
                <w:szCs w:val="20"/>
                <w:lang w:val="en-GB"/>
              </w:rPr>
              <w:t xml:space="preserve"> source of both grants and loans, dep</w:t>
            </w:r>
            <w:r>
              <w:rPr>
                <w:rFonts w:asciiTheme="minorHAnsi" w:hAnsiTheme="minorHAnsi" w:cstheme="minorHAnsi"/>
                <w:sz w:val="20"/>
                <w:szCs w:val="20"/>
                <w:lang w:val="en-GB"/>
              </w:rPr>
              <w:t>ending on the donor and scheme.</w:t>
            </w:r>
          </w:p>
          <w:p w14:paraId="6F2F2A11" w14:textId="77777777" w:rsidR="00353BD3" w:rsidRPr="00C133AE" w:rsidRDefault="00C133AE" w:rsidP="007F6A77">
            <w:pPr>
              <w:pStyle w:val="ListParagraph"/>
              <w:numPr>
                <w:ilvl w:val="0"/>
                <w:numId w:val="10"/>
              </w:numPr>
              <w:spacing w:before="40" w:after="40"/>
              <w:ind w:left="104" w:hanging="142"/>
              <w:contextualSpacing w:val="0"/>
              <w:jc w:val="left"/>
              <w:rPr>
                <w:rFonts w:asciiTheme="minorHAnsi" w:hAnsiTheme="minorHAnsi" w:cstheme="minorHAnsi"/>
                <w:sz w:val="20"/>
                <w:szCs w:val="20"/>
                <w:lang w:val="en-GB"/>
              </w:rPr>
            </w:pPr>
            <w:r>
              <w:rPr>
                <w:rFonts w:asciiTheme="minorHAnsi" w:hAnsiTheme="minorHAnsi" w:cstheme="minorHAnsi"/>
                <w:sz w:val="20"/>
                <w:szCs w:val="20"/>
                <w:lang w:val="en-GB"/>
              </w:rPr>
              <w:t>D</w:t>
            </w:r>
            <w:r w:rsidRPr="00C133AE">
              <w:rPr>
                <w:rFonts w:asciiTheme="minorHAnsi" w:hAnsiTheme="minorHAnsi" w:cstheme="minorHAnsi"/>
                <w:sz w:val="20"/>
                <w:szCs w:val="20"/>
                <w:lang w:val="en-GB"/>
              </w:rPr>
              <w:t>isbursed in the form of project support or (general or sector) budget support</w:t>
            </w:r>
            <w:r>
              <w:rPr>
                <w:rFonts w:asciiTheme="minorHAnsi" w:hAnsiTheme="minorHAnsi" w:cstheme="minorHAnsi"/>
                <w:sz w:val="20"/>
                <w:szCs w:val="20"/>
                <w:lang w:val="en-GB"/>
              </w:rPr>
              <w:t>.</w:t>
            </w:r>
          </w:p>
        </w:tc>
      </w:tr>
      <w:tr w:rsidR="00C133AE" w:rsidRPr="00F45D2E" w14:paraId="015E59BC" w14:textId="77777777" w:rsidTr="000E665D">
        <w:tc>
          <w:tcPr>
            <w:tcW w:w="3227" w:type="dxa"/>
            <w:shd w:val="clear" w:color="auto" w:fill="DBE5F1" w:themeFill="accent1" w:themeFillTint="33"/>
          </w:tcPr>
          <w:p w14:paraId="3287B181" w14:textId="77777777" w:rsidR="00C133AE" w:rsidRPr="00747938" w:rsidRDefault="00747938" w:rsidP="0044096F">
            <w:pPr>
              <w:spacing w:before="40" w:after="40"/>
              <w:jc w:val="left"/>
              <w:rPr>
                <w:rFonts w:asciiTheme="minorHAnsi" w:hAnsiTheme="minorHAnsi" w:cstheme="minorHAnsi"/>
                <w:sz w:val="20"/>
                <w:szCs w:val="20"/>
                <w:lang w:val="en-GB"/>
              </w:rPr>
            </w:pPr>
            <w:r w:rsidRPr="00747938">
              <w:rPr>
                <w:rFonts w:asciiTheme="minorHAnsi" w:hAnsiTheme="minorHAnsi" w:cstheme="minorHAnsi"/>
                <w:sz w:val="20"/>
                <w:szCs w:val="20"/>
                <w:lang w:val="en-GB"/>
              </w:rPr>
              <w:t>Least Developed Countries Fund (LDCF)</w:t>
            </w:r>
          </w:p>
        </w:tc>
        <w:tc>
          <w:tcPr>
            <w:tcW w:w="5953" w:type="dxa"/>
          </w:tcPr>
          <w:p w14:paraId="1AB16C6B" w14:textId="77777777" w:rsidR="00C133AE" w:rsidRPr="00747938" w:rsidRDefault="00747938" w:rsidP="0083335D">
            <w:pPr>
              <w:spacing w:before="40" w:after="40"/>
              <w:jc w:val="left"/>
              <w:rPr>
                <w:rFonts w:asciiTheme="minorHAnsi" w:hAnsiTheme="minorHAnsi" w:cstheme="minorHAnsi"/>
                <w:sz w:val="20"/>
                <w:szCs w:val="20"/>
                <w:lang w:val="en-GB"/>
              </w:rPr>
            </w:pPr>
            <w:r w:rsidRPr="00747938">
              <w:rPr>
                <w:rFonts w:asciiTheme="minorHAnsi" w:hAnsiTheme="minorHAnsi" w:cstheme="minorHAnsi"/>
                <w:sz w:val="20"/>
                <w:szCs w:val="20"/>
                <w:lang w:val="en-GB"/>
              </w:rPr>
              <w:t xml:space="preserve">Preparation and implementation of </w:t>
            </w:r>
            <w:r w:rsidR="0083335D">
              <w:rPr>
                <w:rFonts w:asciiTheme="minorHAnsi" w:hAnsiTheme="minorHAnsi" w:cstheme="minorHAnsi"/>
                <w:sz w:val="20"/>
                <w:szCs w:val="20"/>
                <w:lang w:val="en-GB"/>
              </w:rPr>
              <w:t>national adaptation programmes of action (NAPAs)</w:t>
            </w:r>
            <w:r w:rsidRPr="00747938">
              <w:rPr>
                <w:rFonts w:asciiTheme="minorHAnsi" w:hAnsiTheme="minorHAnsi" w:cstheme="minorHAnsi"/>
                <w:sz w:val="20"/>
                <w:szCs w:val="20"/>
                <w:lang w:val="en-GB"/>
              </w:rPr>
              <w:t xml:space="preserve"> by least developed countries.</w:t>
            </w:r>
          </w:p>
        </w:tc>
        <w:tc>
          <w:tcPr>
            <w:tcW w:w="1059" w:type="dxa"/>
          </w:tcPr>
          <w:p w14:paraId="23991472" w14:textId="77777777" w:rsidR="00C133AE" w:rsidRPr="00747938" w:rsidRDefault="00747938" w:rsidP="0044096F">
            <w:pPr>
              <w:spacing w:before="40" w:after="40"/>
              <w:jc w:val="center"/>
              <w:rPr>
                <w:rFonts w:asciiTheme="minorHAnsi" w:hAnsiTheme="minorHAnsi" w:cstheme="minorHAnsi"/>
                <w:sz w:val="20"/>
                <w:szCs w:val="20"/>
                <w:lang w:val="en-GB"/>
              </w:rPr>
            </w:pPr>
            <w:r w:rsidRPr="00747938">
              <w:rPr>
                <w:rFonts w:asciiTheme="minorHAnsi" w:hAnsiTheme="minorHAnsi" w:cstheme="minorHAnsi"/>
                <w:sz w:val="20"/>
                <w:szCs w:val="20"/>
                <w:lang w:val="en-GB"/>
              </w:rPr>
              <w:t>√</w:t>
            </w:r>
          </w:p>
        </w:tc>
        <w:tc>
          <w:tcPr>
            <w:tcW w:w="999" w:type="dxa"/>
          </w:tcPr>
          <w:p w14:paraId="42B22F82" w14:textId="77777777" w:rsidR="00C133AE" w:rsidRPr="00747938" w:rsidRDefault="00C133AE" w:rsidP="0044096F">
            <w:pPr>
              <w:spacing w:before="40" w:after="40"/>
              <w:jc w:val="center"/>
              <w:rPr>
                <w:rFonts w:asciiTheme="minorHAnsi" w:hAnsiTheme="minorHAnsi" w:cstheme="minorHAnsi"/>
                <w:sz w:val="20"/>
                <w:szCs w:val="20"/>
                <w:lang w:val="en-GB"/>
              </w:rPr>
            </w:pPr>
          </w:p>
        </w:tc>
        <w:tc>
          <w:tcPr>
            <w:tcW w:w="3260" w:type="dxa"/>
          </w:tcPr>
          <w:p w14:paraId="48D55CC0" w14:textId="77777777" w:rsidR="00747938" w:rsidRPr="00747938" w:rsidRDefault="00747938" w:rsidP="007F6A77">
            <w:pPr>
              <w:pStyle w:val="ListParagraph"/>
              <w:numPr>
                <w:ilvl w:val="0"/>
                <w:numId w:val="10"/>
              </w:numPr>
              <w:spacing w:before="40" w:after="40"/>
              <w:ind w:left="104" w:hanging="142"/>
              <w:contextualSpacing w:val="0"/>
              <w:jc w:val="left"/>
              <w:rPr>
                <w:rFonts w:asciiTheme="minorHAnsi" w:hAnsiTheme="minorHAnsi" w:cstheme="minorHAnsi"/>
                <w:sz w:val="20"/>
                <w:szCs w:val="20"/>
                <w:lang w:val="en-GB"/>
              </w:rPr>
            </w:pPr>
            <w:r w:rsidRPr="00747938">
              <w:rPr>
                <w:rFonts w:asciiTheme="minorHAnsi" w:hAnsiTheme="minorHAnsi" w:cstheme="minorHAnsi"/>
                <w:sz w:val="20"/>
                <w:szCs w:val="20"/>
                <w:lang w:val="en-GB"/>
              </w:rPr>
              <w:t>S</w:t>
            </w:r>
            <w:r>
              <w:rPr>
                <w:rFonts w:asciiTheme="minorHAnsi" w:hAnsiTheme="minorHAnsi" w:cstheme="minorHAnsi"/>
                <w:sz w:val="20"/>
                <w:szCs w:val="20"/>
                <w:lang w:val="en-GB"/>
              </w:rPr>
              <w:t>et up under the UNFCCC</w:t>
            </w:r>
            <w:r w:rsidRPr="00747938">
              <w:rPr>
                <w:rFonts w:asciiTheme="minorHAnsi" w:hAnsiTheme="minorHAnsi" w:cstheme="minorHAnsi"/>
                <w:sz w:val="20"/>
                <w:szCs w:val="20"/>
                <w:lang w:val="en-GB"/>
              </w:rPr>
              <w:t>.</w:t>
            </w:r>
          </w:p>
          <w:p w14:paraId="3C541960" w14:textId="77777777" w:rsidR="00C133AE" w:rsidRPr="00747938" w:rsidRDefault="00747938" w:rsidP="007F6A77">
            <w:pPr>
              <w:pStyle w:val="ListParagraph"/>
              <w:numPr>
                <w:ilvl w:val="0"/>
                <w:numId w:val="10"/>
              </w:numPr>
              <w:spacing w:before="40" w:after="40"/>
              <w:ind w:left="104" w:hanging="142"/>
              <w:contextualSpacing w:val="0"/>
              <w:jc w:val="left"/>
              <w:rPr>
                <w:rFonts w:asciiTheme="minorHAnsi" w:hAnsiTheme="minorHAnsi" w:cstheme="minorHAnsi"/>
                <w:sz w:val="20"/>
                <w:szCs w:val="20"/>
                <w:lang w:val="en-GB"/>
              </w:rPr>
            </w:pPr>
            <w:r w:rsidRPr="00747938">
              <w:rPr>
                <w:rFonts w:asciiTheme="minorHAnsi" w:hAnsiTheme="minorHAnsi" w:cstheme="minorHAnsi"/>
                <w:sz w:val="20"/>
                <w:szCs w:val="20"/>
                <w:lang w:val="en-GB"/>
              </w:rPr>
              <w:t>Managed by the Global Environment Facility (GEF).</w:t>
            </w:r>
          </w:p>
        </w:tc>
      </w:tr>
      <w:tr w:rsidR="00747938" w:rsidRPr="00F45D2E" w14:paraId="3913C0A7" w14:textId="77777777" w:rsidTr="000E665D">
        <w:tc>
          <w:tcPr>
            <w:tcW w:w="3227" w:type="dxa"/>
            <w:shd w:val="clear" w:color="auto" w:fill="DBE5F1" w:themeFill="accent1" w:themeFillTint="33"/>
          </w:tcPr>
          <w:p w14:paraId="1BA53D51" w14:textId="77777777" w:rsidR="00747938" w:rsidRPr="0044096F" w:rsidRDefault="00747938" w:rsidP="0044096F">
            <w:pPr>
              <w:spacing w:before="40" w:after="40"/>
              <w:jc w:val="left"/>
              <w:rPr>
                <w:rFonts w:asciiTheme="minorHAnsi" w:hAnsiTheme="minorHAnsi" w:cstheme="minorHAnsi"/>
                <w:sz w:val="20"/>
                <w:szCs w:val="20"/>
                <w:lang w:val="en-GB"/>
              </w:rPr>
            </w:pPr>
            <w:r w:rsidRPr="0044096F">
              <w:rPr>
                <w:rFonts w:asciiTheme="minorHAnsi" w:hAnsiTheme="minorHAnsi" w:cstheme="minorHAnsi"/>
                <w:sz w:val="20"/>
                <w:szCs w:val="20"/>
                <w:lang w:val="en-GB"/>
              </w:rPr>
              <w:t>Special Climate Change Fund (SCCF)</w:t>
            </w:r>
          </w:p>
        </w:tc>
        <w:tc>
          <w:tcPr>
            <w:tcW w:w="5953" w:type="dxa"/>
          </w:tcPr>
          <w:p w14:paraId="2D2E12DC" w14:textId="77777777" w:rsidR="00747938" w:rsidRPr="0044096F" w:rsidRDefault="00747938" w:rsidP="007F6A77">
            <w:pPr>
              <w:pStyle w:val="ListParagraph"/>
              <w:numPr>
                <w:ilvl w:val="0"/>
                <w:numId w:val="11"/>
              </w:numPr>
              <w:spacing w:before="40" w:after="40"/>
              <w:ind w:left="175" w:hanging="141"/>
              <w:contextualSpacing w:val="0"/>
              <w:jc w:val="left"/>
              <w:rPr>
                <w:rFonts w:asciiTheme="minorHAnsi" w:hAnsiTheme="minorHAnsi" w:cstheme="minorHAnsi"/>
                <w:sz w:val="20"/>
                <w:szCs w:val="20"/>
                <w:lang w:val="en-GB"/>
              </w:rPr>
            </w:pPr>
            <w:r w:rsidRPr="0044096F">
              <w:rPr>
                <w:rFonts w:asciiTheme="minorHAnsi" w:hAnsiTheme="minorHAnsi" w:cstheme="minorHAnsi"/>
                <w:sz w:val="20"/>
                <w:szCs w:val="20"/>
                <w:lang w:val="en-GB"/>
              </w:rPr>
              <w:t>Implementation of long-term adaptation and mitigation measures that increase the resilience of national development strategies to climate change and put them on a low-emission development pathway</w:t>
            </w:r>
            <w:r w:rsidR="0083335D">
              <w:rPr>
                <w:rFonts w:asciiTheme="minorHAnsi" w:hAnsiTheme="minorHAnsi" w:cstheme="minorHAnsi"/>
                <w:sz w:val="20"/>
                <w:szCs w:val="20"/>
                <w:lang w:val="en-GB"/>
              </w:rPr>
              <w:t>.</w:t>
            </w:r>
          </w:p>
          <w:p w14:paraId="5B965D5F" w14:textId="77777777" w:rsidR="00747938" w:rsidRPr="0044096F" w:rsidRDefault="00747938" w:rsidP="007F6A77">
            <w:pPr>
              <w:pStyle w:val="ListParagraph"/>
              <w:numPr>
                <w:ilvl w:val="0"/>
                <w:numId w:val="11"/>
              </w:numPr>
              <w:spacing w:before="40" w:after="40"/>
              <w:ind w:left="175" w:hanging="141"/>
              <w:contextualSpacing w:val="0"/>
              <w:jc w:val="left"/>
              <w:rPr>
                <w:rFonts w:asciiTheme="minorHAnsi" w:hAnsiTheme="minorHAnsi" w:cstheme="minorHAnsi"/>
                <w:sz w:val="20"/>
                <w:szCs w:val="20"/>
                <w:lang w:val="en-GB"/>
              </w:rPr>
            </w:pPr>
            <w:r w:rsidRPr="0044096F">
              <w:rPr>
                <w:rFonts w:asciiTheme="minorHAnsi" w:hAnsiTheme="minorHAnsi" w:cstheme="minorHAnsi"/>
                <w:sz w:val="20"/>
                <w:szCs w:val="20"/>
                <w:lang w:val="en-GB"/>
              </w:rPr>
              <w:t>Includes 4 components</w:t>
            </w:r>
            <w:r w:rsidR="0044096F" w:rsidRPr="0044096F">
              <w:rPr>
                <w:rFonts w:asciiTheme="minorHAnsi" w:hAnsiTheme="minorHAnsi" w:cstheme="minorHAnsi"/>
                <w:sz w:val="20"/>
                <w:szCs w:val="20"/>
                <w:lang w:val="en-GB"/>
              </w:rPr>
              <w:t>, focused on</w:t>
            </w:r>
            <w:r w:rsidRPr="0044096F">
              <w:rPr>
                <w:rFonts w:asciiTheme="minorHAnsi" w:hAnsiTheme="minorHAnsi" w:cstheme="minorHAnsi"/>
                <w:sz w:val="20"/>
                <w:szCs w:val="20"/>
                <w:lang w:val="en-GB"/>
              </w:rPr>
              <w:t>:</w:t>
            </w:r>
          </w:p>
          <w:p w14:paraId="3288E6BB" w14:textId="77777777" w:rsidR="0044096F" w:rsidRPr="002E6F02" w:rsidRDefault="00747938" w:rsidP="007F6A77">
            <w:pPr>
              <w:pStyle w:val="ListParagraph"/>
              <w:numPr>
                <w:ilvl w:val="0"/>
                <w:numId w:val="12"/>
              </w:numPr>
              <w:spacing w:before="40" w:after="40"/>
              <w:ind w:left="459" w:hanging="256"/>
              <w:jc w:val="left"/>
              <w:rPr>
                <w:rFonts w:asciiTheme="minorHAnsi" w:hAnsiTheme="minorHAnsi" w:cstheme="minorHAnsi"/>
                <w:sz w:val="20"/>
                <w:szCs w:val="20"/>
                <w:lang w:val="en-GB"/>
              </w:rPr>
            </w:pPr>
            <w:r w:rsidRPr="002E6F02">
              <w:rPr>
                <w:rFonts w:asciiTheme="minorHAnsi" w:hAnsiTheme="minorHAnsi" w:cstheme="minorHAnsi"/>
                <w:sz w:val="20"/>
                <w:szCs w:val="20"/>
                <w:lang w:val="en-GB"/>
              </w:rPr>
              <w:t>adaptation (agriculture, land management, water resources management, fragile ecosystems, coastal zone managemen</w:t>
            </w:r>
            <w:r w:rsidR="0044096F" w:rsidRPr="002E6F02">
              <w:rPr>
                <w:rFonts w:asciiTheme="minorHAnsi" w:hAnsiTheme="minorHAnsi" w:cstheme="minorHAnsi"/>
                <w:sz w:val="20"/>
                <w:szCs w:val="20"/>
                <w:lang w:val="en-GB"/>
              </w:rPr>
              <w:t xml:space="preserve">t, health, infrastructure); </w:t>
            </w:r>
          </w:p>
          <w:p w14:paraId="49087497" w14:textId="77777777" w:rsidR="0044096F" w:rsidRPr="0044096F" w:rsidRDefault="00747938" w:rsidP="007F6A77">
            <w:pPr>
              <w:pStyle w:val="ListParagraph"/>
              <w:numPr>
                <w:ilvl w:val="0"/>
                <w:numId w:val="12"/>
              </w:numPr>
              <w:spacing w:before="40" w:after="40"/>
              <w:ind w:left="459" w:hanging="256"/>
              <w:contextualSpacing w:val="0"/>
              <w:jc w:val="left"/>
              <w:rPr>
                <w:rFonts w:asciiTheme="minorHAnsi" w:hAnsiTheme="minorHAnsi" w:cstheme="minorHAnsi"/>
                <w:sz w:val="20"/>
                <w:szCs w:val="20"/>
                <w:lang w:val="en-GB"/>
              </w:rPr>
            </w:pPr>
            <w:r w:rsidRPr="0044096F">
              <w:rPr>
                <w:rFonts w:asciiTheme="minorHAnsi" w:hAnsiTheme="minorHAnsi" w:cstheme="minorHAnsi"/>
                <w:sz w:val="20"/>
                <w:szCs w:val="20"/>
                <w:lang w:val="en-GB"/>
              </w:rPr>
              <w:t>technology transfers (environmentally sustainable technologies that contribute to climat</w:t>
            </w:r>
            <w:r w:rsidR="0044096F" w:rsidRPr="0044096F">
              <w:rPr>
                <w:rFonts w:asciiTheme="minorHAnsi" w:hAnsiTheme="minorHAnsi" w:cstheme="minorHAnsi"/>
                <w:sz w:val="20"/>
                <w:szCs w:val="20"/>
                <w:lang w:val="en-GB"/>
              </w:rPr>
              <w:t xml:space="preserve">e change mitigation); </w:t>
            </w:r>
          </w:p>
          <w:p w14:paraId="646DAAD5" w14:textId="77777777" w:rsidR="0044096F" w:rsidRPr="0044096F" w:rsidRDefault="00747938" w:rsidP="007F6A77">
            <w:pPr>
              <w:pStyle w:val="ListParagraph"/>
              <w:numPr>
                <w:ilvl w:val="0"/>
                <w:numId w:val="12"/>
              </w:numPr>
              <w:spacing w:before="40" w:after="40"/>
              <w:ind w:left="459" w:hanging="256"/>
              <w:contextualSpacing w:val="0"/>
              <w:jc w:val="left"/>
              <w:rPr>
                <w:rFonts w:asciiTheme="minorHAnsi" w:hAnsiTheme="minorHAnsi" w:cstheme="minorHAnsi"/>
                <w:sz w:val="20"/>
                <w:szCs w:val="20"/>
                <w:lang w:val="en-GB"/>
              </w:rPr>
            </w:pPr>
            <w:r w:rsidRPr="0044096F">
              <w:rPr>
                <w:rFonts w:asciiTheme="minorHAnsi" w:hAnsiTheme="minorHAnsi" w:cstheme="minorHAnsi"/>
                <w:sz w:val="20"/>
                <w:szCs w:val="20"/>
                <w:lang w:val="en-GB"/>
              </w:rPr>
              <w:t>specific sectors with mitigation potential (energy, transport, industry, agriculture, forestry</w:t>
            </w:r>
            <w:r w:rsidR="0044096F" w:rsidRPr="0044096F">
              <w:rPr>
                <w:rFonts w:asciiTheme="minorHAnsi" w:hAnsiTheme="minorHAnsi" w:cstheme="minorHAnsi"/>
                <w:sz w:val="20"/>
                <w:szCs w:val="20"/>
                <w:lang w:val="en-GB"/>
              </w:rPr>
              <w:t xml:space="preserve"> and waste management); and </w:t>
            </w:r>
          </w:p>
          <w:p w14:paraId="5E3F8F62" w14:textId="77777777" w:rsidR="00747938" w:rsidRPr="0044096F" w:rsidRDefault="00747938" w:rsidP="007F6A77">
            <w:pPr>
              <w:pStyle w:val="ListParagraph"/>
              <w:numPr>
                <w:ilvl w:val="0"/>
                <w:numId w:val="12"/>
              </w:numPr>
              <w:spacing w:before="40" w:after="40"/>
              <w:ind w:left="459" w:hanging="256"/>
              <w:contextualSpacing w:val="0"/>
              <w:jc w:val="left"/>
              <w:rPr>
                <w:rFonts w:asciiTheme="minorHAnsi" w:hAnsiTheme="minorHAnsi" w:cstheme="minorHAnsi"/>
                <w:sz w:val="20"/>
                <w:szCs w:val="20"/>
                <w:lang w:val="en-GB"/>
              </w:rPr>
            </w:pPr>
            <w:r w:rsidRPr="0044096F">
              <w:rPr>
                <w:rFonts w:asciiTheme="minorHAnsi" w:hAnsiTheme="minorHAnsi" w:cstheme="minorHAnsi"/>
                <w:sz w:val="20"/>
                <w:szCs w:val="20"/>
                <w:lang w:val="en-GB"/>
              </w:rPr>
              <w:t>assistance to developing countries that are highly dependent on fossil fuels (for income and/or for consumption).</w:t>
            </w:r>
          </w:p>
        </w:tc>
        <w:tc>
          <w:tcPr>
            <w:tcW w:w="1059" w:type="dxa"/>
          </w:tcPr>
          <w:p w14:paraId="476C92EB" w14:textId="77777777" w:rsidR="00747938" w:rsidRPr="0044096F" w:rsidRDefault="00747938" w:rsidP="0044096F">
            <w:pPr>
              <w:spacing w:before="40" w:after="40"/>
              <w:jc w:val="center"/>
              <w:rPr>
                <w:rFonts w:asciiTheme="minorHAnsi" w:hAnsiTheme="minorHAnsi" w:cstheme="minorHAnsi"/>
                <w:sz w:val="20"/>
                <w:szCs w:val="20"/>
                <w:lang w:val="en-GB"/>
              </w:rPr>
            </w:pPr>
            <w:r w:rsidRPr="0044096F">
              <w:rPr>
                <w:rFonts w:asciiTheme="minorHAnsi" w:hAnsiTheme="minorHAnsi" w:cstheme="minorHAnsi"/>
                <w:sz w:val="20"/>
                <w:szCs w:val="20"/>
                <w:lang w:val="en-GB"/>
              </w:rPr>
              <w:t>√</w:t>
            </w:r>
          </w:p>
        </w:tc>
        <w:tc>
          <w:tcPr>
            <w:tcW w:w="999" w:type="dxa"/>
          </w:tcPr>
          <w:p w14:paraId="2B4D25ED" w14:textId="77777777" w:rsidR="00747938" w:rsidRPr="0044096F" w:rsidRDefault="00747938" w:rsidP="0044096F">
            <w:pPr>
              <w:spacing w:before="40" w:after="40"/>
              <w:jc w:val="center"/>
              <w:rPr>
                <w:rFonts w:asciiTheme="minorHAnsi" w:hAnsiTheme="minorHAnsi" w:cstheme="minorHAnsi"/>
                <w:sz w:val="20"/>
                <w:szCs w:val="20"/>
                <w:lang w:val="en-GB"/>
              </w:rPr>
            </w:pPr>
            <w:r w:rsidRPr="0044096F">
              <w:rPr>
                <w:rFonts w:asciiTheme="minorHAnsi" w:hAnsiTheme="minorHAnsi" w:cstheme="minorHAnsi"/>
                <w:sz w:val="20"/>
                <w:szCs w:val="20"/>
                <w:lang w:val="en-GB"/>
              </w:rPr>
              <w:t>√</w:t>
            </w:r>
          </w:p>
        </w:tc>
        <w:tc>
          <w:tcPr>
            <w:tcW w:w="3260" w:type="dxa"/>
          </w:tcPr>
          <w:p w14:paraId="49B4C5CC" w14:textId="77777777" w:rsidR="00747938" w:rsidRPr="0044096F" w:rsidRDefault="00747938" w:rsidP="007F6A77">
            <w:pPr>
              <w:pStyle w:val="ListParagraph"/>
              <w:numPr>
                <w:ilvl w:val="0"/>
                <w:numId w:val="10"/>
              </w:numPr>
              <w:spacing w:before="40" w:after="40"/>
              <w:ind w:left="104" w:hanging="142"/>
              <w:contextualSpacing w:val="0"/>
              <w:jc w:val="left"/>
              <w:rPr>
                <w:rFonts w:asciiTheme="minorHAnsi" w:hAnsiTheme="minorHAnsi" w:cstheme="minorHAnsi"/>
                <w:sz w:val="20"/>
                <w:szCs w:val="20"/>
                <w:lang w:val="en-GB"/>
              </w:rPr>
            </w:pPr>
            <w:r w:rsidRPr="0044096F">
              <w:rPr>
                <w:rFonts w:asciiTheme="minorHAnsi" w:hAnsiTheme="minorHAnsi" w:cstheme="minorHAnsi"/>
                <w:sz w:val="20"/>
                <w:szCs w:val="20"/>
                <w:lang w:val="en-GB"/>
              </w:rPr>
              <w:t>Set up under the UNFCCC.</w:t>
            </w:r>
          </w:p>
          <w:p w14:paraId="3714EEA3" w14:textId="77777777" w:rsidR="00747938" w:rsidRPr="0044096F" w:rsidRDefault="00747938" w:rsidP="007F6A77">
            <w:pPr>
              <w:pStyle w:val="ListParagraph"/>
              <w:numPr>
                <w:ilvl w:val="0"/>
                <w:numId w:val="10"/>
              </w:numPr>
              <w:spacing w:before="40" w:after="40"/>
              <w:ind w:left="104" w:hanging="142"/>
              <w:contextualSpacing w:val="0"/>
              <w:jc w:val="left"/>
              <w:rPr>
                <w:rFonts w:asciiTheme="minorHAnsi" w:hAnsiTheme="minorHAnsi" w:cstheme="minorHAnsi"/>
                <w:sz w:val="20"/>
                <w:szCs w:val="20"/>
                <w:lang w:val="en-GB"/>
              </w:rPr>
            </w:pPr>
            <w:r w:rsidRPr="0044096F">
              <w:rPr>
                <w:rFonts w:asciiTheme="minorHAnsi" w:hAnsiTheme="minorHAnsi" w:cstheme="minorHAnsi"/>
                <w:sz w:val="20"/>
                <w:szCs w:val="20"/>
                <w:lang w:val="en-GB"/>
              </w:rPr>
              <w:t>Managed by the Global Environment Facility (GEF).</w:t>
            </w:r>
          </w:p>
        </w:tc>
      </w:tr>
      <w:tr w:rsidR="0044096F" w:rsidRPr="0044096F" w14:paraId="661CD7C0" w14:textId="77777777" w:rsidTr="000E665D">
        <w:tc>
          <w:tcPr>
            <w:tcW w:w="3227" w:type="dxa"/>
            <w:shd w:val="clear" w:color="auto" w:fill="DBE5F1" w:themeFill="accent1" w:themeFillTint="33"/>
          </w:tcPr>
          <w:p w14:paraId="45D28D8D" w14:textId="77777777" w:rsidR="0044096F" w:rsidRPr="0044096F" w:rsidRDefault="0044096F" w:rsidP="0044096F">
            <w:pPr>
              <w:spacing w:before="40" w:after="40"/>
              <w:jc w:val="left"/>
              <w:rPr>
                <w:rFonts w:asciiTheme="minorHAnsi" w:hAnsiTheme="minorHAnsi" w:cstheme="minorHAnsi"/>
                <w:sz w:val="20"/>
                <w:szCs w:val="20"/>
                <w:lang w:val="en-GB"/>
              </w:rPr>
            </w:pPr>
            <w:r w:rsidRPr="0044096F">
              <w:rPr>
                <w:rFonts w:asciiTheme="minorHAnsi" w:hAnsiTheme="minorHAnsi" w:cstheme="minorHAnsi"/>
                <w:sz w:val="20"/>
                <w:szCs w:val="20"/>
                <w:lang w:val="en-GB"/>
              </w:rPr>
              <w:t xml:space="preserve">GEF Trust Fund’s climate change </w:t>
            </w:r>
            <w:r w:rsidRPr="0044096F">
              <w:rPr>
                <w:rFonts w:asciiTheme="minorHAnsi" w:hAnsiTheme="minorHAnsi" w:cstheme="minorHAnsi"/>
                <w:sz w:val="20"/>
                <w:szCs w:val="20"/>
                <w:lang w:val="en-GB"/>
              </w:rPr>
              <w:lastRenderedPageBreak/>
              <w:t>focal area</w:t>
            </w:r>
          </w:p>
        </w:tc>
        <w:tc>
          <w:tcPr>
            <w:tcW w:w="5953" w:type="dxa"/>
          </w:tcPr>
          <w:p w14:paraId="398D2D9E" w14:textId="77777777" w:rsidR="0044096F" w:rsidRPr="0044096F" w:rsidRDefault="0044096F" w:rsidP="007F6A77">
            <w:pPr>
              <w:pStyle w:val="ListParagraph"/>
              <w:numPr>
                <w:ilvl w:val="0"/>
                <w:numId w:val="11"/>
              </w:numPr>
              <w:spacing w:before="40" w:after="40"/>
              <w:ind w:left="175" w:hanging="141"/>
              <w:contextualSpacing w:val="0"/>
              <w:jc w:val="left"/>
              <w:rPr>
                <w:rFonts w:asciiTheme="minorHAnsi" w:hAnsiTheme="minorHAnsi" w:cstheme="minorHAnsi"/>
                <w:sz w:val="20"/>
                <w:szCs w:val="20"/>
                <w:lang w:val="en-GB"/>
              </w:rPr>
            </w:pPr>
            <w:r w:rsidRPr="0044096F">
              <w:rPr>
                <w:rFonts w:asciiTheme="minorHAnsi" w:hAnsiTheme="minorHAnsi" w:cstheme="minorHAnsi"/>
                <w:sz w:val="20"/>
                <w:szCs w:val="20"/>
                <w:lang w:val="en-GB"/>
              </w:rPr>
              <w:lastRenderedPageBreak/>
              <w:t xml:space="preserve">Activities related to renewable energies, energy efficiency, low </w:t>
            </w:r>
            <w:r w:rsidRPr="0044096F">
              <w:rPr>
                <w:rFonts w:asciiTheme="minorHAnsi" w:hAnsiTheme="minorHAnsi" w:cstheme="minorHAnsi"/>
                <w:sz w:val="20"/>
                <w:szCs w:val="20"/>
                <w:lang w:val="en-GB"/>
              </w:rPr>
              <w:lastRenderedPageBreak/>
              <w:t>GHG-emission energy technologies, sustainable transport.</w:t>
            </w:r>
          </w:p>
          <w:p w14:paraId="781BE69A" w14:textId="77777777" w:rsidR="0044096F" w:rsidRPr="0044096F" w:rsidRDefault="0044096F" w:rsidP="007F6A77">
            <w:pPr>
              <w:pStyle w:val="ListParagraph"/>
              <w:numPr>
                <w:ilvl w:val="0"/>
                <w:numId w:val="11"/>
              </w:numPr>
              <w:spacing w:before="40" w:after="40"/>
              <w:ind w:left="175" w:hanging="141"/>
              <w:contextualSpacing w:val="0"/>
              <w:jc w:val="left"/>
              <w:rPr>
                <w:rFonts w:asciiTheme="minorHAnsi" w:hAnsiTheme="minorHAnsi" w:cstheme="minorHAnsi"/>
                <w:sz w:val="20"/>
                <w:szCs w:val="20"/>
                <w:lang w:val="en-GB"/>
              </w:rPr>
            </w:pPr>
            <w:r w:rsidRPr="0044096F">
              <w:rPr>
                <w:rFonts w:asciiTheme="minorHAnsi" w:hAnsiTheme="minorHAnsi" w:cstheme="minorHAnsi"/>
                <w:sz w:val="20"/>
                <w:szCs w:val="20"/>
                <w:lang w:val="en-GB"/>
              </w:rPr>
              <w:t>Also, adaptation demonstration projects and ‘enabling activities’ (e.g. support for preparation of National Communications and fulfilment of other obligations under the UNFCCC)</w:t>
            </w:r>
          </w:p>
        </w:tc>
        <w:tc>
          <w:tcPr>
            <w:tcW w:w="1059" w:type="dxa"/>
          </w:tcPr>
          <w:p w14:paraId="616AAAD6" w14:textId="77777777" w:rsidR="0044096F" w:rsidRPr="0044096F" w:rsidRDefault="0044096F" w:rsidP="0044096F">
            <w:pPr>
              <w:spacing w:before="40" w:after="40"/>
              <w:jc w:val="center"/>
              <w:rPr>
                <w:rFonts w:asciiTheme="minorHAnsi" w:hAnsiTheme="minorHAnsi" w:cstheme="minorHAnsi"/>
                <w:sz w:val="20"/>
                <w:szCs w:val="20"/>
                <w:lang w:val="en-GB"/>
              </w:rPr>
            </w:pPr>
            <w:r w:rsidRPr="0044096F">
              <w:rPr>
                <w:rFonts w:asciiTheme="minorHAnsi" w:hAnsiTheme="minorHAnsi" w:cstheme="minorHAnsi"/>
                <w:sz w:val="20"/>
                <w:szCs w:val="20"/>
                <w:lang w:val="en-GB"/>
              </w:rPr>
              <w:lastRenderedPageBreak/>
              <w:t>√</w:t>
            </w:r>
          </w:p>
        </w:tc>
        <w:tc>
          <w:tcPr>
            <w:tcW w:w="999" w:type="dxa"/>
          </w:tcPr>
          <w:p w14:paraId="5428CE8C" w14:textId="77777777" w:rsidR="0044096F" w:rsidRPr="0044096F" w:rsidRDefault="0044096F" w:rsidP="0044096F">
            <w:pPr>
              <w:spacing w:before="40" w:after="40"/>
              <w:jc w:val="center"/>
              <w:rPr>
                <w:rFonts w:asciiTheme="minorHAnsi" w:hAnsiTheme="minorHAnsi" w:cstheme="minorHAnsi"/>
                <w:sz w:val="20"/>
                <w:szCs w:val="20"/>
                <w:lang w:val="en-GB"/>
              </w:rPr>
            </w:pPr>
            <w:r w:rsidRPr="0044096F">
              <w:rPr>
                <w:rFonts w:asciiTheme="minorHAnsi" w:hAnsiTheme="minorHAnsi" w:cstheme="minorHAnsi"/>
                <w:sz w:val="20"/>
                <w:szCs w:val="20"/>
                <w:lang w:val="en-GB"/>
              </w:rPr>
              <w:t>√</w:t>
            </w:r>
          </w:p>
        </w:tc>
        <w:tc>
          <w:tcPr>
            <w:tcW w:w="3260" w:type="dxa"/>
          </w:tcPr>
          <w:p w14:paraId="3C88C5E6" w14:textId="77777777" w:rsidR="0044096F" w:rsidRPr="0044096F" w:rsidRDefault="0044096F" w:rsidP="0044096F">
            <w:pPr>
              <w:pStyle w:val="ListParagraph"/>
              <w:spacing w:before="40" w:after="40"/>
              <w:ind w:left="104"/>
              <w:contextualSpacing w:val="0"/>
              <w:jc w:val="left"/>
              <w:rPr>
                <w:rFonts w:asciiTheme="minorHAnsi" w:hAnsiTheme="minorHAnsi" w:cstheme="minorHAnsi"/>
                <w:sz w:val="20"/>
                <w:szCs w:val="20"/>
                <w:lang w:val="en-GB"/>
              </w:rPr>
            </w:pPr>
          </w:p>
        </w:tc>
      </w:tr>
      <w:tr w:rsidR="0044096F" w:rsidRPr="00F45D2E" w14:paraId="3A3629A2" w14:textId="77777777" w:rsidTr="000E665D">
        <w:tc>
          <w:tcPr>
            <w:tcW w:w="3227" w:type="dxa"/>
            <w:shd w:val="clear" w:color="auto" w:fill="DBE5F1" w:themeFill="accent1" w:themeFillTint="33"/>
          </w:tcPr>
          <w:p w14:paraId="7B8DE0B9" w14:textId="77777777" w:rsidR="0044096F" w:rsidRPr="0044096F" w:rsidRDefault="0044096F" w:rsidP="0044096F">
            <w:pPr>
              <w:spacing w:before="40" w:after="40"/>
              <w:jc w:val="left"/>
              <w:rPr>
                <w:rFonts w:asciiTheme="minorHAnsi" w:hAnsiTheme="minorHAnsi" w:cstheme="minorHAnsi"/>
                <w:sz w:val="20"/>
                <w:szCs w:val="20"/>
                <w:lang w:val="en-GB"/>
              </w:rPr>
            </w:pPr>
            <w:r w:rsidRPr="0044096F">
              <w:rPr>
                <w:rFonts w:asciiTheme="minorHAnsi" w:hAnsiTheme="minorHAnsi" w:cstheme="minorHAnsi"/>
                <w:sz w:val="20"/>
                <w:szCs w:val="20"/>
                <w:lang w:val="en-GB"/>
              </w:rPr>
              <w:lastRenderedPageBreak/>
              <w:t>Adaptation Fund</w:t>
            </w:r>
          </w:p>
        </w:tc>
        <w:tc>
          <w:tcPr>
            <w:tcW w:w="5953" w:type="dxa"/>
          </w:tcPr>
          <w:p w14:paraId="0CF322B4" w14:textId="77777777" w:rsidR="0044096F" w:rsidRPr="0044096F" w:rsidRDefault="0044096F" w:rsidP="0044096F">
            <w:pPr>
              <w:spacing w:before="40" w:after="40"/>
              <w:jc w:val="left"/>
              <w:rPr>
                <w:rFonts w:asciiTheme="minorHAnsi" w:hAnsiTheme="minorHAnsi" w:cstheme="minorHAnsi"/>
                <w:sz w:val="20"/>
                <w:szCs w:val="20"/>
                <w:lang w:val="en-GB"/>
              </w:rPr>
            </w:pPr>
            <w:r w:rsidRPr="0044096F">
              <w:rPr>
                <w:rFonts w:asciiTheme="minorHAnsi" w:hAnsiTheme="minorHAnsi" w:cstheme="minorHAnsi"/>
                <w:sz w:val="20"/>
                <w:szCs w:val="20"/>
                <w:lang w:val="en-GB"/>
              </w:rPr>
              <w:t>Projects and programmes that reduce the vulnerability of communities and sectors to the effects of climate change.</w:t>
            </w:r>
          </w:p>
        </w:tc>
        <w:tc>
          <w:tcPr>
            <w:tcW w:w="1059" w:type="dxa"/>
          </w:tcPr>
          <w:p w14:paraId="668712DA" w14:textId="77777777" w:rsidR="0044096F" w:rsidRPr="0044096F" w:rsidRDefault="0044096F" w:rsidP="0044096F">
            <w:pPr>
              <w:spacing w:before="40" w:after="40"/>
              <w:jc w:val="center"/>
              <w:rPr>
                <w:rFonts w:asciiTheme="minorHAnsi" w:hAnsiTheme="minorHAnsi" w:cstheme="minorHAnsi"/>
                <w:sz w:val="20"/>
                <w:szCs w:val="20"/>
                <w:lang w:val="en-GB"/>
              </w:rPr>
            </w:pPr>
            <w:r w:rsidRPr="0044096F">
              <w:rPr>
                <w:rFonts w:asciiTheme="minorHAnsi" w:hAnsiTheme="minorHAnsi" w:cstheme="minorHAnsi"/>
                <w:sz w:val="20"/>
                <w:szCs w:val="20"/>
                <w:lang w:val="en-GB"/>
              </w:rPr>
              <w:t>√</w:t>
            </w:r>
          </w:p>
        </w:tc>
        <w:tc>
          <w:tcPr>
            <w:tcW w:w="999" w:type="dxa"/>
          </w:tcPr>
          <w:p w14:paraId="66EB2FA0" w14:textId="77777777" w:rsidR="0044096F" w:rsidRPr="0044096F" w:rsidRDefault="0044096F" w:rsidP="0044096F">
            <w:pPr>
              <w:spacing w:before="40" w:after="40"/>
              <w:jc w:val="center"/>
              <w:rPr>
                <w:rFonts w:asciiTheme="minorHAnsi" w:hAnsiTheme="minorHAnsi" w:cstheme="minorHAnsi"/>
                <w:sz w:val="20"/>
                <w:szCs w:val="20"/>
                <w:lang w:val="en-GB"/>
              </w:rPr>
            </w:pPr>
          </w:p>
        </w:tc>
        <w:tc>
          <w:tcPr>
            <w:tcW w:w="3260" w:type="dxa"/>
          </w:tcPr>
          <w:p w14:paraId="678F05AF" w14:textId="77777777" w:rsidR="0044096F" w:rsidRPr="0044096F" w:rsidRDefault="0044096F" w:rsidP="007F6A77">
            <w:pPr>
              <w:pStyle w:val="ListParagraph"/>
              <w:numPr>
                <w:ilvl w:val="0"/>
                <w:numId w:val="11"/>
              </w:numPr>
              <w:spacing w:before="40" w:after="40"/>
              <w:ind w:left="102" w:hanging="141"/>
              <w:contextualSpacing w:val="0"/>
              <w:jc w:val="left"/>
              <w:rPr>
                <w:rFonts w:asciiTheme="minorHAnsi" w:hAnsiTheme="minorHAnsi" w:cstheme="minorHAnsi"/>
                <w:sz w:val="20"/>
                <w:szCs w:val="20"/>
                <w:lang w:val="en-GB"/>
              </w:rPr>
            </w:pPr>
            <w:r w:rsidRPr="0044096F">
              <w:rPr>
                <w:rFonts w:asciiTheme="minorHAnsi" w:hAnsiTheme="minorHAnsi" w:cstheme="minorHAnsi"/>
                <w:sz w:val="20"/>
                <w:szCs w:val="20"/>
                <w:lang w:val="en-GB"/>
              </w:rPr>
              <w:t>Set up under the Kyoto Protocol.</w:t>
            </w:r>
          </w:p>
          <w:p w14:paraId="74D9EE60" w14:textId="77777777" w:rsidR="0044096F" w:rsidRPr="0044096F" w:rsidRDefault="0044096F" w:rsidP="007F6A77">
            <w:pPr>
              <w:pStyle w:val="ListParagraph"/>
              <w:numPr>
                <w:ilvl w:val="0"/>
                <w:numId w:val="11"/>
              </w:numPr>
              <w:spacing w:before="40" w:after="40"/>
              <w:ind w:left="102" w:hanging="141"/>
              <w:contextualSpacing w:val="0"/>
              <w:jc w:val="left"/>
              <w:rPr>
                <w:rFonts w:asciiTheme="minorHAnsi" w:hAnsiTheme="minorHAnsi" w:cstheme="minorHAnsi"/>
                <w:sz w:val="20"/>
                <w:szCs w:val="20"/>
                <w:lang w:val="en-GB"/>
              </w:rPr>
            </w:pPr>
            <w:r w:rsidRPr="0044096F">
              <w:rPr>
                <w:rFonts w:asciiTheme="minorHAnsi" w:hAnsiTheme="minorHAnsi" w:cstheme="minorHAnsi"/>
                <w:sz w:val="20"/>
                <w:szCs w:val="20"/>
                <w:lang w:val="en-GB"/>
              </w:rPr>
              <w:t>Financed through a 2% levy on Clean Development Mechanism (CDM) transactions.</w:t>
            </w:r>
          </w:p>
          <w:p w14:paraId="679AD6FA" w14:textId="77777777" w:rsidR="0044096F" w:rsidRPr="0044096F" w:rsidRDefault="0044096F" w:rsidP="007F6A77">
            <w:pPr>
              <w:pStyle w:val="ListParagraph"/>
              <w:numPr>
                <w:ilvl w:val="0"/>
                <w:numId w:val="11"/>
              </w:numPr>
              <w:spacing w:before="40" w:after="40"/>
              <w:ind w:left="102" w:hanging="141"/>
              <w:contextualSpacing w:val="0"/>
              <w:jc w:val="left"/>
              <w:rPr>
                <w:rFonts w:asciiTheme="minorHAnsi" w:hAnsiTheme="minorHAnsi" w:cstheme="minorHAnsi"/>
                <w:sz w:val="20"/>
                <w:szCs w:val="20"/>
                <w:lang w:val="en-GB"/>
              </w:rPr>
            </w:pPr>
            <w:r w:rsidRPr="0044096F">
              <w:rPr>
                <w:rFonts w:asciiTheme="minorHAnsi" w:hAnsiTheme="minorHAnsi" w:cstheme="minorHAnsi"/>
                <w:sz w:val="20"/>
                <w:szCs w:val="20"/>
                <w:lang w:val="en-GB"/>
              </w:rPr>
              <w:t>Actual financing operations started in the last quarter of 2010.</w:t>
            </w:r>
          </w:p>
        </w:tc>
      </w:tr>
      <w:tr w:rsidR="003A35B3" w:rsidRPr="00F45D2E" w14:paraId="4270B496" w14:textId="77777777" w:rsidTr="000E665D">
        <w:tc>
          <w:tcPr>
            <w:tcW w:w="3227" w:type="dxa"/>
            <w:shd w:val="clear" w:color="auto" w:fill="DBE5F1" w:themeFill="accent1" w:themeFillTint="33"/>
          </w:tcPr>
          <w:p w14:paraId="4AE80C82" w14:textId="77777777" w:rsidR="003A35B3" w:rsidRPr="003A35B3" w:rsidRDefault="003A35B3" w:rsidP="00E72BAF">
            <w:pPr>
              <w:spacing w:before="40" w:after="40"/>
              <w:jc w:val="left"/>
              <w:rPr>
                <w:rFonts w:asciiTheme="minorHAnsi" w:hAnsiTheme="minorHAnsi" w:cstheme="minorHAnsi"/>
                <w:sz w:val="20"/>
                <w:szCs w:val="20"/>
                <w:lang w:val="en-GB"/>
              </w:rPr>
            </w:pPr>
            <w:r w:rsidRPr="003A35B3">
              <w:rPr>
                <w:rFonts w:asciiTheme="minorHAnsi" w:hAnsiTheme="minorHAnsi" w:cstheme="minorHAnsi"/>
                <w:sz w:val="20"/>
                <w:szCs w:val="20"/>
                <w:lang w:val="en-GB"/>
              </w:rPr>
              <w:t>Green Climate Fund</w:t>
            </w:r>
          </w:p>
        </w:tc>
        <w:tc>
          <w:tcPr>
            <w:tcW w:w="5953" w:type="dxa"/>
          </w:tcPr>
          <w:p w14:paraId="4334BD34" w14:textId="77777777" w:rsidR="003A35B3" w:rsidRPr="003A35B3" w:rsidRDefault="003A35B3" w:rsidP="00E72BAF">
            <w:pPr>
              <w:spacing w:before="40" w:after="40"/>
              <w:jc w:val="left"/>
              <w:rPr>
                <w:rFonts w:asciiTheme="minorHAnsi" w:hAnsiTheme="minorHAnsi" w:cstheme="minorHAnsi"/>
                <w:sz w:val="20"/>
                <w:szCs w:val="20"/>
                <w:lang w:val="en-GB"/>
              </w:rPr>
            </w:pPr>
            <w:r w:rsidRPr="003A35B3">
              <w:rPr>
                <w:rFonts w:asciiTheme="minorHAnsi" w:hAnsiTheme="minorHAnsi" w:cstheme="minorHAnsi"/>
                <w:sz w:val="20"/>
                <w:szCs w:val="20"/>
                <w:lang w:val="en-GB"/>
              </w:rPr>
              <w:t>Will in the future channel a significant share of new multilateral funding for adaptation</w:t>
            </w:r>
            <w:r w:rsidR="003D770E">
              <w:rPr>
                <w:rFonts w:asciiTheme="minorHAnsi" w:hAnsiTheme="minorHAnsi" w:cstheme="minorHAnsi"/>
                <w:sz w:val="20"/>
                <w:szCs w:val="20"/>
                <w:lang w:val="en-GB"/>
              </w:rPr>
              <w:t xml:space="preserve"> and mitigation</w:t>
            </w:r>
            <w:r w:rsidRPr="003A35B3">
              <w:rPr>
                <w:rFonts w:asciiTheme="minorHAnsi" w:hAnsiTheme="minorHAnsi" w:cstheme="minorHAnsi"/>
                <w:sz w:val="20"/>
                <w:szCs w:val="20"/>
                <w:lang w:val="en-GB"/>
              </w:rPr>
              <w:t>.</w:t>
            </w:r>
          </w:p>
        </w:tc>
        <w:tc>
          <w:tcPr>
            <w:tcW w:w="1059" w:type="dxa"/>
          </w:tcPr>
          <w:p w14:paraId="594B55E5" w14:textId="77777777" w:rsidR="003A35B3" w:rsidRPr="003A35B3" w:rsidRDefault="003A35B3" w:rsidP="00E72BAF">
            <w:pPr>
              <w:spacing w:before="40" w:after="40"/>
              <w:jc w:val="center"/>
              <w:rPr>
                <w:rFonts w:asciiTheme="minorHAnsi" w:hAnsiTheme="minorHAnsi" w:cstheme="minorHAnsi"/>
                <w:sz w:val="20"/>
                <w:szCs w:val="20"/>
                <w:lang w:val="en-GB"/>
              </w:rPr>
            </w:pPr>
            <w:r w:rsidRPr="003A35B3">
              <w:rPr>
                <w:rFonts w:asciiTheme="minorHAnsi" w:hAnsiTheme="minorHAnsi" w:cstheme="minorHAnsi"/>
                <w:sz w:val="20"/>
                <w:szCs w:val="20"/>
                <w:lang w:val="en-GB"/>
              </w:rPr>
              <w:t>√</w:t>
            </w:r>
          </w:p>
        </w:tc>
        <w:tc>
          <w:tcPr>
            <w:tcW w:w="999" w:type="dxa"/>
          </w:tcPr>
          <w:p w14:paraId="3A2B2282" w14:textId="77777777" w:rsidR="003A35B3" w:rsidRPr="003A35B3" w:rsidRDefault="003D770E" w:rsidP="00E72BAF">
            <w:pPr>
              <w:spacing w:before="40" w:after="40"/>
              <w:jc w:val="center"/>
              <w:rPr>
                <w:rFonts w:asciiTheme="minorHAnsi" w:hAnsiTheme="minorHAnsi" w:cstheme="minorHAnsi"/>
                <w:sz w:val="20"/>
                <w:szCs w:val="20"/>
                <w:lang w:val="en-GB"/>
              </w:rPr>
            </w:pPr>
            <w:r>
              <w:rPr>
                <w:rFonts w:asciiTheme="minorHAnsi" w:hAnsiTheme="minorHAnsi" w:cstheme="minorHAnsi"/>
                <w:sz w:val="20"/>
                <w:szCs w:val="20"/>
                <w:lang w:val="en-GB"/>
              </w:rPr>
              <w:t>√</w:t>
            </w:r>
          </w:p>
        </w:tc>
        <w:tc>
          <w:tcPr>
            <w:tcW w:w="3260" w:type="dxa"/>
          </w:tcPr>
          <w:p w14:paraId="23D7B9C8" w14:textId="77777777" w:rsidR="003A35B3" w:rsidRPr="003A35B3" w:rsidRDefault="003A35B3" w:rsidP="007F6A77">
            <w:pPr>
              <w:pStyle w:val="ListParagraph"/>
              <w:numPr>
                <w:ilvl w:val="0"/>
                <w:numId w:val="14"/>
              </w:numPr>
              <w:spacing w:before="40" w:after="40"/>
              <w:ind w:left="102" w:hanging="141"/>
              <w:jc w:val="left"/>
              <w:rPr>
                <w:rFonts w:asciiTheme="minorHAnsi" w:hAnsiTheme="minorHAnsi" w:cstheme="minorHAnsi"/>
                <w:sz w:val="20"/>
                <w:szCs w:val="20"/>
                <w:lang w:val="en-GB"/>
              </w:rPr>
            </w:pPr>
            <w:r w:rsidRPr="003A35B3">
              <w:rPr>
                <w:rFonts w:asciiTheme="minorHAnsi" w:hAnsiTheme="minorHAnsi" w:cstheme="minorHAnsi"/>
                <w:sz w:val="20"/>
                <w:szCs w:val="20"/>
                <w:lang w:val="en-GB"/>
              </w:rPr>
              <w:t>To be set up on the basis of a decision made at the Cancun Conference (UNFCCC COP16, December 2010).</w:t>
            </w:r>
          </w:p>
          <w:p w14:paraId="25FEFE5B" w14:textId="77777777" w:rsidR="003A35B3" w:rsidRPr="003A35B3" w:rsidRDefault="003A35B3" w:rsidP="007F6A77">
            <w:pPr>
              <w:pStyle w:val="ListParagraph"/>
              <w:numPr>
                <w:ilvl w:val="0"/>
                <w:numId w:val="14"/>
              </w:numPr>
              <w:spacing w:before="40" w:after="40"/>
              <w:ind w:left="102" w:hanging="141"/>
              <w:jc w:val="left"/>
              <w:rPr>
                <w:rFonts w:asciiTheme="minorHAnsi" w:hAnsiTheme="minorHAnsi" w:cstheme="minorHAnsi"/>
                <w:sz w:val="20"/>
                <w:szCs w:val="20"/>
                <w:lang w:val="en-GB"/>
              </w:rPr>
            </w:pPr>
            <w:r w:rsidRPr="003A35B3">
              <w:rPr>
                <w:rFonts w:asciiTheme="minorHAnsi" w:hAnsiTheme="minorHAnsi" w:cstheme="minorHAnsi"/>
                <w:sz w:val="20"/>
                <w:szCs w:val="20"/>
                <w:lang w:val="en-GB"/>
              </w:rPr>
              <w:t xml:space="preserve">Operations </w:t>
            </w:r>
            <w:r w:rsidR="0083335D">
              <w:rPr>
                <w:rFonts w:asciiTheme="minorHAnsi" w:hAnsiTheme="minorHAnsi" w:cstheme="minorHAnsi"/>
                <w:sz w:val="20"/>
                <w:szCs w:val="20"/>
                <w:lang w:val="en-GB"/>
              </w:rPr>
              <w:t xml:space="preserve">have </w:t>
            </w:r>
            <w:r w:rsidRPr="003A35B3">
              <w:rPr>
                <w:rFonts w:asciiTheme="minorHAnsi" w:hAnsiTheme="minorHAnsi" w:cstheme="minorHAnsi"/>
                <w:sz w:val="20"/>
                <w:szCs w:val="20"/>
                <w:lang w:val="en-GB"/>
              </w:rPr>
              <w:t>not yet started.</w:t>
            </w:r>
          </w:p>
        </w:tc>
      </w:tr>
      <w:tr w:rsidR="0044096F" w:rsidRPr="00F45D2E" w14:paraId="6EE4CEB2" w14:textId="77777777" w:rsidTr="000E665D">
        <w:tc>
          <w:tcPr>
            <w:tcW w:w="3227" w:type="dxa"/>
            <w:shd w:val="clear" w:color="auto" w:fill="DBE5F1" w:themeFill="accent1" w:themeFillTint="33"/>
          </w:tcPr>
          <w:p w14:paraId="78CCBBED" w14:textId="77777777" w:rsidR="0044096F" w:rsidRPr="002E6F02" w:rsidRDefault="0044096F" w:rsidP="0044096F">
            <w:pPr>
              <w:spacing w:before="40" w:after="40"/>
              <w:jc w:val="left"/>
              <w:rPr>
                <w:rFonts w:asciiTheme="minorHAnsi" w:hAnsiTheme="minorHAnsi" w:cstheme="minorHAnsi"/>
                <w:sz w:val="20"/>
                <w:szCs w:val="20"/>
                <w:lang w:val="en-GB"/>
              </w:rPr>
            </w:pPr>
            <w:r w:rsidRPr="002E6F02">
              <w:rPr>
                <w:rFonts w:asciiTheme="minorHAnsi" w:hAnsiTheme="minorHAnsi" w:cstheme="minorHAnsi"/>
                <w:sz w:val="20"/>
                <w:szCs w:val="20"/>
                <w:lang w:val="en-GB"/>
              </w:rPr>
              <w:t>Clean Technology Fund (CTF)</w:t>
            </w:r>
          </w:p>
        </w:tc>
        <w:tc>
          <w:tcPr>
            <w:tcW w:w="5953" w:type="dxa"/>
          </w:tcPr>
          <w:p w14:paraId="61526057" w14:textId="77777777" w:rsidR="0044096F" w:rsidRPr="002E6F02" w:rsidRDefault="002E6F02" w:rsidP="007F6A77">
            <w:pPr>
              <w:pStyle w:val="ListParagraph"/>
              <w:numPr>
                <w:ilvl w:val="0"/>
                <w:numId w:val="13"/>
              </w:numPr>
              <w:spacing w:before="40" w:after="40"/>
              <w:ind w:left="175" w:hanging="141"/>
              <w:jc w:val="left"/>
              <w:rPr>
                <w:rFonts w:asciiTheme="minorHAnsi" w:hAnsiTheme="minorHAnsi" w:cstheme="minorHAnsi"/>
                <w:sz w:val="20"/>
                <w:szCs w:val="20"/>
                <w:lang w:val="en-GB"/>
              </w:rPr>
            </w:pPr>
            <w:r w:rsidRPr="002E6F02">
              <w:rPr>
                <w:rFonts w:asciiTheme="minorHAnsi" w:hAnsiTheme="minorHAnsi" w:cstheme="minorHAnsi"/>
                <w:sz w:val="20"/>
                <w:szCs w:val="20"/>
                <w:lang w:val="en-GB"/>
              </w:rPr>
              <w:t>D</w:t>
            </w:r>
            <w:r w:rsidR="0044096F" w:rsidRPr="002E6F02">
              <w:rPr>
                <w:rFonts w:asciiTheme="minorHAnsi" w:hAnsiTheme="minorHAnsi" w:cstheme="minorHAnsi"/>
                <w:sz w:val="20"/>
                <w:szCs w:val="20"/>
                <w:lang w:val="en-GB"/>
              </w:rPr>
              <w:t>emonstration</w:t>
            </w:r>
            <w:r w:rsidRPr="002E6F02">
              <w:rPr>
                <w:rFonts w:asciiTheme="minorHAnsi" w:hAnsiTheme="minorHAnsi" w:cstheme="minorHAnsi"/>
                <w:sz w:val="20"/>
                <w:szCs w:val="20"/>
                <w:lang w:val="en-GB"/>
              </w:rPr>
              <w:t>,</w:t>
            </w:r>
            <w:r w:rsidR="0044096F" w:rsidRPr="002E6F02">
              <w:rPr>
                <w:rFonts w:asciiTheme="minorHAnsi" w:hAnsiTheme="minorHAnsi" w:cstheme="minorHAnsi"/>
                <w:sz w:val="20"/>
                <w:szCs w:val="20"/>
                <w:lang w:val="en-GB"/>
              </w:rPr>
              <w:t xml:space="preserve"> deployment and transfer of low-emission technologies with significant potential for long-term GHG emission reductions</w:t>
            </w:r>
            <w:r w:rsidRPr="002E6F02">
              <w:rPr>
                <w:rFonts w:asciiTheme="minorHAnsi" w:hAnsiTheme="minorHAnsi" w:cstheme="minorHAnsi"/>
                <w:sz w:val="20"/>
                <w:szCs w:val="20"/>
                <w:lang w:val="en-GB"/>
              </w:rPr>
              <w:t>.</w:t>
            </w:r>
          </w:p>
          <w:p w14:paraId="3046E384" w14:textId="77777777" w:rsidR="002E6F02" w:rsidRPr="002E6F02" w:rsidRDefault="002E6F02" w:rsidP="007F6A77">
            <w:pPr>
              <w:pStyle w:val="ListParagraph"/>
              <w:numPr>
                <w:ilvl w:val="0"/>
                <w:numId w:val="13"/>
              </w:numPr>
              <w:spacing w:before="40" w:after="40"/>
              <w:ind w:left="175" w:hanging="141"/>
              <w:jc w:val="left"/>
              <w:rPr>
                <w:rFonts w:asciiTheme="minorHAnsi" w:hAnsiTheme="minorHAnsi" w:cstheme="minorHAnsi"/>
                <w:sz w:val="20"/>
                <w:szCs w:val="20"/>
                <w:lang w:val="en-GB"/>
              </w:rPr>
            </w:pPr>
            <w:r w:rsidRPr="002E6F02">
              <w:rPr>
                <w:rFonts w:asciiTheme="minorHAnsi" w:hAnsiTheme="minorHAnsi" w:cstheme="minorHAnsi"/>
                <w:sz w:val="20"/>
                <w:szCs w:val="20"/>
                <w:lang w:val="en-GB"/>
              </w:rPr>
              <w:t>Supports both public and private investments (programmes and large-scale projects).</w:t>
            </w:r>
          </w:p>
        </w:tc>
        <w:tc>
          <w:tcPr>
            <w:tcW w:w="1059" w:type="dxa"/>
          </w:tcPr>
          <w:p w14:paraId="2A9306BC" w14:textId="77777777" w:rsidR="0044096F" w:rsidRPr="002E6F02" w:rsidRDefault="0044096F" w:rsidP="0044096F">
            <w:pPr>
              <w:spacing w:before="40" w:after="40"/>
              <w:jc w:val="center"/>
              <w:rPr>
                <w:rFonts w:asciiTheme="minorHAnsi" w:hAnsiTheme="minorHAnsi" w:cstheme="minorHAnsi"/>
                <w:sz w:val="20"/>
                <w:szCs w:val="20"/>
                <w:lang w:val="en-GB"/>
              </w:rPr>
            </w:pPr>
          </w:p>
        </w:tc>
        <w:tc>
          <w:tcPr>
            <w:tcW w:w="999" w:type="dxa"/>
          </w:tcPr>
          <w:p w14:paraId="65763495" w14:textId="77777777" w:rsidR="0044096F" w:rsidRPr="002E6F02" w:rsidRDefault="0044096F" w:rsidP="0044096F">
            <w:pPr>
              <w:spacing w:before="40" w:after="40"/>
              <w:jc w:val="center"/>
              <w:rPr>
                <w:rFonts w:asciiTheme="minorHAnsi" w:hAnsiTheme="minorHAnsi" w:cstheme="minorHAnsi"/>
                <w:sz w:val="20"/>
                <w:szCs w:val="20"/>
                <w:lang w:val="en-GB"/>
              </w:rPr>
            </w:pPr>
            <w:r w:rsidRPr="002E6F02">
              <w:rPr>
                <w:rFonts w:asciiTheme="minorHAnsi" w:hAnsiTheme="minorHAnsi" w:cstheme="minorHAnsi"/>
                <w:sz w:val="20"/>
                <w:szCs w:val="20"/>
                <w:lang w:val="en-GB"/>
              </w:rPr>
              <w:t>√</w:t>
            </w:r>
          </w:p>
        </w:tc>
        <w:tc>
          <w:tcPr>
            <w:tcW w:w="3260" w:type="dxa"/>
          </w:tcPr>
          <w:p w14:paraId="02CC339D" w14:textId="77777777" w:rsidR="002E6F02" w:rsidRPr="00626B34" w:rsidRDefault="0044096F" w:rsidP="00626B34">
            <w:pPr>
              <w:spacing w:before="40" w:after="40"/>
              <w:jc w:val="left"/>
              <w:rPr>
                <w:rFonts w:asciiTheme="minorHAnsi" w:hAnsiTheme="minorHAnsi" w:cstheme="minorHAnsi"/>
                <w:sz w:val="20"/>
                <w:szCs w:val="20"/>
                <w:lang w:val="en-GB"/>
              </w:rPr>
            </w:pPr>
            <w:r w:rsidRPr="00626B34">
              <w:rPr>
                <w:rFonts w:asciiTheme="minorHAnsi" w:hAnsiTheme="minorHAnsi" w:cstheme="minorHAnsi"/>
                <w:sz w:val="20"/>
                <w:szCs w:val="20"/>
                <w:lang w:val="en-GB"/>
              </w:rPr>
              <w:t>One of 2 multi-donor ‘climate investment funds’ managed by the World Bank</w:t>
            </w:r>
            <w:r w:rsidR="00626B34">
              <w:rPr>
                <w:rFonts w:asciiTheme="minorHAnsi" w:hAnsiTheme="minorHAnsi" w:cstheme="minorHAnsi"/>
                <w:sz w:val="20"/>
                <w:szCs w:val="20"/>
                <w:lang w:val="en-GB"/>
              </w:rPr>
              <w:t>.</w:t>
            </w:r>
          </w:p>
        </w:tc>
      </w:tr>
      <w:tr w:rsidR="002E6F02" w:rsidRPr="00F45D2E" w14:paraId="4A028D40" w14:textId="77777777" w:rsidTr="000E665D">
        <w:tc>
          <w:tcPr>
            <w:tcW w:w="3227" w:type="dxa"/>
            <w:shd w:val="clear" w:color="auto" w:fill="DBE5F1" w:themeFill="accent1" w:themeFillTint="33"/>
          </w:tcPr>
          <w:p w14:paraId="5ADA7980" w14:textId="77777777" w:rsidR="002E6F02" w:rsidRPr="00626B34" w:rsidRDefault="002E6F02" w:rsidP="0044096F">
            <w:pPr>
              <w:spacing w:before="40" w:after="40"/>
              <w:jc w:val="left"/>
              <w:rPr>
                <w:rFonts w:asciiTheme="minorHAnsi" w:hAnsiTheme="minorHAnsi" w:cstheme="minorHAnsi"/>
                <w:sz w:val="20"/>
                <w:szCs w:val="20"/>
                <w:lang w:val="en-GB"/>
              </w:rPr>
            </w:pPr>
            <w:r w:rsidRPr="00626B34">
              <w:rPr>
                <w:rFonts w:asciiTheme="minorHAnsi" w:hAnsiTheme="minorHAnsi" w:cstheme="minorHAnsi"/>
                <w:sz w:val="20"/>
                <w:szCs w:val="20"/>
                <w:lang w:val="en-GB"/>
              </w:rPr>
              <w:t xml:space="preserve">Strategic Climate Fund (SCF) </w:t>
            </w:r>
          </w:p>
        </w:tc>
        <w:tc>
          <w:tcPr>
            <w:tcW w:w="5953" w:type="dxa"/>
          </w:tcPr>
          <w:p w14:paraId="0A741791" w14:textId="77777777" w:rsidR="002E6F02" w:rsidRPr="00626B34" w:rsidRDefault="002E6F02" w:rsidP="007F6A77">
            <w:pPr>
              <w:pStyle w:val="ListParagraph"/>
              <w:numPr>
                <w:ilvl w:val="0"/>
                <w:numId w:val="13"/>
              </w:numPr>
              <w:spacing w:before="40" w:after="40"/>
              <w:ind w:left="175" w:hanging="141"/>
              <w:jc w:val="left"/>
              <w:rPr>
                <w:rFonts w:asciiTheme="minorHAnsi" w:hAnsiTheme="minorHAnsi" w:cstheme="minorHAnsi"/>
                <w:sz w:val="20"/>
                <w:szCs w:val="20"/>
                <w:lang w:val="en-GB"/>
              </w:rPr>
            </w:pPr>
            <w:r w:rsidRPr="00626B34">
              <w:rPr>
                <w:rFonts w:asciiTheme="minorHAnsi" w:hAnsiTheme="minorHAnsi" w:cstheme="minorHAnsi"/>
                <w:sz w:val="20"/>
                <w:szCs w:val="20"/>
                <w:lang w:val="en-GB"/>
              </w:rPr>
              <w:t>Overarching mechanism for supporting programmes aimed at testing innovative approaches to climate change adaptation and mitigation.</w:t>
            </w:r>
          </w:p>
          <w:p w14:paraId="22B8D704" w14:textId="77777777" w:rsidR="002E6F02" w:rsidRPr="00626B34" w:rsidRDefault="002E6F02" w:rsidP="007F6A77">
            <w:pPr>
              <w:pStyle w:val="ListParagraph"/>
              <w:numPr>
                <w:ilvl w:val="0"/>
                <w:numId w:val="13"/>
              </w:numPr>
              <w:spacing w:before="40" w:after="40"/>
              <w:ind w:left="175" w:hanging="141"/>
              <w:jc w:val="left"/>
              <w:rPr>
                <w:rFonts w:asciiTheme="minorHAnsi" w:hAnsiTheme="minorHAnsi" w:cstheme="minorHAnsi"/>
                <w:sz w:val="20"/>
                <w:szCs w:val="20"/>
                <w:lang w:val="en-GB"/>
              </w:rPr>
            </w:pPr>
            <w:r w:rsidRPr="00626B34">
              <w:rPr>
                <w:rFonts w:asciiTheme="minorHAnsi" w:hAnsiTheme="minorHAnsi" w:cstheme="minorHAnsi"/>
                <w:sz w:val="20"/>
                <w:szCs w:val="20"/>
                <w:lang w:val="en-GB"/>
              </w:rPr>
              <w:t>Components:</w:t>
            </w:r>
          </w:p>
          <w:p w14:paraId="281D76EB" w14:textId="77777777" w:rsidR="00626B34" w:rsidRPr="00626B34" w:rsidRDefault="00626B34" w:rsidP="007F6A77">
            <w:pPr>
              <w:pStyle w:val="ListParagraph"/>
              <w:numPr>
                <w:ilvl w:val="2"/>
                <w:numId w:val="9"/>
              </w:numPr>
              <w:spacing w:before="40" w:after="40"/>
              <w:ind w:left="459" w:hanging="256"/>
              <w:jc w:val="left"/>
              <w:rPr>
                <w:rFonts w:asciiTheme="minorHAnsi" w:hAnsiTheme="minorHAnsi" w:cstheme="minorHAnsi"/>
                <w:sz w:val="20"/>
                <w:szCs w:val="20"/>
                <w:lang w:val="en-GB"/>
              </w:rPr>
            </w:pPr>
            <w:r w:rsidRPr="00626B34">
              <w:rPr>
                <w:rFonts w:asciiTheme="minorHAnsi" w:hAnsiTheme="minorHAnsi" w:cstheme="minorHAnsi"/>
                <w:sz w:val="20"/>
                <w:szCs w:val="20"/>
                <w:lang w:val="en-GB"/>
              </w:rPr>
              <w:t>Pilot Program for Climate Resilience (PPCR), focused on climate risk and resilience mainstreaming in development planning;</w:t>
            </w:r>
          </w:p>
          <w:p w14:paraId="0D67CD45" w14:textId="77777777" w:rsidR="00626B34" w:rsidRPr="00626B34" w:rsidRDefault="00626B34" w:rsidP="007F6A77">
            <w:pPr>
              <w:pStyle w:val="ListParagraph"/>
              <w:numPr>
                <w:ilvl w:val="2"/>
                <w:numId w:val="9"/>
              </w:numPr>
              <w:spacing w:before="40" w:after="40"/>
              <w:ind w:left="459" w:hanging="256"/>
              <w:jc w:val="left"/>
              <w:rPr>
                <w:rFonts w:asciiTheme="minorHAnsi" w:hAnsiTheme="minorHAnsi" w:cstheme="minorHAnsi"/>
                <w:sz w:val="20"/>
                <w:szCs w:val="20"/>
                <w:lang w:val="en-GB"/>
              </w:rPr>
            </w:pPr>
            <w:r w:rsidRPr="00626B34">
              <w:rPr>
                <w:rFonts w:asciiTheme="minorHAnsi" w:hAnsiTheme="minorHAnsi" w:cstheme="minorHAnsi"/>
                <w:sz w:val="20"/>
                <w:szCs w:val="20"/>
                <w:lang w:val="en-GB"/>
              </w:rPr>
              <w:t>Forest Investment Program (FIP), focused on public and private investment and structural measures aimed at reducing deforestation and forest degradation and promoting sustainable forest management;</w:t>
            </w:r>
          </w:p>
          <w:p w14:paraId="623A96DF" w14:textId="77777777" w:rsidR="00626B34" w:rsidRPr="00626B34" w:rsidRDefault="00626B34" w:rsidP="007F6A77">
            <w:pPr>
              <w:pStyle w:val="ListParagraph"/>
              <w:numPr>
                <w:ilvl w:val="2"/>
                <w:numId w:val="9"/>
              </w:numPr>
              <w:spacing w:before="40" w:after="40"/>
              <w:ind w:left="459" w:hanging="256"/>
              <w:jc w:val="left"/>
              <w:rPr>
                <w:rFonts w:asciiTheme="minorHAnsi" w:hAnsiTheme="minorHAnsi" w:cstheme="minorHAnsi"/>
                <w:sz w:val="20"/>
                <w:szCs w:val="20"/>
                <w:lang w:val="en-GB"/>
              </w:rPr>
            </w:pPr>
            <w:r w:rsidRPr="00626B34">
              <w:rPr>
                <w:rFonts w:asciiTheme="minorHAnsi" w:hAnsiTheme="minorHAnsi" w:cstheme="minorHAnsi"/>
                <w:sz w:val="20"/>
                <w:szCs w:val="20"/>
                <w:lang w:val="en-GB"/>
              </w:rPr>
              <w:t xml:space="preserve">Program for Scaling Up Renewable Energy in Low-Income Countries (SREP), focused on low-emission development </w:t>
            </w:r>
            <w:r w:rsidRPr="00626B34">
              <w:rPr>
                <w:rFonts w:asciiTheme="minorHAnsi" w:hAnsiTheme="minorHAnsi" w:cstheme="minorHAnsi"/>
                <w:sz w:val="20"/>
                <w:szCs w:val="20"/>
                <w:lang w:val="en-GB"/>
              </w:rPr>
              <w:lastRenderedPageBreak/>
              <w:t>pathways in the energy sector and increased access to energy through the deployment of renewable energy sources.</w:t>
            </w:r>
          </w:p>
        </w:tc>
        <w:tc>
          <w:tcPr>
            <w:tcW w:w="1059" w:type="dxa"/>
          </w:tcPr>
          <w:p w14:paraId="7CBADBCC" w14:textId="77777777" w:rsidR="002E6F02" w:rsidRPr="00626B34" w:rsidRDefault="00626B34" w:rsidP="0044096F">
            <w:pPr>
              <w:spacing w:before="40" w:after="40"/>
              <w:jc w:val="center"/>
              <w:rPr>
                <w:rFonts w:asciiTheme="minorHAnsi" w:hAnsiTheme="minorHAnsi" w:cstheme="minorHAnsi"/>
                <w:sz w:val="20"/>
                <w:szCs w:val="20"/>
                <w:lang w:val="en-GB"/>
              </w:rPr>
            </w:pPr>
            <w:r w:rsidRPr="00626B34">
              <w:rPr>
                <w:rFonts w:asciiTheme="minorHAnsi" w:hAnsiTheme="minorHAnsi" w:cstheme="minorHAnsi"/>
                <w:sz w:val="20"/>
                <w:szCs w:val="20"/>
                <w:lang w:val="en-GB"/>
              </w:rPr>
              <w:lastRenderedPageBreak/>
              <w:t>√</w:t>
            </w:r>
          </w:p>
        </w:tc>
        <w:tc>
          <w:tcPr>
            <w:tcW w:w="999" w:type="dxa"/>
          </w:tcPr>
          <w:p w14:paraId="278F2BCE" w14:textId="77777777" w:rsidR="002E6F02" w:rsidRPr="00626B34" w:rsidRDefault="00626B34" w:rsidP="0044096F">
            <w:pPr>
              <w:spacing w:before="40" w:after="40"/>
              <w:jc w:val="center"/>
              <w:rPr>
                <w:rFonts w:asciiTheme="minorHAnsi" w:hAnsiTheme="minorHAnsi" w:cstheme="minorHAnsi"/>
                <w:sz w:val="20"/>
                <w:szCs w:val="20"/>
                <w:lang w:val="en-GB"/>
              </w:rPr>
            </w:pPr>
            <w:r w:rsidRPr="00626B34">
              <w:rPr>
                <w:rFonts w:asciiTheme="minorHAnsi" w:hAnsiTheme="minorHAnsi" w:cstheme="minorHAnsi"/>
                <w:sz w:val="20"/>
                <w:szCs w:val="20"/>
                <w:lang w:val="en-GB"/>
              </w:rPr>
              <w:t>√</w:t>
            </w:r>
          </w:p>
        </w:tc>
        <w:tc>
          <w:tcPr>
            <w:tcW w:w="3260" w:type="dxa"/>
          </w:tcPr>
          <w:p w14:paraId="3A9039B4" w14:textId="77777777" w:rsidR="002E6F02" w:rsidRPr="00626B34" w:rsidRDefault="002E6F02" w:rsidP="00626B34">
            <w:pPr>
              <w:spacing w:before="40" w:after="40"/>
              <w:jc w:val="left"/>
              <w:rPr>
                <w:rFonts w:asciiTheme="minorHAnsi" w:hAnsiTheme="minorHAnsi" w:cstheme="minorHAnsi"/>
                <w:sz w:val="20"/>
                <w:szCs w:val="20"/>
                <w:lang w:val="en-GB"/>
              </w:rPr>
            </w:pPr>
            <w:r w:rsidRPr="00626B34">
              <w:rPr>
                <w:rFonts w:asciiTheme="minorHAnsi" w:hAnsiTheme="minorHAnsi" w:cstheme="minorHAnsi"/>
                <w:sz w:val="20"/>
                <w:szCs w:val="20"/>
                <w:lang w:val="en-GB"/>
              </w:rPr>
              <w:t>One of 2 multi-donor ‘climate investment funds’ managed by the World Bank</w:t>
            </w:r>
            <w:r w:rsidR="00626B34">
              <w:rPr>
                <w:rFonts w:asciiTheme="minorHAnsi" w:hAnsiTheme="minorHAnsi" w:cstheme="minorHAnsi"/>
                <w:sz w:val="20"/>
                <w:szCs w:val="20"/>
                <w:lang w:val="en-GB"/>
              </w:rPr>
              <w:t>.</w:t>
            </w:r>
          </w:p>
        </w:tc>
      </w:tr>
      <w:tr w:rsidR="00DB5556" w:rsidRPr="00F45D2E" w14:paraId="641DFA65" w14:textId="77777777" w:rsidTr="000E665D">
        <w:tc>
          <w:tcPr>
            <w:tcW w:w="3227" w:type="dxa"/>
            <w:shd w:val="clear" w:color="auto" w:fill="DBE5F1" w:themeFill="accent1" w:themeFillTint="33"/>
          </w:tcPr>
          <w:p w14:paraId="5EF1A870" w14:textId="7BAE775B" w:rsidR="00DB5556" w:rsidRPr="00DB5556" w:rsidRDefault="00DB5556" w:rsidP="00683C2A">
            <w:pPr>
              <w:spacing w:before="40" w:after="40"/>
              <w:jc w:val="left"/>
              <w:rPr>
                <w:rFonts w:asciiTheme="minorHAnsi" w:hAnsiTheme="minorHAnsi" w:cstheme="minorHAnsi"/>
                <w:sz w:val="20"/>
                <w:szCs w:val="20"/>
                <w:lang w:val="en-GB"/>
              </w:rPr>
            </w:pPr>
            <w:r w:rsidRPr="00DB5556">
              <w:rPr>
                <w:rFonts w:asciiTheme="minorHAnsi" w:hAnsiTheme="minorHAnsi" w:cstheme="minorHAnsi"/>
                <w:sz w:val="20"/>
                <w:szCs w:val="20"/>
                <w:lang w:val="en-GB"/>
              </w:rPr>
              <w:lastRenderedPageBreak/>
              <w:t>Fast Start Finance</w:t>
            </w:r>
            <w:r w:rsidR="00683C2A">
              <w:rPr>
                <w:rFonts w:asciiTheme="minorHAnsi" w:hAnsiTheme="minorHAnsi" w:cstheme="minorHAnsi"/>
                <w:sz w:val="20"/>
                <w:szCs w:val="20"/>
                <w:lang w:val="en-GB"/>
              </w:rPr>
              <w:t xml:space="preserve"> (2010-2012)</w:t>
            </w:r>
          </w:p>
        </w:tc>
        <w:tc>
          <w:tcPr>
            <w:tcW w:w="5953" w:type="dxa"/>
          </w:tcPr>
          <w:p w14:paraId="77D7C8DF" w14:textId="77777777" w:rsidR="00DB5556" w:rsidRPr="00DB5556" w:rsidRDefault="00DB5556" w:rsidP="00DB5556">
            <w:pPr>
              <w:spacing w:before="40" w:after="40"/>
              <w:jc w:val="left"/>
              <w:rPr>
                <w:rFonts w:asciiTheme="minorHAnsi" w:hAnsiTheme="minorHAnsi" w:cstheme="minorHAnsi"/>
                <w:sz w:val="20"/>
                <w:szCs w:val="20"/>
                <w:lang w:val="en-GB"/>
              </w:rPr>
            </w:pPr>
            <w:r w:rsidRPr="00DB5556">
              <w:rPr>
                <w:rFonts w:asciiTheme="minorHAnsi" w:hAnsiTheme="minorHAnsi" w:cstheme="minorHAnsi"/>
                <w:sz w:val="20"/>
                <w:szCs w:val="20"/>
                <w:lang w:val="en-GB"/>
              </w:rPr>
              <w:t>A mix of climate adaptation and mitigation measures adopted by developing countries.</w:t>
            </w:r>
          </w:p>
        </w:tc>
        <w:tc>
          <w:tcPr>
            <w:tcW w:w="1059" w:type="dxa"/>
          </w:tcPr>
          <w:p w14:paraId="2C41FA57" w14:textId="77777777" w:rsidR="00DB5556" w:rsidRPr="00626B34" w:rsidRDefault="00DB5556" w:rsidP="00E72BAF">
            <w:pPr>
              <w:spacing w:before="40" w:after="40"/>
              <w:jc w:val="center"/>
              <w:rPr>
                <w:rFonts w:asciiTheme="minorHAnsi" w:hAnsiTheme="minorHAnsi" w:cstheme="minorHAnsi"/>
                <w:sz w:val="20"/>
                <w:szCs w:val="20"/>
                <w:lang w:val="en-GB"/>
              </w:rPr>
            </w:pPr>
            <w:r w:rsidRPr="00626B34">
              <w:rPr>
                <w:rFonts w:asciiTheme="minorHAnsi" w:hAnsiTheme="minorHAnsi" w:cstheme="minorHAnsi"/>
                <w:sz w:val="20"/>
                <w:szCs w:val="20"/>
                <w:lang w:val="en-GB"/>
              </w:rPr>
              <w:t>√</w:t>
            </w:r>
          </w:p>
        </w:tc>
        <w:tc>
          <w:tcPr>
            <w:tcW w:w="999" w:type="dxa"/>
          </w:tcPr>
          <w:p w14:paraId="7A2DA1A9" w14:textId="77777777" w:rsidR="00DB5556" w:rsidRPr="00626B34" w:rsidRDefault="00DB5556" w:rsidP="00E72BAF">
            <w:pPr>
              <w:spacing w:before="40" w:after="40"/>
              <w:jc w:val="center"/>
              <w:rPr>
                <w:rFonts w:asciiTheme="minorHAnsi" w:hAnsiTheme="minorHAnsi" w:cstheme="minorHAnsi"/>
                <w:sz w:val="20"/>
                <w:szCs w:val="20"/>
                <w:lang w:val="en-GB"/>
              </w:rPr>
            </w:pPr>
            <w:r w:rsidRPr="00626B34">
              <w:rPr>
                <w:rFonts w:asciiTheme="minorHAnsi" w:hAnsiTheme="minorHAnsi" w:cstheme="minorHAnsi"/>
                <w:sz w:val="20"/>
                <w:szCs w:val="20"/>
                <w:lang w:val="en-GB"/>
              </w:rPr>
              <w:t>√</w:t>
            </w:r>
          </w:p>
        </w:tc>
        <w:tc>
          <w:tcPr>
            <w:tcW w:w="3260" w:type="dxa"/>
          </w:tcPr>
          <w:p w14:paraId="439FCA3A" w14:textId="77777777" w:rsidR="00DB5556" w:rsidRPr="00DB5556" w:rsidRDefault="00DB5556" w:rsidP="00626B34">
            <w:pPr>
              <w:spacing w:before="40" w:after="40"/>
              <w:jc w:val="left"/>
              <w:rPr>
                <w:rFonts w:asciiTheme="minorHAnsi" w:hAnsiTheme="minorHAnsi" w:cstheme="minorHAnsi"/>
                <w:sz w:val="20"/>
                <w:szCs w:val="20"/>
                <w:lang w:val="en-GB"/>
              </w:rPr>
            </w:pPr>
            <w:r w:rsidRPr="00DB5556">
              <w:rPr>
                <w:rFonts w:asciiTheme="minorHAnsi" w:hAnsiTheme="minorHAnsi" w:cstheme="minorHAnsi"/>
                <w:sz w:val="20"/>
                <w:szCs w:val="20"/>
                <w:lang w:val="en-GB"/>
              </w:rPr>
              <w:t>Pledged by developed countries at the Copenhagen Conference (UNFCCC COP15, December 2009).</w:t>
            </w:r>
          </w:p>
        </w:tc>
      </w:tr>
      <w:tr w:rsidR="003A35B3" w:rsidRPr="00F45D2E" w14:paraId="0E2421D8" w14:textId="77777777" w:rsidTr="000E665D">
        <w:tc>
          <w:tcPr>
            <w:tcW w:w="3227" w:type="dxa"/>
            <w:shd w:val="clear" w:color="auto" w:fill="DBE5F1" w:themeFill="accent1" w:themeFillTint="33"/>
          </w:tcPr>
          <w:p w14:paraId="6D1BE109" w14:textId="77777777" w:rsidR="003A35B3" w:rsidRPr="003A35B3" w:rsidRDefault="003A35B3" w:rsidP="000F48ED">
            <w:pPr>
              <w:spacing w:before="40" w:after="40"/>
              <w:jc w:val="left"/>
              <w:rPr>
                <w:rFonts w:asciiTheme="minorHAnsi" w:hAnsiTheme="minorHAnsi" w:cstheme="minorHAnsi"/>
                <w:sz w:val="20"/>
                <w:szCs w:val="20"/>
                <w:lang w:val="en-GB"/>
              </w:rPr>
            </w:pPr>
            <w:r w:rsidRPr="003A35B3">
              <w:rPr>
                <w:rFonts w:asciiTheme="minorHAnsi" w:hAnsiTheme="minorHAnsi" w:cstheme="minorHAnsi"/>
                <w:sz w:val="20"/>
                <w:szCs w:val="20"/>
                <w:lang w:val="en-GB"/>
              </w:rPr>
              <w:t>REDD+ (</w:t>
            </w:r>
            <w:r w:rsidR="000F48ED">
              <w:rPr>
                <w:rFonts w:asciiTheme="minorHAnsi" w:hAnsiTheme="minorHAnsi" w:cstheme="minorHAnsi"/>
                <w:sz w:val="20"/>
                <w:szCs w:val="20"/>
                <w:lang w:val="en-GB"/>
              </w:rPr>
              <w:t>reducing</w:t>
            </w:r>
            <w:r w:rsidRPr="003A35B3">
              <w:rPr>
                <w:rFonts w:asciiTheme="minorHAnsi" w:hAnsiTheme="minorHAnsi" w:cstheme="minorHAnsi"/>
                <w:sz w:val="20"/>
                <w:szCs w:val="20"/>
                <w:lang w:val="en-GB"/>
              </w:rPr>
              <w:t xml:space="preserve"> emissions from deforestation and forest degradation)</w:t>
            </w:r>
          </w:p>
        </w:tc>
        <w:tc>
          <w:tcPr>
            <w:tcW w:w="5953" w:type="dxa"/>
          </w:tcPr>
          <w:p w14:paraId="61950922" w14:textId="77777777" w:rsidR="003A35B3" w:rsidRPr="003A35B3" w:rsidRDefault="003A35B3" w:rsidP="007F6A77">
            <w:pPr>
              <w:pStyle w:val="ListParagraph"/>
              <w:numPr>
                <w:ilvl w:val="0"/>
                <w:numId w:val="15"/>
              </w:numPr>
              <w:spacing w:before="40" w:after="40"/>
              <w:ind w:left="175" w:hanging="175"/>
              <w:jc w:val="left"/>
              <w:rPr>
                <w:rFonts w:asciiTheme="minorHAnsi" w:hAnsiTheme="minorHAnsi" w:cstheme="minorHAnsi"/>
                <w:sz w:val="20"/>
                <w:szCs w:val="20"/>
                <w:lang w:val="en-GB"/>
              </w:rPr>
            </w:pPr>
            <w:r w:rsidRPr="003A35B3">
              <w:rPr>
                <w:rFonts w:asciiTheme="minorHAnsi" w:hAnsiTheme="minorHAnsi" w:cstheme="minorHAnsi"/>
                <w:sz w:val="20"/>
                <w:szCs w:val="20"/>
                <w:lang w:val="en-GB"/>
              </w:rPr>
              <w:t>Preparation, pilot implementation and deployment of national strategies aimed at reducing emissions from deforestation and forest degradation.</w:t>
            </w:r>
          </w:p>
          <w:p w14:paraId="2D8C48BA" w14:textId="77777777" w:rsidR="003A35B3" w:rsidRPr="003A35B3" w:rsidRDefault="003A35B3" w:rsidP="007F6A77">
            <w:pPr>
              <w:pStyle w:val="ListParagraph"/>
              <w:numPr>
                <w:ilvl w:val="0"/>
                <w:numId w:val="15"/>
              </w:numPr>
              <w:spacing w:before="40" w:after="40"/>
              <w:ind w:left="175" w:hanging="175"/>
              <w:jc w:val="left"/>
              <w:rPr>
                <w:rFonts w:asciiTheme="minorHAnsi" w:hAnsiTheme="minorHAnsi" w:cstheme="minorHAnsi"/>
                <w:sz w:val="20"/>
                <w:szCs w:val="20"/>
                <w:lang w:val="en-GB"/>
              </w:rPr>
            </w:pPr>
            <w:r w:rsidRPr="003A35B3">
              <w:rPr>
                <w:rFonts w:asciiTheme="minorHAnsi" w:hAnsiTheme="minorHAnsi" w:cstheme="minorHAnsi"/>
                <w:sz w:val="20"/>
                <w:szCs w:val="20"/>
                <w:lang w:val="en-GB"/>
              </w:rPr>
              <w:t xml:space="preserve">UN-REDD programme: </w:t>
            </w:r>
          </w:p>
          <w:p w14:paraId="79CEC635" w14:textId="77777777" w:rsidR="003A35B3" w:rsidRPr="003A35B3" w:rsidRDefault="003A35B3" w:rsidP="007F6A77">
            <w:pPr>
              <w:pStyle w:val="ListParagraph"/>
              <w:numPr>
                <w:ilvl w:val="0"/>
                <w:numId w:val="16"/>
              </w:numPr>
              <w:spacing w:before="40" w:after="40"/>
              <w:ind w:left="459" w:hanging="284"/>
              <w:jc w:val="left"/>
              <w:rPr>
                <w:rFonts w:asciiTheme="minorHAnsi" w:hAnsiTheme="minorHAnsi" w:cstheme="minorHAnsi"/>
                <w:sz w:val="20"/>
                <w:szCs w:val="20"/>
                <w:lang w:val="en-GB"/>
              </w:rPr>
            </w:pPr>
            <w:r w:rsidRPr="003A35B3">
              <w:rPr>
                <w:rFonts w:asciiTheme="minorHAnsi" w:hAnsiTheme="minorHAnsi" w:cstheme="minorHAnsi"/>
                <w:sz w:val="20"/>
                <w:szCs w:val="20"/>
                <w:lang w:val="en-GB"/>
              </w:rPr>
              <w:t>country-specific actions (e.g. development of national REDD strategies, capacity building for REDD monitoring, support for implementation of REDD measures, equitable distribution of REDD payments);</w:t>
            </w:r>
          </w:p>
          <w:p w14:paraId="0C96D9C4" w14:textId="77777777" w:rsidR="003A35B3" w:rsidRPr="003A35B3" w:rsidRDefault="003A35B3" w:rsidP="007F6A77">
            <w:pPr>
              <w:pStyle w:val="ListParagraph"/>
              <w:numPr>
                <w:ilvl w:val="0"/>
                <w:numId w:val="16"/>
              </w:numPr>
              <w:spacing w:before="40" w:after="40"/>
              <w:ind w:left="459" w:hanging="284"/>
              <w:jc w:val="left"/>
              <w:rPr>
                <w:rFonts w:asciiTheme="minorHAnsi" w:hAnsiTheme="minorHAnsi" w:cstheme="minorHAnsi"/>
                <w:sz w:val="20"/>
                <w:szCs w:val="20"/>
                <w:lang w:val="en-GB"/>
              </w:rPr>
            </w:pPr>
            <w:r w:rsidRPr="003A35B3">
              <w:rPr>
                <w:rFonts w:asciiTheme="minorHAnsi" w:hAnsiTheme="minorHAnsi" w:cstheme="minorHAnsi"/>
                <w:sz w:val="20"/>
                <w:szCs w:val="20"/>
                <w:lang w:val="en-GB"/>
              </w:rPr>
              <w:t>cross-country work (e.g. technical and scientific support for enabling integrated and equitable approaches to REDD, knowledge sharing and management).</w:t>
            </w:r>
          </w:p>
        </w:tc>
        <w:tc>
          <w:tcPr>
            <w:tcW w:w="1059" w:type="dxa"/>
          </w:tcPr>
          <w:p w14:paraId="122CE715" w14:textId="77777777" w:rsidR="003A35B3" w:rsidRPr="003A35B3" w:rsidRDefault="003A35B3" w:rsidP="00E72BAF">
            <w:pPr>
              <w:spacing w:before="40" w:after="40"/>
              <w:jc w:val="center"/>
              <w:rPr>
                <w:rFonts w:asciiTheme="minorHAnsi" w:hAnsiTheme="minorHAnsi" w:cstheme="minorHAnsi"/>
                <w:sz w:val="20"/>
                <w:szCs w:val="20"/>
                <w:lang w:val="en-GB"/>
              </w:rPr>
            </w:pPr>
          </w:p>
        </w:tc>
        <w:tc>
          <w:tcPr>
            <w:tcW w:w="999" w:type="dxa"/>
          </w:tcPr>
          <w:p w14:paraId="5FA9D0EA" w14:textId="77777777" w:rsidR="003A35B3" w:rsidRPr="003A35B3" w:rsidRDefault="003A35B3" w:rsidP="00E72BAF">
            <w:pPr>
              <w:spacing w:before="40" w:after="40"/>
              <w:jc w:val="center"/>
              <w:rPr>
                <w:rFonts w:asciiTheme="minorHAnsi" w:hAnsiTheme="minorHAnsi" w:cstheme="minorHAnsi"/>
                <w:sz w:val="20"/>
                <w:szCs w:val="20"/>
                <w:lang w:val="en-GB"/>
              </w:rPr>
            </w:pPr>
            <w:r w:rsidRPr="003A35B3">
              <w:rPr>
                <w:rFonts w:asciiTheme="minorHAnsi" w:hAnsiTheme="minorHAnsi" w:cstheme="minorHAnsi"/>
                <w:sz w:val="20"/>
                <w:szCs w:val="20"/>
                <w:lang w:val="en-GB"/>
              </w:rPr>
              <w:t>√</w:t>
            </w:r>
          </w:p>
        </w:tc>
        <w:tc>
          <w:tcPr>
            <w:tcW w:w="3260" w:type="dxa"/>
          </w:tcPr>
          <w:p w14:paraId="10C09B5E" w14:textId="77777777" w:rsidR="000F48ED" w:rsidRDefault="000F48ED" w:rsidP="007F6A77">
            <w:pPr>
              <w:pStyle w:val="ListParagraph"/>
              <w:numPr>
                <w:ilvl w:val="0"/>
                <w:numId w:val="14"/>
              </w:numPr>
              <w:spacing w:before="40" w:after="40"/>
              <w:ind w:left="102" w:hanging="141"/>
              <w:jc w:val="left"/>
              <w:rPr>
                <w:rFonts w:asciiTheme="minorHAnsi" w:hAnsiTheme="minorHAnsi" w:cstheme="minorHAnsi"/>
                <w:sz w:val="20"/>
                <w:szCs w:val="20"/>
                <w:lang w:val="en-GB"/>
              </w:rPr>
            </w:pPr>
            <w:r>
              <w:rPr>
                <w:rFonts w:asciiTheme="minorHAnsi" w:hAnsiTheme="minorHAnsi" w:cstheme="minorHAnsi"/>
                <w:sz w:val="20"/>
                <w:szCs w:val="20"/>
                <w:lang w:val="en-GB"/>
              </w:rPr>
              <w:t>A UNFCCC-related initiative.</w:t>
            </w:r>
          </w:p>
          <w:p w14:paraId="48153060" w14:textId="77777777" w:rsidR="003A35B3" w:rsidRPr="003A35B3" w:rsidRDefault="003A35B3" w:rsidP="007F6A77">
            <w:pPr>
              <w:pStyle w:val="ListParagraph"/>
              <w:numPr>
                <w:ilvl w:val="0"/>
                <w:numId w:val="14"/>
              </w:numPr>
              <w:spacing w:before="40" w:after="40"/>
              <w:ind w:left="102" w:hanging="141"/>
              <w:jc w:val="left"/>
              <w:rPr>
                <w:rFonts w:asciiTheme="minorHAnsi" w:hAnsiTheme="minorHAnsi" w:cstheme="minorHAnsi"/>
                <w:sz w:val="20"/>
                <w:szCs w:val="20"/>
                <w:lang w:val="en-GB"/>
              </w:rPr>
            </w:pPr>
            <w:r w:rsidRPr="003A35B3">
              <w:rPr>
                <w:rFonts w:asciiTheme="minorHAnsi" w:hAnsiTheme="minorHAnsi" w:cstheme="minorHAnsi"/>
                <w:sz w:val="20"/>
                <w:szCs w:val="20"/>
                <w:lang w:val="en-GB"/>
              </w:rPr>
              <w:t>Some funding pledged at the Copenhagen Conference.</w:t>
            </w:r>
          </w:p>
          <w:p w14:paraId="6FEDBACC" w14:textId="77777777" w:rsidR="003A35B3" w:rsidRPr="003A35B3" w:rsidRDefault="003A35B3" w:rsidP="007F6A77">
            <w:pPr>
              <w:pStyle w:val="ListParagraph"/>
              <w:numPr>
                <w:ilvl w:val="0"/>
                <w:numId w:val="14"/>
              </w:numPr>
              <w:spacing w:before="40" w:after="40"/>
              <w:ind w:left="102" w:hanging="141"/>
              <w:jc w:val="left"/>
              <w:rPr>
                <w:rFonts w:asciiTheme="minorHAnsi" w:hAnsiTheme="minorHAnsi" w:cstheme="minorHAnsi"/>
                <w:sz w:val="20"/>
                <w:szCs w:val="20"/>
                <w:lang w:val="en-GB"/>
              </w:rPr>
            </w:pPr>
            <w:r w:rsidRPr="003A35B3">
              <w:rPr>
                <w:rFonts w:asciiTheme="minorHAnsi" w:hAnsiTheme="minorHAnsi" w:cstheme="minorHAnsi"/>
                <w:sz w:val="20"/>
                <w:szCs w:val="20"/>
                <w:lang w:val="en-GB"/>
              </w:rPr>
              <w:t xml:space="preserve">Various streams of financing, including the UN-REDD programme, </w:t>
            </w:r>
            <w:r w:rsidR="000F48ED">
              <w:rPr>
                <w:rFonts w:asciiTheme="minorHAnsi" w:hAnsiTheme="minorHAnsi" w:cstheme="minorHAnsi"/>
                <w:sz w:val="20"/>
                <w:szCs w:val="20"/>
                <w:lang w:val="en-GB"/>
              </w:rPr>
              <w:t>a joint UNDP–</w:t>
            </w:r>
            <w:r w:rsidRPr="003A35B3">
              <w:rPr>
                <w:rFonts w:asciiTheme="minorHAnsi" w:hAnsiTheme="minorHAnsi" w:cstheme="minorHAnsi"/>
                <w:sz w:val="20"/>
                <w:szCs w:val="20"/>
                <w:lang w:val="en-GB"/>
              </w:rPr>
              <w:t>UNEP</w:t>
            </w:r>
            <w:r w:rsidR="000F48ED">
              <w:rPr>
                <w:rFonts w:asciiTheme="minorHAnsi" w:hAnsiTheme="minorHAnsi" w:cstheme="minorHAnsi"/>
                <w:sz w:val="20"/>
                <w:szCs w:val="20"/>
                <w:lang w:val="en-GB"/>
              </w:rPr>
              <w:t>–</w:t>
            </w:r>
            <w:r w:rsidRPr="003A35B3">
              <w:rPr>
                <w:rFonts w:asciiTheme="minorHAnsi" w:hAnsiTheme="minorHAnsi" w:cstheme="minorHAnsi"/>
                <w:sz w:val="20"/>
                <w:szCs w:val="20"/>
                <w:lang w:val="en-GB"/>
              </w:rPr>
              <w:t>FAO initiative.</w:t>
            </w:r>
          </w:p>
        </w:tc>
      </w:tr>
      <w:tr w:rsidR="000F48ED" w:rsidRPr="00F45D2E" w14:paraId="3B8B54C6" w14:textId="77777777" w:rsidTr="000E665D">
        <w:tc>
          <w:tcPr>
            <w:tcW w:w="3227" w:type="dxa"/>
            <w:shd w:val="clear" w:color="auto" w:fill="DBE5F1" w:themeFill="accent1" w:themeFillTint="33"/>
          </w:tcPr>
          <w:p w14:paraId="1B330728" w14:textId="77777777" w:rsidR="000F48ED" w:rsidRPr="00A726BD" w:rsidRDefault="00A726BD" w:rsidP="000F48ED">
            <w:pPr>
              <w:spacing w:before="40" w:after="40"/>
              <w:jc w:val="left"/>
              <w:rPr>
                <w:rFonts w:asciiTheme="minorHAnsi" w:hAnsiTheme="minorHAnsi" w:cstheme="minorHAnsi"/>
                <w:sz w:val="20"/>
                <w:szCs w:val="20"/>
                <w:lang w:val="en-GB"/>
              </w:rPr>
            </w:pPr>
            <w:r w:rsidRPr="00A726BD">
              <w:rPr>
                <w:rFonts w:asciiTheme="minorHAnsi" w:hAnsiTheme="minorHAnsi" w:cstheme="minorHAnsi"/>
                <w:sz w:val="20"/>
                <w:szCs w:val="20"/>
                <w:lang w:val="en-GB"/>
              </w:rPr>
              <w:t>Prototype Carbon Fund (PCF)</w:t>
            </w:r>
          </w:p>
        </w:tc>
        <w:tc>
          <w:tcPr>
            <w:tcW w:w="5953" w:type="dxa"/>
          </w:tcPr>
          <w:p w14:paraId="0FA6390A" w14:textId="77777777" w:rsidR="000F48ED" w:rsidRPr="00A726BD" w:rsidRDefault="00A726BD" w:rsidP="00A726BD">
            <w:pPr>
              <w:spacing w:before="40" w:after="40"/>
              <w:jc w:val="left"/>
              <w:rPr>
                <w:rFonts w:asciiTheme="minorHAnsi" w:hAnsiTheme="minorHAnsi" w:cstheme="minorHAnsi"/>
                <w:sz w:val="20"/>
                <w:szCs w:val="20"/>
                <w:lang w:val="en-GB"/>
              </w:rPr>
            </w:pPr>
            <w:r w:rsidRPr="00A726BD">
              <w:rPr>
                <w:rFonts w:asciiTheme="minorHAnsi" w:hAnsiTheme="minorHAnsi" w:cstheme="minorHAnsi"/>
                <w:sz w:val="20"/>
                <w:szCs w:val="20"/>
                <w:lang w:val="en-GB"/>
              </w:rPr>
              <w:t>Pioneering approaches to mitigation that contribute to sustainable development.</w:t>
            </w:r>
          </w:p>
        </w:tc>
        <w:tc>
          <w:tcPr>
            <w:tcW w:w="1059" w:type="dxa"/>
          </w:tcPr>
          <w:p w14:paraId="76E6EE40" w14:textId="77777777" w:rsidR="000F48ED" w:rsidRPr="00A726BD" w:rsidRDefault="000F48ED" w:rsidP="00E72BAF">
            <w:pPr>
              <w:spacing w:before="40" w:after="40"/>
              <w:jc w:val="center"/>
              <w:rPr>
                <w:rFonts w:asciiTheme="minorHAnsi" w:hAnsiTheme="minorHAnsi" w:cstheme="minorHAnsi"/>
                <w:sz w:val="20"/>
                <w:szCs w:val="20"/>
                <w:lang w:val="en-GB"/>
              </w:rPr>
            </w:pPr>
          </w:p>
        </w:tc>
        <w:tc>
          <w:tcPr>
            <w:tcW w:w="999" w:type="dxa"/>
          </w:tcPr>
          <w:p w14:paraId="144F013E" w14:textId="77777777" w:rsidR="000F48ED" w:rsidRPr="00A726BD" w:rsidRDefault="00A726BD" w:rsidP="00E72BAF">
            <w:pPr>
              <w:spacing w:before="40" w:after="40"/>
              <w:jc w:val="center"/>
              <w:rPr>
                <w:rFonts w:asciiTheme="minorHAnsi" w:hAnsiTheme="minorHAnsi" w:cstheme="minorHAnsi"/>
                <w:sz w:val="20"/>
                <w:szCs w:val="20"/>
                <w:lang w:val="en-GB"/>
              </w:rPr>
            </w:pPr>
            <w:r w:rsidRPr="00A726BD">
              <w:rPr>
                <w:rFonts w:asciiTheme="minorHAnsi" w:hAnsiTheme="minorHAnsi" w:cstheme="minorHAnsi"/>
                <w:sz w:val="20"/>
                <w:szCs w:val="20"/>
                <w:lang w:val="en-GB"/>
              </w:rPr>
              <w:t>√</w:t>
            </w:r>
          </w:p>
        </w:tc>
        <w:tc>
          <w:tcPr>
            <w:tcW w:w="3260" w:type="dxa"/>
          </w:tcPr>
          <w:p w14:paraId="35EF61E5" w14:textId="77777777" w:rsidR="000F48ED" w:rsidRPr="00A726BD" w:rsidRDefault="00A726BD" w:rsidP="00A726BD">
            <w:pPr>
              <w:spacing w:before="40" w:after="40"/>
              <w:jc w:val="left"/>
              <w:rPr>
                <w:rFonts w:asciiTheme="minorHAnsi" w:hAnsiTheme="minorHAnsi" w:cstheme="minorHAnsi"/>
                <w:sz w:val="20"/>
                <w:szCs w:val="20"/>
                <w:lang w:val="en-GB"/>
              </w:rPr>
            </w:pPr>
            <w:r w:rsidRPr="00A726BD">
              <w:rPr>
                <w:rFonts w:asciiTheme="minorHAnsi" w:hAnsiTheme="minorHAnsi" w:cstheme="minorHAnsi"/>
                <w:sz w:val="20"/>
                <w:szCs w:val="20"/>
                <w:lang w:val="en-GB"/>
              </w:rPr>
              <w:t>One of the various ‘carbon funds’ funded by various sources and managed by the World Bank</w:t>
            </w:r>
            <w:r w:rsidR="001C5779">
              <w:rPr>
                <w:rFonts w:asciiTheme="minorHAnsi" w:hAnsiTheme="minorHAnsi" w:cstheme="minorHAnsi"/>
                <w:sz w:val="20"/>
                <w:szCs w:val="20"/>
                <w:lang w:val="en-GB"/>
              </w:rPr>
              <w:t>.</w:t>
            </w:r>
            <w:r>
              <w:rPr>
                <w:rStyle w:val="FootnoteReference"/>
                <w:rFonts w:asciiTheme="minorHAnsi" w:hAnsiTheme="minorHAnsi" w:cstheme="minorHAnsi"/>
                <w:sz w:val="20"/>
                <w:szCs w:val="20"/>
                <w:lang w:val="en-GB"/>
              </w:rPr>
              <w:footnoteReference w:id="5"/>
            </w:r>
          </w:p>
        </w:tc>
      </w:tr>
      <w:tr w:rsidR="00A726BD" w:rsidRPr="00F45D2E" w14:paraId="1D49C969" w14:textId="77777777" w:rsidTr="000E665D">
        <w:tc>
          <w:tcPr>
            <w:tcW w:w="3227" w:type="dxa"/>
            <w:shd w:val="clear" w:color="auto" w:fill="DBE5F1" w:themeFill="accent1" w:themeFillTint="33"/>
          </w:tcPr>
          <w:p w14:paraId="6B400DD0" w14:textId="77777777" w:rsidR="00A726BD" w:rsidRPr="00A726BD" w:rsidRDefault="00A726BD" w:rsidP="000F48ED">
            <w:pPr>
              <w:spacing w:before="40" w:after="40"/>
              <w:jc w:val="left"/>
              <w:rPr>
                <w:rFonts w:asciiTheme="minorHAnsi" w:hAnsiTheme="minorHAnsi" w:cstheme="minorHAnsi"/>
                <w:sz w:val="20"/>
                <w:szCs w:val="20"/>
                <w:lang w:val="en-GB"/>
              </w:rPr>
            </w:pPr>
            <w:r w:rsidRPr="00A726BD">
              <w:rPr>
                <w:rFonts w:asciiTheme="minorHAnsi" w:hAnsiTheme="minorHAnsi" w:cstheme="minorHAnsi"/>
                <w:sz w:val="20"/>
                <w:szCs w:val="20"/>
                <w:lang w:val="en-GB"/>
              </w:rPr>
              <w:t>Community Development Carbon Fund (CDCF)</w:t>
            </w:r>
          </w:p>
        </w:tc>
        <w:tc>
          <w:tcPr>
            <w:tcW w:w="5953" w:type="dxa"/>
          </w:tcPr>
          <w:p w14:paraId="135ED542" w14:textId="77777777" w:rsidR="00A726BD" w:rsidRPr="00A726BD" w:rsidRDefault="00A726BD" w:rsidP="00A726BD">
            <w:pPr>
              <w:spacing w:before="40" w:after="40"/>
              <w:jc w:val="left"/>
              <w:rPr>
                <w:rFonts w:asciiTheme="minorHAnsi" w:hAnsiTheme="minorHAnsi" w:cstheme="minorHAnsi"/>
                <w:sz w:val="20"/>
                <w:szCs w:val="20"/>
                <w:lang w:val="en-GB"/>
              </w:rPr>
            </w:pPr>
            <w:r w:rsidRPr="00A726BD">
              <w:rPr>
                <w:rFonts w:asciiTheme="minorHAnsi" w:hAnsiTheme="minorHAnsi" w:cstheme="minorHAnsi"/>
                <w:sz w:val="20"/>
                <w:szCs w:val="20"/>
                <w:lang w:val="en-GB"/>
              </w:rPr>
              <w:t>Projects that mix community-based development with carbon sequestration.</w:t>
            </w:r>
          </w:p>
        </w:tc>
        <w:tc>
          <w:tcPr>
            <w:tcW w:w="1059" w:type="dxa"/>
          </w:tcPr>
          <w:p w14:paraId="3827FFA5" w14:textId="77777777" w:rsidR="00A726BD" w:rsidRPr="00A726BD" w:rsidRDefault="00A726BD" w:rsidP="00E72BAF">
            <w:pPr>
              <w:spacing w:before="40" w:after="40"/>
              <w:jc w:val="center"/>
              <w:rPr>
                <w:rFonts w:asciiTheme="minorHAnsi" w:hAnsiTheme="minorHAnsi" w:cstheme="minorHAnsi"/>
                <w:sz w:val="20"/>
                <w:szCs w:val="20"/>
                <w:lang w:val="en-GB"/>
              </w:rPr>
            </w:pPr>
          </w:p>
        </w:tc>
        <w:tc>
          <w:tcPr>
            <w:tcW w:w="999" w:type="dxa"/>
          </w:tcPr>
          <w:p w14:paraId="71873F65" w14:textId="77777777" w:rsidR="00A726BD" w:rsidRPr="00A726BD" w:rsidRDefault="00160DDD" w:rsidP="00E72BAF">
            <w:pPr>
              <w:spacing w:before="40" w:after="40"/>
              <w:jc w:val="center"/>
              <w:rPr>
                <w:rFonts w:asciiTheme="minorHAnsi" w:hAnsiTheme="minorHAnsi" w:cstheme="minorHAnsi"/>
                <w:sz w:val="20"/>
                <w:szCs w:val="20"/>
                <w:lang w:val="en-GB"/>
              </w:rPr>
            </w:pPr>
            <w:r w:rsidRPr="00A726BD">
              <w:rPr>
                <w:rFonts w:asciiTheme="minorHAnsi" w:hAnsiTheme="minorHAnsi" w:cstheme="minorHAnsi"/>
                <w:sz w:val="20"/>
                <w:szCs w:val="20"/>
                <w:lang w:val="en-GB"/>
              </w:rPr>
              <w:t>√</w:t>
            </w:r>
          </w:p>
        </w:tc>
        <w:tc>
          <w:tcPr>
            <w:tcW w:w="3260" w:type="dxa"/>
          </w:tcPr>
          <w:p w14:paraId="6C97F974" w14:textId="77777777" w:rsidR="00A726BD" w:rsidRPr="00A726BD" w:rsidRDefault="00160DDD" w:rsidP="00A726BD">
            <w:pPr>
              <w:spacing w:before="40" w:after="40"/>
              <w:jc w:val="left"/>
              <w:rPr>
                <w:rFonts w:asciiTheme="minorHAnsi" w:hAnsiTheme="minorHAnsi" w:cstheme="minorHAnsi"/>
                <w:sz w:val="20"/>
                <w:szCs w:val="20"/>
                <w:lang w:val="en-GB"/>
              </w:rPr>
            </w:pPr>
            <w:r w:rsidRPr="00A726BD">
              <w:rPr>
                <w:rFonts w:asciiTheme="minorHAnsi" w:hAnsiTheme="minorHAnsi" w:cstheme="minorHAnsi"/>
                <w:sz w:val="20"/>
                <w:szCs w:val="20"/>
                <w:lang w:val="en-GB"/>
              </w:rPr>
              <w:t>One of the various ‘carbon funds’ funded by various sources and managed by the World Bank</w:t>
            </w:r>
            <w:r w:rsidR="006252C5">
              <w:rPr>
                <w:rFonts w:asciiTheme="minorHAnsi" w:hAnsiTheme="minorHAnsi" w:cstheme="minorHAnsi"/>
                <w:sz w:val="20"/>
                <w:szCs w:val="20"/>
                <w:lang w:val="en-GB"/>
              </w:rPr>
              <w:t>.</w:t>
            </w:r>
          </w:p>
        </w:tc>
      </w:tr>
      <w:tr w:rsidR="00A726BD" w:rsidRPr="00F45D2E" w14:paraId="40241C15" w14:textId="77777777" w:rsidTr="000E665D">
        <w:tc>
          <w:tcPr>
            <w:tcW w:w="3227" w:type="dxa"/>
            <w:shd w:val="clear" w:color="auto" w:fill="DBE5F1" w:themeFill="accent1" w:themeFillTint="33"/>
          </w:tcPr>
          <w:p w14:paraId="32C074C5" w14:textId="77777777" w:rsidR="00A726BD" w:rsidRPr="00A726BD" w:rsidRDefault="00A726BD" w:rsidP="000F48ED">
            <w:pPr>
              <w:spacing w:before="40" w:after="40"/>
              <w:jc w:val="left"/>
              <w:rPr>
                <w:rFonts w:asciiTheme="minorHAnsi" w:hAnsiTheme="minorHAnsi" w:cstheme="minorHAnsi"/>
                <w:b/>
                <w:sz w:val="20"/>
                <w:szCs w:val="20"/>
                <w:lang w:val="en-GB"/>
              </w:rPr>
            </w:pPr>
            <w:proofErr w:type="spellStart"/>
            <w:r w:rsidRPr="00A726BD">
              <w:rPr>
                <w:rFonts w:asciiTheme="minorHAnsi" w:hAnsiTheme="minorHAnsi" w:cstheme="minorHAnsi"/>
                <w:sz w:val="20"/>
                <w:szCs w:val="20"/>
                <w:lang w:val="en-GB"/>
              </w:rPr>
              <w:t>BioCarbon</w:t>
            </w:r>
            <w:proofErr w:type="spellEnd"/>
            <w:r w:rsidRPr="00A726BD">
              <w:rPr>
                <w:rFonts w:asciiTheme="minorHAnsi" w:hAnsiTheme="minorHAnsi" w:cstheme="minorHAnsi"/>
                <w:sz w:val="20"/>
                <w:szCs w:val="20"/>
                <w:lang w:val="en-GB"/>
              </w:rPr>
              <w:t xml:space="preserve"> Fund</w:t>
            </w:r>
          </w:p>
        </w:tc>
        <w:tc>
          <w:tcPr>
            <w:tcW w:w="5953" w:type="dxa"/>
          </w:tcPr>
          <w:p w14:paraId="1C4C892D" w14:textId="77777777" w:rsidR="00A726BD" w:rsidRPr="00A726BD" w:rsidRDefault="00A726BD" w:rsidP="00A726BD">
            <w:pPr>
              <w:spacing w:before="40" w:after="40"/>
              <w:jc w:val="left"/>
              <w:rPr>
                <w:rFonts w:asciiTheme="minorHAnsi" w:hAnsiTheme="minorHAnsi" w:cstheme="minorHAnsi"/>
                <w:sz w:val="20"/>
                <w:szCs w:val="20"/>
                <w:lang w:val="en-GB"/>
              </w:rPr>
            </w:pPr>
            <w:r w:rsidRPr="00A726BD">
              <w:rPr>
                <w:rFonts w:asciiTheme="minorHAnsi" w:hAnsiTheme="minorHAnsi" w:cstheme="minorHAnsi"/>
                <w:sz w:val="20"/>
                <w:szCs w:val="20"/>
                <w:lang w:val="en-GB"/>
              </w:rPr>
              <w:t>Carbon sequestration projects in forests and agro-ecosystems.</w:t>
            </w:r>
          </w:p>
        </w:tc>
        <w:tc>
          <w:tcPr>
            <w:tcW w:w="1059" w:type="dxa"/>
          </w:tcPr>
          <w:p w14:paraId="3F37547F" w14:textId="77777777" w:rsidR="00A726BD" w:rsidRPr="00A726BD" w:rsidRDefault="00A726BD" w:rsidP="00E72BAF">
            <w:pPr>
              <w:spacing w:before="40" w:after="40"/>
              <w:jc w:val="center"/>
              <w:rPr>
                <w:rFonts w:asciiTheme="minorHAnsi" w:hAnsiTheme="minorHAnsi" w:cstheme="minorHAnsi"/>
                <w:sz w:val="20"/>
                <w:szCs w:val="20"/>
                <w:lang w:val="en-GB"/>
              </w:rPr>
            </w:pPr>
          </w:p>
        </w:tc>
        <w:tc>
          <w:tcPr>
            <w:tcW w:w="999" w:type="dxa"/>
          </w:tcPr>
          <w:p w14:paraId="48B15B1C" w14:textId="77777777" w:rsidR="00A726BD" w:rsidRPr="00A726BD" w:rsidRDefault="00160DDD" w:rsidP="00E72BAF">
            <w:pPr>
              <w:spacing w:before="40" w:after="40"/>
              <w:jc w:val="center"/>
              <w:rPr>
                <w:rFonts w:asciiTheme="minorHAnsi" w:hAnsiTheme="minorHAnsi" w:cstheme="minorHAnsi"/>
                <w:sz w:val="20"/>
                <w:szCs w:val="20"/>
                <w:lang w:val="en-GB"/>
              </w:rPr>
            </w:pPr>
            <w:r w:rsidRPr="00A726BD">
              <w:rPr>
                <w:rFonts w:asciiTheme="minorHAnsi" w:hAnsiTheme="minorHAnsi" w:cstheme="minorHAnsi"/>
                <w:sz w:val="20"/>
                <w:szCs w:val="20"/>
                <w:lang w:val="en-GB"/>
              </w:rPr>
              <w:t>√</w:t>
            </w:r>
          </w:p>
        </w:tc>
        <w:tc>
          <w:tcPr>
            <w:tcW w:w="3260" w:type="dxa"/>
          </w:tcPr>
          <w:p w14:paraId="57012C3E" w14:textId="77777777" w:rsidR="00160DDD" w:rsidRPr="00160DDD" w:rsidRDefault="00160DDD" w:rsidP="007F6A77">
            <w:pPr>
              <w:pStyle w:val="ListParagraph"/>
              <w:numPr>
                <w:ilvl w:val="0"/>
                <w:numId w:val="19"/>
              </w:numPr>
              <w:spacing w:before="40" w:after="40"/>
              <w:ind w:left="102" w:hanging="141"/>
              <w:jc w:val="left"/>
              <w:rPr>
                <w:rFonts w:asciiTheme="minorHAnsi" w:hAnsiTheme="minorHAnsi" w:cstheme="minorHAnsi"/>
                <w:sz w:val="20"/>
                <w:szCs w:val="20"/>
                <w:lang w:val="en-GB"/>
              </w:rPr>
            </w:pPr>
            <w:r w:rsidRPr="00160DDD">
              <w:rPr>
                <w:rFonts w:asciiTheme="minorHAnsi" w:hAnsiTheme="minorHAnsi" w:cstheme="minorHAnsi"/>
                <w:sz w:val="20"/>
                <w:szCs w:val="20"/>
                <w:lang w:val="en-GB"/>
              </w:rPr>
              <w:t>One of the various ‘carbon funds’ funded by various sources and managed by the World Bank</w:t>
            </w:r>
            <w:r w:rsidR="001C5779">
              <w:rPr>
                <w:rFonts w:asciiTheme="minorHAnsi" w:hAnsiTheme="minorHAnsi" w:cstheme="minorHAnsi"/>
                <w:sz w:val="20"/>
                <w:szCs w:val="20"/>
                <w:lang w:val="en-GB"/>
              </w:rPr>
              <w:t>.</w:t>
            </w:r>
          </w:p>
          <w:p w14:paraId="630B3604" w14:textId="77777777" w:rsidR="00A726BD" w:rsidRPr="00160DDD" w:rsidRDefault="00A726BD" w:rsidP="007F6A77">
            <w:pPr>
              <w:pStyle w:val="ListParagraph"/>
              <w:numPr>
                <w:ilvl w:val="0"/>
                <w:numId w:val="19"/>
              </w:numPr>
              <w:spacing w:before="40" w:after="40"/>
              <w:ind w:left="102" w:hanging="141"/>
              <w:jc w:val="left"/>
              <w:rPr>
                <w:rFonts w:asciiTheme="minorHAnsi" w:hAnsiTheme="minorHAnsi" w:cstheme="minorHAnsi"/>
                <w:sz w:val="20"/>
                <w:szCs w:val="20"/>
                <w:lang w:val="en-GB"/>
              </w:rPr>
            </w:pPr>
            <w:r w:rsidRPr="00160DDD">
              <w:rPr>
                <w:rFonts w:asciiTheme="minorHAnsi" w:hAnsiTheme="minorHAnsi" w:cstheme="minorHAnsi"/>
                <w:sz w:val="20"/>
                <w:szCs w:val="20"/>
                <w:lang w:val="en-GB"/>
              </w:rPr>
              <w:t xml:space="preserve">Focuses on and supports the development of methodologies for afforestation/reforestation projects under the Clean Development </w:t>
            </w:r>
            <w:r w:rsidRPr="00160DDD">
              <w:rPr>
                <w:rFonts w:asciiTheme="minorHAnsi" w:hAnsiTheme="minorHAnsi" w:cstheme="minorHAnsi"/>
                <w:sz w:val="20"/>
                <w:szCs w:val="20"/>
                <w:lang w:val="en-GB"/>
              </w:rPr>
              <w:lastRenderedPageBreak/>
              <w:t>Mechanism.</w:t>
            </w:r>
          </w:p>
        </w:tc>
      </w:tr>
      <w:tr w:rsidR="00A726BD" w:rsidRPr="00F45D2E" w14:paraId="7FA52F7A" w14:textId="77777777" w:rsidTr="000E665D">
        <w:tc>
          <w:tcPr>
            <w:tcW w:w="3227" w:type="dxa"/>
            <w:shd w:val="clear" w:color="auto" w:fill="DBE5F1" w:themeFill="accent1" w:themeFillTint="33"/>
          </w:tcPr>
          <w:p w14:paraId="4456294C" w14:textId="77777777" w:rsidR="00A726BD" w:rsidRPr="00A726BD" w:rsidRDefault="00A726BD" w:rsidP="000F48ED">
            <w:pPr>
              <w:spacing w:before="40" w:after="40"/>
              <w:jc w:val="left"/>
              <w:rPr>
                <w:rFonts w:asciiTheme="minorHAnsi" w:hAnsiTheme="minorHAnsi" w:cstheme="minorHAnsi"/>
                <w:sz w:val="20"/>
                <w:szCs w:val="20"/>
                <w:lang w:val="en-GB"/>
              </w:rPr>
            </w:pPr>
            <w:r w:rsidRPr="00A726BD">
              <w:rPr>
                <w:rFonts w:asciiTheme="minorHAnsi" w:hAnsiTheme="minorHAnsi" w:cstheme="minorHAnsi"/>
                <w:sz w:val="20"/>
                <w:szCs w:val="20"/>
                <w:lang w:val="en-GB"/>
              </w:rPr>
              <w:lastRenderedPageBreak/>
              <w:t>Forest Carbon Partnership Facility (FCPF)</w:t>
            </w:r>
          </w:p>
        </w:tc>
        <w:tc>
          <w:tcPr>
            <w:tcW w:w="5953" w:type="dxa"/>
          </w:tcPr>
          <w:p w14:paraId="387B1004" w14:textId="77777777" w:rsidR="00A726BD" w:rsidRPr="00A726BD" w:rsidRDefault="00A726BD" w:rsidP="00A726BD">
            <w:pPr>
              <w:spacing w:before="40" w:after="40"/>
              <w:jc w:val="left"/>
              <w:rPr>
                <w:rFonts w:asciiTheme="minorHAnsi" w:hAnsiTheme="minorHAnsi" w:cstheme="minorHAnsi"/>
                <w:sz w:val="20"/>
                <w:szCs w:val="20"/>
                <w:lang w:val="en-GB"/>
              </w:rPr>
            </w:pPr>
            <w:r w:rsidRPr="00A726BD">
              <w:rPr>
                <w:rFonts w:asciiTheme="minorHAnsi" w:hAnsiTheme="minorHAnsi" w:cstheme="minorHAnsi"/>
                <w:sz w:val="20"/>
                <w:szCs w:val="20"/>
                <w:lang w:val="en-GB"/>
              </w:rPr>
              <w:t>Assists developing countries in:</w:t>
            </w:r>
          </w:p>
          <w:p w14:paraId="64224743" w14:textId="77777777" w:rsidR="00A726BD" w:rsidRPr="00A726BD" w:rsidRDefault="00A726BD" w:rsidP="007F6A77">
            <w:pPr>
              <w:pStyle w:val="ListParagraph"/>
              <w:numPr>
                <w:ilvl w:val="0"/>
                <w:numId w:val="17"/>
              </w:numPr>
              <w:spacing w:before="40" w:after="40"/>
              <w:ind w:left="317" w:hanging="283"/>
              <w:jc w:val="left"/>
              <w:rPr>
                <w:rFonts w:asciiTheme="minorHAnsi" w:hAnsiTheme="minorHAnsi" w:cstheme="minorHAnsi"/>
                <w:sz w:val="20"/>
                <w:szCs w:val="20"/>
                <w:lang w:val="en-GB"/>
              </w:rPr>
            </w:pPr>
            <w:r w:rsidRPr="00A726BD">
              <w:rPr>
                <w:rFonts w:asciiTheme="minorHAnsi" w:hAnsiTheme="minorHAnsi" w:cstheme="minorHAnsi"/>
                <w:sz w:val="20"/>
                <w:szCs w:val="20"/>
                <w:lang w:val="en-GB"/>
              </w:rPr>
              <w:t xml:space="preserve">getting prepared for participation in REDD (‘REDD readiness mechanism’, supporting the preparation of national strategies, the establishment of reference scenarios and the development of monitoring systems); </w:t>
            </w:r>
          </w:p>
          <w:p w14:paraId="1214BF11" w14:textId="77777777" w:rsidR="00A726BD" w:rsidRPr="00A726BD" w:rsidRDefault="00A726BD" w:rsidP="007F6A77">
            <w:pPr>
              <w:pStyle w:val="ListParagraph"/>
              <w:numPr>
                <w:ilvl w:val="0"/>
                <w:numId w:val="17"/>
              </w:numPr>
              <w:spacing w:before="40" w:after="40"/>
              <w:ind w:left="317" w:hanging="283"/>
              <w:jc w:val="left"/>
              <w:rPr>
                <w:rFonts w:asciiTheme="minorHAnsi" w:hAnsiTheme="minorHAnsi" w:cstheme="minorHAnsi"/>
                <w:sz w:val="20"/>
                <w:szCs w:val="20"/>
                <w:lang w:val="en-GB"/>
              </w:rPr>
            </w:pPr>
            <w:r w:rsidRPr="00A726BD">
              <w:rPr>
                <w:rFonts w:asciiTheme="minorHAnsi" w:hAnsiTheme="minorHAnsi" w:cstheme="minorHAnsi"/>
                <w:sz w:val="20"/>
                <w:szCs w:val="20"/>
                <w:lang w:val="en-GB"/>
              </w:rPr>
              <w:t>testing the feasibility of financial transfers based on verified emission reductions from REDD (‘carbon finance mechanism’).</w:t>
            </w:r>
          </w:p>
        </w:tc>
        <w:tc>
          <w:tcPr>
            <w:tcW w:w="1059" w:type="dxa"/>
          </w:tcPr>
          <w:p w14:paraId="40F2ADF7" w14:textId="77777777" w:rsidR="00A726BD" w:rsidRPr="00A726BD" w:rsidRDefault="00A726BD" w:rsidP="00E72BAF">
            <w:pPr>
              <w:spacing w:before="40" w:after="40"/>
              <w:jc w:val="center"/>
              <w:rPr>
                <w:rFonts w:asciiTheme="minorHAnsi" w:hAnsiTheme="minorHAnsi" w:cstheme="minorHAnsi"/>
                <w:sz w:val="20"/>
                <w:szCs w:val="20"/>
                <w:lang w:val="en-GB"/>
              </w:rPr>
            </w:pPr>
          </w:p>
        </w:tc>
        <w:tc>
          <w:tcPr>
            <w:tcW w:w="999" w:type="dxa"/>
          </w:tcPr>
          <w:p w14:paraId="3908BED0" w14:textId="77777777" w:rsidR="00A726BD" w:rsidRPr="00A726BD" w:rsidRDefault="00160DDD" w:rsidP="00E72BAF">
            <w:pPr>
              <w:spacing w:before="40" w:after="40"/>
              <w:jc w:val="center"/>
              <w:rPr>
                <w:rFonts w:asciiTheme="minorHAnsi" w:hAnsiTheme="minorHAnsi" w:cstheme="minorHAnsi"/>
                <w:sz w:val="20"/>
                <w:szCs w:val="20"/>
                <w:lang w:val="en-GB"/>
              </w:rPr>
            </w:pPr>
            <w:r w:rsidRPr="00A726BD">
              <w:rPr>
                <w:rFonts w:asciiTheme="minorHAnsi" w:hAnsiTheme="minorHAnsi" w:cstheme="minorHAnsi"/>
                <w:sz w:val="20"/>
                <w:szCs w:val="20"/>
                <w:lang w:val="en-GB"/>
              </w:rPr>
              <w:t>√</w:t>
            </w:r>
          </w:p>
        </w:tc>
        <w:tc>
          <w:tcPr>
            <w:tcW w:w="3260" w:type="dxa"/>
          </w:tcPr>
          <w:p w14:paraId="1F8D027D" w14:textId="77777777" w:rsidR="00A726BD" w:rsidRPr="00A726BD" w:rsidRDefault="00160DDD" w:rsidP="00A726BD">
            <w:pPr>
              <w:spacing w:before="40" w:after="40"/>
              <w:jc w:val="left"/>
              <w:rPr>
                <w:rFonts w:asciiTheme="minorHAnsi" w:hAnsiTheme="minorHAnsi" w:cstheme="minorHAnsi"/>
                <w:sz w:val="20"/>
                <w:szCs w:val="20"/>
                <w:lang w:val="en-GB"/>
              </w:rPr>
            </w:pPr>
            <w:r w:rsidRPr="00A726BD">
              <w:rPr>
                <w:rFonts w:asciiTheme="minorHAnsi" w:hAnsiTheme="minorHAnsi" w:cstheme="minorHAnsi"/>
                <w:sz w:val="20"/>
                <w:szCs w:val="20"/>
                <w:lang w:val="en-GB"/>
              </w:rPr>
              <w:t>One of the various ‘carbon funds’ funded by various sources and managed by the World Bank</w:t>
            </w:r>
            <w:r w:rsidR="001C5779">
              <w:rPr>
                <w:rFonts w:asciiTheme="minorHAnsi" w:hAnsiTheme="minorHAnsi" w:cstheme="minorHAnsi"/>
                <w:sz w:val="20"/>
                <w:szCs w:val="20"/>
                <w:lang w:val="en-GB"/>
              </w:rPr>
              <w:t>.</w:t>
            </w:r>
          </w:p>
        </w:tc>
      </w:tr>
      <w:tr w:rsidR="00A726BD" w:rsidRPr="00F45D2E" w14:paraId="7B6B6370" w14:textId="77777777" w:rsidTr="000E665D">
        <w:tc>
          <w:tcPr>
            <w:tcW w:w="3227" w:type="dxa"/>
            <w:shd w:val="clear" w:color="auto" w:fill="DBE5F1" w:themeFill="accent1" w:themeFillTint="33"/>
          </w:tcPr>
          <w:p w14:paraId="7F1B52C1" w14:textId="77777777" w:rsidR="00A726BD" w:rsidRPr="00160DDD" w:rsidRDefault="00A726BD" w:rsidP="000F48ED">
            <w:pPr>
              <w:spacing w:before="40" w:after="40"/>
              <w:jc w:val="left"/>
              <w:rPr>
                <w:rFonts w:asciiTheme="minorHAnsi" w:hAnsiTheme="minorHAnsi" w:cstheme="minorHAnsi"/>
                <w:sz w:val="20"/>
                <w:szCs w:val="20"/>
                <w:lang w:val="en-GB"/>
              </w:rPr>
            </w:pPr>
            <w:r w:rsidRPr="00160DDD">
              <w:rPr>
                <w:rFonts w:asciiTheme="minorHAnsi" w:hAnsiTheme="minorHAnsi" w:cstheme="minorHAnsi"/>
                <w:sz w:val="20"/>
                <w:szCs w:val="20"/>
                <w:lang w:val="en-GB"/>
              </w:rPr>
              <w:t>Carbon Partnership Facility (CPF)</w:t>
            </w:r>
          </w:p>
        </w:tc>
        <w:tc>
          <w:tcPr>
            <w:tcW w:w="5953" w:type="dxa"/>
          </w:tcPr>
          <w:p w14:paraId="5642A4A2" w14:textId="77777777" w:rsidR="00A726BD" w:rsidRPr="00160DDD" w:rsidRDefault="00A726BD" w:rsidP="00A726BD">
            <w:pPr>
              <w:spacing w:before="40" w:after="40"/>
              <w:jc w:val="left"/>
              <w:rPr>
                <w:rFonts w:asciiTheme="minorHAnsi" w:hAnsiTheme="minorHAnsi" w:cstheme="minorHAnsi"/>
                <w:sz w:val="20"/>
                <w:szCs w:val="20"/>
                <w:lang w:val="en-GB"/>
              </w:rPr>
            </w:pPr>
            <w:r w:rsidRPr="00160DDD">
              <w:rPr>
                <w:rFonts w:asciiTheme="minorHAnsi" w:hAnsiTheme="minorHAnsi" w:cstheme="minorHAnsi"/>
                <w:sz w:val="20"/>
                <w:szCs w:val="20"/>
                <w:lang w:val="en-GB"/>
              </w:rPr>
              <w:t>Long-term, post-2012 (i.e. post-Kyoto Protocol) projects.</w:t>
            </w:r>
          </w:p>
        </w:tc>
        <w:tc>
          <w:tcPr>
            <w:tcW w:w="1059" w:type="dxa"/>
          </w:tcPr>
          <w:p w14:paraId="55B2B1B1" w14:textId="77777777" w:rsidR="00A726BD" w:rsidRPr="00160DDD" w:rsidRDefault="00A726BD" w:rsidP="00E72BAF">
            <w:pPr>
              <w:spacing w:before="40" w:after="40"/>
              <w:jc w:val="center"/>
              <w:rPr>
                <w:rFonts w:asciiTheme="minorHAnsi" w:hAnsiTheme="minorHAnsi" w:cstheme="minorHAnsi"/>
                <w:sz w:val="20"/>
                <w:szCs w:val="20"/>
                <w:lang w:val="en-GB"/>
              </w:rPr>
            </w:pPr>
          </w:p>
        </w:tc>
        <w:tc>
          <w:tcPr>
            <w:tcW w:w="999" w:type="dxa"/>
          </w:tcPr>
          <w:p w14:paraId="4357C125" w14:textId="77777777" w:rsidR="00A726BD" w:rsidRPr="00160DDD" w:rsidRDefault="00160DDD" w:rsidP="00E72BAF">
            <w:pPr>
              <w:spacing w:before="40" w:after="40"/>
              <w:jc w:val="center"/>
              <w:rPr>
                <w:rFonts w:asciiTheme="minorHAnsi" w:hAnsiTheme="minorHAnsi" w:cstheme="minorHAnsi"/>
                <w:sz w:val="20"/>
                <w:szCs w:val="20"/>
                <w:lang w:val="en-GB"/>
              </w:rPr>
            </w:pPr>
            <w:r w:rsidRPr="00A726BD">
              <w:rPr>
                <w:rFonts w:asciiTheme="minorHAnsi" w:hAnsiTheme="minorHAnsi" w:cstheme="minorHAnsi"/>
                <w:sz w:val="20"/>
                <w:szCs w:val="20"/>
                <w:lang w:val="en-GB"/>
              </w:rPr>
              <w:t>√</w:t>
            </w:r>
          </w:p>
        </w:tc>
        <w:tc>
          <w:tcPr>
            <w:tcW w:w="3260" w:type="dxa"/>
          </w:tcPr>
          <w:p w14:paraId="18998D39" w14:textId="77777777" w:rsidR="00A726BD" w:rsidRPr="00160DDD" w:rsidRDefault="00160DDD" w:rsidP="007F6A77">
            <w:pPr>
              <w:pStyle w:val="ListParagraph"/>
              <w:numPr>
                <w:ilvl w:val="0"/>
                <w:numId w:val="18"/>
              </w:numPr>
              <w:spacing w:before="40" w:after="40"/>
              <w:ind w:left="102" w:hanging="141"/>
              <w:jc w:val="left"/>
              <w:rPr>
                <w:rFonts w:asciiTheme="minorHAnsi" w:hAnsiTheme="minorHAnsi" w:cstheme="minorHAnsi"/>
                <w:sz w:val="20"/>
                <w:szCs w:val="20"/>
                <w:lang w:val="en-GB"/>
              </w:rPr>
            </w:pPr>
            <w:r w:rsidRPr="00160DDD">
              <w:rPr>
                <w:rFonts w:asciiTheme="minorHAnsi" w:hAnsiTheme="minorHAnsi" w:cstheme="minorHAnsi"/>
                <w:sz w:val="20"/>
                <w:szCs w:val="20"/>
                <w:lang w:val="en-GB"/>
              </w:rPr>
              <w:t>One of the various ‘carbon funds’ funded by various sources and managed by the World Bank.</w:t>
            </w:r>
          </w:p>
          <w:p w14:paraId="55CB82F2" w14:textId="77777777" w:rsidR="00160DDD" w:rsidRPr="00160DDD" w:rsidRDefault="00160DDD" w:rsidP="007F6A77">
            <w:pPr>
              <w:pStyle w:val="ListParagraph"/>
              <w:numPr>
                <w:ilvl w:val="0"/>
                <w:numId w:val="18"/>
              </w:numPr>
              <w:spacing w:before="40" w:after="40"/>
              <w:ind w:left="102" w:hanging="141"/>
              <w:jc w:val="left"/>
              <w:rPr>
                <w:rFonts w:asciiTheme="minorHAnsi" w:hAnsiTheme="minorHAnsi" w:cstheme="minorHAnsi"/>
                <w:sz w:val="20"/>
                <w:szCs w:val="20"/>
                <w:lang w:val="en-GB"/>
              </w:rPr>
            </w:pPr>
            <w:r w:rsidRPr="00160DDD">
              <w:rPr>
                <w:rFonts w:asciiTheme="minorHAnsi" w:hAnsiTheme="minorHAnsi" w:cstheme="minorHAnsi"/>
                <w:sz w:val="20"/>
                <w:szCs w:val="20"/>
                <w:lang w:val="en-GB"/>
              </w:rPr>
              <w:t>Co-financed by the EC.</w:t>
            </w:r>
          </w:p>
        </w:tc>
      </w:tr>
      <w:tr w:rsidR="001C5779" w:rsidRPr="00F45D2E" w14:paraId="377DF21B" w14:textId="77777777" w:rsidTr="000E665D">
        <w:tc>
          <w:tcPr>
            <w:tcW w:w="3227" w:type="dxa"/>
            <w:shd w:val="clear" w:color="auto" w:fill="DBE5F1" w:themeFill="accent1" w:themeFillTint="33"/>
          </w:tcPr>
          <w:p w14:paraId="61D2C49C" w14:textId="77777777" w:rsidR="001C5779" w:rsidRPr="001C5779" w:rsidRDefault="001C5779" w:rsidP="000F48ED">
            <w:pPr>
              <w:spacing w:before="40" w:after="40"/>
              <w:jc w:val="left"/>
              <w:rPr>
                <w:rFonts w:asciiTheme="minorHAnsi" w:hAnsiTheme="minorHAnsi" w:cstheme="minorHAnsi"/>
                <w:sz w:val="20"/>
                <w:szCs w:val="20"/>
                <w:lang w:val="en-GB"/>
              </w:rPr>
            </w:pPr>
            <w:r w:rsidRPr="001C5779">
              <w:rPr>
                <w:rFonts w:asciiTheme="minorHAnsi" w:hAnsiTheme="minorHAnsi" w:cstheme="minorHAnsi"/>
                <w:sz w:val="20"/>
                <w:szCs w:val="20"/>
                <w:lang w:val="en-GB"/>
              </w:rPr>
              <w:t>Global Climate Change Alliance (GCCA)</w:t>
            </w:r>
          </w:p>
        </w:tc>
        <w:tc>
          <w:tcPr>
            <w:tcW w:w="5953" w:type="dxa"/>
          </w:tcPr>
          <w:p w14:paraId="6DCD7780" w14:textId="77777777" w:rsidR="001C5779" w:rsidRPr="001C5779" w:rsidRDefault="001C5779" w:rsidP="00A726BD">
            <w:pPr>
              <w:spacing w:before="40" w:after="40"/>
              <w:jc w:val="left"/>
              <w:rPr>
                <w:rFonts w:asciiTheme="minorHAnsi" w:hAnsiTheme="minorHAnsi" w:cstheme="minorHAnsi"/>
                <w:sz w:val="20"/>
                <w:szCs w:val="20"/>
                <w:lang w:val="en-GB"/>
              </w:rPr>
            </w:pPr>
            <w:r w:rsidRPr="001C5779">
              <w:rPr>
                <w:rFonts w:asciiTheme="minorHAnsi" w:hAnsiTheme="minorHAnsi" w:cstheme="minorHAnsi"/>
                <w:sz w:val="20"/>
                <w:szCs w:val="20"/>
                <w:lang w:val="en-GB"/>
              </w:rPr>
              <w:t>Activities related to:</w:t>
            </w:r>
          </w:p>
          <w:p w14:paraId="7E6E59BD" w14:textId="77777777" w:rsidR="001C5779" w:rsidRPr="001C5779" w:rsidRDefault="001C5779" w:rsidP="007F6A77">
            <w:pPr>
              <w:pStyle w:val="ListParagraph"/>
              <w:numPr>
                <w:ilvl w:val="0"/>
                <w:numId w:val="21"/>
              </w:numPr>
              <w:spacing w:before="40" w:after="40"/>
              <w:ind w:left="175" w:hanging="175"/>
              <w:jc w:val="left"/>
              <w:rPr>
                <w:rFonts w:asciiTheme="minorHAnsi" w:hAnsiTheme="minorHAnsi" w:cstheme="minorHAnsi"/>
                <w:sz w:val="20"/>
                <w:szCs w:val="20"/>
                <w:lang w:val="en-GB"/>
              </w:rPr>
            </w:pPr>
            <w:r w:rsidRPr="001C5779">
              <w:rPr>
                <w:rFonts w:asciiTheme="minorHAnsi" w:hAnsiTheme="minorHAnsi" w:cstheme="minorHAnsi"/>
                <w:sz w:val="20"/>
                <w:szCs w:val="20"/>
                <w:lang w:val="en-GB"/>
              </w:rPr>
              <w:t xml:space="preserve">climate change adaptation; </w:t>
            </w:r>
          </w:p>
          <w:p w14:paraId="6A75ABC2" w14:textId="77777777" w:rsidR="001C5779" w:rsidRPr="001C5779" w:rsidRDefault="001C5779" w:rsidP="007F6A77">
            <w:pPr>
              <w:pStyle w:val="ListParagraph"/>
              <w:numPr>
                <w:ilvl w:val="0"/>
                <w:numId w:val="21"/>
              </w:numPr>
              <w:spacing w:before="40" w:after="40"/>
              <w:ind w:left="175" w:hanging="175"/>
              <w:jc w:val="left"/>
              <w:rPr>
                <w:rFonts w:asciiTheme="minorHAnsi" w:hAnsiTheme="minorHAnsi" w:cstheme="minorHAnsi"/>
                <w:sz w:val="20"/>
                <w:szCs w:val="20"/>
                <w:lang w:val="en-GB"/>
              </w:rPr>
            </w:pPr>
            <w:r w:rsidRPr="001C5779">
              <w:rPr>
                <w:rFonts w:asciiTheme="minorHAnsi" w:hAnsiTheme="minorHAnsi" w:cstheme="minorHAnsi"/>
                <w:sz w:val="20"/>
                <w:szCs w:val="20"/>
                <w:lang w:val="en-GB"/>
              </w:rPr>
              <w:t>REDD;</w:t>
            </w:r>
          </w:p>
          <w:p w14:paraId="3F4B144F" w14:textId="77777777" w:rsidR="001C5779" w:rsidRPr="001C5779" w:rsidRDefault="001C5779" w:rsidP="007F6A77">
            <w:pPr>
              <w:pStyle w:val="ListParagraph"/>
              <w:numPr>
                <w:ilvl w:val="0"/>
                <w:numId w:val="21"/>
              </w:numPr>
              <w:spacing w:before="40" w:after="40"/>
              <w:ind w:left="175" w:hanging="175"/>
              <w:jc w:val="left"/>
              <w:rPr>
                <w:rFonts w:asciiTheme="minorHAnsi" w:hAnsiTheme="minorHAnsi" w:cstheme="minorHAnsi"/>
                <w:sz w:val="20"/>
                <w:szCs w:val="20"/>
                <w:lang w:val="en-GB"/>
              </w:rPr>
            </w:pPr>
            <w:r w:rsidRPr="001C5779">
              <w:rPr>
                <w:rFonts w:asciiTheme="minorHAnsi" w:hAnsiTheme="minorHAnsi" w:cstheme="minorHAnsi"/>
                <w:sz w:val="20"/>
                <w:szCs w:val="20"/>
                <w:lang w:val="en-GB"/>
              </w:rPr>
              <w:t>enhanced participation in the Clean Development Mechanism;</w:t>
            </w:r>
          </w:p>
          <w:p w14:paraId="3E56E494" w14:textId="77777777" w:rsidR="001C5779" w:rsidRPr="001C5779" w:rsidRDefault="001C5779" w:rsidP="007F6A77">
            <w:pPr>
              <w:pStyle w:val="ListParagraph"/>
              <w:numPr>
                <w:ilvl w:val="0"/>
                <w:numId w:val="21"/>
              </w:numPr>
              <w:spacing w:before="40" w:after="40"/>
              <w:ind w:left="175" w:hanging="175"/>
              <w:jc w:val="left"/>
              <w:rPr>
                <w:rFonts w:asciiTheme="minorHAnsi" w:hAnsiTheme="minorHAnsi" w:cstheme="minorHAnsi"/>
                <w:sz w:val="20"/>
                <w:szCs w:val="20"/>
                <w:lang w:val="en-GB"/>
              </w:rPr>
            </w:pPr>
            <w:r w:rsidRPr="001C5779">
              <w:rPr>
                <w:rFonts w:asciiTheme="minorHAnsi" w:hAnsiTheme="minorHAnsi" w:cstheme="minorHAnsi"/>
                <w:sz w:val="20"/>
                <w:szCs w:val="20"/>
                <w:lang w:val="en-GB"/>
              </w:rPr>
              <w:t>disaster risk reduction;</w:t>
            </w:r>
          </w:p>
          <w:p w14:paraId="268BDF5A" w14:textId="77777777" w:rsidR="001C5779" w:rsidRPr="001C5779" w:rsidRDefault="001C5779" w:rsidP="007F6A77">
            <w:pPr>
              <w:pStyle w:val="ListParagraph"/>
              <w:numPr>
                <w:ilvl w:val="0"/>
                <w:numId w:val="21"/>
              </w:numPr>
              <w:spacing w:before="40" w:after="40"/>
              <w:ind w:left="175" w:hanging="175"/>
              <w:jc w:val="left"/>
              <w:rPr>
                <w:rFonts w:asciiTheme="minorHAnsi" w:hAnsiTheme="minorHAnsi" w:cstheme="minorHAnsi"/>
                <w:sz w:val="20"/>
                <w:szCs w:val="20"/>
                <w:lang w:val="en-GB"/>
              </w:rPr>
            </w:pPr>
            <w:r w:rsidRPr="001C5779">
              <w:rPr>
                <w:rFonts w:asciiTheme="minorHAnsi" w:hAnsiTheme="minorHAnsi" w:cstheme="minorHAnsi"/>
                <w:sz w:val="20"/>
                <w:szCs w:val="20"/>
                <w:lang w:val="en-GB"/>
              </w:rPr>
              <w:t>the integration of climate change into poverty reduction efforts.</w:t>
            </w:r>
          </w:p>
        </w:tc>
        <w:tc>
          <w:tcPr>
            <w:tcW w:w="1059" w:type="dxa"/>
          </w:tcPr>
          <w:p w14:paraId="5F045483" w14:textId="77777777" w:rsidR="001C5779" w:rsidRPr="001C5779" w:rsidRDefault="001C5779" w:rsidP="00E72BAF">
            <w:pPr>
              <w:spacing w:before="40" w:after="40"/>
              <w:jc w:val="center"/>
              <w:rPr>
                <w:rFonts w:asciiTheme="minorHAnsi" w:hAnsiTheme="minorHAnsi" w:cstheme="minorHAnsi"/>
                <w:sz w:val="20"/>
                <w:szCs w:val="20"/>
                <w:lang w:val="en-GB"/>
              </w:rPr>
            </w:pPr>
            <w:r w:rsidRPr="001C5779">
              <w:rPr>
                <w:rFonts w:asciiTheme="minorHAnsi" w:hAnsiTheme="minorHAnsi" w:cstheme="minorHAnsi"/>
                <w:sz w:val="20"/>
                <w:szCs w:val="20"/>
                <w:lang w:val="en-GB"/>
              </w:rPr>
              <w:t>√</w:t>
            </w:r>
          </w:p>
        </w:tc>
        <w:tc>
          <w:tcPr>
            <w:tcW w:w="999" w:type="dxa"/>
          </w:tcPr>
          <w:p w14:paraId="442B171B" w14:textId="77777777" w:rsidR="001C5779" w:rsidRPr="001C5779" w:rsidRDefault="001C5779" w:rsidP="00E72BAF">
            <w:pPr>
              <w:spacing w:before="40" w:after="40"/>
              <w:jc w:val="center"/>
              <w:rPr>
                <w:rFonts w:asciiTheme="minorHAnsi" w:hAnsiTheme="minorHAnsi" w:cstheme="minorHAnsi"/>
                <w:sz w:val="20"/>
                <w:szCs w:val="20"/>
                <w:lang w:val="en-GB"/>
              </w:rPr>
            </w:pPr>
            <w:r w:rsidRPr="001C5779">
              <w:rPr>
                <w:rFonts w:asciiTheme="minorHAnsi" w:hAnsiTheme="minorHAnsi" w:cstheme="minorHAnsi"/>
                <w:sz w:val="20"/>
                <w:szCs w:val="20"/>
                <w:lang w:val="en-GB"/>
              </w:rPr>
              <w:t>√</w:t>
            </w:r>
          </w:p>
        </w:tc>
        <w:tc>
          <w:tcPr>
            <w:tcW w:w="3260" w:type="dxa"/>
          </w:tcPr>
          <w:p w14:paraId="442247C4" w14:textId="77777777" w:rsidR="006252C5" w:rsidRDefault="006252C5" w:rsidP="007F6A77">
            <w:pPr>
              <w:pStyle w:val="ListParagraph"/>
              <w:numPr>
                <w:ilvl w:val="0"/>
                <w:numId w:val="22"/>
              </w:numPr>
              <w:spacing w:before="40" w:after="40"/>
              <w:ind w:left="102" w:hanging="141"/>
              <w:jc w:val="left"/>
              <w:rPr>
                <w:rFonts w:asciiTheme="minorHAnsi" w:hAnsiTheme="minorHAnsi" w:cstheme="minorHAnsi"/>
                <w:sz w:val="20"/>
                <w:szCs w:val="20"/>
                <w:lang w:val="en-GB"/>
              </w:rPr>
            </w:pPr>
            <w:r>
              <w:rPr>
                <w:rFonts w:asciiTheme="minorHAnsi" w:hAnsiTheme="minorHAnsi" w:cstheme="minorHAnsi"/>
                <w:sz w:val="20"/>
                <w:szCs w:val="20"/>
                <w:lang w:val="en-GB"/>
              </w:rPr>
              <w:t>An EU initiative.</w:t>
            </w:r>
          </w:p>
          <w:p w14:paraId="722805B0" w14:textId="77777777" w:rsidR="001C5779" w:rsidRPr="00306EA1" w:rsidRDefault="006252C5" w:rsidP="007F6A77">
            <w:pPr>
              <w:pStyle w:val="ListParagraph"/>
              <w:numPr>
                <w:ilvl w:val="0"/>
                <w:numId w:val="22"/>
              </w:numPr>
              <w:spacing w:before="40" w:after="40"/>
              <w:ind w:left="102" w:hanging="141"/>
              <w:jc w:val="left"/>
              <w:rPr>
                <w:rFonts w:asciiTheme="minorHAnsi" w:hAnsiTheme="minorHAnsi" w:cstheme="minorHAnsi"/>
                <w:sz w:val="20"/>
                <w:szCs w:val="20"/>
                <w:lang w:val="en-GB"/>
              </w:rPr>
            </w:pPr>
            <w:r>
              <w:rPr>
                <w:rFonts w:asciiTheme="minorHAnsi" w:hAnsiTheme="minorHAnsi" w:cstheme="minorHAnsi"/>
                <w:sz w:val="20"/>
                <w:szCs w:val="20"/>
                <w:lang w:val="en-GB"/>
              </w:rPr>
              <w:t>Provides</w:t>
            </w:r>
            <w:r w:rsidR="001C5779" w:rsidRPr="00306EA1">
              <w:rPr>
                <w:rFonts w:asciiTheme="minorHAnsi" w:hAnsiTheme="minorHAnsi" w:cstheme="minorHAnsi"/>
                <w:sz w:val="20"/>
                <w:szCs w:val="20"/>
                <w:lang w:val="en-GB"/>
              </w:rPr>
              <w:t xml:space="preserve"> technical and financial support.</w:t>
            </w:r>
          </w:p>
          <w:p w14:paraId="046F28D4" w14:textId="77777777" w:rsidR="001C5779" w:rsidRPr="00306EA1" w:rsidRDefault="001C5779" w:rsidP="007F6A77">
            <w:pPr>
              <w:pStyle w:val="ListParagraph"/>
              <w:numPr>
                <w:ilvl w:val="0"/>
                <w:numId w:val="22"/>
              </w:numPr>
              <w:spacing w:before="40" w:after="40"/>
              <w:ind w:left="102" w:hanging="141"/>
              <w:jc w:val="left"/>
              <w:rPr>
                <w:rFonts w:asciiTheme="minorHAnsi" w:hAnsiTheme="minorHAnsi" w:cstheme="minorHAnsi"/>
                <w:sz w:val="20"/>
                <w:szCs w:val="20"/>
                <w:lang w:val="en-GB"/>
              </w:rPr>
            </w:pPr>
            <w:r w:rsidRPr="00306EA1">
              <w:rPr>
                <w:rFonts w:asciiTheme="minorHAnsi" w:hAnsiTheme="minorHAnsi" w:cstheme="minorHAnsi"/>
                <w:sz w:val="20"/>
                <w:szCs w:val="20"/>
                <w:lang w:val="en-GB"/>
              </w:rPr>
              <w:t>Supports dialogue and cooperation on climate change-related issues between the EU and developing countries, with a focus on least developed countries (LDCs) and small island developing countries (SIDs).</w:t>
            </w:r>
          </w:p>
        </w:tc>
      </w:tr>
      <w:tr w:rsidR="00A726BD" w:rsidRPr="00F45D2E" w14:paraId="714C3FDF" w14:textId="77777777" w:rsidTr="000E665D">
        <w:tc>
          <w:tcPr>
            <w:tcW w:w="3227" w:type="dxa"/>
            <w:shd w:val="clear" w:color="auto" w:fill="DBE5F1" w:themeFill="accent1" w:themeFillTint="33"/>
          </w:tcPr>
          <w:p w14:paraId="75BDCC46" w14:textId="77777777" w:rsidR="00A726BD" w:rsidRPr="001C5779" w:rsidRDefault="001C5779" w:rsidP="000F48ED">
            <w:pPr>
              <w:spacing w:before="40" w:after="40"/>
              <w:jc w:val="left"/>
              <w:rPr>
                <w:rFonts w:asciiTheme="minorHAnsi" w:hAnsiTheme="minorHAnsi" w:cstheme="minorHAnsi"/>
                <w:sz w:val="20"/>
                <w:szCs w:val="20"/>
                <w:lang w:val="en-GB"/>
              </w:rPr>
            </w:pPr>
            <w:r w:rsidRPr="001C5779">
              <w:rPr>
                <w:rFonts w:asciiTheme="minorHAnsi" w:hAnsiTheme="minorHAnsi" w:cstheme="minorHAnsi"/>
                <w:sz w:val="20"/>
                <w:szCs w:val="20"/>
                <w:lang w:val="en-GB"/>
              </w:rPr>
              <w:t>Global Energy Efficiency and Renewable Energy Fund (GEEREF)</w:t>
            </w:r>
          </w:p>
        </w:tc>
        <w:tc>
          <w:tcPr>
            <w:tcW w:w="5953" w:type="dxa"/>
          </w:tcPr>
          <w:p w14:paraId="0D528ACD" w14:textId="77777777" w:rsidR="00A726BD" w:rsidRPr="001C5779" w:rsidRDefault="001C5779" w:rsidP="00A726BD">
            <w:pPr>
              <w:spacing w:before="40" w:after="40"/>
              <w:jc w:val="left"/>
              <w:rPr>
                <w:rFonts w:asciiTheme="minorHAnsi" w:hAnsiTheme="minorHAnsi" w:cstheme="minorHAnsi"/>
                <w:sz w:val="20"/>
                <w:szCs w:val="20"/>
                <w:lang w:val="en-GB"/>
              </w:rPr>
            </w:pPr>
            <w:r w:rsidRPr="001C5779">
              <w:rPr>
                <w:rFonts w:asciiTheme="minorHAnsi" w:hAnsiTheme="minorHAnsi" w:cstheme="minorHAnsi"/>
                <w:sz w:val="20"/>
                <w:szCs w:val="20"/>
                <w:lang w:val="en-GB"/>
              </w:rPr>
              <w:t>Invests in private equity funds that themselves invest risk capital in small and medium-sized enterprises (SMEs) and projects for supporting the implementation of energy efficiency and renewable energy projects.</w:t>
            </w:r>
          </w:p>
        </w:tc>
        <w:tc>
          <w:tcPr>
            <w:tcW w:w="1059" w:type="dxa"/>
          </w:tcPr>
          <w:p w14:paraId="32A38735" w14:textId="77777777" w:rsidR="00A726BD" w:rsidRPr="001C5779" w:rsidRDefault="00A726BD" w:rsidP="00E72BAF">
            <w:pPr>
              <w:spacing w:before="40" w:after="40"/>
              <w:jc w:val="center"/>
              <w:rPr>
                <w:rFonts w:asciiTheme="minorHAnsi" w:hAnsiTheme="minorHAnsi" w:cstheme="minorHAnsi"/>
                <w:sz w:val="20"/>
                <w:szCs w:val="20"/>
                <w:lang w:val="en-GB"/>
              </w:rPr>
            </w:pPr>
          </w:p>
        </w:tc>
        <w:tc>
          <w:tcPr>
            <w:tcW w:w="999" w:type="dxa"/>
          </w:tcPr>
          <w:p w14:paraId="4686C097" w14:textId="77777777" w:rsidR="00A726BD" w:rsidRPr="001C5779" w:rsidRDefault="001C5779" w:rsidP="00E72BAF">
            <w:pPr>
              <w:spacing w:before="40" w:after="40"/>
              <w:jc w:val="center"/>
              <w:rPr>
                <w:rFonts w:asciiTheme="minorHAnsi" w:hAnsiTheme="minorHAnsi" w:cstheme="minorHAnsi"/>
                <w:sz w:val="20"/>
                <w:szCs w:val="20"/>
                <w:lang w:val="en-GB"/>
              </w:rPr>
            </w:pPr>
            <w:r w:rsidRPr="00A726BD">
              <w:rPr>
                <w:rFonts w:asciiTheme="minorHAnsi" w:hAnsiTheme="minorHAnsi" w:cstheme="minorHAnsi"/>
                <w:sz w:val="20"/>
                <w:szCs w:val="20"/>
                <w:lang w:val="en-GB"/>
              </w:rPr>
              <w:t>√</w:t>
            </w:r>
          </w:p>
        </w:tc>
        <w:tc>
          <w:tcPr>
            <w:tcW w:w="3260" w:type="dxa"/>
          </w:tcPr>
          <w:p w14:paraId="3A972D82" w14:textId="77777777" w:rsidR="00A726BD" w:rsidRPr="001C5779" w:rsidRDefault="001C5779" w:rsidP="007F6A77">
            <w:pPr>
              <w:pStyle w:val="ListParagraph"/>
              <w:numPr>
                <w:ilvl w:val="0"/>
                <w:numId w:val="20"/>
              </w:numPr>
              <w:spacing w:before="40" w:after="40"/>
              <w:ind w:left="102" w:hanging="141"/>
              <w:jc w:val="left"/>
              <w:rPr>
                <w:rFonts w:asciiTheme="minorHAnsi" w:hAnsiTheme="minorHAnsi" w:cstheme="minorHAnsi"/>
                <w:sz w:val="20"/>
                <w:szCs w:val="20"/>
                <w:lang w:val="en-GB"/>
              </w:rPr>
            </w:pPr>
            <w:r w:rsidRPr="001C5779">
              <w:rPr>
                <w:rFonts w:asciiTheme="minorHAnsi" w:hAnsiTheme="minorHAnsi" w:cstheme="minorHAnsi"/>
                <w:sz w:val="20"/>
                <w:szCs w:val="20"/>
                <w:lang w:val="en-GB"/>
              </w:rPr>
              <w:t>Public-private partnership scheme set up by the EC.</w:t>
            </w:r>
          </w:p>
          <w:p w14:paraId="54B9A719" w14:textId="77777777" w:rsidR="001C5779" w:rsidRPr="001C5779" w:rsidRDefault="001C5779" w:rsidP="007F6A77">
            <w:pPr>
              <w:pStyle w:val="ListParagraph"/>
              <w:numPr>
                <w:ilvl w:val="0"/>
                <w:numId w:val="20"/>
              </w:numPr>
              <w:spacing w:before="40" w:after="40"/>
              <w:ind w:left="102" w:hanging="141"/>
              <w:jc w:val="left"/>
              <w:rPr>
                <w:rFonts w:asciiTheme="minorHAnsi" w:hAnsiTheme="minorHAnsi" w:cstheme="minorHAnsi"/>
                <w:sz w:val="20"/>
                <w:szCs w:val="20"/>
                <w:lang w:val="en-GB"/>
              </w:rPr>
            </w:pPr>
            <w:r w:rsidRPr="001C5779">
              <w:rPr>
                <w:rFonts w:asciiTheme="minorHAnsi" w:hAnsiTheme="minorHAnsi" w:cstheme="minorHAnsi"/>
                <w:sz w:val="20"/>
                <w:szCs w:val="20"/>
                <w:lang w:val="en-GB"/>
              </w:rPr>
              <w:t>Aims to accelerate the adoption and deployment energy efficiency and renewable energy technologies.</w:t>
            </w:r>
          </w:p>
        </w:tc>
      </w:tr>
    </w:tbl>
    <w:p w14:paraId="153B4D65" w14:textId="77777777" w:rsidR="00353BD3" w:rsidRPr="00E72BAF" w:rsidRDefault="000E665D" w:rsidP="00E72BAF">
      <w:pPr>
        <w:spacing w:before="120"/>
        <w:jc w:val="center"/>
        <w:rPr>
          <w:rFonts w:asciiTheme="minorHAnsi" w:hAnsiTheme="minorHAnsi" w:cstheme="minorHAnsi"/>
          <w:sz w:val="20"/>
          <w:szCs w:val="20"/>
          <w:lang w:val="en-GB"/>
        </w:rPr>
      </w:pPr>
      <w:r>
        <w:rPr>
          <w:rFonts w:asciiTheme="minorHAnsi" w:hAnsiTheme="minorHAnsi" w:cstheme="minorHAnsi"/>
          <w:sz w:val="20"/>
          <w:szCs w:val="20"/>
          <w:lang w:val="en-GB"/>
        </w:rPr>
        <w:t>Source: A</w:t>
      </w:r>
      <w:r w:rsidR="00E72BAF" w:rsidRPr="00E72BAF">
        <w:rPr>
          <w:rFonts w:asciiTheme="minorHAnsi" w:hAnsiTheme="minorHAnsi" w:cstheme="minorHAnsi"/>
          <w:sz w:val="20"/>
          <w:szCs w:val="20"/>
          <w:lang w:val="en-GB"/>
        </w:rPr>
        <w:t xml:space="preserve">dapted from information available on </w:t>
      </w:r>
      <w:hyperlink r:id="rId17" w:history="1">
        <w:r w:rsidR="00E72BAF" w:rsidRPr="00E72BAF">
          <w:rPr>
            <w:rStyle w:val="Hyperlink"/>
            <w:rFonts w:asciiTheme="minorHAnsi" w:hAnsiTheme="minorHAnsi" w:cstheme="minorHAnsi"/>
            <w:sz w:val="20"/>
            <w:szCs w:val="20"/>
            <w:lang w:val="en-GB"/>
          </w:rPr>
          <w:t>www.climatefundsupdate.org</w:t>
        </w:r>
      </w:hyperlink>
      <w:r w:rsidR="00E72BAF" w:rsidRPr="00C93D5B">
        <w:rPr>
          <w:rFonts w:asciiTheme="minorHAnsi" w:hAnsiTheme="minorHAnsi" w:cstheme="minorHAnsi"/>
          <w:sz w:val="20"/>
          <w:szCs w:val="20"/>
          <w:lang w:val="en-GB"/>
        </w:rPr>
        <w:t>.</w:t>
      </w:r>
    </w:p>
    <w:p w14:paraId="1F14C714" w14:textId="77777777" w:rsidR="00E72BAF" w:rsidRDefault="00E72BAF" w:rsidP="00353BD3">
      <w:pPr>
        <w:rPr>
          <w:rFonts w:asciiTheme="minorHAnsi" w:hAnsiTheme="minorHAnsi" w:cstheme="minorHAnsi"/>
          <w:sz w:val="22"/>
          <w:szCs w:val="22"/>
          <w:lang w:val="en-GB"/>
        </w:rPr>
      </w:pPr>
    </w:p>
    <w:p w14:paraId="7B260442" w14:textId="77777777" w:rsidR="00306EA1" w:rsidRDefault="00306EA1">
      <w:pPr>
        <w:spacing w:after="200" w:line="276" w:lineRule="auto"/>
        <w:jc w:val="left"/>
        <w:rPr>
          <w:rFonts w:asciiTheme="minorHAnsi" w:hAnsiTheme="minorHAnsi" w:cstheme="minorHAnsi"/>
          <w:b/>
          <w:sz w:val="20"/>
          <w:szCs w:val="20"/>
          <w:lang w:val="en-GB"/>
        </w:rPr>
      </w:pPr>
      <w:r>
        <w:rPr>
          <w:rFonts w:asciiTheme="minorHAnsi" w:hAnsiTheme="minorHAnsi" w:cstheme="minorHAnsi"/>
          <w:b/>
          <w:sz w:val="20"/>
          <w:szCs w:val="20"/>
          <w:lang w:val="en-GB"/>
        </w:rPr>
        <w:br w:type="page"/>
      </w:r>
    </w:p>
    <w:p w14:paraId="7C7E4871" w14:textId="77777777" w:rsidR="00E72BAF" w:rsidRPr="00353BD3" w:rsidRDefault="00E72BAF" w:rsidP="00E72BAF">
      <w:pPr>
        <w:spacing w:after="120"/>
        <w:jc w:val="center"/>
        <w:rPr>
          <w:rFonts w:asciiTheme="minorHAnsi" w:hAnsiTheme="minorHAnsi" w:cstheme="minorHAnsi"/>
          <w:b/>
          <w:sz w:val="20"/>
          <w:szCs w:val="20"/>
          <w:lang w:val="en-GB"/>
        </w:rPr>
      </w:pPr>
      <w:r w:rsidRPr="00353BD3">
        <w:rPr>
          <w:rFonts w:asciiTheme="minorHAnsi" w:hAnsiTheme="minorHAnsi" w:cstheme="minorHAnsi"/>
          <w:b/>
          <w:sz w:val="20"/>
          <w:szCs w:val="20"/>
          <w:lang w:val="en-GB"/>
        </w:rPr>
        <w:lastRenderedPageBreak/>
        <w:t>Table 8.</w:t>
      </w:r>
      <w:r>
        <w:rPr>
          <w:rFonts w:asciiTheme="minorHAnsi" w:hAnsiTheme="minorHAnsi" w:cstheme="minorHAnsi"/>
          <w:b/>
          <w:sz w:val="20"/>
          <w:szCs w:val="20"/>
          <w:lang w:val="en-GB"/>
        </w:rPr>
        <w:t>2</w:t>
      </w:r>
      <w:r w:rsidRPr="00353BD3">
        <w:rPr>
          <w:rFonts w:asciiTheme="minorHAnsi" w:hAnsiTheme="minorHAnsi" w:cstheme="minorHAnsi"/>
          <w:b/>
          <w:sz w:val="20"/>
          <w:szCs w:val="20"/>
          <w:lang w:val="en-GB"/>
        </w:rPr>
        <w:t xml:space="preserve"> – </w:t>
      </w:r>
      <w:r w:rsidR="00306EA1">
        <w:rPr>
          <w:rFonts w:asciiTheme="minorHAnsi" w:hAnsiTheme="minorHAnsi" w:cstheme="minorHAnsi"/>
          <w:b/>
          <w:sz w:val="20"/>
          <w:szCs w:val="20"/>
          <w:lang w:val="en-GB"/>
        </w:rPr>
        <w:t>Funding mechanisms providing specific support for climate change mainstreaming</w:t>
      </w:r>
    </w:p>
    <w:tbl>
      <w:tblPr>
        <w:tblStyle w:val="TableGrid"/>
        <w:tblW w:w="0" w:type="auto"/>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H w:val="single" w:sz="6" w:space="0" w:color="244061" w:themeColor="accent1" w:themeShade="80"/>
          <w:insideV w:val="single" w:sz="6" w:space="0" w:color="244061" w:themeColor="accent1" w:themeShade="80"/>
        </w:tblBorders>
        <w:tblLook w:val="04A0" w:firstRow="1" w:lastRow="0" w:firstColumn="1" w:lastColumn="0" w:noHBand="0" w:noVBand="1"/>
      </w:tblPr>
      <w:tblGrid>
        <w:gridCol w:w="3227"/>
        <w:gridCol w:w="5953"/>
        <w:gridCol w:w="1059"/>
        <w:gridCol w:w="999"/>
        <w:gridCol w:w="3260"/>
      </w:tblGrid>
      <w:tr w:rsidR="00306EA1" w:rsidRPr="00D949A5" w14:paraId="4BB67E94" w14:textId="77777777" w:rsidTr="003D0CF7">
        <w:trPr>
          <w:tblHeader/>
        </w:trPr>
        <w:tc>
          <w:tcPr>
            <w:tcW w:w="3227" w:type="dxa"/>
            <w:shd w:val="clear" w:color="auto" w:fill="365F91" w:themeFill="accent1" w:themeFillShade="BF"/>
            <w:vAlign w:val="center"/>
          </w:tcPr>
          <w:p w14:paraId="13AE099F" w14:textId="77777777" w:rsidR="00306EA1" w:rsidRPr="00D949A5" w:rsidRDefault="00306EA1" w:rsidP="007D2CF9">
            <w:pPr>
              <w:spacing w:before="40" w:after="40"/>
              <w:jc w:val="left"/>
              <w:rPr>
                <w:rFonts w:asciiTheme="minorHAnsi" w:hAnsiTheme="minorHAnsi" w:cstheme="minorHAnsi"/>
                <w:b/>
                <w:color w:val="FFFFFF" w:themeColor="background1"/>
                <w:sz w:val="20"/>
                <w:szCs w:val="20"/>
                <w:lang w:val="en-GB"/>
              </w:rPr>
            </w:pPr>
            <w:r w:rsidRPr="00D949A5">
              <w:rPr>
                <w:rFonts w:asciiTheme="minorHAnsi" w:hAnsiTheme="minorHAnsi" w:cstheme="minorHAnsi"/>
                <w:b/>
                <w:color w:val="FFFFFF" w:themeColor="background1"/>
                <w:sz w:val="20"/>
                <w:szCs w:val="20"/>
                <w:lang w:val="en-GB"/>
              </w:rPr>
              <w:t>Source of funding</w:t>
            </w:r>
          </w:p>
        </w:tc>
        <w:tc>
          <w:tcPr>
            <w:tcW w:w="5953" w:type="dxa"/>
            <w:shd w:val="clear" w:color="auto" w:fill="365F91" w:themeFill="accent1" w:themeFillShade="BF"/>
            <w:vAlign w:val="center"/>
          </w:tcPr>
          <w:p w14:paraId="16B3C1E6" w14:textId="77777777" w:rsidR="00306EA1" w:rsidRPr="00D949A5" w:rsidRDefault="00306EA1" w:rsidP="007D2CF9">
            <w:pPr>
              <w:spacing w:before="40" w:after="40"/>
              <w:jc w:val="left"/>
              <w:rPr>
                <w:rFonts w:asciiTheme="minorHAnsi" w:hAnsiTheme="minorHAnsi" w:cstheme="minorHAnsi"/>
                <w:b/>
                <w:color w:val="FFFFFF" w:themeColor="background1"/>
                <w:sz w:val="20"/>
                <w:szCs w:val="20"/>
                <w:lang w:val="en-GB"/>
              </w:rPr>
            </w:pPr>
            <w:r w:rsidRPr="00D949A5">
              <w:rPr>
                <w:rFonts w:asciiTheme="minorHAnsi" w:hAnsiTheme="minorHAnsi" w:cstheme="minorHAnsi"/>
                <w:b/>
                <w:color w:val="FFFFFF" w:themeColor="background1"/>
                <w:sz w:val="20"/>
                <w:szCs w:val="20"/>
                <w:lang w:val="en-GB"/>
              </w:rPr>
              <w:t>Activities supported</w:t>
            </w:r>
          </w:p>
        </w:tc>
        <w:tc>
          <w:tcPr>
            <w:tcW w:w="1059" w:type="dxa"/>
            <w:shd w:val="clear" w:color="auto" w:fill="365F91" w:themeFill="accent1" w:themeFillShade="BF"/>
            <w:vAlign w:val="center"/>
          </w:tcPr>
          <w:p w14:paraId="092263AF" w14:textId="77777777" w:rsidR="00306EA1" w:rsidRPr="00D949A5" w:rsidRDefault="00306EA1" w:rsidP="007D2CF9">
            <w:pPr>
              <w:spacing w:before="40" w:after="40"/>
              <w:jc w:val="center"/>
              <w:rPr>
                <w:rFonts w:asciiTheme="minorHAnsi" w:hAnsiTheme="minorHAnsi" w:cstheme="minorHAnsi"/>
                <w:b/>
                <w:color w:val="FFFFFF" w:themeColor="background1"/>
                <w:sz w:val="18"/>
                <w:szCs w:val="18"/>
                <w:lang w:val="en-GB"/>
              </w:rPr>
            </w:pPr>
            <w:r w:rsidRPr="00D949A5">
              <w:rPr>
                <w:rFonts w:asciiTheme="minorHAnsi" w:hAnsiTheme="minorHAnsi" w:cstheme="minorHAnsi"/>
                <w:b/>
                <w:color w:val="FFFFFF" w:themeColor="background1"/>
                <w:sz w:val="18"/>
                <w:szCs w:val="18"/>
                <w:lang w:val="en-GB"/>
              </w:rPr>
              <w:t>Adaptation</w:t>
            </w:r>
          </w:p>
        </w:tc>
        <w:tc>
          <w:tcPr>
            <w:tcW w:w="999" w:type="dxa"/>
            <w:shd w:val="clear" w:color="auto" w:fill="365F91" w:themeFill="accent1" w:themeFillShade="BF"/>
            <w:vAlign w:val="center"/>
          </w:tcPr>
          <w:p w14:paraId="0756DCDC" w14:textId="77777777" w:rsidR="00306EA1" w:rsidRPr="00D949A5" w:rsidRDefault="00306EA1" w:rsidP="007D2CF9">
            <w:pPr>
              <w:spacing w:before="40" w:after="40"/>
              <w:jc w:val="center"/>
              <w:rPr>
                <w:rFonts w:asciiTheme="minorHAnsi" w:hAnsiTheme="minorHAnsi" w:cstheme="minorHAnsi"/>
                <w:b/>
                <w:color w:val="FFFFFF" w:themeColor="background1"/>
                <w:sz w:val="18"/>
                <w:szCs w:val="18"/>
                <w:lang w:val="en-GB"/>
              </w:rPr>
            </w:pPr>
            <w:r w:rsidRPr="00D949A5">
              <w:rPr>
                <w:rFonts w:asciiTheme="minorHAnsi" w:hAnsiTheme="minorHAnsi" w:cstheme="minorHAnsi"/>
                <w:b/>
                <w:color w:val="FFFFFF" w:themeColor="background1"/>
                <w:sz w:val="18"/>
                <w:szCs w:val="18"/>
                <w:lang w:val="en-GB"/>
              </w:rPr>
              <w:t>Mitigation</w:t>
            </w:r>
          </w:p>
        </w:tc>
        <w:tc>
          <w:tcPr>
            <w:tcW w:w="3260" w:type="dxa"/>
            <w:shd w:val="clear" w:color="auto" w:fill="365F91" w:themeFill="accent1" w:themeFillShade="BF"/>
            <w:vAlign w:val="center"/>
          </w:tcPr>
          <w:p w14:paraId="2A63A4D0" w14:textId="77777777" w:rsidR="00306EA1" w:rsidRPr="00D949A5" w:rsidRDefault="00306EA1" w:rsidP="007D2CF9">
            <w:pPr>
              <w:spacing w:before="40" w:after="40"/>
              <w:jc w:val="left"/>
              <w:rPr>
                <w:rFonts w:asciiTheme="minorHAnsi" w:hAnsiTheme="minorHAnsi" w:cstheme="minorHAnsi"/>
                <w:b/>
                <w:color w:val="FFFFFF" w:themeColor="background1"/>
                <w:sz w:val="20"/>
                <w:szCs w:val="20"/>
                <w:lang w:val="en-GB"/>
              </w:rPr>
            </w:pPr>
            <w:r w:rsidRPr="00D949A5">
              <w:rPr>
                <w:rFonts w:asciiTheme="minorHAnsi" w:hAnsiTheme="minorHAnsi" w:cstheme="minorHAnsi"/>
                <w:b/>
                <w:color w:val="FFFFFF" w:themeColor="background1"/>
                <w:sz w:val="20"/>
                <w:szCs w:val="20"/>
                <w:lang w:val="en-GB"/>
              </w:rPr>
              <w:t>Remarks</w:t>
            </w:r>
          </w:p>
        </w:tc>
      </w:tr>
      <w:tr w:rsidR="00306EA1" w:rsidRPr="00F45D2E" w14:paraId="23D5B963" w14:textId="77777777" w:rsidTr="003D0CF7">
        <w:tc>
          <w:tcPr>
            <w:tcW w:w="3227" w:type="dxa"/>
            <w:shd w:val="clear" w:color="auto" w:fill="DBE5F1" w:themeFill="accent1" w:themeFillTint="33"/>
          </w:tcPr>
          <w:p w14:paraId="3322C464" w14:textId="77777777" w:rsidR="00306EA1" w:rsidRPr="00306EA1" w:rsidRDefault="00306EA1" w:rsidP="007D2CF9">
            <w:pPr>
              <w:spacing w:before="40" w:after="40"/>
              <w:jc w:val="left"/>
              <w:rPr>
                <w:rFonts w:asciiTheme="minorHAnsi" w:hAnsiTheme="minorHAnsi" w:cstheme="minorHAnsi"/>
                <w:sz w:val="20"/>
                <w:szCs w:val="20"/>
                <w:lang w:val="en-GB"/>
              </w:rPr>
            </w:pPr>
            <w:r w:rsidRPr="00306EA1">
              <w:rPr>
                <w:rFonts w:asciiTheme="minorHAnsi" w:hAnsiTheme="minorHAnsi" w:cstheme="minorHAnsi"/>
                <w:sz w:val="20"/>
                <w:szCs w:val="20"/>
                <w:lang w:val="en-GB"/>
              </w:rPr>
              <w:t>Pilot Program for Climate Resilience (PPCR)</w:t>
            </w:r>
          </w:p>
        </w:tc>
        <w:tc>
          <w:tcPr>
            <w:tcW w:w="5953" w:type="dxa"/>
          </w:tcPr>
          <w:p w14:paraId="57D4F4E3" w14:textId="77777777" w:rsidR="00306EA1" w:rsidRPr="00306EA1" w:rsidRDefault="00306EA1" w:rsidP="00306EA1">
            <w:pPr>
              <w:spacing w:before="40" w:after="40"/>
              <w:jc w:val="left"/>
              <w:rPr>
                <w:rFonts w:asciiTheme="minorHAnsi" w:hAnsiTheme="minorHAnsi" w:cstheme="minorHAnsi"/>
                <w:sz w:val="20"/>
                <w:szCs w:val="20"/>
                <w:lang w:val="en-GB"/>
              </w:rPr>
            </w:pPr>
            <w:r w:rsidRPr="00306EA1">
              <w:rPr>
                <w:rFonts w:asciiTheme="minorHAnsi" w:hAnsiTheme="minorHAnsi" w:cstheme="minorHAnsi"/>
                <w:sz w:val="20"/>
                <w:szCs w:val="20"/>
                <w:lang w:val="en-GB"/>
              </w:rPr>
              <w:t>Pilot projects that demonstrate ways of integrating climate risk and resilience in development planning.</w:t>
            </w:r>
          </w:p>
        </w:tc>
        <w:tc>
          <w:tcPr>
            <w:tcW w:w="1059" w:type="dxa"/>
          </w:tcPr>
          <w:p w14:paraId="1FC38A06" w14:textId="77777777" w:rsidR="00306EA1" w:rsidRPr="00306EA1" w:rsidRDefault="00306EA1" w:rsidP="007D2CF9">
            <w:pPr>
              <w:spacing w:before="40" w:after="40"/>
              <w:jc w:val="center"/>
              <w:rPr>
                <w:rFonts w:asciiTheme="minorHAnsi" w:hAnsiTheme="minorHAnsi" w:cstheme="minorHAnsi"/>
                <w:sz w:val="20"/>
                <w:szCs w:val="20"/>
                <w:lang w:val="en-GB"/>
              </w:rPr>
            </w:pPr>
            <w:r w:rsidRPr="00306EA1">
              <w:rPr>
                <w:rFonts w:asciiTheme="minorHAnsi" w:hAnsiTheme="minorHAnsi" w:cstheme="minorHAnsi"/>
                <w:sz w:val="20"/>
                <w:szCs w:val="20"/>
                <w:lang w:val="en-GB"/>
              </w:rPr>
              <w:t>√</w:t>
            </w:r>
          </w:p>
        </w:tc>
        <w:tc>
          <w:tcPr>
            <w:tcW w:w="999" w:type="dxa"/>
          </w:tcPr>
          <w:p w14:paraId="2B92CEB0" w14:textId="77777777" w:rsidR="00306EA1" w:rsidRPr="00306EA1" w:rsidRDefault="00306EA1" w:rsidP="007D2CF9">
            <w:pPr>
              <w:spacing w:before="40" w:after="40"/>
              <w:jc w:val="center"/>
              <w:rPr>
                <w:rFonts w:asciiTheme="minorHAnsi" w:hAnsiTheme="minorHAnsi" w:cstheme="minorHAnsi"/>
                <w:sz w:val="20"/>
                <w:szCs w:val="20"/>
                <w:lang w:val="en-GB"/>
              </w:rPr>
            </w:pPr>
          </w:p>
        </w:tc>
        <w:tc>
          <w:tcPr>
            <w:tcW w:w="3260" w:type="dxa"/>
          </w:tcPr>
          <w:p w14:paraId="3A100CDB" w14:textId="77777777" w:rsidR="00306EA1" w:rsidRPr="00306EA1" w:rsidRDefault="00306EA1" w:rsidP="007F6A77">
            <w:pPr>
              <w:pStyle w:val="ListParagraph"/>
              <w:numPr>
                <w:ilvl w:val="0"/>
                <w:numId w:val="10"/>
              </w:numPr>
              <w:spacing w:before="40" w:after="40"/>
              <w:ind w:left="104" w:hanging="142"/>
              <w:contextualSpacing w:val="0"/>
              <w:jc w:val="left"/>
              <w:rPr>
                <w:rFonts w:asciiTheme="minorHAnsi" w:hAnsiTheme="minorHAnsi" w:cstheme="minorHAnsi"/>
                <w:sz w:val="20"/>
                <w:szCs w:val="20"/>
                <w:lang w:val="en-GB"/>
              </w:rPr>
            </w:pPr>
            <w:r w:rsidRPr="00306EA1">
              <w:rPr>
                <w:rFonts w:asciiTheme="minorHAnsi" w:hAnsiTheme="minorHAnsi" w:cstheme="minorHAnsi"/>
                <w:sz w:val="20"/>
                <w:szCs w:val="20"/>
                <w:lang w:val="en-GB"/>
              </w:rPr>
              <w:t>A component of the Strategic Climate Fund (SCF).</w:t>
            </w:r>
          </w:p>
          <w:p w14:paraId="14C9FC03" w14:textId="77777777" w:rsidR="00306EA1" w:rsidRPr="00306EA1" w:rsidRDefault="00306EA1" w:rsidP="007F6A77">
            <w:pPr>
              <w:pStyle w:val="ListParagraph"/>
              <w:numPr>
                <w:ilvl w:val="0"/>
                <w:numId w:val="10"/>
              </w:numPr>
              <w:spacing w:before="40" w:after="40"/>
              <w:ind w:left="104" w:hanging="142"/>
              <w:contextualSpacing w:val="0"/>
              <w:jc w:val="left"/>
              <w:rPr>
                <w:rFonts w:asciiTheme="minorHAnsi" w:hAnsiTheme="minorHAnsi" w:cstheme="minorHAnsi"/>
                <w:sz w:val="20"/>
                <w:szCs w:val="20"/>
                <w:lang w:val="en-GB"/>
              </w:rPr>
            </w:pPr>
            <w:r w:rsidRPr="00306EA1">
              <w:rPr>
                <w:rFonts w:asciiTheme="minorHAnsi" w:hAnsiTheme="minorHAnsi" w:cstheme="minorHAnsi"/>
                <w:sz w:val="20"/>
                <w:szCs w:val="20"/>
                <w:lang w:val="en-GB"/>
              </w:rPr>
              <w:t>Managed by the World Bank.</w:t>
            </w:r>
          </w:p>
        </w:tc>
      </w:tr>
      <w:tr w:rsidR="00306EA1" w:rsidRPr="00F45D2E" w14:paraId="1929F097" w14:textId="77777777" w:rsidTr="003D0CF7">
        <w:tc>
          <w:tcPr>
            <w:tcW w:w="3227" w:type="dxa"/>
            <w:shd w:val="clear" w:color="auto" w:fill="DBE5F1" w:themeFill="accent1" w:themeFillTint="33"/>
          </w:tcPr>
          <w:p w14:paraId="5935CA94" w14:textId="77777777" w:rsidR="00306EA1" w:rsidRPr="00EE5E52" w:rsidRDefault="00306EA1" w:rsidP="007D2CF9">
            <w:pPr>
              <w:spacing w:before="40" w:after="40"/>
              <w:jc w:val="left"/>
              <w:rPr>
                <w:rFonts w:asciiTheme="minorHAnsi" w:hAnsiTheme="minorHAnsi" w:cstheme="minorHAnsi"/>
                <w:sz w:val="20"/>
                <w:szCs w:val="20"/>
                <w:lang w:val="en-GB"/>
              </w:rPr>
            </w:pPr>
            <w:r w:rsidRPr="00EE5E52">
              <w:rPr>
                <w:rFonts w:asciiTheme="minorHAnsi" w:hAnsiTheme="minorHAnsi" w:cstheme="minorHAnsi"/>
                <w:sz w:val="20"/>
                <w:szCs w:val="20"/>
                <w:lang w:val="en-GB"/>
              </w:rPr>
              <w:t>Global Climate Change Alliance (GCCA)</w:t>
            </w:r>
          </w:p>
        </w:tc>
        <w:tc>
          <w:tcPr>
            <w:tcW w:w="5953" w:type="dxa"/>
          </w:tcPr>
          <w:p w14:paraId="7FA971C5" w14:textId="77777777" w:rsidR="00EE5E52" w:rsidRPr="00EE5E52" w:rsidRDefault="00EE5E52" w:rsidP="00306EA1">
            <w:pPr>
              <w:spacing w:before="40" w:after="40"/>
              <w:jc w:val="left"/>
              <w:rPr>
                <w:rFonts w:asciiTheme="minorHAnsi" w:hAnsiTheme="minorHAnsi" w:cstheme="minorHAnsi"/>
                <w:sz w:val="20"/>
                <w:szCs w:val="20"/>
                <w:lang w:val="en-GB"/>
              </w:rPr>
            </w:pPr>
            <w:r w:rsidRPr="00EE5E52">
              <w:rPr>
                <w:rFonts w:asciiTheme="minorHAnsi" w:hAnsiTheme="minorHAnsi" w:cstheme="minorHAnsi"/>
                <w:sz w:val="20"/>
                <w:szCs w:val="20"/>
                <w:lang w:val="en-GB"/>
              </w:rPr>
              <w:t xml:space="preserve">Supports, </w:t>
            </w:r>
            <w:r w:rsidR="006A25F6">
              <w:rPr>
                <w:rFonts w:asciiTheme="minorHAnsi" w:hAnsiTheme="minorHAnsi" w:cstheme="minorHAnsi"/>
                <w:sz w:val="20"/>
                <w:szCs w:val="20"/>
                <w:lang w:val="en-GB"/>
              </w:rPr>
              <w:t>in particular</w:t>
            </w:r>
            <w:r w:rsidRPr="00EE5E52">
              <w:rPr>
                <w:rFonts w:asciiTheme="minorHAnsi" w:hAnsiTheme="minorHAnsi" w:cstheme="minorHAnsi"/>
                <w:sz w:val="20"/>
                <w:szCs w:val="20"/>
                <w:lang w:val="en-GB"/>
              </w:rPr>
              <w:t>:</w:t>
            </w:r>
          </w:p>
          <w:p w14:paraId="227E82E3" w14:textId="77777777" w:rsidR="00EE5E52" w:rsidRPr="00EE5E52" w:rsidRDefault="00EE5E52" w:rsidP="007F6A77">
            <w:pPr>
              <w:pStyle w:val="ListParagraph"/>
              <w:numPr>
                <w:ilvl w:val="0"/>
                <w:numId w:val="23"/>
              </w:numPr>
              <w:spacing w:before="40" w:after="40"/>
              <w:ind w:left="175" w:hanging="175"/>
              <w:jc w:val="left"/>
              <w:rPr>
                <w:rFonts w:asciiTheme="minorHAnsi" w:hAnsiTheme="minorHAnsi" w:cstheme="minorHAnsi"/>
                <w:sz w:val="20"/>
                <w:szCs w:val="20"/>
                <w:lang w:val="en-GB"/>
              </w:rPr>
            </w:pPr>
            <w:r w:rsidRPr="00EE5E52">
              <w:rPr>
                <w:rFonts w:asciiTheme="minorHAnsi" w:hAnsiTheme="minorHAnsi" w:cstheme="minorHAnsi"/>
                <w:sz w:val="20"/>
                <w:szCs w:val="20"/>
                <w:lang w:val="en-GB"/>
              </w:rPr>
              <w:t xml:space="preserve">the integration of adaptation plans into poverty reduction and development strategies; and </w:t>
            </w:r>
          </w:p>
          <w:p w14:paraId="6A6FFCBA" w14:textId="77777777" w:rsidR="00306EA1" w:rsidRPr="00EE5E52" w:rsidRDefault="00EE5E52" w:rsidP="007F6A77">
            <w:pPr>
              <w:pStyle w:val="ListParagraph"/>
              <w:numPr>
                <w:ilvl w:val="0"/>
                <w:numId w:val="23"/>
              </w:numPr>
              <w:spacing w:before="40" w:after="40"/>
              <w:ind w:left="175" w:hanging="175"/>
              <w:jc w:val="left"/>
              <w:rPr>
                <w:rFonts w:asciiTheme="minorHAnsi" w:hAnsiTheme="minorHAnsi" w:cstheme="minorHAnsi"/>
                <w:sz w:val="20"/>
                <w:szCs w:val="20"/>
                <w:lang w:val="en-GB"/>
              </w:rPr>
            </w:pPr>
            <w:r w:rsidRPr="00EE5E52">
              <w:rPr>
                <w:rFonts w:asciiTheme="minorHAnsi" w:hAnsiTheme="minorHAnsi" w:cstheme="minorHAnsi"/>
                <w:sz w:val="20"/>
                <w:szCs w:val="20"/>
                <w:lang w:val="en-GB"/>
              </w:rPr>
              <w:t>the development of institutional capacities for mainstreaming climate change.</w:t>
            </w:r>
          </w:p>
        </w:tc>
        <w:tc>
          <w:tcPr>
            <w:tcW w:w="1059" w:type="dxa"/>
          </w:tcPr>
          <w:p w14:paraId="653F6999" w14:textId="77777777" w:rsidR="00306EA1" w:rsidRPr="00EE5E52" w:rsidRDefault="00EE5E52" w:rsidP="007D2CF9">
            <w:pPr>
              <w:spacing w:before="40" w:after="40"/>
              <w:jc w:val="center"/>
              <w:rPr>
                <w:rFonts w:asciiTheme="minorHAnsi" w:hAnsiTheme="minorHAnsi" w:cstheme="minorHAnsi"/>
                <w:sz w:val="20"/>
                <w:szCs w:val="20"/>
                <w:lang w:val="en-GB"/>
              </w:rPr>
            </w:pPr>
            <w:r w:rsidRPr="00EE5E52">
              <w:rPr>
                <w:rFonts w:asciiTheme="minorHAnsi" w:hAnsiTheme="minorHAnsi" w:cstheme="minorHAnsi"/>
                <w:sz w:val="20"/>
                <w:szCs w:val="20"/>
                <w:lang w:val="en-GB"/>
              </w:rPr>
              <w:t>√</w:t>
            </w:r>
          </w:p>
        </w:tc>
        <w:tc>
          <w:tcPr>
            <w:tcW w:w="999" w:type="dxa"/>
          </w:tcPr>
          <w:p w14:paraId="4CC3005A" w14:textId="77777777" w:rsidR="00306EA1" w:rsidRPr="00EE5E52" w:rsidRDefault="00EE5E52" w:rsidP="007D2CF9">
            <w:pPr>
              <w:spacing w:before="40" w:after="40"/>
              <w:jc w:val="center"/>
              <w:rPr>
                <w:rFonts w:asciiTheme="minorHAnsi" w:hAnsiTheme="minorHAnsi" w:cstheme="minorHAnsi"/>
                <w:sz w:val="20"/>
                <w:szCs w:val="20"/>
                <w:lang w:val="en-GB"/>
              </w:rPr>
            </w:pPr>
            <w:r w:rsidRPr="00EE5E52">
              <w:rPr>
                <w:rFonts w:asciiTheme="minorHAnsi" w:hAnsiTheme="minorHAnsi" w:cstheme="minorHAnsi"/>
                <w:sz w:val="20"/>
                <w:szCs w:val="20"/>
                <w:lang w:val="en-GB"/>
              </w:rPr>
              <w:t>√</w:t>
            </w:r>
          </w:p>
        </w:tc>
        <w:tc>
          <w:tcPr>
            <w:tcW w:w="3260" w:type="dxa"/>
          </w:tcPr>
          <w:p w14:paraId="6FF15A81" w14:textId="77777777" w:rsidR="00306EA1" w:rsidRPr="00EE5E52" w:rsidRDefault="00EE5E52" w:rsidP="00EE5E52">
            <w:pPr>
              <w:spacing w:before="40" w:after="40"/>
              <w:jc w:val="left"/>
              <w:rPr>
                <w:rFonts w:asciiTheme="minorHAnsi" w:hAnsiTheme="minorHAnsi" w:cstheme="minorHAnsi"/>
                <w:sz w:val="20"/>
                <w:szCs w:val="20"/>
                <w:lang w:val="en-GB"/>
              </w:rPr>
            </w:pPr>
            <w:r w:rsidRPr="00EE5E52">
              <w:rPr>
                <w:rFonts w:asciiTheme="minorHAnsi" w:hAnsiTheme="minorHAnsi" w:cstheme="minorHAnsi"/>
                <w:sz w:val="20"/>
                <w:szCs w:val="20"/>
                <w:lang w:val="en-GB"/>
              </w:rPr>
              <w:t>An EU initiative providing technical and financial support.</w:t>
            </w:r>
          </w:p>
        </w:tc>
      </w:tr>
      <w:tr w:rsidR="00B922F3" w:rsidRPr="00F45D2E" w14:paraId="39551AF7" w14:textId="77777777" w:rsidTr="003D0CF7">
        <w:tc>
          <w:tcPr>
            <w:tcW w:w="3227" w:type="dxa"/>
            <w:shd w:val="clear" w:color="auto" w:fill="DBE5F1" w:themeFill="accent1" w:themeFillTint="33"/>
          </w:tcPr>
          <w:p w14:paraId="78FF8FB8" w14:textId="77777777" w:rsidR="00B922F3" w:rsidRPr="00B922F3" w:rsidRDefault="00B922F3" w:rsidP="007D2CF9">
            <w:pPr>
              <w:spacing w:before="40" w:after="40"/>
              <w:jc w:val="left"/>
              <w:rPr>
                <w:rFonts w:asciiTheme="minorHAnsi" w:hAnsiTheme="minorHAnsi" w:cstheme="minorHAnsi"/>
                <w:sz w:val="20"/>
                <w:szCs w:val="20"/>
                <w:lang w:val="en-GB"/>
              </w:rPr>
            </w:pPr>
            <w:r w:rsidRPr="00B922F3">
              <w:rPr>
                <w:rFonts w:asciiTheme="minorHAnsi" w:hAnsiTheme="minorHAnsi" w:cstheme="minorHAnsi"/>
                <w:sz w:val="20"/>
                <w:szCs w:val="20"/>
                <w:lang w:val="en-GB"/>
              </w:rPr>
              <w:t>MDG Achievement Fund</w:t>
            </w:r>
          </w:p>
        </w:tc>
        <w:tc>
          <w:tcPr>
            <w:tcW w:w="5953" w:type="dxa"/>
          </w:tcPr>
          <w:p w14:paraId="7F396EE4" w14:textId="77777777" w:rsidR="00B922F3" w:rsidRPr="00B922F3" w:rsidRDefault="00B922F3" w:rsidP="006A25F6">
            <w:pPr>
              <w:spacing w:before="40" w:after="40"/>
              <w:jc w:val="left"/>
              <w:rPr>
                <w:rFonts w:asciiTheme="minorHAnsi" w:hAnsiTheme="minorHAnsi" w:cstheme="minorHAnsi"/>
                <w:sz w:val="20"/>
                <w:szCs w:val="20"/>
                <w:lang w:val="en-GB"/>
              </w:rPr>
            </w:pPr>
            <w:r w:rsidRPr="006A25F6">
              <w:rPr>
                <w:rFonts w:asciiTheme="minorHAnsi" w:hAnsiTheme="minorHAnsi" w:cstheme="minorHAnsi"/>
                <w:sz w:val="20"/>
                <w:szCs w:val="20"/>
                <w:lang w:val="en-GB"/>
              </w:rPr>
              <w:t xml:space="preserve">‘Environment and climate change’ is one of eight thematic areas supported by the fund. </w:t>
            </w:r>
            <w:r w:rsidR="006A25F6">
              <w:rPr>
                <w:rFonts w:asciiTheme="minorHAnsi" w:hAnsiTheme="minorHAnsi" w:cstheme="minorHAnsi"/>
                <w:sz w:val="20"/>
                <w:szCs w:val="20"/>
                <w:lang w:val="en-GB"/>
              </w:rPr>
              <w:t>I</w:t>
            </w:r>
            <w:r w:rsidRPr="00B922F3">
              <w:rPr>
                <w:rFonts w:asciiTheme="minorHAnsi" w:hAnsiTheme="minorHAnsi" w:cstheme="minorHAnsi"/>
                <w:sz w:val="20"/>
                <w:szCs w:val="20"/>
                <w:lang w:val="en-GB"/>
              </w:rPr>
              <w:t>n this context, the fund notably supports the mainstreaming of environmental issues in national and sub-national policies, planning and investment frameworks.</w:t>
            </w:r>
          </w:p>
        </w:tc>
        <w:tc>
          <w:tcPr>
            <w:tcW w:w="1059" w:type="dxa"/>
          </w:tcPr>
          <w:p w14:paraId="59601424" w14:textId="77777777" w:rsidR="00B922F3" w:rsidRPr="00B922F3" w:rsidRDefault="00B922F3" w:rsidP="007D2CF9">
            <w:pPr>
              <w:spacing w:before="40" w:after="40"/>
              <w:jc w:val="center"/>
              <w:rPr>
                <w:rFonts w:asciiTheme="minorHAnsi" w:hAnsiTheme="minorHAnsi" w:cstheme="minorHAnsi"/>
                <w:sz w:val="20"/>
                <w:szCs w:val="20"/>
                <w:lang w:val="en-GB"/>
              </w:rPr>
            </w:pPr>
            <w:r w:rsidRPr="00B922F3">
              <w:rPr>
                <w:rFonts w:asciiTheme="minorHAnsi" w:hAnsiTheme="minorHAnsi" w:cstheme="minorHAnsi"/>
                <w:sz w:val="20"/>
                <w:szCs w:val="20"/>
                <w:lang w:val="en-GB"/>
              </w:rPr>
              <w:t>√</w:t>
            </w:r>
          </w:p>
        </w:tc>
        <w:tc>
          <w:tcPr>
            <w:tcW w:w="999" w:type="dxa"/>
          </w:tcPr>
          <w:p w14:paraId="55F197E5" w14:textId="77777777" w:rsidR="00B922F3" w:rsidRPr="00B922F3" w:rsidRDefault="00B922F3" w:rsidP="007D2CF9">
            <w:pPr>
              <w:spacing w:before="40" w:after="40"/>
              <w:jc w:val="center"/>
              <w:rPr>
                <w:rFonts w:asciiTheme="minorHAnsi" w:hAnsiTheme="minorHAnsi" w:cstheme="minorHAnsi"/>
                <w:sz w:val="20"/>
                <w:szCs w:val="20"/>
                <w:lang w:val="en-GB"/>
              </w:rPr>
            </w:pPr>
            <w:r w:rsidRPr="00B922F3">
              <w:rPr>
                <w:rFonts w:asciiTheme="minorHAnsi" w:hAnsiTheme="minorHAnsi" w:cstheme="minorHAnsi"/>
                <w:sz w:val="20"/>
                <w:szCs w:val="20"/>
                <w:lang w:val="en-GB"/>
              </w:rPr>
              <w:t>√</w:t>
            </w:r>
          </w:p>
        </w:tc>
        <w:tc>
          <w:tcPr>
            <w:tcW w:w="3260" w:type="dxa"/>
          </w:tcPr>
          <w:p w14:paraId="305D1ED5" w14:textId="77777777" w:rsidR="00B922F3" w:rsidRPr="00B922F3" w:rsidRDefault="00B922F3" w:rsidP="007F6A77">
            <w:pPr>
              <w:pStyle w:val="ListParagraph"/>
              <w:numPr>
                <w:ilvl w:val="0"/>
                <w:numId w:val="24"/>
              </w:numPr>
              <w:spacing w:before="40" w:after="40"/>
              <w:ind w:left="102" w:hanging="141"/>
              <w:jc w:val="left"/>
              <w:rPr>
                <w:rFonts w:asciiTheme="minorHAnsi" w:hAnsiTheme="minorHAnsi" w:cstheme="minorHAnsi"/>
                <w:sz w:val="20"/>
                <w:szCs w:val="20"/>
                <w:lang w:val="en-GB"/>
              </w:rPr>
            </w:pPr>
            <w:r w:rsidRPr="00B922F3">
              <w:rPr>
                <w:rFonts w:asciiTheme="minorHAnsi" w:hAnsiTheme="minorHAnsi" w:cstheme="minorHAnsi"/>
                <w:sz w:val="20"/>
                <w:szCs w:val="20"/>
                <w:lang w:val="en-GB"/>
              </w:rPr>
              <w:t>Set up by Spain and UNDP.</w:t>
            </w:r>
          </w:p>
          <w:p w14:paraId="7F74A7C5" w14:textId="77777777" w:rsidR="00B922F3" w:rsidRPr="00B922F3" w:rsidRDefault="00B922F3" w:rsidP="007F6A77">
            <w:pPr>
              <w:pStyle w:val="ListParagraph"/>
              <w:numPr>
                <w:ilvl w:val="0"/>
                <w:numId w:val="24"/>
              </w:numPr>
              <w:spacing w:before="40" w:after="40"/>
              <w:ind w:left="102" w:hanging="141"/>
              <w:jc w:val="left"/>
              <w:rPr>
                <w:rFonts w:asciiTheme="minorHAnsi" w:hAnsiTheme="minorHAnsi" w:cstheme="minorHAnsi"/>
                <w:sz w:val="20"/>
                <w:szCs w:val="20"/>
                <w:lang w:val="en-GB"/>
              </w:rPr>
            </w:pPr>
            <w:r w:rsidRPr="00B922F3">
              <w:rPr>
                <w:rFonts w:asciiTheme="minorHAnsi" w:hAnsiTheme="minorHAnsi" w:cstheme="minorHAnsi"/>
                <w:sz w:val="20"/>
                <w:szCs w:val="20"/>
                <w:lang w:val="en-GB"/>
              </w:rPr>
              <w:t>Supports efforts to achieve the Millennium Development Goals (MDGs).</w:t>
            </w:r>
          </w:p>
        </w:tc>
      </w:tr>
      <w:tr w:rsidR="00982658" w:rsidRPr="00F45D2E" w14:paraId="7BA87126" w14:textId="77777777" w:rsidTr="003D0CF7">
        <w:tc>
          <w:tcPr>
            <w:tcW w:w="3227" w:type="dxa"/>
            <w:shd w:val="clear" w:color="auto" w:fill="DBE5F1" w:themeFill="accent1" w:themeFillTint="33"/>
          </w:tcPr>
          <w:p w14:paraId="10F84CE0" w14:textId="77777777" w:rsidR="00982658" w:rsidRPr="00982658" w:rsidRDefault="00982658" w:rsidP="007D2CF9">
            <w:pPr>
              <w:spacing w:before="40" w:after="40"/>
              <w:jc w:val="left"/>
              <w:rPr>
                <w:rFonts w:asciiTheme="minorHAnsi" w:hAnsiTheme="minorHAnsi" w:cstheme="minorHAnsi"/>
                <w:sz w:val="20"/>
                <w:szCs w:val="20"/>
                <w:lang w:val="en-GB"/>
              </w:rPr>
            </w:pPr>
            <w:r w:rsidRPr="00982658">
              <w:rPr>
                <w:rFonts w:asciiTheme="minorHAnsi" w:hAnsiTheme="minorHAnsi" w:cstheme="minorHAnsi"/>
                <w:sz w:val="20"/>
                <w:szCs w:val="20"/>
                <w:lang w:val="en-GB"/>
              </w:rPr>
              <w:t xml:space="preserve">UN-REDD </w:t>
            </w:r>
          </w:p>
        </w:tc>
        <w:tc>
          <w:tcPr>
            <w:tcW w:w="5953" w:type="dxa"/>
          </w:tcPr>
          <w:p w14:paraId="20A9EA5E" w14:textId="77777777" w:rsidR="00982658" w:rsidRPr="00982658" w:rsidRDefault="00982658" w:rsidP="00982658">
            <w:pPr>
              <w:spacing w:before="40" w:after="40"/>
              <w:jc w:val="left"/>
              <w:rPr>
                <w:rFonts w:asciiTheme="minorHAnsi" w:hAnsiTheme="minorHAnsi" w:cstheme="minorHAnsi"/>
                <w:sz w:val="20"/>
                <w:szCs w:val="20"/>
                <w:lang w:val="en-GB"/>
              </w:rPr>
            </w:pPr>
            <w:r w:rsidRPr="00982658">
              <w:rPr>
                <w:rFonts w:asciiTheme="minorHAnsi" w:hAnsiTheme="minorHAnsi" w:cstheme="minorHAnsi"/>
                <w:sz w:val="20"/>
                <w:szCs w:val="20"/>
                <w:lang w:val="en-GB"/>
              </w:rPr>
              <w:t>Supports the development of mechanisms and assessment techniques to ensure that:</w:t>
            </w:r>
          </w:p>
          <w:p w14:paraId="3190EC72" w14:textId="77777777" w:rsidR="00982658" w:rsidRPr="00982658" w:rsidRDefault="00982658" w:rsidP="007F6A77">
            <w:pPr>
              <w:pStyle w:val="ListParagraph"/>
              <w:numPr>
                <w:ilvl w:val="0"/>
                <w:numId w:val="25"/>
              </w:numPr>
              <w:spacing w:before="40" w:after="40"/>
              <w:ind w:left="175" w:hanging="175"/>
              <w:jc w:val="left"/>
              <w:rPr>
                <w:rFonts w:asciiTheme="minorHAnsi" w:hAnsiTheme="minorHAnsi" w:cstheme="minorHAnsi"/>
                <w:sz w:val="20"/>
                <w:szCs w:val="20"/>
                <w:lang w:val="en-GB"/>
              </w:rPr>
            </w:pPr>
            <w:r w:rsidRPr="00982658">
              <w:rPr>
                <w:rFonts w:asciiTheme="minorHAnsi" w:hAnsiTheme="minorHAnsi" w:cstheme="minorHAnsi"/>
                <w:sz w:val="20"/>
                <w:szCs w:val="20"/>
                <w:lang w:val="en-GB"/>
              </w:rPr>
              <w:t xml:space="preserve">REDD national strategies are well integrated into existing national development planning processes; </w:t>
            </w:r>
          </w:p>
          <w:p w14:paraId="1FCB9228" w14:textId="77777777" w:rsidR="00982658" w:rsidRPr="00982658" w:rsidRDefault="00982658" w:rsidP="007F6A77">
            <w:pPr>
              <w:pStyle w:val="ListParagraph"/>
              <w:numPr>
                <w:ilvl w:val="0"/>
                <w:numId w:val="25"/>
              </w:numPr>
              <w:spacing w:before="40" w:after="40"/>
              <w:ind w:left="175" w:hanging="175"/>
              <w:jc w:val="left"/>
              <w:rPr>
                <w:rFonts w:asciiTheme="minorHAnsi" w:hAnsiTheme="minorHAnsi" w:cstheme="minorHAnsi"/>
                <w:sz w:val="20"/>
                <w:szCs w:val="20"/>
                <w:lang w:val="en-GB"/>
              </w:rPr>
            </w:pPr>
            <w:r w:rsidRPr="00982658">
              <w:rPr>
                <w:rFonts w:asciiTheme="minorHAnsi" w:hAnsiTheme="minorHAnsi" w:cstheme="minorHAnsi"/>
                <w:sz w:val="20"/>
                <w:szCs w:val="20"/>
                <w:lang w:val="en-GB"/>
              </w:rPr>
              <w:t>REDD payment schemes are aligned with pro-poor and environmental policies.</w:t>
            </w:r>
          </w:p>
        </w:tc>
        <w:tc>
          <w:tcPr>
            <w:tcW w:w="1059" w:type="dxa"/>
          </w:tcPr>
          <w:p w14:paraId="5FB2B99C" w14:textId="77777777" w:rsidR="00982658" w:rsidRPr="00982658" w:rsidRDefault="00982658" w:rsidP="007D2CF9">
            <w:pPr>
              <w:spacing w:before="40" w:after="40"/>
              <w:jc w:val="center"/>
              <w:rPr>
                <w:rFonts w:asciiTheme="minorHAnsi" w:hAnsiTheme="minorHAnsi" w:cstheme="minorHAnsi"/>
                <w:sz w:val="20"/>
                <w:szCs w:val="20"/>
                <w:lang w:val="en-GB"/>
              </w:rPr>
            </w:pPr>
          </w:p>
        </w:tc>
        <w:tc>
          <w:tcPr>
            <w:tcW w:w="999" w:type="dxa"/>
          </w:tcPr>
          <w:p w14:paraId="66876E89" w14:textId="77777777" w:rsidR="00982658" w:rsidRPr="00982658" w:rsidRDefault="00982658" w:rsidP="007D2CF9">
            <w:pPr>
              <w:spacing w:before="40" w:after="40"/>
              <w:jc w:val="center"/>
              <w:rPr>
                <w:rFonts w:asciiTheme="minorHAnsi" w:hAnsiTheme="minorHAnsi" w:cstheme="minorHAnsi"/>
                <w:sz w:val="20"/>
                <w:szCs w:val="20"/>
                <w:lang w:val="en-GB"/>
              </w:rPr>
            </w:pPr>
            <w:r w:rsidRPr="00982658">
              <w:rPr>
                <w:rFonts w:asciiTheme="minorHAnsi" w:hAnsiTheme="minorHAnsi" w:cstheme="minorHAnsi"/>
                <w:sz w:val="20"/>
                <w:szCs w:val="20"/>
                <w:lang w:val="en-GB"/>
              </w:rPr>
              <w:t>√</w:t>
            </w:r>
          </w:p>
        </w:tc>
        <w:tc>
          <w:tcPr>
            <w:tcW w:w="3260" w:type="dxa"/>
          </w:tcPr>
          <w:p w14:paraId="74A867F1" w14:textId="77777777" w:rsidR="00982658" w:rsidRPr="00982658" w:rsidRDefault="00982658" w:rsidP="007F6A77">
            <w:pPr>
              <w:pStyle w:val="ListParagraph"/>
              <w:numPr>
                <w:ilvl w:val="0"/>
                <w:numId w:val="24"/>
              </w:numPr>
              <w:spacing w:before="40" w:after="40"/>
              <w:ind w:left="102" w:hanging="141"/>
              <w:jc w:val="left"/>
              <w:rPr>
                <w:rFonts w:asciiTheme="minorHAnsi" w:hAnsiTheme="minorHAnsi" w:cstheme="minorHAnsi"/>
                <w:sz w:val="20"/>
                <w:szCs w:val="20"/>
                <w:lang w:val="en-GB"/>
              </w:rPr>
            </w:pPr>
            <w:r w:rsidRPr="00982658">
              <w:rPr>
                <w:rFonts w:asciiTheme="minorHAnsi" w:hAnsiTheme="minorHAnsi" w:cstheme="minorHAnsi"/>
                <w:sz w:val="20"/>
                <w:szCs w:val="20"/>
                <w:lang w:val="en-GB"/>
              </w:rPr>
              <w:t>A joint UNDP–UNEP–FAO initiative.</w:t>
            </w:r>
          </w:p>
        </w:tc>
      </w:tr>
    </w:tbl>
    <w:p w14:paraId="0809AE87" w14:textId="77777777" w:rsidR="00306EA1" w:rsidRPr="00E72BAF" w:rsidRDefault="00306EA1" w:rsidP="00306EA1">
      <w:pPr>
        <w:spacing w:before="120"/>
        <w:jc w:val="center"/>
        <w:rPr>
          <w:rFonts w:asciiTheme="minorHAnsi" w:hAnsiTheme="minorHAnsi" w:cstheme="minorHAnsi"/>
          <w:sz w:val="20"/>
          <w:szCs w:val="20"/>
          <w:lang w:val="en-GB"/>
        </w:rPr>
      </w:pPr>
      <w:r w:rsidRPr="00E72BAF">
        <w:rPr>
          <w:rFonts w:asciiTheme="minorHAnsi" w:hAnsiTheme="minorHAnsi" w:cstheme="minorHAnsi"/>
          <w:sz w:val="20"/>
          <w:szCs w:val="20"/>
          <w:lang w:val="en-GB"/>
        </w:rPr>
        <w:t>Source</w:t>
      </w:r>
      <w:r>
        <w:rPr>
          <w:rFonts w:asciiTheme="minorHAnsi" w:hAnsiTheme="minorHAnsi" w:cstheme="minorHAnsi"/>
          <w:sz w:val="20"/>
          <w:szCs w:val="20"/>
          <w:lang w:val="en-GB"/>
        </w:rPr>
        <w:t>s</w:t>
      </w:r>
      <w:r w:rsidR="003D0CF7">
        <w:rPr>
          <w:rFonts w:asciiTheme="minorHAnsi" w:hAnsiTheme="minorHAnsi" w:cstheme="minorHAnsi"/>
          <w:sz w:val="20"/>
          <w:szCs w:val="20"/>
          <w:lang w:val="en-GB"/>
        </w:rPr>
        <w:t>: A</w:t>
      </w:r>
      <w:r w:rsidRPr="00E72BAF">
        <w:rPr>
          <w:rFonts w:asciiTheme="minorHAnsi" w:hAnsiTheme="minorHAnsi" w:cstheme="minorHAnsi"/>
          <w:sz w:val="20"/>
          <w:szCs w:val="20"/>
          <w:lang w:val="en-GB"/>
        </w:rPr>
        <w:t xml:space="preserve">dapted from information available on </w:t>
      </w:r>
      <w:hyperlink r:id="rId18" w:history="1">
        <w:r w:rsidRPr="00E72BAF">
          <w:rPr>
            <w:rStyle w:val="Hyperlink"/>
            <w:rFonts w:asciiTheme="minorHAnsi" w:hAnsiTheme="minorHAnsi" w:cstheme="minorHAnsi"/>
            <w:sz w:val="20"/>
            <w:szCs w:val="20"/>
            <w:lang w:val="en-GB"/>
          </w:rPr>
          <w:t>www.climatefundsupdate.org</w:t>
        </w:r>
      </w:hyperlink>
      <w:r w:rsidRPr="00306EA1">
        <w:rPr>
          <w:rFonts w:asciiTheme="minorHAnsi" w:hAnsiTheme="minorHAnsi" w:cstheme="minorHAnsi"/>
          <w:sz w:val="20"/>
          <w:szCs w:val="20"/>
          <w:lang w:val="en-GB"/>
        </w:rPr>
        <w:t xml:space="preserve"> and in UNDP-UNEP (2011).</w:t>
      </w:r>
    </w:p>
    <w:p w14:paraId="76791DEC" w14:textId="77777777" w:rsidR="00E72BAF" w:rsidRDefault="00E72BAF" w:rsidP="00353BD3">
      <w:pPr>
        <w:rPr>
          <w:rFonts w:asciiTheme="minorHAnsi" w:hAnsiTheme="minorHAnsi" w:cstheme="minorHAnsi"/>
          <w:sz w:val="22"/>
          <w:szCs w:val="22"/>
          <w:lang w:val="en-GB"/>
        </w:rPr>
      </w:pPr>
    </w:p>
    <w:p w14:paraId="1F7DDF5F" w14:textId="77777777" w:rsidR="00E72BAF" w:rsidRDefault="00E72BAF" w:rsidP="00353BD3">
      <w:pPr>
        <w:rPr>
          <w:rFonts w:asciiTheme="minorHAnsi" w:hAnsiTheme="minorHAnsi" w:cstheme="minorHAnsi"/>
          <w:sz w:val="22"/>
          <w:szCs w:val="22"/>
          <w:lang w:val="en-GB"/>
        </w:rPr>
      </w:pPr>
    </w:p>
    <w:p w14:paraId="3AEF0412" w14:textId="77777777" w:rsidR="00E72BAF" w:rsidRDefault="00E72BAF" w:rsidP="00353BD3">
      <w:pPr>
        <w:rPr>
          <w:rFonts w:asciiTheme="minorHAnsi" w:hAnsiTheme="minorHAnsi" w:cstheme="minorHAnsi"/>
          <w:sz w:val="22"/>
          <w:szCs w:val="22"/>
          <w:lang w:val="en-GB"/>
        </w:rPr>
      </w:pPr>
    </w:p>
    <w:p w14:paraId="7E7C0818" w14:textId="77777777" w:rsidR="00E72BAF" w:rsidRDefault="00E72BAF" w:rsidP="00353BD3">
      <w:pPr>
        <w:rPr>
          <w:rFonts w:asciiTheme="minorHAnsi" w:hAnsiTheme="minorHAnsi" w:cstheme="minorHAnsi"/>
          <w:sz w:val="22"/>
          <w:szCs w:val="22"/>
          <w:lang w:val="en-GB"/>
        </w:rPr>
        <w:sectPr w:rsidR="00E72BAF" w:rsidSect="00353BD3">
          <w:headerReference w:type="default" r:id="rId19"/>
          <w:footerReference w:type="default" r:id="rId20"/>
          <w:pgSz w:w="16838" w:h="11906" w:orient="landscape" w:code="9"/>
          <w:pgMar w:top="1276" w:right="1134" w:bottom="1418" w:left="1134" w:header="709" w:footer="567" w:gutter="0"/>
          <w:cols w:space="708"/>
          <w:docGrid w:linePitch="381"/>
        </w:sectPr>
      </w:pPr>
    </w:p>
    <w:p w14:paraId="774F6D96" w14:textId="2591BA22" w:rsidR="00892824" w:rsidRPr="00892824" w:rsidRDefault="00892824" w:rsidP="007F6A77">
      <w:pPr>
        <w:numPr>
          <w:ilvl w:val="0"/>
          <w:numId w:val="2"/>
        </w:numPr>
        <w:ind w:left="426" w:hanging="426"/>
        <w:rPr>
          <w:rFonts w:asciiTheme="minorHAnsi" w:hAnsiTheme="minorHAnsi" w:cstheme="minorHAnsi"/>
          <w:sz w:val="22"/>
          <w:szCs w:val="22"/>
          <w:lang w:val="en-GB"/>
        </w:rPr>
      </w:pPr>
      <w:r w:rsidRPr="00892824">
        <w:rPr>
          <w:rFonts w:asciiTheme="minorHAnsi" w:hAnsiTheme="minorHAnsi" w:cstheme="minorHAnsi"/>
          <w:sz w:val="22"/>
          <w:szCs w:val="22"/>
          <w:lang w:val="en-GB"/>
        </w:rPr>
        <w:lastRenderedPageBreak/>
        <w:t>Several countries have now established</w:t>
      </w:r>
      <w:r w:rsidR="00641FEA">
        <w:rPr>
          <w:rFonts w:asciiTheme="minorHAnsi" w:hAnsiTheme="minorHAnsi" w:cstheme="minorHAnsi"/>
          <w:sz w:val="22"/>
          <w:szCs w:val="22"/>
          <w:lang w:val="en-GB"/>
        </w:rPr>
        <w:t xml:space="preserve"> a</w:t>
      </w:r>
      <w:r w:rsidRPr="00892824">
        <w:rPr>
          <w:rFonts w:asciiTheme="minorHAnsi" w:hAnsiTheme="minorHAnsi" w:cstheme="minorHAnsi"/>
          <w:sz w:val="22"/>
          <w:szCs w:val="22"/>
          <w:lang w:val="en-GB"/>
        </w:rPr>
        <w:t xml:space="preserve"> </w:t>
      </w:r>
      <w:r w:rsidRPr="00892824">
        <w:rPr>
          <w:rFonts w:asciiTheme="minorHAnsi" w:hAnsiTheme="minorHAnsi" w:cstheme="minorHAnsi"/>
          <w:i/>
          <w:sz w:val="22"/>
          <w:szCs w:val="22"/>
          <w:lang w:val="en-GB"/>
        </w:rPr>
        <w:t xml:space="preserve">national </w:t>
      </w:r>
      <w:r w:rsidR="009A02A3">
        <w:rPr>
          <w:rFonts w:asciiTheme="minorHAnsi" w:hAnsiTheme="minorHAnsi" w:cstheme="minorHAnsi"/>
          <w:i/>
          <w:sz w:val="22"/>
          <w:szCs w:val="22"/>
          <w:lang w:val="en-GB"/>
        </w:rPr>
        <w:t>climate fund</w:t>
      </w:r>
      <w:r w:rsidR="00641FEA">
        <w:rPr>
          <w:rFonts w:asciiTheme="minorHAnsi" w:hAnsiTheme="minorHAnsi" w:cstheme="minorHAnsi"/>
          <w:sz w:val="22"/>
          <w:szCs w:val="22"/>
          <w:lang w:val="en-GB"/>
        </w:rPr>
        <w:t xml:space="preserve"> (trust fund</w:t>
      </w:r>
      <w:r w:rsidR="009A02A3">
        <w:rPr>
          <w:rFonts w:asciiTheme="minorHAnsi" w:hAnsiTheme="minorHAnsi" w:cstheme="minorHAnsi"/>
          <w:sz w:val="22"/>
          <w:szCs w:val="22"/>
          <w:lang w:val="en-GB"/>
        </w:rPr>
        <w:t>)</w:t>
      </w:r>
      <w:r w:rsidRPr="00892824">
        <w:rPr>
          <w:rFonts w:asciiTheme="minorHAnsi" w:hAnsiTheme="minorHAnsi" w:cstheme="minorHAnsi"/>
          <w:sz w:val="22"/>
          <w:szCs w:val="22"/>
          <w:lang w:val="en-GB"/>
        </w:rPr>
        <w:t xml:space="preserve"> </w:t>
      </w:r>
      <w:r w:rsidR="005C0175">
        <w:rPr>
          <w:rFonts w:asciiTheme="minorHAnsi" w:hAnsiTheme="minorHAnsi" w:cstheme="minorHAnsi"/>
          <w:sz w:val="22"/>
          <w:szCs w:val="22"/>
          <w:lang w:val="en-GB"/>
        </w:rPr>
        <w:t xml:space="preserve">and/or an </w:t>
      </w:r>
      <w:r w:rsidR="005C0175">
        <w:rPr>
          <w:rFonts w:asciiTheme="minorHAnsi" w:hAnsiTheme="minorHAnsi" w:cstheme="minorHAnsi"/>
          <w:i/>
          <w:sz w:val="22"/>
          <w:szCs w:val="22"/>
          <w:lang w:val="en-GB"/>
        </w:rPr>
        <w:t xml:space="preserve">environmental trust fund </w:t>
      </w:r>
      <w:r w:rsidRPr="00892824">
        <w:rPr>
          <w:rFonts w:asciiTheme="minorHAnsi" w:hAnsiTheme="minorHAnsi" w:cstheme="minorHAnsi"/>
          <w:sz w:val="22"/>
          <w:szCs w:val="22"/>
          <w:lang w:val="en-GB"/>
        </w:rPr>
        <w:t>to:</w:t>
      </w:r>
    </w:p>
    <w:p w14:paraId="3D2C10D9" w14:textId="629E6671" w:rsidR="00892824" w:rsidRPr="00892824" w:rsidRDefault="00892824" w:rsidP="007F6A77">
      <w:pPr>
        <w:numPr>
          <w:ilvl w:val="0"/>
          <w:numId w:val="6"/>
        </w:numPr>
        <w:spacing w:before="120"/>
        <w:ind w:left="709" w:hanging="284"/>
        <w:rPr>
          <w:rFonts w:asciiTheme="minorHAnsi" w:hAnsiTheme="minorHAnsi" w:cstheme="minorHAnsi"/>
          <w:sz w:val="22"/>
          <w:szCs w:val="22"/>
          <w:lang w:val="en-GB"/>
        </w:rPr>
      </w:pPr>
      <w:r w:rsidRPr="00892824">
        <w:rPr>
          <w:rFonts w:asciiTheme="minorHAnsi" w:hAnsiTheme="minorHAnsi" w:cstheme="minorHAnsi"/>
          <w:sz w:val="22"/>
          <w:szCs w:val="22"/>
          <w:lang w:val="en-GB"/>
        </w:rPr>
        <w:t xml:space="preserve">channel and manage external funding related to </w:t>
      </w:r>
      <w:r w:rsidR="00C171AC">
        <w:rPr>
          <w:rFonts w:asciiTheme="minorHAnsi" w:hAnsiTheme="minorHAnsi" w:cstheme="minorHAnsi"/>
          <w:sz w:val="22"/>
          <w:szCs w:val="22"/>
          <w:lang w:val="en-GB"/>
        </w:rPr>
        <w:t>climate change</w:t>
      </w:r>
      <w:r w:rsidR="005C0175">
        <w:rPr>
          <w:rFonts w:asciiTheme="minorHAnsi" w:hAnsiTheme="minorHAnsi" w:cstheme="minorHAnsi"/>
          <w:sz w:val="22"/>
          <w:szCs w:val="22"/>
          <w:lang w:val="en-GB"/>
        </w:rPr>
        <w:t>/environment</w:t>
      </w:r>
      <w:r w:rsidRPr="00892824">
        <w:rPr>
          <w:rFonts w:asciiTheme="minorHAnsi" w:hAnsiTheme="minorHAnsi" w:cstheme="minorHAnsi"/>
          <w:sz w:val="22"/>
          <w:szCs w:val="22"/>
          <w:lang w:val="en-GB"/>
        </w:rPr>
        <w:t>;</w:t>
      </w:r>
    </w:p>
    <w:p w14:paraId="5E8F2A53" w14:textId="77777777" w:rsidR="00892824" w:rsidRPr="00892824" w:rsidRDefault="00892824" w:rsidP="007F6A77">
      <w:pPr>
        <w:numPr>
          <w:ilvl w:val="0"/>
          <w:numId w:val="6"/>
        </w:numPr>
        <w:spacing w:before="120"/>
        <w:ind w:left="709" w:hanging="284"/>
        <w:rPr>
          <w:rFonts w:asciiTheme="minorHAnsi" w:hAnsiTheme="minorHAnsi" w:cstheme="minorHAnsi"/>
          <w:sz w:val="22"/>
          <w:szCs w:val="22"/>
          <w:lang w:val="en-GB"/>
        </w:rPr>
      </w:pPr>
      <w:r w:rsidRPr="00892824">
        <w:rPr>
          <w:rFonts w:asciiTheme="minorHAnsi" w:hAnsiTheme="minorHAnsi" w:cstheme="minorHAnsi"/>
          <w:sz w:val="22"/>
          <w:szCs w:val="22"/>
          <w:lang w:val="en-GB"/>
        </w:rPr>
        <w:t>leverage existing funds and initiatives (incl. those financed with national resources);</w:t>
      </w:r>
    </w:p>
    <w:p w14:paraId="355795A8" w14:textId="71CCF0D0" w:rsidR="00892824" w:rsidRPr="00892824" w:rsidRDefault="00892824" w:rsidP="007F6A77">
      <w:pPr>
        <w:numPr>
          <w:ilvl w:val="0"/>
          <w:numId w:val="6"/>
        </w:numPr>
        <w:spacing w:before="120"/>
        <w:ind w:left="709" w:hanging="284"/>
        <w:rPr>
          <w:rFonts w:asciiTheme="minorHAnsi" w:hAnsiTheme="minorHAnsi" w:cstheme="minorHAnsi"/>
          <w:sz w:val="22"/>
          <w:szCs w:val="22"/>
          <w:lang w:val="en-GB"/>
        </w:rPr>
      </w:pPr>
      <w:proofErr w:type="gramStart"/>
      <w:r w:rsidRPr="00892824">
        <w:rPr>
          <w:rFonts w:asciiTheme="minorHAnsi" w:hAnsiTheme="minorHAnsi" w:cstheme="minorHAnsi"/>
          <w:sz w:val="22"/>
          <w:szCs w:val="22"/>
          <w:lang w:val="en-GB"/>
        </w:rPr>
        <w:t>support</w:t>
      </w:r>
      <w:proofErr w:type="gramEnd"/>
      <w:r w:rsidRPr="00892824">
        <w:rPr>
          <w:rFonts w:asciiTheme="minorHAnsi" w:hAnsiTheme="minorHAnsi" w:cstheme="minorHAnsi"/>
          <w:sz w:val="22"/>
          <w:szCs w:val="22"/>
          <w:lang w:val="en-GB"/>
        </w:rPr>
        <w:t xml:space="preserve"> the mainstreaming of climate-</w:t>
      </w:r>
      <w:r w:rsidR="005C0175">
        <w:rPr>
          <w:rFonts w:asciiTheme="minorHAnsi" w:hAnsiTheme="minorHAnsi" w:cstheme="minorHAnsi"/>
          <w:sz w:val="22"/>
          <w:szCs w:val="22"/>
          <w:lang w:val="en-GB"/>
        </w:rPr>
        <w:t xml:space="preserve"> and/or environment- </w:t>
      </w:r>
      <w:r w:rsidRPr="00892824">
        <w:rPr>
          <w:rFonts w:asciiTheme="minorHAnsi" w:hAnsiTheme="minorHAnsi" w:cstheme="minorHAnsi"/>
          <w:sz w:val="22"/>
          <w:szCs w:val="22"/>
          <w:lang w:val="en-GB"/>
        </w:rPr>
        <w:t>related programmes and projects into national development strategies.</w:t>
      </w:r>
    </w:p>
    <w:p w14:paraId="7C153042" w14:textId="77777777" w:rsidR="00892824" w:rsidRPr="00892824" w:rsidRDefault="00892824" w:rsidP="00892824">
      <w:pPr>
        <w:spacing w:before="120"/>
        <w:ind w:left="425"/>
        <w:rPr>
          <w:rFonts w:asciiTheme="minorHAnsi" w:hAnsiTheme="minorHAnsi" w:cstheme="minorHAnsi"/>
          <w:sz w:val="22"/>
          <w:szCs w:val="22"/>
          <w:lang w:val="en-GB"/>
        </w:rPr>
      </w:pPr>
      <w:r w:rsidRPr="00892824">
        <w:rPr>
          <w:rFonts w:asciiTheme="minorHAnsi" w:hAnsiTheme="minorHAnsi" w:cstheme="minorHAnsi"/>
          <w:sz w:val="22"/>
          <w:szCs w:val="22"/>
          <w:lang w:val="en-GB"/>
        </w:rPr>
        <w:t>This move is expected to generate a variety of benefits, including:</w:t>
      </w:r>
    </w:p>
    <w:p w14:paraId="53E95933" w14:textId="77777777" w:rsidR="00892824" w:rsidRPr="00892824" w:rsidRDefault="00892824" w:rsidP="007F6A77">
      <w:pPr>
        <w:numPr>
          <w:ilvl w:val="0"/>
          <w:numId w:val="7"/>
        </w:numPr>
        <w:spacing w:before="120"/>
        <w:ind w:left="709" w:hanging="284"/>
        <w:rPr>
          <w:rFonts w:asciiTheme="minorHAnsi" w:hAnsiTheme="minorHAnsi" w:cstheme="minorHAnsi"/>
          <w:sz w:val="22"/>
          <w:szCs w:val="22"/>
          <w:lang w:val="en-GB"/>
        </w:rPr>
      </w:pPr>
      <w:r w:rsidRPr="00892824">
        <w:rPr>
          <w:rFonts w:asciiTheme="minorHAnsi" w:hAnsiTheme="minorHAnsi" w:cstheme="minorHAnsi"/>
          <w:sz w:val="22"/>
          <w:szCs w:val="22"/>
          <w:lang w:val="en-GB"/>
        </w:rPr>
        <w:t>improved alignment of external funding with national priorities;</w:t>
      </w:r>
    </w:p>
    <w:p w14:paraId="3A0FD1DE" w14:textId="77777777" w:rsidR="00892824" w:rsidRPr="00892824" w:rsidRDefault="00892824" w:rsidP="007F6A77">
      <w:pPr>
        <w:numPr>
          <w:ilvl w:val="0"/>
          <w:numId w:val="7"/>
        </w:numPr>
        <w:spacing w:before="120"/>
        <w:ind w:left="709" w:hanging="284"/>
        <w:rPr>
          <w:rFonts w:asciiTheme="minorHAnsi" w:hAnsiTheme="minorHAnsi" w:cstheme="minorHAnsi"/>
          <w:sz w:val="22"/>
          <w:szCs w:val="22"/>
          <w:lang w:val="en-GB"/>
        </w:rPr>
      </w:pPr>
      <w:r w:rsidRPr="00892824">
        <w:rPr>
          <w:rFonts w:asciiTheme="minorHAnsi" w:hAnsiTheme="minorHAnsi" w:cstheme="minorHAnsi"/>
          <w:sz w:val="22"/>
          <w:szCs w:val="22"/>
          <w:lang w:val="en-GB"/>
        </w:rPr>
        <w:t>increased scope for building of national capacities and institutions;</w:t>
      </w:r>
    </w:p>
    <w:p w14:paraId="0BF31169" w14:textId="77777777" w:rsidR="00892824" w:rsidRPr="00892824" w:rsidRDefault="00892824" w:rsidP="007F6A77">
      <w:pPr>
        <w:numPr>
          <w:ilvl w:val="0"/>
          <w:numId w:val="7"/>
        </w:numPr>
        <w:spacing w:before="120"/>
        <w:ind w:left="709" w:hanging="284"/>
        <w:rPr>
          <w:rFonts w:asciiTheme="minorHAnsi" w:hAnsiTheme="minorHAnsi" w:cstheme="minorHAnsi"/>
          <w:sz w:val="22"/>
          <w:szCs w:val="22"/>
          <w:lang w:val="en-GB"/>
        </w:rPr>
      </w:pPr>
      <w:proofErr w:type="gramStart"/>
      <w:r w:rsidRPr="00892824">
        <w:rPr>
          <w:rFonts w:asciiTheme="minorHAnsi" w:hAnsiTheme="minorHAnsi" w:cstheme="minorHAnsi"/>
          <w:sz w:val="22"/>
          <w:szCs w:val="22"/>
          <w:lang w:val="en-GB"/>
        </w:rPr>
        <w:t>perhaps</w:t>
      </w:r>
      <w:proofErr w:type="gramEnd"/>
      <w:r w:rsidRPr="00892824">
        <w:rPr>
          <w:rFonts w:asciiTheme="minorHAnsi" w:hAnsiTheme="minorHAnsi" w:cstheme="minorHAnsi"/>
          <w:sz w:val="22"/>
          <w:szCs w:val="22"/>
          <w:lang w:val="en-GB"/>
        </w:rPr>
        <w:t xml:space="preserve"> most significantly, the </w:t>
      </w:r>
      <w:r w:rsidRPr="00892824">
        <w:rPr>
          <w:rFonts w:asciiTheme="minorHAnsi" w:hAnsiTheme="minorHAnsi" w:cstheme="minorHAnsi"/>
          <w:sz w:val="22"/>
          <w:szCs w:val="22"/>
          <w:u w:val="single"/>
          <w:lang w:val="en-GB"/>
        </w:rPr>
        <w:t>scaling up</w:t>
      </w:r>
      <w:r w:rsidRPr="00892824">
        <w:rPr>
          <w:rFonts w:asciiTheme="minorHAnsi" w:hAnsiTheme="minorHAnsi" w:cstheme="minorHAnsi"/>
          <w:sz w:val="22"/>
          <w:szCs w:val="22"/>
          <w:lang w:val="en-GB"/>
        </w:rPr>
        <w:t xml:space="preserve"> and increased effectiveness of the response to climate change</w:t>
      </w:r>
      <w:r w:rsidR="00697BB4">
        <w:rPr>
          <w:rFonts w:asciiTheme="minorHAnsi" w:hAnsiTheme="minorHAnsi" w:cstheme="minorHAnsi"/>
          <w:sz w:val="22"/>
          <w:szCs w:val="22"/>
          <w:lang w:val="en-GB"/>
        </w:rPr>
        <w:t xml:space="preserve"> (Gomez-</w:t>
      </w:r>
      <w:proofErr w:type="spellStart"/>
      <w:r w:rsidR="00697BB4">
        <w:rPr>
          <w:rFonts w:asciiTheme="minorHAnsi" w:hAnsiTheme="minorHAnsi" w:cstheme="minorHAnsi"/>
          <w:sz w:val="22"/>
          <w:szCs w:val="22"/>
          <w:lang w:val="en-GB"/>
        </w:rPr>
        <w:t>Echeverri</w:t>
      </w:r>
      <w:proofErr w:type="spellEnd"/>
      <w:r w:rsidR="00697BB4">
        <w:rPr>
          <w:rFonts w:asciiTheme="minorHAnsi" w:hAnsiTheme="minorHAnsi" w:cstheme="minorHAnsi"/>
          <w:sz w:val="22"/>
          <w:szCs w:val="22"/>
          <w:lang w:val="en-GB"/>
        </w:rPr>
        <w:t xml:space="preserve"> 2010)</w:t>
      </w:r>
      <w:r w:rsidRPr="00892824">
        <w:rPr>
          <w:rFonts w:asciiTheme="minorHAnsi" w:hAnsiTheme="minorHAnsi" w:cstheme="minorHAnsi"/>
          <w:sz w:val="22"/>
          <w:szCs w:val="22"/>
          <w:lang w:val="en-GB"/>
        </w:rPr>
        <w:t>.</w:t>
      </w:r>
    </w:p>
    <w:p w14:paraId="06EFA1DE" w14:textId="77777777" w:rsidR="00EB02EC" w:rsidRPr="008C6D81" w:rsidRDefault="00EB02EC" w:rsidP="00E41A2C">
      <w:pPr>
        <w:rPr>
          <w:rFonts w:asciiTheme="minorHAnsi" w:hAnsiTheme="minorHAnsi" w:cstheme="minorHAnsi"/>
          <w:sz w:val="22"/>
          <w:szCs w:val="22"/>
          <w:lang w:val="en-GB"/>
        </w:rPr>
      </w:pPr>
    </w:p>
    <w:p w14:paraId="32218862" w14:textId="77777777" w:rsidR="007110E1" w:rsidRPr="00703706" w:rsidRDefault="007110E1" w:rsidP="00C0293F">
      <w:pPr>
        <w:pBdr>
          <w:bottom w:val="single" w:sz="6" w:space="1" w:color="auto"/>
        </w:pBdr>
        <w:rPr>
          <w:rFonts w:asciiTheme="minorHAnsi" w:hAnsiTheme="minorHAnsi" w:cstheme="minorHAnsi"/>
          <w:sz w:val="22"/>
          <w:szCs w:val="22"/>
          <w:lang w:val="en-GB"/>
        </w:rPr>
      </w:pPr>
    </w:p>
    <w:p w14:paraId="4B79DD0F" w14:textId="77777777" w:rsidR="004F4310" w:rsidRPr="00703706" w:rsidRDefault="004F4310" w:rsidP="00C0293F">
      <w:pPr>
        <w:rPr>
          <w:rFonts w:asciiTheme="minorHAnsi" w:hAnsiTheme="minorHAnsi" w:cstheme="minorHAnsi"/>
          <w:b/>
          <w:smallCaps/>
          <w:sz w:val="22"/>
          <w:szCs w:val="22"/>
          <w:lang w:val="en-GB"/>
        </w:rPr>
      </w:pPr>
    </w:p>
    <w:p w14:paraId="1D2270E7" w14:textId="77777777" w:rsidR="00CB3482" w:rsidRPr="00703706" w:rsidRDefault="000B3735" w:rsidP="00C0293F">
      <w:pPr>
        <w:rPr>
          <w:rFonts w:asciiTheme="minorHAnsi" w:hAnsiTheme="minorHAnsi" w:cstheme="minorHAnsi"/>
          <w:b/>
          <w:smallCaps/>
          <w:sz w:val="22"/>
          <w:szCs w:val="22"/>
          <w:lang w:val="en-GB"/>
        </w:rPr>
      </w:pPr>
      <w:r>
        <w:rPr>
          <w:rFonts w:asciiTheme="minorHAnsi" w:hAnsiTheme="minorHAnsi" w:cstheme="minorHAnsi"/>
          <w:b/>
          <w:smallCaps/>
          <w:sz w:val="22"/>
          <w:szCs w:val="22"/>
          <w:lang w:val="en-GB"/>
        </w:rPr>
        <w:t>R</w:t>
      </w:r>
      <w:r w:rsidR="00CB3482" w:rsidRPr="00703706">
        <w:rPr>
          <w:rFonts w:asciiTheme="minorHAnsi" w:hAnsiTheme="minorHAnsi" w:cstheme="minorHAnsi"/>
          <w:b/>
          <w:smallCaps/>
          <w:sz w:val="22"/>
          <w:szCs w:val="22"/>
          <w:lang w:val="en-GB"/>
        </w:rPr>
        <w:t>eferences:</w:t>
      </w:r>
    </w:p>
    <w:p w14:paraId="4D520956" w14:textId="77777777" w:rsidR="008B6A1D" w:rsidRDefault="008B6A1D" w:rsidP="008B6A1D">
      <w:pPr>
        <w:rPr>
          <w:rFonts w:asciiTheme="minorHAnsi" w:hAnsiTheme="minorHAnsi" w:cstheme="minorHAnsi"/>
          <w:sz w:val="22"/>
          <w:szCs w:val="22"/>
          <w:lang w:val="en-GB"/>
        </w:rPr>
      </w:pPr>
    </w:p>
    <w:p w14:paraId="5F3D03A7" w14:textId="77777777" w:rsidR="008B6A1D" w:rsidRPr="004255A9" w:rsidRDefault="008B6A1D" w:rsidP="008B6A1D">
      <w:pPr>
        <w:rPr>
          <w:rFonts w:asciiTheme="minorHAnsi" w:hAnsiTheme="minorHAnsi" w:cstheme="minorHAnsi"/>
          <w:sz w:val="22"/>
          <w:szCs w:val="22"/>
          <w:lang w:val="en-GB"/>
        </w:rPr>
      </w:pPr>
      <w:proofErr w:type="gramStart"/>
      <w:r w:rsidRPr="004255A9">
        <w:rPr>
          <w:rFonts w:asciiTheme="minorHAnsi" w:hAnsiTheme="minorHAnsi" w:cstheme="minorHAnsi"/>
          <w:sz w:val="22"/>
          <w:szCs w:val="22"/>
          <w:lang w:val="en-GB"/>
        </w:rPr>
        <w:t xml:space="preserve">Burton I. &amp; van Aalst M. (2004) </w:t>
      </w:r>
      <w:r w:rsidRPr="004255A9">
        <w:rPr>
          <w:rFonts w:asciiTheme="minorHAnsi" w:hAnsiTheme="minorHAnsi" w:cstheme="minorHAnsi"/>
          <w:i/>
          <w:sz w:val="22"/>
          <w:szCs w:val="22"/>
          <w:lang w:val="en-GB"/>
        </w:rPr>
        <w:t>Look Before You Leap: A Risk Management Approach for Incorporating Climate Change Adaptation in World Bank Operations</w:t>
      </w:r>
      <w:r w:rsidRPr="004255A9">
        <w:rPr>
          <w:rFonts w:asciiTheme="minorHAnsi" w:hAnsiTheme="minorHAnsi" w:cstheme="minorHAnsi"/>
          <w:sz w:val="22"/>
          <w:szCs w:val="22"/>
          <w:lang w:val="en-GB"/>
        </w:rPr>
        <w:t>.</w:t>
      </w:r>
      <w:proofErr w:type="gramEnd"/>
      <w:r w:rsidRPr="004255A9">
        <w:rPr>
          <w:rFonts w:asciiTheme="minorHAnsi" w:hAnsiTheme="minorHAnsi" w:cstheme="minorHAnsi"/>
          <w:sz w:val="22"/>
          <w:szCs w:val="22"/>
          <w:lang w:val="en-GB"/>
        </w:rPr>
        <w:t xml:space="preserve"> Final draft. World Bank,</w:t>
      </w:r>
      <w:r w:rsidR="00DC7218">
        <w:rPr>
          <w:rFonts w:asciiTheme="minorHAnsi" w:hAnsiTheme="minorHAnsi" w:cstheme="minorHAnsi"/>
          <w:sz w:val="22"/>
          <w:szCs w:val="22"/>
          <w:lang w:val="en-GB"/>
        </w:rPr>
        <w:t xml:space="preserve"> </w:t>
      </w:r>
      <w:r w:rsidRPr="004255A9">
        <w:rPr>
          <w:rFonts w:asciiTheme="minorHAnsi" w:hAnsiTheme="minorHAnsi" w:cstheme="minorHAnsi"/>
          <w:sz w:val="22"/>
          <w:szCs w:val="22"/>
          <w:lang w:val="en-GB"/>
        </w:rPr>
        <w:t xml:space="preserve">Washington, DC. Available from: </w:t>
      </w:r>
    </w:p>
    <w:p w14:paraId="42C20E96" w14:textId="77777777" w:rsidR="008B6A1D" w:rsidRPr="004255A9" w:rsidRDefault="00C1593B" w:rsidP="008B6A1D">
      <w:pPr>
        <w:rPr>
          <w:rFonts w:asciiTheme="minorHAnsi" w:hAnsiTheme="minorHAnsi" w:cstheme="minorHAnsi"/>
          <w:sz w:val="22"/>
          <w:szCs w:val="22"/>
          <w:lang w:val="en-GB"/>
        </w:rPr>
      </w:pPr>
      <w:hyperlink r:id="rId21" w:history="1">
        <w:r w:rsidR="008B6A1D" w:rsidRPr="004255A9">
          <w:rPr>
            <w:rStyle w:val="Hyperlink"/>
            <w:rFonts w:asciiTheme="minorHAnsi" w:hAnsiTheme="minorHAnsi" w:cstheme="minorHAnsi"/>
            <w:sz w:val="22"/>
            <w:szCs w:val="22"/>
            <w:lang w:val="en-GB"/>
          </w:rPr>
          <w:t>http://www-wds.worldbank.org/external/default/WDSContentServer/WDSP/IB/2004/10/06/000160016_20041006165241/Rendered/PDF/300650PAPER0Look0Before0You0Leap.pdf</w:t>
        </w:r>
      </w:hyperlink>
      <w:r w:rsidR="008B6A1D" w:rsidRPr="004255A9">
        <w:rPr>
          <w:rFonts w:asciiTheme="minorHAnsi" w:hAnsiTheme="minorHAnsi" w:cstheme="minorHAnsi"/>
          <w:sz w:val="22"/>
          <w:szCs w:val="22"/>
          <w:lang w:val="en-GB"/>
        </w:rPr>
        <w:t>.</w:t>
      </w:r>
    </w:p>
    <w:p w14:paraId="29B66011" w14:textId="77777777" w:rsidR="004B3401" w:rsidRPr="004255A9" w:rsidRDefault="004B3401" w:rsidP="004B3401">
      <w:pPr>
        <w:rPr>
          <w:rFonts w:asciiTheme="minorHAnsi" w:hAnsiTheme="minorHAnsi" w:cstheme="minorHAnsi"/>
          <w:sz w:val="22"/>
          <w:szCs w:val="22"/>
          <w:lang w:val="en-GB"/>
        </w:rPr>
      </w:pPr>
    </w:p>
    <w:p w14:paraId="54904244" w14:textId="77777777" w:rsidR="00432568" w:rsidRPr="004255A9" w:rsidRDefault="004B3401" w:rsidP="00432568">
      <w:pPr>
        <w:rPr>
          <w:rFonts w:asciiTheme="minorHAnsi" w:hAnsiTheme="minorHAnsi" w:cstheme="minorHAnsi"/>
          <w:sz w:val="22"/>
          <w:szCs w:val="22"/>
          <w:lang w:val="en-GB"/>
        </w:rPr>
      </w:pPr>
      <w:r w:rsidRPr="004255A9">
        <w:rPr>
          <w:rFonts w:asciiTheme="minorHAnsi" w:hAnsiTheme="minorHAnsi" w:cstheme="minorHAnsi"/>
          <w:sz w:val="22"/>
          <w:szCs w:val="22"/>
          <w:lang w:val="en-GB"/>
        </w:rPr>
        <w:t xml:space="preserve">EC (2007a) </w:t>
      </w:r>
      <w:r w:rsidRPr="004255A9">
        <w:rPr>
          <w:rFonts w:asciiTheme="minorHAnsi" w:hAnsiTheme="minorHAnsi" w:cstheme="minorHAnsi"/>
          <w:i/>
          <w:sz w:val="22"/>
          <w:szCs w:val="22"/>
          <w:lang w:val="en-GB"/>
        </w:rPr>
        <w:t>Support to Sector Programmes – covering the three financing modalities: Sector Budget Support, Pool Funding and EC project procedures</w:t>
      </w:r>
      <w:r w:rsidRPr="004255A9">
        <w:rPr>
          <w:rFonts w:asciiTheme="minorHAnsi" w:hAnsiTheme="minorHAnsi" w:cstheme="minorHAnsi"/>
          <w:sz w:val="22"/>
          <w:szCs w:val="22"/>
          <w:lang w:val="en-GB"/>
        </w:rPr>
        <w:t xml:space="preserve">. </w:t>
      </w:r>
      <w:proofErr w:type="gramStart"/>
      <w:r w:rsidRPr="004255A9">
        <w:rPr>
          <w:rFonts w:asciiTheme="minorHAnsi" w:hAnsiTheme="minorHAnsi" w:cstheme="minorHAnsi"/>
          <w:sz w:val="22"/>
          <w:szCs w:val="22"/>
          <w:lang w:val="en-GB"/>
        </w:rPr>
        <w:t>Tools and Methods series, Guidelines no. 2.</w:t>
      </w:r>
      <w:proofErr w:type="gramEnd"/>
      <w:r w:rsidRPr="004255A9">
        <w:rPr>
          <w:rFonts w:asciiTheme="minorHAnsi" w:hAnsiTheme="minorHAnsi" w:cstheme="minorHAnsi"/>
          <w:sz w:val="22"/>
          <w:szCs w:val="22"/>
          <w:lang w:val="en-GB"/>
        </w:rPr>
        <w:t xml:space="preserve"> European Commission, Brussels</w:t>
      </w:r>
      <w:r w:rsidR="00432568" w:rsidRPr="004255A9">
        <w:rPr>
          <w:rFonts w:asciiTheme="minorHAnsi" w:hAnsiTheme="minorHAnsi" w:cstheme="minorHAnsi"/>
          <w:sz w:val="22"/>
          <w:szCs w:val="22"/>
          <w:lang w:val="en-GB"/>
        </w:rPr>
        <w:t xml:space="preserve">. Available from: </w:t>
      </w:r>
    </w:p>
    <w:p w14:paraId="3D4B1F97" w14:textId="77777777" w:rsidR="004B3401" w:rsidRPr="004255A9" w:rsidRDefault="00C1593B" w:rsidP="00432568">
      <w:pPr>
        <w:rPr>
          <w:rFonts w:asciiTheme="minorHAnsi" w:hAnsiTheme="minorHAnsi" w:cstheme="minorHAnsi"/>
          <w:sz w:val="22"/>
          <w:szCs w:val="22"/>
          <w:lang w:val="en-GB"/>
        </w:rPr>
      </w:pPr>
      <w:hyperlink r:id="rId22" w:history="1">
        <w:r w:rsidR="00432568" w:rsidRPr="004255A9">
          <w:rPr>
            <w:rStyle w:val="Hyperlink"/>
            <w:rFonts w:asciiTheme="minorHAnsi" w:hAnsiTheme="minorHAnsi" w:cstheme="minorHAnsi"/>
            <w:sz w:val="22"/>
            <w:szCs w:val="22"/>
            <w:lang w:val="en-GB"/>
          </w:rPr>
          <w:t>http://ec.europa.eu/europeaid/infopoint/publications/europeaid/105a_en.htm</w:t>
        </w:r>
      </w:hyperlink>
      <w:r w:rsidR="00432568" w:rsidRPr="004255A9">
        <w:rPr>
          <w:rFonts w:asciiTheme="minorHAnsi" w:hAnsiTheme="minorHAnsi" w:cstheme="minorHAnsi"/>
          <w:sz w:val="22"/>
          <w:szCs w:val="22"/>
          <w:lang w:val="en-GB"/>
        </w:rPr>
        <w:t>.</w:t>
      </w:r>
    </w:p>
    <w:p w14:paraId="0607CB7C" w14:textId="77777777" w:rsidR="00B32144" w:rsidRPr="004255A9" w:rsidRDefault="00B32144" w:rsidP="00B32144">
      <w:pPr>
        <w:rPr>
          <w:rFonts w:asciiTheme="minorHAnsi" w:hAnsiTheme="minorHAnsi" w:cstheme="minorHAnsi"/>
          <w:sz w:val="22"/>
          <w:szCs w:val="22"/>
          <w:lang w:val="en-GB"/>
        </w:rPr>
      </w:pPr>
    </w:p>
    <w:p w14:paraId="74160F89" w14:textId="77777777" w:rsidR="00B32144" w:rsidRPr="004255A9" w:rsidRDefault="00B32144" w:rsidP="00B32144">
      <w:pPr>
        <w:rPr>
          <w:rFonts w:asciiTheme="minorHAnsi" w:hAnsiTheme="minorHAnsi" w:cstheme="minorHAnsi"/>
          <w:sz w:val="22"/>
          <w:szCs w:val="22"/>
          <w:lang w:val="en-GB"/>
        </w:rPr>
      </w:pPr>
      <w:proofErr w:type="gramStart"/>
      <w:r w:rsidRPr="004255A9">
        <w:rPr>
          <w:rFonts w:asciiTheme="minorHAnsi" w:hAnsiTheme="minorHAnsi" w:cstheme="minorHAnsi"/>
          <w:sz w:val="22"/>
          <w:szCs w:val="22"/>
          <w:lang w:val="en-GB"/>
        </w:rPr>
        <w:t>EC (2007</w:t>
      </w:r>
      <w:r w:rsidR="004B3401" w:rsidRPr="004255A9">
        <w:rPr>
          <w:rFonts w:asciiTheme="minorHAnsi" w:hAnsiTheme="minorHAnsi" w:cstheme="minorHAnsi"/>
          <w:sz w:val="22"/>
          <w:szCs w:val="22"/>
          <w:lang w:val="en-GB"/>
        </w:rPr>
        <w:t>b</w:t>
      </w:r>
      <w:r w:rsidRPr="004255A9">
        <w:rPr>
          <w:rFonts w:asciiTheme="minorHAnsi" w:hAnsiTheme="minorHAnsi" w:cstheme="minorHAnsi"/>
          <w:sz w:val="22"/>
          <w:szCs w:val="22"/>
          <w:lang w:val="en-GB"/>
        </w:rPr>
        <w:t xml:space="preserve">) </w:t>
      </w:r>
      <w:r w:rsidRPr="004255A9">
        <w:rPr>
          <w:rFonts w:asciiTheme="minorHAnsi" w:hAnsiTheme="minorHAnsi" w:cstheme="minorHAnsi"/>
          <w:i/>
          <w:sz w:val="22"/>
          <w:szCs w:val="22"/>
          <w:lang w:val="en-GB"/>
        </w:rPr>
        <w:t>Guidelines on the Programming, Design &amp; Management of General Budget Support.</w:t>
      </w:r>
      <w:proofErr w:type="gramEnd"/>
      <w:r w:rsidRPr="004255A9">
        <w:rPr>
          <w:rFonts w:asciiTheme="minorHAnsi" w:hAnsiTheme="minorHAnsi" w:cstheme="minorHAnsi"/>
          <w:i/>
          <w:sz w:val="22"/>
          <w:szCs w:val="22"/>
          <w:lang w:val="en-GB"/>
        </w:rPr>
        <w:t xml:space="preserve"> Aid Delivery Methods series</w:t>
      </w:r>
      <w:r w:rsidRPr="004255A9">
        <w:rPr>
          <w:rFonts w:asciiTheme="minorHAnsi" w:hAnsiTheme="minorHAnsi" w:cstheme="minorHAnsi"/>
          <w:sz w:val="22"/>
          <w:szCs w:val="22"/>
          <w:lang w:val="en-GB"/>
        </w:rPr>
        <w:t>. European Commission, Brussels. Available from:</w:t>
      </w:r>
    </w:p>
    <w:p w14:paraId="0D5F0384" w14:textId="77777777" w:rsidR="00B32144" w:rsidRPr="004255A9" w:rsidRDefault="00C1593B" w:rsidP="00B32144">
      <w:pPr>
        <w:rPr>
          <w:rFonts w:asciiTheme="minorHAnsi" w:hAnsiTheme="minorHAnsi" w:cstheme="minorHAnsi"/>
          <w:sz w:val="22"/>
          <w:szCs w:val="22"/>
          <w:lang w:val="en-GB"/>
        </w:rPr>
      </w:pPr>
      <w:hyperlink r:id="rId23" w:history="1">
        <w:r w:rsidR="00B32144" w:rsidRPr="004255A9">
          <w:rPr>
            <w:rStyle w:val="Hyperlink"/>
            <w:rFonts w:asciiTheme="minorHAnsi" w:hAnsiTheme="minorHAnsi" w:cstheme="minorHAnsi"/>
            <w:sz w:val="22"/>
            <w:szCs w:val="22"/>
            <w:lang w:val="en-GB"/>
          </w:rPr>
          <w:t>http://ec.europa.eu/europeaid/infopoint/publications/europeaid/103a_en.htm</w:t>
        </w:r>
      </w:hyperlink>
      <w:r w:rsidR="00AC314F" w:rsidRPr="004255A9">
        <w:rPr>
          <w:rFonts w:asciiTheme="minorHAnsi" w:hAnsiTheme="minorHAnsi" w:cstheme="minorHAnsi"/>
          <w:sz w:val="22"/>
          <w:szCs w:val="22"/>
          <w:lang w:val="en-GB"/>
        </w:rPr>
        <w:t>.</w:t>
      </w:r>
    </w:p>
    <w:p w14:paraId="1116A577" w14:textId="77777777" w:rsidR="007F2A32" w:rsidRPr="004255A9" w:rsidRDefault="007F2A32" w:rsidP="007F2A32">
      <w:pPr>
        <w:rPr>
          <w:rFonts w:asciiTheme="minorHAnsi" w:hAnsiTheme="minorHAnsi" w:cstheme="minorHAnsi"/>
          <w:i/>
          <w:sz w:val="22"/>
          <w:szCs w:val="22"/>
          <w:lang w:val="en-GB"/>
        </w:rPr>
      </w:pPr>
    </w:p>
    <w:p w14:paraId="2CD676C9" w14:textId="77777777" w:rsidR="007F2A32" w:rsidRPr="004255A9" w:rsidRDefault="007F2A32" w:rsidP="007F2A32">
      <w:pPr>
        <w:rPr>
          <w:rFonts w:asciiTheme="minorHAnsi" w:hAnsiTheme="minorHAnsi" w:cstheme="minorHAnsi"/>
          <w:i/>
          <w:sz w:val="22"/>
          <w:szCs w:val="22"/>
          <w:lang w:val="en-GB"/>
        </w:rPr>
      </w:pPr>
      <w:r w:rsidRPr="004255A9">
        <w:rPr>
          <w:rFonts w:asciiTheme="minorHAnsi" w:hAnsiTheme="minorHAnsi" w:cstheme="minorHAnsi"/>
          <w:sz w:val="22"/>
          <w:szCs w:val="22"/>
          <w:lang w:val="en-GB"/>
        </w:rPr>
        <w:t xml:space="preserve">EC (2009b) </w:t>
      </w:r>
      <w:r w:rsidRPr="004255A9">
        <w:rPr>
          <w:rFonts w:asciiTheme="minorHAnsi" w:hAnsiTheme="minorHAnsi" w:cstheme="minorHAnsi"/>
          <w:i/>
          <w:sz w:val="22"/>
          <w:szCs w:val="22"/>
          <w:lang w:val="en-GB"/>
        </w:rPr>
        <w:t>Guidelines on the Integration of Environment and Climate Change in Development Cooperation</w:t>
      </w:r>
      <w:r w:rsidRPr="004255A9">
        <w:rPr>
          <w:rFonts w:asciiTheme="minorHAnsi" w:hAnsiTheme="minorHAnsi" w:cstheme="minorHAnsi"/>
          <w:sz w:val="22"/>
          <w:szCs w:val="22"/>
          <w:lang w:val="en-GB"/>
        </w:rPr>
        <w:t xml:space="preserve">. European Commission, Brussels. </w:t>
      </w:r>
    </w:p>
    <w:p w14:paraId="3A97CB78" w14:textId="77777777" w:rsidR="007F2A32" w:rsidRPr="004255A9" w:rsidRDefault="007F2A32" w:rsidP="007F2A32">
      <w:pPr>
        <w:rPr>
          <w:rFonts w:asciiTheme="minorHAnsi" w:hAnsiTheme="minorHAnsi" w:cstheme="minorHAnsi"/>
          <w:i/>
          <w:sz w:val="22"/>
          <w:szCs w:val="22"/>
          <w:lang w:val="en-GB"/>
        </w:rPr>
      </w:pPr>
      <w:r w:rsidRPr="004255A9">
        <w:rPr>
          <w:rFonts w:asciiTheme="minorHAnsi" w:hAnsiTheme="minorHAnsi" w:cstheme="minorHAnsi"/>
          <w:sz w:val="22"/>
          <w:szCs w:val="22"/>
          <w:lang w:val="en-GB"/>
        </w:rPr>
        <w:t xml:space="preserve">Available from: </w:t>
      </w:r>
      <w:hyperlink r:id="rId24" w:history="1">
        <w:r w:rsidRPr="004255A9">
          <w:rPr>
            <w:rStyle w:val="Hyperlink"/>
            <w:rFonts w:asciiTheme="minorHAnsi" w:hAnsiTheme="minorHAnsi" w:cstheme="minorHAnsi"/>
            <w:sz w:val="22"/>
            <w:szCs w:val="22"/>
            <w:lang w:val="en-GB"/>
          </w:rPr>
          <w:t>http://capacity4dev.ec.europa.eu/guidelines-integration-environment-and-climate-change-development-cooperation</w:t>
        </w:r>
      </w:hyperlink>
      <w:r w:rsidRPr="004255A9">
        <w:rPr>
          <w:rFonts w:asciiTheme="minorHAnsi" w:hAnsiTheme="minorHAnsi" w:cstheme="minorHAnsi"/>
          <w:sz w:val="22"/>
          <w:szCs w:val="22"/>
          <w:lang w:val="en-GB"/>
        </w:rPr>
        <w:t>.</w:t>
      </w:r>
    </w:p>
    <w:p w14:paraId="6C659B40" w14:textId="77777777" w:rsidR="009D5EBA" w:rsidRPr="004255A9" w:rsidRDefault="009D5EBA" w:rsidP="009D5EBA">
      <w:pPr>
        <w:rPr>
          <w:rFonts w:asciiTheme="minorHAnsi" w:hAnsiTheme="minorHAnsi" w:cstheme="minorHAnsi"/>
          <w:sz w:val="22"/>
          <w:szCs w:val="22"/>
          <w:lang w:val="en-GB"/>
        </w:rPr>
      </w:pPr>
    </w:p>
    <w:p w14:paraId="1101CC3B" w14:textId="77777777" w:rsidR="009D5EBA" w:rsidRPr="004255A9" w:rsidRDefault="009D5EBA" w:rsidP="009D5EBA">
      <w:pPr>
        <w:rPr>
          <w:rFonts w:asciiTheme="minorHAnsi" w:hAnsiTheme="minorHAnsi" w:cstheme="minorHAnsi"/>
          <w:sz w:val="22"/>
          <w:szCs w:val="22"/>
          <w:lang w:val="en-GB"/>
        </w:rPr>
      </w:pPr>
      <w:proofErr w:type="spellStart"/>
      <w:r w:rsidRPr="004255A9">
        <w:rPr>
          <w:rFonts w:asciiTheme="minorHAnsi" w:hAnsiTheme="minorHAnsi" w:cstheme="minorHAnsi"/>
          <w:sz w:val="22"/>
          <w:szCs w:val="22"/>
          <w:lang w:val="en-GB"/>
        </w:rPr>
        <w:t>Fankhauser</w:t>
      </w:r>
      <w:proofErr w:type="spellEnd"/>
      <w:r w:rsidRPr="004255A9">
        <w:rPr>
          <w:rFonts w:asciiTheme="minorHAnsi" w:hAnsiTheme="minorHAnsi" w:cstheme="minorHAnsi"/>
          <w:sz w:val="22"/>
          <w:szCs w:val="22"/>
          <w:lang w:val="en-GB"/>
        </w:rPr>
        <w:t xml:space="preserve"> S. &amp; Schmidt-</w:t>
      </w:r>
      <w:proofErr w:type="spellStart"/>
      <w:r w:rsidRPr="004255A9">
        <w:rPr>
          <w:rFonts w:asciiTheme="minorHAnsi" w:hAnsiTheme="minorHAnsi" w:cstheme="minorHAnsi"/>
          <w:sz w:val="22"/>
          <w:szCs w:val="22"/>
          <w:lang w:val="en-GB"/>
        </w:rPr>
        <w:t>Traub</w:t>
      </w:r>
      <w:proofErr w:type="spellEnd"/>
      <w:r w:rsidRPr="004255A9">
        <w:rPr>
          <w:rFonts w:asciiTheme="minorHAnsi" w:hAnsiTheme="minorHAnsi" w:cstheme="minorHAnsi"/>
          <w:sz w:val="22"/>
          <w:szCs w:val="22"/>
          <w:lang w:val="en-GB"/>
        </w:rPr>
        <w:t xml:space="preserve"> G. (2010) </w:t>
      </w:r>
      <w:r w:rsidRPr="004255A9">
        <w:rPr>
          <w:rFonts w:asciiTheme="minorHAnsi" w:hAnsiTheme="minorHAnsi" w:cstheme="minorHAnsi"/>
          <w:i/>
          <w:sz w:val="22"/>
          <w:szCs w:val="22"/>
          <w:lang w:val="en-GB"/>
        </w:rPr>
        <w:t>From adaptation to climate-resilient development: the costs of climate-proofing the Millennium Development Goals in Africa</w:t>
      </w:r>
      <w:r w:rsidRPr="004255A9">
        <w:rPr>
          <w:rFonts w:asciiTheme="minorHAnsi" w:hAnsiTheme="minorHAnsi" w:cstheme="minorHAnsi"/>
          <w:sz w:val="22"/>
          <w:szCs w:val="22"/>
          <w:lang w:val="en-GB"/>
        </w:rPr>
        <w:t xml:space="preserve">. Policy paper. Centre for Climate Change Economics and Policy, University of Leeds &amp; London School of Economics and Political Science / Grantham Research Institute on Climate Change and the Environment, London School of Economics and Political Science. Available from: </w:t>
      </w:r>
    </w:p>
    <w:p w14:paraId="0D04AF28" w14:textId="77777777" w:rsidR="009D5EBA" w:rsidRPr="004255A9" w:rsidRDefault="00C1593B" w:rsidP="009D5EBA">
      <w:pPr>
        <w:rPr>
          <w:rFonts w:asciiTheme="minorHAnsi" w:hAnsiTheme="minorHAnsi" w:cstheme="minorHAnsi"/>
          <w:sz w:val="22"/>
          <w:szCs w:val="22"/>
          <w:lang w:val="en-US"/>
        </w:rPr>
      </w:pPr>
      <w:hyperlink r:id="rId25" w:history="1">
        <w:r w:rsidR="009D5EBA" w:rsidRPr="004255A9">
          <w:rPr>
            <w:rStyle w:val="Hyperlink"/>
            <w:rFonts w:asciiTheme="minorHAnsi" w:hAnsiTheme="minorHAnsi" w:cstheme="minorHAnsi"/>
            <w:sz w:val="22"/>
            <w:szCs w:val="22"/>
            <w:lang w:val="en-GB"/>
          </w:rPr>
          <w:t>http://www.cccep.ac.uk/Publications/Policy/docs/PPFankhauseretal_costs-climate-proofing.pdf</w:t>
        </w:r>
      </w:hyperlink>
      <w:r w:rsidR="009D5EBA" w:rsidRPr="004255A9">
        <w:rPr>
          <w:rFonts w:asciiTheme="minorHAnsi" w:hAnsiTheme="minorHAnsi" w:cstheme="minorHAnsi"/>
          <w:sz w:val="22"/>
          <w:szCs w:val="22"/>
          <w:lang w:val="en-GB"/>
        </w:rPr>
        <w:t>.</w:t>
      </w:r>
    </w:p>
    <w:p w14:paraId="07C03C18" w14:textId="77777777" w:rsidR="00B32144" w:rsidRPr="004255A9" w:rsidRDefault="00B32144" w:rsidP="00B32144">
      <w:pPr>
        <w:rPr>
          <w:rFonts w:asciiTheme="minorHAnsi" w:hAnsiTheme="minorHAnsi" w:cstheme="minorHAnsi"/>
          <w:sz w:val="22"/>
          <w:szCs w:val="22"/>
          <w:lang w:val="en-US"/>
        </w:rPr>
      </w:pPr>
    </w:p>
    <w:p w14:paraId="74CE1EC9" w14:textId="77777777" w:rsidR="00B32144" w:rsidRPr="004255A9" w:rsidRDefault="00B32144" w:rsidP="00B32144">
      <w:pPr>
        <w:rPr>
          <w:rFonts w:asciiTheme="minorHAnsi" w:hAnsiTheme="minorHAnsi" w:cstheme="minorHAnsi"/>
          <w:sz w:val="22"/>
          <w:szCs w:val="22"/>
          <w:lang w:val="en-US"/>
        </w:rPr>
      </w:pPr>
      <w:r w:rsidRPr="004255A9">
        <w:rPr>
          <w:rFonts w:asciiTheme="minorHAnsi" w:hAnsiTheme="minorHAnsi" w:cstheme="minorHAnsi"/>
          <w:sz w:val="22"/>
          <w:szCs w:val="22"/>
          <w:lang w:val="en-US"/>
        </w:rPr>
        <w:t>Gomez-</w:t>
      </w:r>
      <w:proofErr w:type="spellStart"/>
      <w:r w:rsidRPr="004255A9">
        <w:rPr>
          <w:rFonts w:asciiTheme="minorHAnsi" w:hAnsiTheme="minorHAnsi" w:cstheme="minorHAnsi"/>
          <w:sz w:val="22"/>
          <w:szCs w:val="22"/>
          <w:lang w:val="en-US"/>
        </w:rPr>
        <w:t>Echeverri</w:t>
      </w:r>
      <w:proofErr w:type="spellEnd"/>
      <w:r w:rsidRPr="004255A9">
        <w:rPr>
          <w:rFonts w:asciiTheme="minorHAnsi" w:hAnsiTheme="minorHAnsi" w:cstheme="minorHAnsi"/>
          <w:sz w:val="22"/>
          <w:szCs w:val="22"/>
          <w:lang w:val="en-US"/>
        </w:rPr>
        <w:t xml:space="preserve"> L. (2010) </w:t>
      </w:r>
      <w:r w:rsidRPr="004255A9">
        <w:rPr>
          <w:rFonts w:asciiTheme="minorHAnsi" w:hAnsiTheme="minorHAnsi" w:cstheme="minorHAnsi"/>
          <w:i/>
          <w:sz w:val="22"/>
          <w:szCs w:val="22"/>
          <w:lang w:val="en-US"/>
        </w:rPr>
        <w:t>National Funding Entities: Their role in the transition to a new paradigm of global cooperation on climate change</w:t>
      </w:r>
      <w:r w:rsidRPr="004255A9">
        <w:rPr>
          <w:rFonts w:asciiTheme="minorHAnsi" w:hAnsiTheme="minorHAnsi" w:cstheme="minorHAnsi"/>
          <w:sz w:val="22"/>
          <w:szCs w:val="22"/>
          <w:lang w:val="en-US"/>
        </w:rPr>
        <w:t xml:space="preserve">. </w:t>
      </w:r>
      <w:proofErr w:type="gramStart"/>
      <w:r w:rsidRPr="004255A9">
        <w:rPr>
          <w:rFonts w:asciiTheme="minorHAnsi" w:hAnsiTheme="minorHAnsi" w:cstheme="minorHAnsi"/>
          <w:sz w:val="22"/>
          <w:szCs w:val="22"/>
          <w:lang w:val="en-US"/>
        </w:rPr>
        <w:t>ECBI policy brief.</w:t>
      </w:r>
      <w:proofErr w:type="gramEnd"/>
      <w:r w:rsidRPr="004255A9">
        <w:rPr>
          <w:rFonts w:asciiTheme="minorHAnsi" w:hAnsiTheme="minorHAnsi" w:cstheme="minorHAnsi"/>
          <w:sz w:val="22"/>
          <w:szCs w:val="22"/>
          <w:lang w:val="en-US"/>
        </w:rPr>
        <w:t xml:space="preserve"> </w:t>
      </w:r>
      <w:proofErr w:type="gramStart"/>
      <w:r w:rsidRPr="004255A9">
        <w:rPr>
          <w:rFonts w:asciiTheme="minorHAnsi" w:hAnsiTheme="minorHAnsi" w:cstheme="minorHAnsi"/>
          <w:sz w:val="22"/>
          <w:szCs w:val="22"/>
          <w:lang w:val="en-US"/>
        </w:rPr>
        <w:t>European Capacity Building Initiative.</w:t>
      </w:r>
      <w:proofErr w:type="gramEnd"/>
      <w:r w:rsidRPr="004255A9">
        <w:rPr>
          <w:rFonts w:asciiTheme="minorHAnsi" w:hAnsiTheme="minorHAnsi" w:cstheme="minorHAnsi"/>
          <w:sz w:val="22"/>
          <w:szCs w:val="22"/>
          <w:lang w:val="en-US"/>
        </w:rPr>
        <w:t xml:space="preserve"> Available from: </w:t>
      </w:r>
      <w:hyperlink r:id="rId26" w:history="1">
        <w:r w:rsidRPr="004255A9">
          <w:rPr>
            <w:rStyle w:val="Hyperlink"/>
            <w:rFonts w:asciiTheme="minorHAnsi" w:hAnsiTheme="minorHAnsi" w:cstheme="minorHAnsi"/>
            <w:sz w:val="22"/>
            <w:szCs w:val="22"/>
            <w:lang w:val="en-US"/>
          </w:rPr>
          <w:t>http://www.eurocapacity.org/downloads/NFEsPolicyReport.pdf</w:t>
        </w:r>
      </w:hyperlink>
      <w:r w:rsidRPr="004255A9">
        <w:rPr>
          <w:rFonts w:asciiTheme="minorHAnsi" w:hAnsiTheme="minorHAnsi" w:cstheme="minorHAnsi"/>
          <w:sz w:val="22"/>
          <w:szCs w:val="22"/>
          <w:lang w:val="en-US"/>
        </w:rPr>
        <w:t>.</w:t>
      </w:r>
    </w:p>
    <w:p w14:paraId="227FFC75" w14:textId="77777777" w:rsidR="00432568" w:rsidRPr="004255A9" w:rsidRDefault="00432568" w:rsidP="00432568">
      <w:pPr>
        <w:rPr>
          <w:rFonts w:asciiTheme="minorHAnsi" w:hAnsiTheme="minorHAnsi" w:cstheme="minorHAnsi"/>
          <w:sz w:val="22"/>
          <w:szCs w:val="22"/>
          <w:lang w:val="en-US"/>
        </w:rPr>
      </w:pPr>
    </w:p>
    <w:p w14:paraId="2304DCA9" w14:textId="77777777" w:rsidR="00432568" w:rsidRPr="004255A9" w:rsidRDefault="00432568" w:rsidP="00432568">
      <w:pPr>
        <w:rPr>
          <w:rFonts w:asciiTheme="minorHAnsi" w:hAnsiTheme="minorHAnsi" w:cstheme="minorHAnsi"/>
          <w:sz w:val="22"/>
          <w:szCs w:val="22"/>
          <w:lang w:val="en-US"/>
        </w:rPr>
      </w:pPr>
      <w:r w:rsidRPr="004255A9">
        <w:rPr>
          <w:rFonts w:asciiTheme="minorHAnsi" w:hAnsiTheme="minorHAnsi" w:cstheme="minorHAnsi"/>
          <w:sz w:val="22"/>
          <w:szCs w:val="22"/>
          <w:lang w:val="en-US"/>
        </w:rPr>
        <w:lastRenderedPageBreak/>
        <w:t xml:space="preserve">Hass J. (2008) </w:t>
      </w:r>
      <w:r w:rsidRPr="004255A9">
        <w:rPr>
          <w:rFonts w:asciiTheme="minorHAnsi" w:hAnsiTheme="minorHAnsi" w:cstheme="minorHAnsi"/>
          <w:i/>
          <w:sz w:val="22"/>
          <w:szCs w:val="22"/>
          <w:lang w:val="en-US"/>
        </w:rPr>
        <w:t>Learning from Environmental Accounting to Meet Climate Change Challenges</w:t>
      </w:r>
      <w:r w:rsidRPr="004255A9">
        <w:rPr>
          <w:rFonts w:asciiTheme="minorHAnsi" w:hAnsiTheme="minorHAnsi" w:cstheme="minorHAnsi"/>
          <w:sz w:val="22"/>
          <w:szCs w:val="22"/>
          <w:lang w:val="en-US"/>
        </w:rPr>
        <w:t xml:space="preserve">. Presentation made to the Climate Change, Development and Official Statistics conference, 11-12 December 2008, Seoul, Korea. European Commission/Eurostat. [Online] Available from: </w:t>
      </w:r>
    </w:p>
    <w:p w14:paraId="0C92162A" w14:textId="77777777" w:rsidR="00432568" w:rsidRPr="004255A9" w:rsidRDefault="00C1593B" w:rsidP="00432568">
      <w:pPr>
        <w:rPr>
          <w:rFonts w:asciiTheme="minorHAnsi" w:hAnsiTheme="minorHAnsi" w:cstheme="minorHAnsi"/>
          <w:sz w:val="22"/>
          <w:szCs w:val="22"/>
          <w:lang w:val="en-US"/>
        </w:rPr>
      </w:pPr>
      <w:hyperlink r:id="rId27" w:history="1">
        <w:r w:rsidR="00432568" w:rsidRPr="004255A9">
          <w:rPr>
            <w:rStyle w:val="Hyperlink"/>
            <w:rFonts w:asciiTheme="minorHAnsi" w:hAnsiTheme="minorHAnsi" w:cstheme="minorHAnsi"/>
            <w:sz w:val="22"/>
            <w:szCs w:val="22"/>
            <w:lang w:val="en-US"/>
          </w:rPr>
          <w:t>http://unstats.un.org/unsd/climate_change/Korea/presentations/(SESSION%202-2-3)%5BJulie%20Hass%5D.ppt</w:t>
        </w:r>
      </w:hyperlink>
      <w:r w:rsidR="00432568" w:rsidRPr="004255A9">
        <w:rPr>
          <w:rFonts w:asciiTheme="minorHAnsi" w:hAnsiTheme="minorHAnsi" w:cstheme="minorHAnsi"/>
          <w:sz w:val="22"/>
          <w:szCs w:val="22"/>
          <w:lang w:val="en-US"/>
        </w:rPr>
        <w:t>.</w:t>
      </w:r>
    </w:p>
    <w:p w14:paraId="5B6909C5" w14:textId="77777777" w:rsidR="00B32144" w:rsidRPr="004255A9" w:rsidRDefault="00B32144" w:rsidP="00B32144">
      <w:pPr>
        <w:rPr>
          <w:rFonts w:asciiTheme="minorHAnsi" w:hAnsiTheme="minorHAnsi" w:cstheme="minorHAnsi"/>
          <w:sz w:val="22"/>
          <w:szCs w:val="22"/>
          <w:lang w:val="en-US"/>
        </w:rPr>
      </w:pPr>
    </w:p>
    <w:p w14:paraId="41F0FF27" w14:textId="19E09A9D" w:rsidR="000E526F" w:rsidRDefault="000E526F" w:rsidP="00B32144">
      <w:pPr>
        <w:rPr>
          <w:rFonts w:asciiTheme="minorHAnsi" w:hAnsiTheme="minorHAnsi" w:cstheme="minorHAnsi"/>
          <w:sz w:val="22"/>
          <w:szCs w:val="22"/>
          <w:lang w:val="en-GB"/>
        </w:rPr>
      </w:pPr>
      <w:proofErr w:type="spellStart"/>
      <w:r w:rsidRPr="000E526F">
        <w:rPr>
          <w:rFonts w:asciiTheme="minorHAnsi" w:hAnsiTheme="minorHAnsi" w:cstheme="minorHAnsi"/>
          <w:sz w:val="22"/>
          <w:szCs w:val="22"/>
          <w:lang w:val="en-US"/>
        </w:rPr>
        <w:t>Markandya</w:t>
      </w:r>
      <w:proofErr w:type="spellEnd"/>
      <w:r w:rsidRPr="000E526F">
        <w:rPr>
          <w:rFonts w:asciiTheme="minorHAnsi" w:hAnsiTheme="minorHAnsi" w:cstheme="minorHAnsi"/>
          <w:sz w:val="22"/>
          <w:szCs w:val="22"/>
          <w:lang w:val="en-US"/>
        </w:rPr>
        <w:t>, A; Hamilton, K and Sanchez-</w:t>
      </w:r>
      <w:proofErr w:type="spellStart"/>
      <w:r w:rsidRPr="000E526F">
        <w:rPr>
          <w:rFonts w:asciiTheme="minorHAnsi" w:hAnsiTheme="minorHAnsi" w:cstheme="minorHAnsi"/>
          <w:sz w:val="22"/>
          <w:szCs w:val="22"/>
          <w:lang w:val="en-US"/>
        </w:rPr>
        <w:t>Triana</w:t>
      </w:r>
      <w:proofErr w:type="spellEnd"/>
      <w:r w:rsidRPr="000E526F">
        <w:rPr>
          <w:rFonts w:asciiTheme="minorHAnsi" w:hAnsiTheme="minorHAnsi" w:cstheme="minorHAnsi"/>
          <w:sz w:val="22"/>
          <w:szCs w:val="22"/>
          <w:lang w:val="en-US"/>
        </w:rPr>
        <w:t xml:space="preserve">, E (2006) </w:t>
      </w:r>
      <w:r w:rsidRPr="000E526F">
        <w:rPr>
          <w:rFonts w:asciiTheme="minorHAnsi" w:hAnsiTheme="minorHAnsi" w:cstheme="minorHAnsi"/>
          <w:i/>
          <w:iCs/>
          <w:sz w:val="22"/>
          <w:szCs w:val="22"/>
          <w:lang w:val="en-GB"/>
        </w:rPr>
        <w:t xml:space="preserve">Getting the Most for the Money – How Public Environmental Expenditure Reviews Can Help. </w:t>
      </w:r>
      <w:r w:rsidRPr="000E526F">
        <w:rPr>
          <w:rFonts w:asciiTheme="minorHAnsi" w:hAnsiTheme="minorHAnsi" w:cstheme="minorHAnsi"/>
          <w:sz w:val="22"/>
          <w:szCs w:val="22"/>
          <w:lang w:val="en-GB"/>
        </w:rPr>
        <w:t>World Bank Environment Strategy Notes No. 16, September 2006</w:t>
      </w:r>
      <w:r>
        <w:rPr>
          <w:rFonts w:asciiTheme="minorHAnsi" w:hAnsiTheme="minorHAnsi" w:cstheme="minorHAnsi"/>
          <w:sz w:val="22"/>
          <w:szCs w:val="22"/>
          <w:lang w:val="en-GB"/>
        </w:rPr>
        <w:t>.</w:t>
      </w:r>
    </w:p>
    <w:p w14:paraId="55796557" w14:textId="77777777" w:rsidR="000E526F" w:rsidRDefault="000E526F" w:rsidP="00B32144">
      <w:pPr>
        <w:rPr>
          <w:rFonts w:asciiTheme="minorHAnsi" w:hAnsiTheme="minorHAnsi" w:cstheme="minorHAnsi"/>
          <w:sz w:val="22"/>
          <w:szCs w:val="22"/>
          <w:lang w:val="en-GB"/>
        </w:rPr>
      </w:pPr>
    </w:p>
    <w:p w14:paraId="67A8B377" w14:textId="77777777" w:rsidR="00F83048" w:rsidRDefault="00B32144" w:rsidP="00B32144">
      <w:pPr>
        <w:rPr>
          <w:rFonts w:asciiTheme="minorHAnsi" w:hAnsiTheme="minorHAnsi" w:cstheme="minorHAnsi"/>
          <w:sz w:val="22"/>
          <w:szCs w:val="22"/>
          <w:lang w:val="en-GB"/>
        </w:rPr>
      </w:pPr>
      <w:r w:rsidRPr="004255A9">
        <w:rPr>
          <w:rFonts w:asciiTheme="minorHAnsi" w:hAnsiTheme="minorHAnsi" w:cstheme="minorHAnsi"/>
          <w:sz w:val="22"/>
          <w:szCs w:val="22"/>
          <w:lang w:val="en-GB"/>
        </w:rPr>
        <w:t xml:space="preserve">OECD (2006) </w:t>
      </w:r>
      <w:r w:rsidRPr="004255A9">
        <w:rPr>
          <w:rFonts w:asciiTheme="minorHAnsi" w:hAnsiTheme="minorHAnsi" w:cstheme="minorHAnsi"/>
          <w:i/>
          <w:sz w:val="22"/>
          <w:szCs w:val="22"/>
          <w:lang w:val="en-GB"/>
        </w:rPr>
        <w:t>Harmonising Donor Practices for Effective Aid Delivery – Volume 2: Budget support, sector wide approaches and capacity development in public financial management</w:t>
      </w:r>
      <w:r w:rsidRPr="004255A9">
        <w:rPr>
          <w:rFonts w:asciiTheme="minorHAnsi" w:hAnsiTheme="minorHAnsi" w:cstheme="minorHAnsi"/>
          <w:sz w:val="22"/>
          <w:szCs w:val="22"/>
          <w:lang w:val="en-GB"/>
        </w:rPr>
        <w:t xml:space="preserve">. DAC Guidelines and Reference Series. OECD Publishing, Paris. </w:t>
      </w:r>
      <w:r w:rsidR="00CB5235" w:rsidRPr="004255A9">
        <w:rPr>
          <w:rFonts w:asciiTheme="minorHAnsi" w:hAnsiTheme="minorHAnsi" w:cstheme="minorHAnsi"/>
          <w:sz w:val="22"/>
          <w:szCs w:val="22"/>
          <w:lang w:val="en-GB"/>
        </w:rPr>
        <w:t>[</w:t>
      </w:r>
      <w:r w:rsidRPr="004255A9">
        <w:rPr>
          <w:rFonts w:asciiTheme="minorHAnsi" w:hAnsiTheme="minorHAnsi" w:cstheme="minorHAnsi"/>
          <w:sz w:val="22"/>
          <w:szCs w:val="22"/>
          <w:lang w:val="en-GB"/>
        </w:rPr>
        <w:t>Read-only, browse-it edition</w:t>
      </w:r>
      <w:r w:rsidR="00CB5235" w:rsidRPr="004255A9">
        <w:rPr>
          <w:rFonts w:asciiTheme="minorHAnsi" w:hAnsiTheme="minorHAnsi" w:cstheme="minorHAnsi"/>
          <w:sz w:val="22"/>
          <w:szCs w:val="22"/>
          <w:lang w:val="en-GB"/>
        </w:rPr>
        <w:t>]</w:t>
      </w:r>
      <w:r w:rsidRPr="004255A9">
        <w:rPr>
          <w:rFonts w:asciiTheme="minorHAnsi" w:hAnsiTheme="minorHAnsi" w:cstheme="minorHAnsi"/>
          <w:sz w:val="22"/>
          <w:szCs w:val="22"/>
          <w:lang w:val="en-GB"/>
        </w:rPr>
        <w:t xml:space="preserve"> </w:t>
      </w:r>
      <w:r w:rsidR="00CB5235" w:rsidRPr="004255A9">
        <w:rPr>
          <w:rFonts w:asciiTheme="minorHAnsi" w:hAnsiTheme="minorHAnsi" w:cstheme="minorHAnsi"/>
          <w:sz w:val="22"/>
          <w:szCs w:val="22"/>
          <w:lang w:val="en-GB"/>
        </w:rPr>
        <w:t>A</w:t>
      </w:r>
      <w:r w:rsidRPr="004255A9">
        <w:rPr>
          <w:rFonts w:asciiTheme="minorHAnsi" w:hAnsiTheme="minorHAnsi" w:cstheme="minorHAnsi"/>
          <w:sz w:val="22"/>
          <w:szCs w:val="22"/>
          <w:lang w:val="en-GB"/>
        </w:rPr>
        <w:t xml:space="preserve">vailable from: </w:t>
      </w:r>
    </w:p>
    <w:p w14:paraId="4DF9C175" w14:textId="77777777" w:rsidR="00B32144" w:rsidRPr="004255A9" w:rsidRDefault="00C1593B" w:rsidP="00B32144">
      <w:pPr>
        <w:rPr>
          <w:rFonts w:asciiTheme="minorHAnsi" w:hAnsiTheme="minorHAnsi" w:cstheme="minorHAnsi"/>
          <w:sz w:val="22"/>
          <w:szCs w:val="22"/>
          <w:lang w:val="en-GB"/>
        </w:rPr>
      </w:pPr>
      <w:hyperlink r:id="rId28" w:history="1">
        <w:r w:rsidR="00F83048" w:rsidRPr="00F431D3">
          <w:rPr>
            <w:rStyle w:val="Hyperlink"/>
            <w:rFonts w:asciiTheme="minorHAnsi" w:hAnsiTheme="minorHAnsi" w:cstheme="minorHAnsi"/>
            <w:sz w:val="22"/>
            <w:szCs w:val="22"/>
            <w:lang w:val="en-GB"/>
          </w:rPr>
          <w:t>http://www.oecd.org/dataoecd/53/7/34583142.pdf</w:t>
        </w:r>
      </w:hyperlink>
      <w:r w:rsidR="00B32144" w:rsidRPr="004255A9">
        <w:rPr>
          <w:rFonts w:asciiTheme="minorHAnsi" w:hAnsiTheme="minorHAnsi" w:cstheme="minorHAnsi"/>
          <w:sz w:val="22"/>
          <w:szCs w:val="22"/>
          <w:lang w:val="en-GB"/>
        </w:rPr>
        <w:t>.</w:t>
      </w:r>
    </w:p>
    <w:p w14:paraId="017F8E8F" w14:textId="77777777" w:rsidR="007F2A32" w:rsidRPr="004255A9" w:rsidRDefault="007F2A32" w:rsidP="007F2A32">
      <w:pPr>
        <w:autoSpaceDE w:val="0"/>
        <w:autoSpaceDN w:val="0"/>
        <w:adjustRightInd w:val="0"/>
        <w:rPr>
          <w:rFonts w:asciiTheme="minorHAnsi" w:hAnsiTheme="minorHAnsi" w:cstheme="minorHAnsi"/>
          <w:sz w:val="22"/>
          <w:szCs w:val="22"/>
          <w:lang w:val="en-US"/>
        </w:rPr>
      </w:pPr>
    </w:p>
    <w:p w14:paraId="158CAA64" w14:textId="77777777" w:rsidR="007F2A32" w:rsidRPr="004255A9" w:rsidRDefault="007F2A32" w:rsidP="007F2A32">
      <w:pPr>
        <w:rPr>
          <w:rFonts w:asciiTheme="minorHAnsi" w:hAnsiTheme="minorHAnsi" w:cstheme="minorHAnsi"/>
          <w:sz w:val="22"/>
          <w:szCs w:val="22"/>
          <w:lang w:val="en-GB"/>
        </w:rPr>
      </w:pPr>
      <w:r w:rsidRPr="004255A9">
        <w:rPr>
          <w:rFonts w:asciiTheme="minorHAnsi" w:hAnsiTheme="minorHAnsi" w:cstheme="minorHAnsi"/>
          <w:sz w:val="22"/>
          <w:szCs w:val="22"/>
          <w:lang w:val="en-GB"/>
        </w:rPr>
        <w:t xml:space="preserve">OECD (2009a) </w:t>
      </w:r>
      <w:r w:rsidRPr="004255A9">
        <w:rPr>
          <w:rFonts w:asciiTheme="minorHAnsi" w:hAnsiTheme="minorHAnsi" w:cstheme="minorHAnsi"/>
          <w:i/>
          <w:sz w:val="22"/>
          <w:szCs w:val="22"/>
          <w:lang w:val="en-GB"/>
        </w:rPr>
        <w:t>Integrating Climate Change Adaptation into Development Co-operation: Policy guidance</w:t>
      </w:r>
      <w:r w:rsidRPr="004255A9">
        <w:rPr>
          <w:rFonts w:asciiTheme="minorHAnsi" w:hAnsiTheme="minorHAnsi" w:cstheme="minorHAnsi"/>
          <w:sz w:val="22"/>
          <w:szCs w:val="22"/>
          <w:lang w:val="en-GB"/>
        </w:rPr>
        <w:t xml:space="preserve">. OECD Publishing, Paris. [Read-only, browse-it edition] Available from: </w:t>
      </w:r>
    </w:p>
    <w:p w14:paraId="507178C6" w14:textId="77777777" w:rsidR="007F2A32" w:rsidRPr="004255A9" w:rsidRDefault="00C1593B" w:rsidP="007F2A32">
      <w:pPr>
        <w:rPr>
          <w:rFonts w:asciiTheme="minorHAnsi" w:hAnsiTheme="minorHAnsi" w:cstheme="minorHAnsi"/>
          <w:i/>
          <w:sz w:val="22"/>
          <w:szCs w:val="22"/>
          <w:lang w:val="en-GB"/>
        </w:rPr>
      </w:pPr>
      <w:hyperlink r:id="rId29" w:history="1">
        <w:r w:rsidR="007F2A32" w:rsidRPr="004255A9">
          <w:rPr>
            <w:rStyle w:val="Hyperlink"/>
            <w:rFonts w:asciiTheme="minorHAnsi" w:hAnsiTheme="minorHAnsi" w:cstheme="minorHAnsi"/>
            <w:sz w:val="22"/>
            <w:szCs w:val="22"/>
            <w:lang w:val="en-GB"/>
          </w:rPr>
          <w:t>http://browse.oecdbookshop.org/oecd/pdfs/browseit/4309171E.PDF</w:t>
        </w:r>
      </w:hyperlink>
      <w:r w:rsidR="007F2A32" w:rsidRPr="004255A9">
        <w:rPr>
          <w:rFonts w:asciiTheme="minorHAnsi" w:hAnsiTheme="minorHAnsi" w:cstheme="minorHAnsi"/>
          <w:sz w:val="22"/>
          <w:szCs w:val="22"/>
          <w:lang w:val="en-GB"/>
        </w:rPr>
        <w:t>.</w:t>
      </w:r>
    </w:p>
    <w:p w14:paraId="2C331CFC" w14:textId="77777777" w:rsidR="007F2A32" w:rsidRPr="004255A9" w:rsidRDefault="007F2A32" w:rsidP="007F2A32">
      <w:pPr>
        <w:rPr>
          <w:rFonts w:asciiTheme="minorHAnsi" w:hAnsiTheme="minorHAnsi" w:cstheme="minorHAnsi"/>
          <w:i/>
          <w:sz w:val="22"/>
          <w:szCs w:val="22"/>
          <w:lang w:val="en-GB"/>
        </w:rPr>
      </w:pPr>
    </w:p>
    <w:p w14:paraId="3FEBB1A2" w14:textId="77777777" w:rsidR="007F2A32" w:rsidRPr="004255A9" w:rsidRDefault="007F2A32" w:rsidP="007F2A32">
      <w:pPr>
        <w:rPr>
          <w:rFonts w:asciiTheme="minorHAnsi" w:hAnsiTheme="minorHAnsi" w:cstheme="minorHAnsi"/>
          <w:i/>
          <w:sz w:val="22"/>
          <w:szCs w:val="22"/>
          <w:lang w:val="en-GB"/>
        </w:rPr>
      </w:pPr>
      <w:proofErr w:type="spellStart"/>
      <w:r w:rsidRPr="004255A9">
        <w:rPr>
          <w:rFonts w:asciiTheme="minorHAnsi" w:hAnsiTheme="minorHAnsi" w:cstheme="minorHAnsi"/>
          <w:sz w:val="22"/>
          <w:szCs w:val="22"/>
          <w:lang w:val="en-GB"/>
        </w:rPr>
        <w:t>Olhoff</w:t>
      </w:r>
      <w:proofErr w:type="spellEnd"/>
      <w:r w:rsidRPr="004255A9">
        <w:rPr>
          <w:rFonts w:asciiTheme="minorHAnsi" w:hAnsiTheme="minorHAnsi" w:cstheme="minorHAnsi"/>
          <w:sz w:val="22"/>
          <w:szCs w:val="22"/>
          <w:lang w:val="en-GB"/>
        </w:rPr>
        <w:t xml:space="preserve"> A. &amp; </w:t>
      </w:r>
      <w:proofErr w:type="spellStart"/>
      <w:r w:rsidRPr="004255A9">
        <w:rPr>
          <w:rFonts w:asciiTheme="minorHAnsi" w:hAnsiTheme="minorHAnsi" w:cstheme="minorHAnsi"/>
          <w:sz w:val="22"/>
          <w:szCs w:val="22"/>
          <w:lang w:val="en-GB"/>
        </w:rPr>
        <w:t>Schaer</w:t>
      </w:r>
      <w:proofErr w:type="spellEnd"/>
      <w:r w:rsidRPr="004255A9">
        <w:rPr>
          <w:rFonts w:asciiTheme="minorHAnsi" w:hAnsiTheme="minorHAnsi" w:cstheme="minorHAnsi"/>
          <w:sz w:val="22"/>
          <w:szCs w:val="22"/>
          <w:lang w:val="en-GB"/>
        </w:rPr>
        <w:t xml:space="preserve"> C. (2010) </w:t>
      </w:r>
      <w:r w:rsidRPr="004255A9">
        <w:rPr>
          <w:rFonts w:asciiTheme="minorHAnsi" w:hAnsiTheme="minorHAnsi" w:cstheme="minorHAnsi"/>
          <w:i/>
          <w:sz w:val="22"/>
          <w:szCs w:val="22"/>
          <w:lang w:val="en-GB"/>
        </w:rPr>
        <w:t>Screening tools and guidelines to support the mainstreaming of climate change adaptation into development assistance: A stocktaking report</w:t>
      </w:r>
      <w:r w:rsidRPr="004255A9">
        <w:rPr>
          <w:rFonts w:asciiTheme="minorHAnsi" w:hAnsiTheme="minorHAnsi" w:cstheme="minorHAnsi"/>
          <w:sz w:val="22"/>
          <w:szCs w:val="22"/>
          <w:lang w:val="en-GB"/>
        </w:rPr>
        <w:t xml:space="preserve">. Environment &amp; Energy Group, United Nations Development Programme, New York. </w:t>
      </w:r>
    </w:p>
    <w:p w14:paraId="500A75A2" w14:textId="77777777" w:rsidR="007F2A32" w:rsidRPr="004255A9" w:rsidRDefault="007F2A32" w:rsidP="007F2A32">
      <w:pPr>
        <w:rPr>
          <w:rFonts w:asciiTheme="minorHAnsi" w:hAnsiTheme="minorHAnsi" w:cstheme="minorHAnsi"/>
          <w:i/>
          <w:sz w:val="22"/>
          <w:szCs w:val="22"/>
          <w:lang w:val="en-GB"/>
        </w:rPr>
      </w:pPr>
      <w:r w:rsidRPr="004255A9">
        <w:rPr>
          <w:rFonts w:asciiTheme="minorHAnsi" w:hAnsiTheme="minorHAnsi" w:cstheme="minorHAnsi"/>
          <w:sz w:val="22"/>
          <w:szCs w:val="22"/>
          <w:lang w:val="en-GB"/>
        </w:rPr>
        <w:t xml:space="preserve">Available from: </w:t>
      </w:r>
      <w:hyperlink r:id="rId30" w:history="1">
        <w:r w:rsidRPr="004255A9">
          <w:rPr>
            <w:rStyle w:val="Hyperlink"/>
            <w:rFonts w:asciiTheme="minorHAnsi" w:hAnsiTheme="minorHAnsi" w:cstheme="minorHAnsi"/>
            <w:sz w:val="22"/>
            <w:szCs w:val="22"/>
            <w:lang w:val="en-GB"/>
          </w:rPr>
          <w:t>http://www.undp.org/climatechange/library.shtml</w:t>
        </w:r>
      </w:hyperlink>
      <w:r w:rsidRPr="004255A9">
        <w:rPr>
          <w:rFonts w:asciiTheme="minorHAnsi" w:hAnsiTheme="minorHAnsi" w:cstheme="minorHAnsi"/>
          <w:sz w:val="22"/>
          <w:szCs w:val="22"/>
          <w:lang w:val="en-GB"/>
        </w:rPr>
        <w:t>.</w:t>
      </w:r>
    </w:p>
    <w:p w14:paraId="3C4FA344" w14:textId="77777777" w:rsidR="00CF4FBB" w:rsidRPr="004255A9" w:rsidRDefault="00CF4FBB" w:rsidP="00CF4FBB">
      <w:pPr>
        <w:rPr>
          <w:rFonts w:asciiTheme="minorHAnsi" w:hAnsiTheme="minorHAnsi" w:cstheme="minorHAnsi"/>
          <w:sz w:val="22"/>
          <w:szCs w:val="22"/>
          <w:lang w:val="en-GB"/>
        </w:rPr>
      </w:pPr>
    </w:p>
    <w:p w14:paraId="56373241" w14:textId="77777777" w:rsidR="00CF4FBB" w:rsidRPr="004255A9" w:rsidRDefault="00CF4FBB" w:rsidP="00CF4FBB">
      <w:pPr>
        <w:rPr>
          <w:rFonts w:asciiTheme="minorHAnsi" w:hAnsiTheme="minorHAnsi" w:cstheme="minorHAnsi"/>
          <w:sz w:val="22"/>
          <w:szCs w:val="22"/>
          <w:lang w:val="en-GB"/>
        </w:rPr>
      </w:pPr>
      <w:proofErr w:type="spellStart"/>
      <w:proofErr w:type="gramStart"/>
      <w:r w:rsidRPr="004255A9">
        <w:rPr>
          <w:rFonts w:asciiTheme="minorHAnsi" w:hAnsiTheme="minorHAnsi" w:cstheme="minorHAnsi"/>
          <w:sz w:val="22"/>
          <w:szCs w:val="22"/>
          <w:lang w:val="en-GB"/>
        </w:rPr>
        <w:t>Petkova</w:t>
      </w:r>
      <w:proofErr w:type="spellEnd"/>
      <w:r w:rsidRPr="004255A9">
        <w:rPr>
          <w:rFonts w:asciiTheme="minorHAnsi" w:hAnsiTheme="minorHAnsi" w:cstheme="minorHAnsi"/>
          <w:sz w:val="22"/>
          <w:szCs w:val="22"/>
          <w:lang w:val="en-GB"/>
        </w:rPr>
        <w:t xml:space="preserve"> N. (2009) </w:t>
      </w:r>
      <w:r w:rsidRPr="004255A9">
        <w:rPr>
          <w:rFonts w:asciiTheme="minorHAnsi" w:hAnsiTheme="minorHAnsi" w:cstheme="minorHAnsi"/>
          <w:i/>
          <w:sz w:val="22"/>
          <w:szCs w:val="22"/>
          <w:lang w:val="en-GB"/>
        </w:rPr>
        <w:t>Integrating Public Environmental Expenditure within Multi-year Budgetary Frameworks</w:t>
      </w:r>
      <w:r w:rsidRPr="004255A9">
        <w:rPr>
          <w:rFonts w:asciiTheme="minorHAnsi" w:hAnsiTheme="minorHAnsi" w:cstheme="minorHAnsi"/>
          <w:sz w:val="22"/>
          <w:szCs w:val="22"/>
          <w:lang w:val="en-GB"/>
        </w:rPr>
        <w:t>.</w:t>
      </w:r>
      <w:proofErr w:type="gramEnd"/>
      <w:r w:rsidRPr="004255A9">
        <w:rPr>
          <w:rFonts w:asciiTheme="minorHAnsi" w:hAnsiTheme="minorHAnsi" w:cstheme="minorHAnsi"/>
          <w:sz w:val="22"/>
          <w:szCs w:val="22"/>
          <w:lang w:val="en-GB"/>
        </w:rPr>
        <w:t xml:space="preserve"> OECD Environment Working Papers no. 7. OECD Publishing, Paris, </w:t>
      </w:r>
      <w:proofErr w:type="spellStart"/>
      <w:r w:rsidRPr="004255A9">
        <w:rPr>
          <w:rFonts w:asciiTheme="minorHAnsi" w:hAnsiTheme="minorHAnsi" w:cstheme="minorHAnsi"/>
          <w:sz w:val="22"/>
          <w:szCs w:val="22"/>
          <w:lang w:val="en-GB"/>
        </w:rPr>
        <w:t>doi</w:t>
      </w:r>
      <w:proofErr w:type="spellEnd"/>
      <w:r w:rsidRPr="004255A9">
        <w:rPr>
          <w:rFonts w:asciiTheme="minorHAnsi" w:hAnsiTheme="minorHAnsi" w:cstheme="minorHAnsi"/>
          <w:sz w:val="22"/>
          <w:szCs w:val="22"/>
          <w:lang w:val="en-GB"/>
        </w:rPr>
        <w:t xml:space="preserve">: 10.1787/224138120533. Available from: </w:t>
      </w:r>
      <w:hyperlink r:id="rId31" w:history="1">
        <w:r w:rsidRPr="004255A9">
          <w:rPr>
            <w:rStyle w:val="Hyperlink"/>
            <w:rFonts w:asciiTheme="minorHAnsi" w:hAnsiTheme="minorHAnsi" w:cstheme="minorHAnsi"/>
            <w:sz w:val="22"/>
            <w:szCs w:val="22"/>
            <w:lang w:val="en-GB"/>
          </w:rPr>
          <w:t>http://www.oecd.org/dataoecd/60/6/42898831.pdf</w:t>
        </w:r>
      </w:hyperlink>
      <w:r w:rsidRPr="004255A9">
        <w:rPr>
          <w:rFonts w:asciiTheme="minorHAnsi" w:hAnsiTheme="minorHAnsi" w:cstheme="minorHAnsi"/>
          <w:sz w:val="22"/>
          <w:szCs w:val="22"/>
          <w:lang w:val="en-GB"/>
        </w:rPr>
        <w:t>.</w:t>
      </w:r>
    </w:p>
    <w:p w14:paraId="1E8FDD8E" w14:textId="77777777" w:rsidR="00CF4FBB" w:rsidRPr="004255A9" w:rsidRDefault="00CF4FBB" w:rsidP="00CF4FBB">
      <w:pPr>
        <w:rPr>
          <w:rFonts w:asciiTheme="minorHAnsi" w:hAnsiTheme="minorHAnsi" w:cstheme="minorHAnsi"/>
          <w:sz w:val="22"/>
          <w:szCs w:val="22"/>
          <w:lang w:val="en-GB"/>
        </w:rPr>
      </w:pPr>
    </w:p>
    <w:p w14:paraId="10334052" w14:textId="77777777" w:rsidR="00CF4FBB" w:rsidRPr="004255A9" w:rsidRDefault="00CF4FBB" w:rsidP="00CF4FBB">
      <w:pPr>
        <w:rPr>
          <w:rFonts w:asciiTheme="minorHAnsi" w:hAnsiTheme="minorHAnsi" w:cstheme="minorHAnsi"/>
          <w:sz w:val="22"/>
          <w:szCs w:val="22"/>
          <w:lang w:val="en-GB"/>
        </w:rPr>
      </w:pPr>
      <w:r w:rsidRPr="004255A9">
        <w:rPr>
          <w:rFonts w:asciiTheme="minorHAnsi" w:hAnsiTheme="minorHAnsi" w:cstheme="minorHAnsi"/>
          <w:sz w:val="22"/>
          <w:szCs w:val="22"/>
          <w:lang w:val="en-GB"/>
        </w:rPr>
        <w:t xml:space="preserve">Swanson A. &amp; </w:t>
      </w:r>
      <w:proofErr w:type="spellStart"/>
      <w:r w:rsidRPr="004255A9">
        <w:rPr>
          <w:rFonts w:asciiTheme="minorHAnsi" w:hAnsiTheme="minorHAnsi" w:cstheme="minorHAnsi"/>
          <w:sz w:val="22"/>
          <w:szCs w:val="22"/>
          <w:lang w:val="en-GB"/>
        </w:rPr>
        <w:t>Lundethors</w:t>
      </w:r>
      <w:proofErr w:type="spellEnd"/>
      <w:r w:rsidRPr="004255A9">
        <w:rPr>
          <w:rFonts w:asciiTheme="minorHAnsi" w:hAnsiTheme="minorHAnsi" w:cstheme="minorHAnsi"/>
          <w:sz w:val="22"/>
          <w:szCs w:val="22"/>
          <w:lang w:val="en-GB"/>
        </w:rPr>
        <w:t xml:space="preserve"> L. (2003) </w:t>
      </w:r>
      <w:r w:rsidRPr="004255A9">
        <w:rPr>
          <w:rFonts w:asciiTheme="minorHAnsi" w:hAnsiTheme="minorHAnsi" w:cstheme="minorHAnsi"/>
          <w:i/>
          <w:sz w:val="22"/>
          <w:szCs w:val="22"/>
          <w:lang w:val="en-GB"/>
        </w:rPr>
        <w:t>Public Environmental Expenditure Reviews (PEERS): Experience and Emerging Practice</w:t>
      </w:r>
      <w:r w:rsidRPr="004255A9">
        <w:rPr>
          <w:rFonts w:asciiTheme="minorHAnsi" w:hAnsiTheme="minorHAnsi" w:cstheme="minorHAnsi"/>
          <w:sz w:val="22"/>
          <w:szCs w:val="22"/>
          <w:lang w:val="en-GB"/>
        </w:rPr>
        <w:t>. Environment Strategy Papers no. 7. World Bank, Washington, DC. Available from:</w:t>
      </w:r>
    </w:p>
    <w:p w14:paraId="193731F4" w14:textId="77777777" w:rsidR="00CF4FBB" w:rsidRPr="004255A9" w:rsidRDefault="00C1593B" w:rsidP="00CF4FBB">
      <w:pPr>
        <w:rPr>
          <w:rFonts w:asciiTheme="minorHAnsi" w:hAnsiTheme="minorHAnsi" w:cstheme="minorHAnsi"/>
          <w:sz w:val="22"/>
          <w:szCs w:val="22"/>
          <w:lang w:val="en-GB"/>
        </w:rPr>
      </w:pPr>
      <w:hyperlink r:id="rId32" w:history="1">
        <w:r w:rsidR="00CF4FBB" w:rsidRPr="004255A9">
          <w:rPr>
            <w:rStyle w:val="Hyperlink"/>
            <w:rFonts w:asciiTheme="minorHAnsi" w:hAnsiTheme="minorHAnsi" w:cstheme="minorHAnsi"/>
            <w:sz w:val="22"/>
            <w:szCs w:val="22"/>
            <w:lang w:val="en-GB"/>
          </w:rPr>
          <w:t>http://www-wds.worldbank.org/external/default/WDSContentServer/WDSP/IB/2003/07/18/000090341_20030718140221/Rendered/PDF/263380PAPER0Env0Strat0no.07.pdf</w:t>
        </w:r>
      </w:hyperlink>
      <w:r w:rsidR="00CF4FBB" w:rsidRPr="004255A9">
        <w:rPr>
          <w:rFonts w:asciiTheme="minorHAnsi" w:hAnsiTheme="minorHAnsi" w:cstheme="minorHAnsi"/>
          <w:sz w:val="22"/>
          <w:szCs w:val="22"/>
          <w:lang w:val="en-GB"/>
        </w:rPr>
        <w:t>.</w:t>
      </w:r>
    </w:p>
    <w:p w14:paraId="75841EE6" w14:textId="77777777" w:rsidR="00B32144" w:rsidRPr="004255A9" w:rsidRDefault="00B32144" w:rsidP="00B32144">
      <w:pPr>
        <w:rPr>
          <w:rFonts w:asciiTheme="minorHAnsi" w:hAnsiTheme="minorHAnsi" w:cstheme="minorHAnsi"/>
          <w:sz w:val="22"/>
          <w:szCs w:val="22"/>
          <w:lang w:val="en-GB"/>
        </w:rPr>
      </w:pPr>
    </w:p>
    <w:p w14:paraId="68A265C6" w14:textId="77777777" w:rsidR="00B32144" w:rsidRPr="004255A9" w:rsidRDefault="00B32144" w:rsidP="00B32144">
      <w:pPr>
        <w:rPr>
          <w:rFonts w:asciiTheme="minorHAnsi" w:hAnsiTheme="minorHAnsi" w:cstheme="minorHAnsi"/>
          <w:sz w:val="22"/>
          <w:szCs w:val="22"/>
          <w:lang w:val="en-GB"/>
        </w:rPr>
      </w:pPr>
      <w:proofErr w:type="spellStart"/>
      <w:proofErr w:type="gramStart"/>
      <w:r w:rsidRPr="004255A9">
        <w:rPr>
          <w:rFonts w:asciiTheme="minorHAnsi" w:hAnsiTheme="minorHAnsi" w:cstheme="minorHAnsi"/>
          <w:sz w:val="22"/>
          <w:szCs w:val="22"/>
          <w:lang w:val="en-GB"/>
        </w:rPr>
        <w:t>Tulkens</w:t>
      </w:r>
      <w:proofErr w:type="spellEnd"/>
      <w:r w:rsidRPr="004255A9">
        <w:rPr>
          <w:rFonts w:asciiTheme="minorHAnsi" w:hAnsiTheme="minorHAnsi" w:cstheme="minorHAnsi"/>
          <w:sz w:val="22"/>
          <w:szCs w:val="22"/>
          <w:lang w:val="en-GB"/>
        </w:rPr>
        <w:t xml:space="preserve"> H., </w:t>
      </w:r>
      <w:proofErr w:type="spellStart"/>
      <w:r w:rsidRPr="004255A9">
        <w:rPr>
          <w:rFonts w:asciiTheme="minorHAnsi" w:hAnsiTheme="minorHAnsi" w:cstheme="minorHAnsi"/>
          <w:sz w:val="22"/>
          <w:szCs w:val="22"/>
          <w:lang w:val="en-GB"/>
        </w:rPr>
        <w:t>Morant</w:t>
      </w:r>
      <w:proofErr w:type="spellEnd"/>
      <w:r w:rsidRPr="004255A9">
        <w:rPr>
          <w:rFonts w:asciiTheme="minorHAnsi" w:hAnsiTheme="minorHAnsi" w:cstheme="minorHAnsi"/>
          <w:sz w:val="22"/>
          <w:szCs w:val="22"/>
          <w:lang w:val="en-GB"/>
        </w:rPr>
        <w:t xml:space="preserve"> A. &amp; </w:t>
      </w:r>
      <w:proofErr w:type="spellStart"/>
      <w:r w:rsidRPr="004255A9">
        <w:rPr>
          <w:rFonts w:asciiTheme="minorHAnsi" w:hAnsiTheme="minorHAnsi" w:cstheme="minorHAnsi"/>
          <w:sz w:val="22"/>
          <w:szCs w:val="22"/>
          <w:lang w:val="en-GB"/>
        </w:rPr>
        <w:t>Leruth</w:t>
      </w:r>
      <w:proofErr w:type="spellEnd"/>
      <w:r w:rsidRPr="004255A9">
        <w:rPr>
          <w:rFonts w:asciiTheme="minorHAnsi" w:hAnsiTheme="minorHAnsi" w:cstheme="minorHAnsi"/>
          <w:sz w:val="22"/>
          <w:szCs w:val="22"/>
          <w:lang w:val="en-GB"/>
        </w:rPr>
        <w:t xml:space="preserve"> L. (2004) </w:t>
      </w:r>
      <w:r w:rsidRPr="00E22270">
        <w:rPr>
          <w:rFonts w:asciiTheme="minorHAnsi" w:hAnsiTheme="minorHAnsi" w:cstheme="minorHAnsi"/>
          <w:i/>
          <w:sz w:val="22"/>
          <w:szCs w:val="22"/>
          <w:lang w:val="en-GB"/>
        </w:rPr>
        <w:t>Public</w:t>
      </w:r>
      <w:r w:rsidRPr="004255A9">
        <w:rPr>
          <w:rFonts w:asciiTheme="minorHAnsi" w:hAnsiTheme="minorHAnsi" w:cstheme="minorHAnsi"/>
          <w:sz w:val="22"/>
          <w:szCs w:val="22"/>
          <w:lang w:val="en-GB"/>
        </w:rPr>
        <w:t xml:space="preserve"> </w:t>
      </w:r>
      <w:r w:rsidRPr="004255A9">
        <w:rPr>
          <w:rFonts w:asciiTheme="minorHAnsi" w:hAnsiTheme="minorHAnsi" w:cstheme="minorHAnsi"/>
          <w:i/>
          <w:sz w:val="22"/>
          <w:szCs w:val="22"/>
          <w:lang w:val="en-GB"/>
        </w:rPr>
        <w:t>Expenditure Management in Small Developing Economies</w:t>
      </w:r>
      <w:r w:rsidRPr="004255A9">
        <w:rPr>
          <w:rFonts w:asciiTheme="minorHAnsi" w:hAnsiTheme="minorHAnsi" w:cstheme="minorHAnsi"/>
          <w:sz w:val="22"/>
          <w:szCs w:val="22"/>
          <w:lang w:val="en-GB"/>
        </w:rPr>
        <w:t>.</w:t>
      </w:r>
      <w:proofErr w:type="gramEnd"/>
      <w:r w:rsidRPr="004255A9">
        <w:rPr>
          <w:rFonts w:asciiTheme="minorHAnsi" w:hAnsiTheme="minorHAnsi" w:cstheme="minorHAnsi"/>
          <w:sz w:val="22"/>
          <w:szCs w:val="22"/>
          <w:lang w:val="en-GB"/>
        </w:rPr>
        <w:t xml:space="preserve"> Pacific Financial Technical Assistance </w:t>
      </w:r>
      <w:proofErr w:type="spellStart"/>
      <w:r w:rsidRPr="004255A9">
        <w:rPr>
          <w:rFonts w:asciiTheme="minorHAnsi" w:hAnsiTheme="minorHAnsi" w:cstheme="minorHAnsi"/>
          <w:sz w:val="22"/>
          <w:szCs w:val="22"/>
          <w:lang w:val="en-GB"/>
        </w:rPr>
        <w:t>Center</w:t>
      </w:r>
      <w:proofErr w:type="spellEnd"/>
      <w:r w:rsidRPr="004255A9">
        <w:rPr>
          <w:rFonts w:asciiTheme="minorHAnsi" w:hAnsiTheme="minorHAnsi" w:cstheme="minorHAnsi"/>
          <w:sz w:val="22"/>
          <w:szCs w:val="22"/>
          <w:lang w:val="en-GB"/>
        </w:rPr>
        <w:t>, Suva, Fiji.</w:t>
      </w:r>
    </w:p>
    <w:p w14:paraId="39273F76" w14:textId="77777777" w:rsidR="005E5444" w:rsidRPr="005E5444" w:rsidRDefault="005E5444" w:rsidP="005E5444">
      <w:pPr>
        <w:rPr>
          <w:rFonts w:asciiTheme="minorHAnsi" w:hAnsiTheme="minorHAnsi" w:cstheme="minorHAnsi"/>
          <w:sz w:val="22"/>
          <w:szCs w:val="22"/>
          <w:lang w:val="en-GB"/>
        </w:rPr>
      </w:pPr>
    </w:p>
    <w:p w14:paraId="31BA663D" w14:textId="77777777" w:rsidR="005E5444" w:rsidRPr="005E5444" w:rsidRDefault="005E5444" w:rsidP="005E5444">
      <w:pPr>
        <w:rPr>
          <w:rFonts w:asciiTheme="minorHAnsi" w:hAnsiTheme="minorHAnsi" w:cstheme="minorHAnsi"/>
          <w:sz w:val="22"/>
          <w:szCs w:val="22"/>
          <w:lang w:val="en-GB"/>
        </w:rPr>
      </w:pPr>
      <w:r w:rsidRPr="005E5444">
        <w:rPr>
          <w:rFonts w:asciiTheme="minorHAnsi" w:hAnsiTheme="minorHAnsi" w:cstheme="minorHAnsi"/>
          <w:sz w:val="22"/>
          <w:szCs w:val="22"/>
          <w:lang w:val="en-GB"/>
        </w:rPr>
        <w:t xml:space="preserve">UNDP-UNEP (2011) </w:t>
      </w:r>
      <w:r w:rsidRPr="005E5444">
        <w:rPr>
          <w:rFonts w:asciiTheme="minorHAnsi" w:hAnsiTheme="minorHAnsi" w:cstheme="minorHAnsi"/>
          <w:i/>
          <w:iCs/>
          <w:sz w:val="22"/>
          <w:szCs w:val="22"/>
          <w:lang w:val="en-GB"/>
        </w:rPr>
        <w:t>Mainstreaming Adaptation to Climate Change into Development Planning: A Guide for Practitioners</w:t>
      </w:r>
      <w:r w:rsidRPr="005E5444">
        <w:rPr>
          <w:rFonts w:asciiTheme="minorHAnsi" w:hAnsiTheme="minorHAnsi" w:cstheme="minorHAnsi"/>
          <w:iCs/>
          <w:sz w:val="22"/>
          <w:szCs w:val="22"/>
          <w:lang w:val="en-GB"/>
        </w:rPr>
        <w:t xml:space="preserve">. </w:t>
      </w:r>
      <w:proofErr w:type="gramStart"/>
      <w:r w:rsidRPr="005E5444">
        <w:rPr>
          <w:rFonts w:asciiTheme="minorHAnsi" w:hAnsiTheme="minorHAnsi" w:cstheme="minorHAnsi"/>
          <w:sz w:val="22"/>
          <w:szCs w:val="22"/>
          <w:lang w:val="en-GB"/>
        </w:rPr>
        <w:t>UNDP-UNEP Poverty-Environment Initiative.</w:t>
      </w:r>
      <w:proofErr w:type="gramEnd"/>
      <w:r w:rsidRPr="005E5444">
        <w:rPr>
          <w:rFonts w:asciiTheme="minorHAnsi" w:hAnsiTheme="minorHAnsi" w:cstheme="minorHAnsi"/>
          <w:sz w:val="22"/>
          <w:szCs w:val="22"/>
          <w:lang w:val="en-GB"/>
        </w:rPr>
        <w:t xml:space="preserve"> Available from: </w:t>
      </w:r>
    </w:p>
    <w:p w14:paraId="56F0F9DE" w14:textId="77777777" w:rsidR="005E5444" w:rsidRPr="005E5444" w:rsidRDefault="00C1593B" w:rsidP="005E5444">
      <w:pPr>
        <w:rPr>
          <w:rFonts w:asciiTheme="minorHAnsi" w:hAnsiTheme="minorHAnsi" w:cstheme="minorHAnsi"/>
          <w:sz w:val="22"/>
          <w:szCs w:val="22"/>
          <w:lang w:val="en-GB"/>
        </w:rPr>
      </w:pPr>
      <w:hyperlink r:id="rId33" w:history="1">
        <w:r w:rsidR="005E5444" w:rsidRPr="005E5444">
          <w:rPr>
            <w:rStyle w:val="Hyperlink"/>
            <w:rFonts w:asciiTheme="minorHAnsi" w:hAnsiTheme="minorHAnsi" w:cstheme="minorHAnsi"/>
            <w:sz w:val="22"/>
            <w:szCs w:val="22"/>
            <w:lang w:val="en-GB"/>
          </w:rPr>
          <w:t>http://www.unpei.org/knowledge-resources/publications.html</w:t>
        </w:r>
      </w:hyperlink>
      <w:r w:rsidR="005E5444" w:rsidRPr="005E5444">
        <w:rPr>
          <w:rFonts w:asciiTheme="minorHAnsi" w:hAnsiTheme="minorHAnsi" w:cstheme="minorHAnsi"/>
          <w:sz w:val="22"/>
          <w:szCs w:val="22"/>
          <w:lang w:val="en-GB"/>
        </w:rPr>
        <w:t xml:space="preserve">. </w:t>
      </w:r>
    </w:p>
    <w:p w14:paraId="75AE8CF7" w14:textId="77777777" w:rsidR="00B32144" w:rsidRPr="004255A9" w:rsidRDefault="00B32144" w:rsidP="00B32144">
      <w:pPr>
        <w:rPr>
          <w:rFonts w:asciiTheme="minorHAnsi" w:hAnsiTheme="minorHAnsi" w:cstheme="minorHAnsi"/>
          <w:sz w:val="22"/>
          <w:szCs w:val="22"/>
          <w:lang w:val="en-GB"/>
        </w:rPr>
      </w:pPr>
    </w:p>
    <w:p w14:paraId="4462DF55" w14:textId="77777777" w:rsidR="00B32144" w:rsidRPr="00B32144" w:rsidRDefault="00B32144" w:rsidP="00B32144">
      <w:pPr>
        <w:rPr>
          <w:rFonts w:asciiTheme="minorHAnsi" w:hAnsiTheme="minorHAnsi" w:cstheme="minorHAnsi"/>
          <w:bCs/>
          <w:sz w:val="22"/>
          <w:szCs w:val="22"/>
          <w:lang w:val="en-GB"/>
        </w:rPr>
      </w:pPr>
      <w:proofErr w:type="gramStart"/>
      <w:r w:rsidRPr="004255A9">
        <w:rPr>
          <w:rFonts w:asciiTheme="minorHAnsi" w:hAnsiTheme="minorHAnsi" w:cstheme="minorHAnsi"/>
          <w:sz w:val="22"/>
          <w:szCs w:val="22"/>
          <w:lang w:val="en-US"/>
        </w:rPr>
        <w:t>World Bank (</w:t>
      </w:r>
      <w:proofErr w:type="spellStart"/>
      <w:r w:rsidRPr="004255A9">
        <w:rPr>
          <w:rFonts w:asciiTheme="minorHAnsi" w:hAnsiTheme="minorHAnsi" w:cstheme="minorHAnsi"/>
          <w:sz w:val="22"/>
          <w:szCs w:val="22"/>
          <w:lang w:val="en-US"/>
        </w:rPr>
        <w:t>n.d.</w:t>
      </w:r>
      <w:proofErr w:type="spellEnd"/>
      <w:r w:rsidRPr="004255A9">
        <w:rPr>
          <w:rFonts w:asciiTheme="minorHAnsi" w:hAnsiTheme="minorHAnsi" w:cstheme="minorHAnsi"/>
          <w:sz w:val="22"/>
          <w:szCs w:val="22"/>
          <w:lang w:val="en-US"/>
        </w:rPr>
        <w:t xml:space="preserve">) </w:t>
      </w:r>
      <w:r w:rsidRPr="004255A9">
        <w:rPr>
          <w:rFonts w:asciiTheme="minorHAnsi" w:hAnsiTheme="minorHAnsi" w:cstheme="minorHAnsi"/>
          <w:bCs/>
          <w:i/>
          <w:sz w:val="22"/>
          <w:szCs w:val="22"/>
          <w:lang w:val="en-GB"/>
        </w:rPr>
        <w:t>Mainstreaming Adaptation to Climate Change in Agriculture and Natural Resources Management Projects</w:t>
      </w:r>
      <w:r w:rsidRPr="004255A9">
        <w:rPr>
          <w:rFonts w:asciiTheme="minorHAnsi" w:hAnsiTheme="minorHAnsi" w:cstheme="minorHAnsi"/>
          <w:bCs/>
          <w:sz w:val="22"/>
          <w:szCs w:val="22"/>
          <w:lang w:val="en-GB"/>
        </w:rPr>
        <w:t>.</w:t>
      </w:r>
      <w:proofErr w:type="gramEnd"/>
      <w:r w:rsidRPr="004255A9">
        <w:rPr>
          <w:rFonts w:asciiTheme="minorHAnsi" w:hAnsiTheme="minorHAnsi" w:cstheme="minorHAnsi"/>
          <w:bCs/>
          <w:sz w:val="22"/>
          <w:szCs w:val="22"/>
          <w:lang w:val="en-GB"/>
        </w:rPr>
        <w:t xml:space="preserve"> </w:t>
      </w:r>
      <w:r w:rsidRPr="005C7CBC">
        <w:rPr>
          <w:rFonts w:asciiTheme="minorHAnsi" w:hAnsiTheme="minorHAnsi" w:cstheme="minorHAnsi"/>
          <w:bCs/>
          <w:sz w:val="22"/>
          <w:szCs w:val="22"/>
          <w:lang w:val="en-GB"/>
        </w:rPr>
        <w:t xml:space="preserve">Guidance Note </w:t>
      </w:r>
      <w:r w:rsidR="00B72943" w:rsidRPr="005C7CBC">
        <w:rPr>
          <w:rFonts w:asciiTheme="minorHAnsi" w:hAnsiTheme="minorHAnsi" w:cstheme="minorHAnsi"/>
          <w:bCs/>
          <w:sz w:val="22"/>
          <w:szCs w:val="22"/>
          <w:lang w:val="en-GB"/>
        </w:rPr>
        <w:t>#</w:t>
      </w:r>
      <w:r w:rsidRPr="005C7CBC">
        <w:rPr>
          <w:rFonts w:asciiTheme="minorHAnsi" w:hAnsiTheme="minorHAnsi" w:cstheme="minorHAnsi"/>
          <w:bCs/>
          <w:sz w:val="22"/>
          <w:szCs w:val="22"/>
          <w:lang w:val="en-GB"/>
        </w:rPr>
        <w:t>4 – Developing Readiness for Institutional Capacity Development and an Enabling Policy Framework.</w:t>
      </w:r>
      <w:r w:rsidRPr="004255A9">
        <w:rPr>
          <w:rFonts w:asciiTheme="minorHAnsi" w:hAnsiTheme="minorHAnsi" w:cstheme="minorHAnsi"/>
          <w:bCs/>
          <w:sz w:val="22"/>
          <w:szCs w:val="22"/>
          <w:lang w:val="en-GB"/>
        </w:rPr>
        <w:t xml:space="preserve"> World Bank, </w:t>
      </w:r>
      <w:r w:rsidRPr="004255A9">
        <w:rPr>
          <w:rFonts w:asciiTheme="minorHAnsi" w:hAnsiTheme="minorHAnsi" w:cstheme="minorHAnsi"/>
          <w:sz w:val="22"/>
          <w:szCs w:val="22"/>
          <w:lang w:val="en-GB"/>
        </w:rPr>
        <w:t xml:space="preserve">Washington, DC. </w:t>
      </w:r>
      <w:r w:rsidR="001B4088">
        <w:rPr>
          <w:rFonts w:asciiTheme="minorHAnsi" w:hAnsiTheme="minorHAnsi" w:cstheme="minorHAnsi"/>
          <w:sz w:val="22"/>
          <w:szCs w:val="22"/>
          <w:lang w:val="en-GB"/>
        </w:rPr>
        <w:t xml:space="preserve">[Online] </w:t>
      </w:r>
      <w:r w:rsidRPr="004255A9">
        <w:rPr>
          <w:rFonts w:asciiTheme="minorHAnsi" w:hAnsiTheme="minorHAnsi" w:cstheme="minorHAnsi"/>
          <w:sz w:val="22"/>
          <w:szCs w:val="22"/>
          <w:lang w:val="en-GB"/>
        </w:rPr>
        <w:t xml:space="preserve">Available from: </w:t>
      </w:r>
      <w:hyperlink r:id="rId34" w:history="1">
        <w:r w:rsidRPr="004255A9">
          <w:rPr>
            <w:rStyle w:val="Hyperlink"/>
            <w:rFonts w:asciiTheme="minorHAnsi" w:hAnsiTheme="minorHAnsi" w:cstheme="minorHAnsi"/>
            <w:sz w:val="22"/>
            <w:szCs w:val="22"/>
            <w:lang w:val="en-GB"/>
          </w:rPr>
          <w:t>http://beta.worldbank.org/climatechange/content/mainstreaming-adaptation-climate-change-agriculture-and-natural-resources-management-project</w:t>
        </w:r>
      </w:hyperlink>
      <w:r w:rsidRPr="004255A9">
        <w:rPr>
          <w:rFonts w:asciiTheme="minorHAnsi" w:hAnsiTheme="minorHAnsi" w:cstheme="minorHAnsi"/>
          <w:sz w:val="22"/>
          <w:szCs w:val="22"/>
          <w:lang w:val="en-GB"/>
        </w:rPr>
        <w:t>.</w:t>
      </w:r>
    </w:p>
    <w:p w14:paraId="201EA69C" w14:textId="77777777" w:rsidR="00B32144" w:rsidRDefault="00B32144" w:rsidP="00B32144">
      <w:pPr>
        <w:rPr>
          <w:rFonts w:asciiTheme="minorHAnsi" w:hAnsiTheme="minorHAnsi" w:cstheme="minorHAnsi"/>
          <w:b/>
          <w:sz w:val="22"/>
          <w:szCs w:val="22"/>
          <w:lang w:val="en-GB"/>
        </w:rPr>
      </w:pPr>
    </w:p>
    <w:p w14:paraId="0AC41993" w14:textId="77777777" w:rsidR="00332DCF" w:rsidRDefault="00332DCF">
      <w:pPr>
        <w:spacing w:after="200" w:line="276" w:lineRule="auto"/>
        <w:jc w:val="left"/>
        <w:rPr>
          <w:rFonts w:asciiTheme="minorHAnsi" w:hAnsiTheme="minorHAnsi" w:cstheme="minorHAnsi"/>
          <w:b/>
          <w:sz w:val="22"/>
          <w:szCs w:val="22"/>
          <w:lang w:val="en-GB"/>
        </w:rPr>
      </w:pPr>
      <w:r>
        <w:rPr>
          <w:rFonts w:asciiTheme="minorHAnsi" w:hAnsiTheme="minorHAnsi" w:cstheme="minorHAnsi"/>
          <w:b/>
          <w:sz w:val="22"/>
          <w:szCs w:val="22"/>
          <w:lang w:val="en-GB"/>
        </w:rPr>
        <w:br w:type="page"/>
      </w:r>
    </w:p>
    <w:p w14:paraId="04EF3B8A" w14:textId="49277BC5" w:rsidR="00B32144" w:rsidRPr="00B32144" w:rsidRDefault="00DC7218" w:rsidP="00B32144">
      <w:pPr>
        <w:rPr>
          <w:rFonts w:asciiTheme="minorHAnsi" w:hAnsiTheme="minorHAnsi" w:cstheme="minorHAnsi"/>
          <w:b/>
          <w:smallCaps/>
          <w:sz w:val="22"/>
          <w:szCs w:val="22"/>
          <w:lang w:val="en-GB"/>
        </w:rPr>
      </w:pPr>
      <w:r>
        <w:rPr>
          <w:rFonts w:asciiTheme="minorHAnsi" w:hAnsiTheme="minorHAnsi" w:cstheme="minorHAnsi"/>
          <w:b/>
          <w:smallCaps/>
          <w:sz w:val="22"/>
          <w:szCs w:val="22"/>
          <w:lang w:val="en-GB"/>
        </w:rPr>
        <w:lastRenderedPageBreak/>
        <w:t>Useful website</w:t>
      </w:r>
      <w:r w:rsidR="00235649">
        <w:rPr>
          <w:rFonts w:asciiTheme="minorHAnsi" w:hAnsiTheme="minorHAnsi" w:cstheme="minorHAnsi"/>
          <w:b/>
          <w:smallCaps/>
          <w:sz w:val="22"/>
          <w:szCs w:val="22"/>
          <w:lang w:val="en-GB"/>
        </w:rPr>
        <w:t>s</w:t>
      </w:r>
      <w:r w:rsidR="00B32144" w:rsidRPr="00B32144">
        <w:rPr>
          <w:rFonts w:asciiTheme="minorHAnsi" w:hAnsiTheme="minorHAnsi" w:cstheme="minorHAnsi"/>
          <w:b/>
          <w:smallCaps/>
          <w:sz w:val="22"/>
          <w:szCs w:val="22"/>
          <w:lang w:val="en-GB"/>
        </w:rPr>
        <w:t>:</w:t>
      </w:r>
    </w:p>
    <w:p w14:paraId="68CBDF11" w14:textId="77777777" w:rsidR="00B32144" w:rsidRDefault="00B32144" w:rsidP="00B32144">
      <w:pPr>
        <w:rPr>
          <w:rFonts w:asciiTheme="minorHAnsi" w:hAnsiTheme="minorHAnsi" w:cstheme="minorHAnsi"/>
          <w:sz w:val="22"/>
          <w:szCs w:val="22"/>
          <w:lang w:val="en-GB"/>
        </w:rPr>
      </w:pPr>
    </w:p>
    <w:p w14:paraId="70398962" w14:textId="77777777" w:rsidR="00235649" w:rsidRDefault="00235649" w:rsidP="00B32144">
      <w:pPr>
        <w:rPr>
          <w:rFonts w:asciiTheme="minorHAnsi" w:hAnsiTheme="minorHAnsi" w:cstheme="minorHAnsi"/>
          <w:sz w:val="22"/>
          <w:szCs w:val="22"/>
          <w:lang w:val="en-GB"/>
        </w:rPr>
      </w:pPr>
      <w:r>
        <w:rPr>
          <w:rFonts w:asciiTheme="minorHAnsi" w:hAnsiTheme="minorHAnsi" w:cstheme="minorHAnsi"/>
          <w:sz w:val="22"/>
          <w:szCs w:val="22"/>
          <w:lang w:val="en-GB"/>
        </w:rPr>
        <w:t>Carbon Finance website of the World Bank:</w:t>
      </w:r>
    </w:p>
    <w:p w14:paraId="6A585841" w14:textId="77777777" w:rsidR="00235649" w:rsidRDefault="00C1593B" w:rsidP="00B32144">
      <w:pPr>
        <w:rPr>
          <w:rFonts w:asciiTheme="minorHAnsi" w:hAnsiTheme="minorHAnsi" w:cstheme="minorHAnsi"/>
          <w:sz w:val="22"/>
          <w:szCs w:val="22"/>
          <w:lang w:val="en-GB"/>
        </w:rPr>
      </w:pPr>
      <w:hyperlink r:id="rId35" w:history="1">
        <w:r w:rsidR="00235649" w:rsidRPr="00587B7C">
          <w:rPr>
            <w:rStyle w:val="Hyperlink"/>
            <w:rFonts w:asciiTheme="minorHAnsi" w:hAnsiTheme="minorHAnsi" w:cstheme="minorHAnsi"/>
            <w:sz w:val="22"/>
            <w:szCs w:val="22"/>
            <w:lang w:val="en-GB"/>
          </w:rPr>
          <w:t>http://carbonfinance.org</w:t>
        </w:r>
      </w:hyperlink>
      <w:r w:rsidR="00235649">
        <w:rPr>
          <w:rFonts w:asciiTheme="minorHAnsi" w:hAnsiTheme="minorHAnsi" w:cstheme="minorHAnsi"/>
          <w:sz w:val="22"/>
          <w:szCs w:val="22"/>
          <w:lang w:val="en-GB"/>
        </w:rPr>
        <w:t xml:space="preserve"> </w:t>
      </w:r>
    </w:p>
    <w:p w14:paraId="5A3EA5EE" w14:textId="77777777" w:rsidR="00235649" w:rsidRPr="00B32144" w:rsidRDefault="00235649" w:rsidP="00B32144">
      <w:pPr>
        <w:rPr>
          <w:rFonts w:asciiTheme="minorHAnsi" w:hAnsiTheme="minorHAnsi" w:cstheme="minorHAnsi"/>
          <w:sz w:val="22"/>
          <w:szCs w:val="22"/>
          <w:lang w:val="en-GB"/>
        </w:rPr>
      </w:pPr>
    </w:p>
    <w:p w14:paraId="30708004" w14:textId="77777777" w:rsidR="00B32144" w:rsidRPr="00B32144" w:rsidRDefault="00B32144" w:rsidP="00B32144">
      <w:pPr>
        <w:rPr>
          <w:rFonts w:asciiTheme="minorHAnsi" w:hAnsiTheme="minorHAnsi" w:cstheme="minorHAnsi"/>
          <w:sz w:val="22"/>
          <w:szCs w:val="22"/>
          <w:lang w:val="en-GB"/>
        </w:rPr>
      </w:pPr>
      <w:r w:rsidRPr="00B32144">
        <w:rPr>
          <w:rFonts w:asciiTheme="minorHAnsi" w:hAnsiTheme="minorHAnsi" w:cstheme="minorHAnsi"/>
          <w:sz w:val="22"/>
          <w:szCs w:val="22"/>
          <w:lang w:val="en-GB"/>
        </w:rPr>
        <w:t>Climate Funds Update:</w:t>
      </w:r>
    </w:p>
    <w:p w14:paraId="66EBEA26" w14:textId="77777777" w:rsidR="00C97BCB" w:rsidRDefault="00C1593B" w:rsidP="00C0293F">
      <w:pPr>
        <w:rPr>
          <w:rFonts w:asciiTheme="minorHAnsi" w:hAnsiTheme="minorHAnsi" w:cstheme="minorHAnsi"/>
          <w:sz w:val="22"/>
          <w:szCs w:val="22"/>
          <w:lang w:val="en-GB"/>
        </w:rPr>
      </w:pPr>
      <w:hyperlink r:id="rId36" w:history="1">
        <w:r w:rsidR="00B32144" w:rsidRPr="00B32144">
          <w:rPr>
            <w:rStyle w:val="Hyperlink"/>
            <w:rFonts w:asciiTheme="minorHAnsi" w:hAnsiTheme="minorHAnsi" w:cstheme="minorHAnsi"/>
            <w:sz w:val="22"/>
            <w:szCs w:val="22"/>
            <w:lang w:val="en-GB"/>
          </w:rPr>
          <w:t>http://www.climatefundsupdate.org/</w:t>
        </w:r>
      </w:hyperlink>
      <w:r w:rsidR="00B32144" w:rsidRPr="00B32144">
        <w:rPr>
          <w:rFonts w:asciiTheme="minorHAnsi" w:hAnsiTheme="minorHAnsi" w:cstheme="minorHAnsi"/>
          <w:sz w:val="22"/>
          <w:szCs w:val="22"/>
          <w:lang w:val="en-GB"/>
        </w:rPr>
        <w:t xml:space="preserve"> </w:t>
      </w:r>
    </w:p>
    <w:p w14:paraId="5E3F4DC0" w14:textId="77777777" w:rsidR="005C0175" w:rsidRDefault="005C0175" w:rsidP="00C0293F">
      <w:pPr>
        <w:rPr>
          <w:rFonts w:asciiTheme="minorHAnsi" w:hAnsiTheme="minorHAnsi" w:cstheme="minorHAnsi"/>
          <w:sz w:val="22"/>
          <w:szCs w:val="22"/>
          <w:lang w:val="en-GB"/>
        </w:rPr>
      </w:pPr>
    </w:p>
    <w:p w14:paraId="3D96B80F" w14:textId="1403BFBD" w:rsidR="005C0175" w:rsidRDefault="005C0175" w:rsidP="00C0293F">
      <w:pPr>
        <w:rPr>
          <w:rFonts w:asciiTheme="minorHAnsi" w:hAnsiTheme="minorHAnsi" w:cstheme="minorHAnsi"/>
          <w:sz w:val="22"/>
          <w:szCs w:val="22"/>
          <w:lang w:val="en-GB"/>
        </w:rPr>
      </w:pPr>
      <w:r>
        <w:rPr>
          <w:rFonts w:asciiTheme="minorHAnsi" w:hAnsiTheme="minorHAnsi" w:cstheme="minorHAnsi"/>
          <w:sz w:val="22"/>
          <w:szCs w:val="22"/>
          <w:lang w:val="en-GB"/>
        </w:rPr>
        <w:t>Climate Public Expenditure and Institutional Review (CPEIR) resources:</w:t>
      </w:r>
    </w:p>
    <w:p w14:paraId="4F3DE194" w14:textId="6C62902F" w:rsidR="005C0175" w:rsidRDefault="00C1593B" w:rsidP="00C0293F">
      <w:pPr>
        <w:rPr>
          <w:rFonts w:asciiTheme="minorHAnsi" w:hAnsiTheme="minorHAnsi" w:cstheme="minorHAnsi"/>
          <w:sz w:val="22"/>
          <w:szCs w:val="22"/>
          <w:lang w:val="en-GB"/>
        </w:rPr>
      </w:pPr>
      <w:hyperlink r:id="rId37" w:history="1">
        <w:r w:rsidR="008B439D" w:rsidRPr="007C615C">
          <w:rPr>
            <w:rStyle w:val="Hyperlink"/>
            <w:rFonts w:asciiTheme="minorHAnsi" w:hAnsiTheme="minorHAnsi" w:cstheme="minorHAnsi"/>
            <w:sz w:val="22"/>
            <w:szCs w:val="22"/>
            <w:lang w:val="en-GB"/>
          </w:rPr>
          <w:t>http://www.aideffectiveness.org/CPEIR/</w:t>
        </w:r>
      </w:hyperlink>
    </w:p>
    <w:p w14:paraId="18316158" w14:textId="77777777" w:rsidR="008B439D" w:rsidRDefault="008B439D" w:rsidP="00C0293F">
      <w:pPr>
        <w:rPr>
          <w:rFonts w:asciiTheme="minorHAnsi" w:hAnsiTheme="minorHAnsi" w:cstheme="minorHAnsi"/>
          <w:sz w:val="22"/>
          <w:szCs w:val="22"/>
          <w:lang w:val="en-GB"/>
        </w:rPr>
      </w:pPr>
    </w:p>
    <w:p w14:paraId="0382A5B3" w14:textId="77777777" w:rsidR="005C6E44" w:rsidRDefault="005C6E44">
      <w:pPr>
        <w:spacing w:after="200" w:line="276" w:lineRule="auto"/>
        <w:jc w:val="left"/>
        <w:rPr>
          <w:rFonts w:asciiTheme="minorHAnsi" w:hAnsiTheme="minorHAnsi" w:cstheme="minorHAnsi"/>
          <w:sz w:val="22"/>
          <w:szCs w:val="22"/>
          <w:lang w:val="en-GB"/>
        </w:rPr>
      </w:pPr>
      <w:r>
        <w:rPr>
          <w:rFonts w:asciiTheme="minorHAnsi" w:hAnsiTheme="minorHAnsi" w:cstheme="minorHAnsi"/>
          <w:sz w:val="22"/>
          <w:szCs w:val="22"/>
          <w:lang w:val="en-GB"/>
        </w:rPr>
        <w:br w:type="page"/>
      </w:r>
    </w:p>
    <w:p w14:paraId="461B7B19" w14:textId="77777777" w:rsidR="005C6E44" w:rsidRPr="005C6E44" w:rsidRDefault="005C6E44" w:rsidP="005C6E44">
      <w:pPr>
        <w:jc w:val="center"/>
        <w:rPr>
          <w:rFonts w:asciiTheme="minorHAnsi" w:hAnsiTheme="minorHAnsi" w:cstheme="minorHAnsi"/>
          <w:b/>
          <w:color w:val="17365D" w:themeColor="text2" w:themeShade="BF"/>
          <w:sz w:val="24"/>
          <w:lang w:val="en-GB"/>
        </w:rPr>
      </w:pPr>
      <w:r w:rsidRPr="005C6E44">
        <w:rPr>
          <w:rFonts w:asciiTheme="minorHAnsi" w:hAnsiTheme="minorHAnsi" w:cstheme="minorHAnsi"/>
          <w:b/>
          <w:color w:val="17365D" w:themeColor="text2" w:themeShade="BF"/>
          <w:sz w:val="24"/>
          <w:lang w:val="en-GB"/>
        </w:rPr>
        <w:lastRenderedPageBreak/>
        <w:t xml:space="preserve">Annex 8.1 – Guiding questions for engaging in the budgetary process </w:t>
      </w:r>
      <w:r>
        <w:rPr>
          <w:rFonts w:asciiTheme="minorHAnsi" w:hAnsiTheme="minorHAnsi" w:cstheme="minorHAnsi"/>
          <w:b/>
          <w:color w:val="17365D" w:themeColor="text2" w:themeShade="BF"/>
          <w:sz w:val="24"/>
          <w:lang w:val="en-GB"/>
        </w:rPr>
        <w:br/>
      </w:r>
      <w:r w:rsidRPr="005C6E44">
        <w:rPr>
          <w:rFonts w:asciiTheme="minorHAnsi" w:hAnsiTheme="minorHAnsi" w:cstheme="minorHAnsi"/>
          <w:b/>
          <w:color w:val="17365D" w:themeColor="text2" w:themeShade="BF"/>
          <w:sz w:val="24"/>
          <w:lang w:val="en-GB"/>
        </w:rPr>
        <w:t>/ Questions that can be answered by a public expenditure review</w:t>
      </w:r>
    </w:p>
    <w:p w14:paraId="274E5B54" w14:textId="77777777" w:rsidR="005C6E44" w:rsidRDefault="005C6E44" w:rsidP="00C0293F">
      <w:pPr>
        <w:rPr>
          <w:rFonts w:asciiTheme="minorHAnsi" w:hAnsiTheme="minorHAnsi" w:cstheme="minorHAnsi"/>
          <w:sz w:val="22"/>
          <w:szCs w:val="22"/>
          <w:lang w:val="en-GB"/>
        </w:rPr>
      </w:pPr>
    </w:p>
    <w:p w14:paraId="041278EA" w14:textId="77777777" w:rsidR="005C6E44" w:rsidRPr="00BD6582" w:rsidRDefault="005C6E44" w:rsidP="005C6E44">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rPr>
          <w:rFonts w:ascii="Calibri" w:hAnsi="Calibri" w:cs="Calibri"/>
          <w:sz w:val="4"/>
          <w:szCs w:val="4"/>
          <w:lang w:val="en-GB"/>
        </w:rPr>
      </w:pPr>
    </w:p>
    <w:p w14:paraId="53B562DA" w14:textId="16EC0274" w:rsidR="005C6E44" w:rsidRDefault="005C6E44" w:rsidP="005C6E44">
      <w:pPr>
        <w:numPr>
          <w:ilvl w:val="0"/>
          <w:numId w:val="27"/>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rPr>
          <w:rFonts w:ascii="Calibri" w:hAnsi="Calibri" w:cs="Calibri"/>
          <w:sz w:val="22"/>
          <w:szCs w:val="22"/>
          <w:lang w:val="en-GB"/>
        </w:rPr>
      </w:pPr>
      <w:r w:rsidRPr="00BD6582">
        <w:rPr>
          <w:rFonts w:ascii="Calibri" w:hAnsi="Calibri" w:cs="Calibri"/>
          <w:sz w:val="22"/>
          <w:szCs w:val="22"/>
          <w:lang w:val="en-GB"/>
        </w:rPr>
        <w:t xml:space="preserve">Are budget planning and expenditures being directed toward the appropriate priorities in view of </w:t>
      </w:r>
      <w:r w:rsidR="007D2CF9">
        <w:rPr>
          <w:rFonts w:ascii="Calibri" w:hAnsi="Calibri" w:cs="Calibri"/>
          <w:sz w:val="22"/>
          <w:szCs w:val="22"/>
          <w:lang w:val="en-GB"/>
        </w:rPr>
        <w:t xml:space="preserve">environmental challenges and climate change </w:t>
      </w:r>
      <w:r w:rsidRPr="00BD6582">
        <w:rPr>
          <w:rFonts w:ascii="Calibri" w:hAnsi="Calibri" w:cs="Calibri"/>
          <w:sz w:val="22"/>
          <w:szCs w:val="22"/>
          <w:lang w:val="en-GB"/>
        </w:rPr>
        <w:t>adaptation</w:t>
      </w:r>
      <w:r>
        <w:rPr>
          <w:rFonts w:ascii="Calibri" w:hAnsi="Calibri" w:cs="Calibri"/>
          <w:sz w:val="22"/>
          <w:szCs w:val="22"/>
          <w:lang w:val="en-GB"/>
        </w:rPr>
        <w:t xml:space="preserve"> and mitigation</w:t>
      </w:r>
      <w:r w:rsidRPr="00BD6582">
        <w:rPr>
          <w:rFonts w:ascii="Calibri" w:hAnsi="Calibri" w:cs="Calibri"/>
          <w:sz w:val="22"/>
          <w:szCs w:val="22"/>
          <w:lang w:val="en-GB"/>
        </w:rPr>
        <w:t>? For example, is sufficient budget allocated and spent for irrigation modernization/development and water conservation in areas subject to increasing water stress and droughts</w:t>
      </w:r>
      <w:r>
        <w:rPr>
          <w:rFonts w:ascii="Calibri" w:hAnsi="Calibri" w:cs="Calibri"/>
          <w:sz w:val="22"/>
          <w:szCs w:val="22"/>
          <w:lang w:val="en-GB"/>
        </w:rPr>
        <w:t>;</w:t>
      </w:r>
      <w:r w:rsidRPr="00BD6582">
        <w:rPr>
          <w:rFonts w:ascii="Calibri" w:hAnsi="Calibri" w:cs="Calibri"/>
          <w:sz w:val="22"/>
          <w:szCs w:val="22"/>
          <w:lang w:val="en-GB"/>
        </w:rPr>
        <w:t xml:space="preserve"> </w:t>
      </w:r>
      <w:r w:rsidR="007D2CF9">
        <w:rPr>
          <w:rFonts w:ascii="Calibri" w:hAnsi="Calibri" w:cs="Calibri"/>
          <w:sz w:val="22"/>
          <w:szCs w:val="22"/>
          <w:lang w:val="en-GB"/>
        </w:rPr>
        <w:t xml:space="preserve">soil conservation; pollution prevention; </w:t>
      </w:r>
      <w:r w:rsidRPr="00BD6582">
        <w:rPr>
          <w:rFonts w:ascii="Calibri" w:hAnsi="Calibri" w:cs="Calibri"/>
          <w:sz w:val="22"/>
          <w:szCs w:val="22"/>
          <w:lang w:val="en-GB"/>
        </w:rPr>
        <w:t>flood protection measures for critical infrastructure</w:t>
      </w:r>
      <w:r>
        <w:rPr>
          <w:rFonts w:ascii="Calibri" w:hAnsi="Calibri" w:cs="Calibri"/>
          <w:sz w:val="22"/>
          <w:szCs w:val="22"/>
          <w:lang w:val="en-GB"/>
        </w:rPr>
        <w:t>;</w:t>
      </w:r>
      <w:r w:rsidRPr="00BD6582">
        <w:rPr>
          <w:rFonts w:ascii="Calibri" w:hAnsi="Calibri" w:cs="Calibri"/>
          <w:sz w:val="22"/>
          <w:szCs w:val="22"/>
          <w:lang w:val="en-GB"/>
        </w:rPr>
        <w:t xml:space="preserve"> reversing trends of land degradation in productive areas</w:t>
      </w:r>
      <w:r>
        <w:rPr>
          <w:rFonts w:ascii="Calibri" w:hAnsi="Calibri" w:cs="Calibri"/>
          <w:sz w:val="22"/>
          <w:szCs w:val="22"/>
          <w:lang w:val="en-GB"/>
        </w:rPr>
        <w:t>; implementing the national energy efficiency and clean energy development programme; preparing the country for participation in REDD+?</w:t>
      </w:r>
    </w:p>
    <w:p w14:paraId="709E27B9" w14:textId="7726E09F" w:rsidR="005C6E44" w:rsidRDefault="005C6E44" w:rsidP="005C6E44">
      <w:pPr>
        <w:numPr>
          <w:ilvl w:val="0"/>
          <w:numId w:val="27"/>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rPr>
          <w:rFonts w:ascii="Calibri" w:hAnsi="Calibri" w:cs="Calibri"/>
          <w:sz w:val="22"/>
          <w:szCs w:val="22"/>
          <w:lang w:val="en-GB"/>
        </w:rPr>
      </w:pPr>
      <w:r w:rsidRPr="00BD6582">
        <w:rPr>
          <w:rFonts w:ascii="Calibri" w:hAnsi="Calibri" w:cs="Calibri"/>
          <w:sz w:val="22"/>
          <w:szCs w:val="22"/>
          <w:lang w:val="en-GB"/>
        </w:rPr>
        <w:t xml:space="preserve">Do recent changes in budget allocations and expenditures provide evidence </w:t>
      </w:r>
      <w:r w:rsidR="00EC77FA">
        <w:rPr>
          <w:rFonts w:ascii="Calibri" w:hAnsi="Calibri" w:cs="Calibri"/>
          <w:sz w:val="22"/>
          <w:szCs w:val="22"/>
          <w:lang w:val="en-GB"/>
        </w:rPr>
        <w:t>of</w:t>
      </w:r>
      <w:r w:rsidRPr="00BD6582">
        <w:rPr>
          <w:rFonts w:ascii="Calibri" w:hAnsi="Calibri" w:cs="Calibri"/>
          <w:sz w:val="22"/>
          <w:szCs w:val="22"/>
          <w:lang w:val="en-GB"/>
        </w:rPr>
        <w:t xml:space="preserve"> increased attention to adaptation to</w:t>
      </w:r>
      <w:r w:rsidR="007D2CF9">
        <w:rPr>
          <w:rFonts w:ascii="Calibri" w:hAnsi="Calibri" w:cs="Calibri"/>
          <w:sz w:val="22"/>
          <w:szCs w:val="22"/>
          <w:lang w:val="en-GB"/>
        </w:rPr>
        <w:t xml:space="preserve"> environment,</w:t>
      </w:r>
      <w:r w:rsidRPr="00BD6582">
        <w:rPr>
          <w:rFonts w:ascii="Calibri" w:hAnsi="Calibri" w:cs="Calibri"/>
          <w:sz w:val="22"/>
          <w:szCs w:val="22"/>
          <w:lang w:val="en-GB"/>
        </w:rPr>
        <w:t xml:space="preserve"> climate variability</w:t>
      </w:r>
      <w:r>
        <w:rPr>
          <w:rFonts w:ascii="Calibri" w:hAnsi="Calibri" w:cs="Calibri"/>
          <w:sz w:val="22"/>
          <w:szCs w:val="22"/>
          <w:lang w:val="en-GB"/>
        </w:rPr>
        <w:t>,</w:t>
      </w:r>
      <w:r w:rsidRPr="00BD6582">
        <w:rPr>
          <w:rFonts w:ascii="Calibri" w:hAnsi="Calibri" w:cs="Calibri"/>
          <w:sz w:val="22"/>
          <w:szCs w:val="22"/>
          <w:lang w:val="en-GB"/>
        </w:rPr>
        <w:t xml:space="preserve"> disaster preparedness</w:t>
      </w:r>
      <w:r>
        <w:rPr>
          <w:rFonts w:ascii="Calibri" w:hAnsi="Calibri" w:cs="Calibri"/>
          <w:sz w:val="22"/>
          <w:szCs w:val="22"/>
          <w:lang w:val="en-GB"/>
        </w:rPr>
        <w:t xml:space="preserve">, </w:t>
      </w:r>
      <w:proofErr w:type="gramStart"/>
      <w:r>
        <w:rPr>
          <w:rFonts w:ascii="Calibri" w:hAnsi="Calibri" w:cs="Calibri"/>
          <w:sz w:val="22"/>
          <w:szCs w:val="22"/>
          <w:lang w:val="en-GB"/>
        </w:rPr>
        <w:t>low</w:t>
      </w:r>
      <w:proofErr w:type="gramEnd"/>
      <w:r>
        <w:rPr>
          <w:rFonts w:ascii="Calibri" w:hAnsi="Calibri" w:cs="Calibri"/>
          <w:sz w:val="22"/>
          <w:szCs w:val="22"/>
          <w:lang w:val="en-GB"/>
        </w:rPr>
        <w:t>-emission development options</w:t>
      </w:r>
      <w:r w:rsidRPr="00BD6582">
        <w:rPr>
          <w:rFonts w:ascii="Calibri" w:hAnsi="Calibri" w:cs="Calibri"/>
          <w:sz w:val="22"/>
          <w:szCs w:val="22"/>
          <w:lang w:val="en-GB"/>
        </w:rPr>
        <w:t>?</w:t>
      </w:r>
    </w:p>
    <w:p w14:paraId="7E66DEF0" w14:textId="466DC8FA" w:rsidR="005C6E44" w:rsidRDefault="005C6E44" w:rsidP="005C6E44">
      <w:pPr>
        <w:numPr>
          <w:ilvl w:val="0"/>
          <w:numId w:val="27"/>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rPr>
          <w:rFonts w:ascii="Calibri" w:hAnsi="Calibri" w:cs="Calibri"/>
          <w:sz w:val="22"/>
          <w:szCs w:val="22"/>
          <w:lang w:val="en-GB"/>
        </w:rPr>
      </w:pPr>
      <w:r w:rsidRPr="006D4E5E">
        <w:rPr>
          <w:rFonts w:ascii="Calibri" w:hAnsi="Calibri" w:cs="Calibri"/>
          <w:sz w:val="22"/>
          <w:szCs w:val="22"/>
          <w:lang w:val="en-GB"/>
        </w:rPr>
        <w:t xml:space="preserve">Do public investment decisions consider geographical distribution of </w:t>
      </w:r>
      <w:r w:rsidR="00834FE6">
        <w:rPr>
          <w:rFonts w:ascii="Calibri" w:hAnsi="Calibri" w:cs="Calibri"/>
          <w:sz w:val="22"/>
          <w:szCs w:val="22"/>
          <w:lang w:val="en-GB"/>
        </w:rPr>
        <w:t xml:space="preserve">environmental challenges and </w:t>
      </w:r>
      <w:r w:rsidRPr="006D4E5E">
        <w:rPr>
          <w:rFonts w:ascii="Calibri" w:hAnsi="Calibri" w:cs="Calibri"/>
          <w:sz w:val="22"/>
          <w:szCs w:val="22"/>
          <w:lang w:val="en-GB"/>
        </w:rPr>
        <w:t>climate risks and vulnerabilities? For example, are investments in water harvesting going toward the most water-stressed areas? Are investments in crucial transport networks going to cyclone-prone areas and, if so, is there any expenditure conditionality to ensure that critical infrastructure is climate-proofed?</w:t>
      </w:r>
    </w:p>
    <w:p w14:paraId="4B838B68" w14:textId="7CC3F9B4" w:rsidR="005C6E44" w:rsidRPr="006D4E5E" w:rsidRDefault="005C6E44" w:rsidP="005C6E44">
      <w:pPr>
        <w:numPr>
          <w:ilvl w:val="0"/>
          <w:numId w:val="27"/>
        </w:num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120"/>
        <w:ind w:left="284" w:hanging="284"/>
        <w:rPr>
          <w:rFonts w:ascii="Calibri" w:hAnsi="Calibri" w:cs="Calibri"/>
          <w:sz w:val="22"/>
          <w:szCs w:val="22"/>
          <w:lang w:val="en-GB"/>
        </w:rPr>
      </w:pPr>
      <w:r w:rsidRPr="006D4E5E">
        <w:rPr>
          <w:rFonts w:ascii="Calibri" w:hAnsi="Calibri" w:cs="Calibri"/>
          <w:sz w:val="22"/>
          <w:szCs w:val="22"/>
          <w:lang w:val="en-GB"/>
        </w:rPr>
        <w:t xml:space="preserve">How can the revenue-generating, budget planning and allocation, and expenditure management systems be improved and/or revised to enhance the contribution of relevant economic sectors to </w:t>
      </w:r>
      <w:r w:rsidR="00834FE6">
        <w:rPr>
          <w:rFonts w:ascii="Calibri" w:hAnsi="Calibri" w:cs="Calibri"/>
          <w:sz w:val="22"/>
          <w:szCs w:val="22"/>
          <w:lang w:val="en-GB"/>
        </w:rPr>
        <w:t xml:space="preserve">environment, climate change </w:t>
      </w:r>
      <w:r w:rsidRPr="006D4E5E">
        <w:rPr>
          <w:rFonts w:ascii="Calibri" w:hAnsi="Calibri" w:cs="Calibri"/>
          <w:sz w:val="22"/>
          <w:szCs w:val="22"/>
          <w:lang w:val="en-GB"/>
        </w:rPr>
        <w:t xml:space="preserve">adaptation, </w:t>
      </w:r>
      <w:r>
        <w:rPr>
          <w:rFonts w:ascii="Calibri" w:hAnsi="Calibri" w:cs="Calibri"/>
          <w:sz w:val="22"/>
          <w:szCs w:val="22"/>
          <w:lang w:val="en-GB"/>
        </w:rPr>
        <w:t xml:space="preserve">climate-resilient and low-emission </w:t>
      </w:r>
      <w:r w:rsidRPr="006D4E5E">
        <w:rPr>
          <w:rFonts w:ascii="Calibri" w:hAnsi="Calibri" w:cs="Calibri"/>
          <w:sz w:val="22"/>
          <w:szCs w:val="22"/>
          <w:lang w:val="en-GB"/>
        </w:rPr>
        <w:t xml:space="preserve">development </w:t>
      </w:r>
      <w:r>
        <w:rPr>
          <w:rFonts w:ascii="Calibri" w:hAnsi="Calibri" w:cs="Calibri"/>
          <w:sz w:val="22"/>
          <w:szCs w:val="22"/>
          <w:lang w:val="en-GB"/>
        </w:rPr>
        <w:t>while supporting</w:t>
      </w:r>
      <w:r w:rsidRPr="006D4E5E">
        <w:rPr>
          <w:rFonts w:ascii="Calibri" w:hAnsi="Calibri" w:cs="Calibri"/>
          <w:sz w:val="22"/>
          <w:szCs w:val="22"/>
          <w:lang w:val="en-GB"/>
        </w:rPr>
        <w:t xml:space="preserve"> poverty reduction?</w:t>
      </w:r>
    </w:p>
    <w:p w14:paraId="1087F61E" w14:textId="77777777" w:rsidR="005C6E44" w:rsidRPr="005C6E44" w:rsidRDefault="005C6E44" w:rsidP="005C6E44">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spacing w:before="240"/>
        <w:rPr>
          <w:rFonts w:ascii="Calibri" w:hAnsi="Calibri" w:cs="Calibri"/>
          <w:iCs/>
          <w:color w:val="17365D" w:themeColor="text2" w:themeShade="BF"/>
          <w:sz w:val="20"/>
          <w:szCs w:val="20"/>
          <w:lang w:val="en-GB"/>
        </w:rPr>
      </w:pPr>
      <w:r w:rsidRPr="005C6E44">
        <w:rPr>
          <w:rFonts w:ascii="Calibri" w:hAnsi="Calibri" w:cs="Calibri"/>
          <w:b/>
          <w:color w:val="17365D" w:themeColor="text2" w:themeShade="BF"/>
          <w:sz w:val="20"/>
          <w:szCs w:val="20"/>
          <w:lang w:val="en-GB"/>
        </w:rPr>
        <w:t xml:space="preserve">Adapted from: UNDP-UNEP (2011) </w:t>
      </w:r>
      <w:r w:rsidRPr="005C6E44">
        <w:rPr>
          <w:rFonts w:ascii="Calibri" w:hAnsi="Calibri" w:cs="Calibri"/>
          <w:b/>
          <w:i/>
          <w:iCs/>
          <w:color w:val="17365D" w:themeColor="text2" w:themeShade="BF"/>
          <w:sz w:val="20"/>
          <w:szCs w:val="20"/>
          <w:lang w:val="en-GB"/>
        </w:rPr>
        <w:t>Mainstreaming Adaptation to Climate Change into Development Planning: A Guide for Practitioners</w:t>
      </w:r>
      <w:r w:rsidRPr="005C6E44">
        <w:rPr>
          <w:rFonts w:ascii="Calibri" w:hAnsi="Calibri" w:cs="Calibri"/>
          <w:b/>
          <w:iCs/>
          <w:color w:val="17365D" w:themeColor="text2" w:themeShade="BF"/>
          <w:sz w:val="20"/>
          <w:szCs w:val="20"/>
          <w:lang w:val="en-GB"/>
        </w:rPr>
        <w:t xml:space="preserve">. </w:t>
      </w:r>
      <w:r w:rsidRPr="005C6E44">
        <w:rPr>
          <w:rFonts w:ascii="Calibri" w:hAnsi="Calibri" w:cs="Calibri"/>
          <w:iCs/>
          <w:color w:val="17365D" w:themeColor="text2" w:themeShade="BF"/>
          <w:sz w:val="20"/>
          <w:szCs w:val="20"/>
          <w:lang w:val="en-GB"/>
        </w:rPr>
        <w:t>Box 6.5, p. 68; and</w:t>
      </w:r>
      <w:r w:rsidRPr="005C6E44">
        <w:rPr>
          <w:rFonts w:ascii="Calibri" w:hAnsi="Calibri" w:cs="Calibri"/>
          <w:b/>
          <w:iCs/>
          <w:color w:val="17365D" w:themeColor="text2" w:themeShade="BF"/>
          <w:sz w:val="20"/>
          <w:szCs w:val="20"/>
          <w:lang w:val="en-GB"/>
        </w:rPr>
        <w:t xml:space="preserve"> World Bank (</w:t>
      </w:r>
      <w:proofErr w:type="spellStart"/>
      <w:r w:rsidRPr="005C6E44">
        <w:rPr>
          <w:rFonts w:ascii="Calibri" w:hAnsi="Calibri" w:cs="Calibri"/>
          <w:b/>
          <w:iCs/>
          <w:color w:val="17365D" w:themeColor="text2" w:themeShade="BF"/>
          <w:sz w:val="20"/>
          <w:szCs w:val="20"/>
          <w:lang w:val="en-GB"/>
        </w:rPr>
        <w:t>n.d.</w:t>
      </w:r>
      <w:proofErr w:type="spellEnd"/>
      <w:r w:rsidRPr="005C6E44">
        <w:rPr>
          <w:rFonts w:ascii="Calibri" w:hAnsi="Calibri" w:cs="Calibri"/>
          <w:b/>
          <w:iCs/>
          <w:color w:val="17365D" w:themeColor="text2" w:themeShade="BF"/>
          <w:sz w:val="20"/>
          <w:szCs w:val="20"/>
          <w:lang w:val="en-GB"/>
        </w:rPr>
        <w:t xml:space="preserve">) </w:t>
      </w:r>
      <w:r w:rsidRPr="005C6E44">
        <w:rPr>
          <w:rFonts w:ascii="Calibri" w:hAnsi="Calibri" w:cs="Calibri"/>
          <w:b/>
          <w:bCs/>
          <w:i/>
          <w:iCs/>
          <w:color w:val="17365D" w:themeColor="text2" w:themeShade="BF"/>
          <w:sz w:val="20"/>
          <w:szCs w:val="20"/>
          <w:lang w:val="en-GB"/>
        </w:rPr>
        <w:t>Mainstreaming Adaptation to Climate Change in Agriculture and Natural Resources Management Projects</w:t>
      </w:r>
      <w:r w:rsidRPr="005C6E44">
        <w:rPr>
          <w:rFonts w:ascii="Calibri" w:hAnsi="Calibri" w:cs="Calibri"/>
          <w:b/>
          <w:bCs/>
          <w:iCs/>
          <w:color w:val="17365D" w:themeColor="text2" w:themeShade="BF"/>
          <w:sz w:val="20"/>
          <w:szCs w:val="20"/>
          <w:lang w:val="en-GB"/>
        </w:rPr>
        <w:t xml:space="preserve">. </w:t>
      </w:r>
      <w:r w:rsidRPr="005C6E44">
        <w:rPr>
          <w:rFonts w:ascii="Calibri" w:hAnsi="Calibri" w:cs="Calibri"/>
          <w:bCs/>
          <w:iCs/>
          <w:color w:val="17365D" w:themeColor="text2" w:themeShade="BF"/>
          <w:sz w:val="20"/>
          <w:szCs w:val="20"/>
          <w:lang w:val="en-GB"/>
        </w:rPr>
        <w:t xml:space="preserve">Guidance Note #4: Developing Readiness for Institutional Capacity Development and an Enabling Policy Framework. World Bank, </w:t>
      </w:r>
      <w:r w:rsidRPr="005C6E44">
        <w:rPr>
          <w:rFonts w:ascii="Calibri" w:hAnsi="Calibri" w:cs="Calibri"/>
          <w:iCs/>
          <w:color w:val="17365D" w:themeColor="text2" w:themeShade="BF"/>
          <w:sz w:val="20"/>
          <w:szCs w:val="20"/>
          <w:lang w:val="en-GB"/>
        </w:rPr>
        <w:t>Washington, DC, pp. 16-17.</w:t>
      </w:r>
    </w:p>
    <w:p w14:paraId="4AF98E80" w14:textId="77777777" w:rsidR="005C6E44" w:rsidRPr="006D4E5E" w:rsidRDefault="005C6E44" w:rsidP="005C6E44">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F2F2" w:themeFill="background1" w:themeFillShade="F2"/>
        <w:rPr>
          <w:rFonts w:ascii="Calibri" w:hAnsi="Calibri" w:cs="Calibri"/>
          <w:b/>
          <w:sz w:val="4"/>
          <w:szCs w:val="4"/>
          <w:lang w:val="en-GB"/>
        </w:rPr>
      </w:pPr>
    </w:p>
    <w:p w14:paraId="62DCA7C7" w14:textId="77777777" w:rsidR="005C6E44" w:rsidRDefault="005C6E44" w:rsidP="00C0293F">
      <w:pPr>
        <w:rPr>
          <w:rFonts w:asciiTheme="minorHAnsi" w:hAnsiTheme="minorHAnsi" w:cstheme="minorHAnsi"/>
          <w:sz w:val="22"/>
          <w:szCs w:val="22"/>
          <w:lang w:val="en-GB"/>
        </w:rPr>
      </w:pPr>
    </w:p>
    <w:p w14:paraId="461D70FB" w14:textId="77777777" w:rsidR="005C6E44" w:rsidRPr="00703706" w:rsidRDefault="005C6E44" w:rsidP="00C0293F">
      <w:pPr>
        <w:rPr>
          <w:rFonts w:asciiTheme="minorHAnsi" w:hAnsiTheme="minorHAnsi" w:cstheme="minorHAnsi"/>
          <w:sz w:val="22"/>
          <w:szCs w:val="22"/>
          <w:lang w:val="en-GB"/>
        </w:rPr>
      </w:pPr>
    </w:p>
    <w:sectPr w:rsidR="005C6E44" w:rsidRPr="00703706" w:rsidSect="00353BD3">
      <w:footerReference w:type="default" r:id="rId38"/>
      <w:pgSz w:w="11906" w:h="16838" w:code="9"/>
      <w:pgMar w:top="1134" w:right="1418" w:bottom="1134" w:left="1276" w:header="709"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FB9623" w14:textId="77777777" w:rsidR="00FF0000" w:rsidRDefault="00FF0000" w:rsidP="00CD7634">
      <w:r>
        <w:separator/>
      </w:r>
    </w:p>
  </w:endnote>
  <w:endnote w:type="continuationSeparator" w:id="0">
    <w:p w14:paraId="3D2A5E2F" w14:textId="77777777" w:rsidR="00FF0000" w:rsidRDefault="00FF0000" w:rsidP="00CD7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panose1 w:val="00000000000000000000"/>
    <w:charset w:val="86"/>
    <w:family w:val="auto"/>
    <w:notTrueType/>
    <w:pitch w:val="variable"/>
    <w:sig w:usb0="00000001" w:usb1="080E0000" w:usb2="00000010" w:usb3="00000000" w:csb0="00040000"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85" w:type="dxa"/>
      <w:tblInd w:w="-709" w:type="dxa"/>
      <w:tblLayout w:type="fixed"/>
      <w:tblCellMar>
        <w:left w:w="0" w:type="dxa"/>
        <w:right w:w="0" w:type="dxa"/>
      </w:tblCellMar>
      <w:tblLook w:val="00A0" w:firstRow="1" w:lastRow="0" w:firstColumn="1" w:lastColumn="0" w:noHBand="0" w:noVBand="0"/>
    </w:tblPr>
    <w:tblGrid>
      <w:gridCol w:w="10065"/>
      <w:gridCol w:w="20"/>
    </w:tblGrid>
    <w:tr w:rsidR="00C1593B" w:rsidRPr="00F45D2E" w14:paraId="715DE711" w14:textId="77777777" w:rsidTr="00C1593B">
      <w:tc>
        <w:tcPr>
          <w:tcW w:w="10065" w:type="dxa"/>
          <w:vAlign w:val="center"/>
        </w:tcPr>
        <w:p w14:paraId="68DDF3A0" w14:textId="77777777" w:rsidR="00FF0000" w:rsidRPr="00D70C9A" w:rsidRDefault="00FF0000" w:rsidP="00C1593B">
          <w:pPr>
            <w:pStyle w:val="Footer"/>
            <w:tabs>
              <w:tab w:val="clear" w:pos="4536"/>
              <w:tab w:val="clear" w:pos="9072"/>
            </w:tabs>
            <w:jc w:val="center"/>
            <w:rPr>
              <w:rFonts w:ascii="Arial" w:hAnsi="Arial" w:cs="Arial"/>
              <w:sz w:val="21"/>
              <w:szCs w:val="21"/>
              <w:lang w:val="en-GB"/>
            </w:rPr>
          </w:pPr>
          <w:r w:rsidRPr="00D70C9A">
            <w:rPr>
              <w:rFonts w:ascii="Arial" w:hAnsi="Arial" w:cs="Arial"/>
              <w:noProof/>
              <w:sz w:val="21"/>
              <w:szCs w:val="21"/>
              <w:lang w:val="en-US"/>
            </w:rPr>
            <w:drawing>
              <wp:inline distT="0" distB="0" distL="0" distR="0" wp14:anchorId="3C9010CC" wp14:editId="7DE137AD">
                <wp:extent cx="1114806" cy="775335"/>
                <wp:effectExtent l="19050" t="0" r="9144" b="0"/>
                <wp:docPr id="3" name="Picture 1" descr="C:\Users\catherine\Pictures\GCCA+EC\logo_ce-en-rvb-lr_2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therine\Pictures\GCCA+EC\logo_ce-en-rvb-lr_2012-01.jpg"/>
                        <pic:cNvPicPr>
                          <a:picLocks noChangeAspect="1" noChangeArrowheads="1"/>
                        </pic:cNvPicPr>
                      </pic:nvPicPr>
                      <pic:blipFill>
                        <a:blip r:embed="rId1"/>
                        <a:srcRect/>
                        <a:stretch>
                          <a:fillRect/>
                        </a:stretch>
                      </pic:blipFill>
                      <pic:spPr bwMode="auto">
                        <a:xfrm>
                          <a:off x="0" y="0"/>
                          <a:ext cx="1114806" cy="775335"/>
                        </a:xfrm>
                        <a:prstGeom prst="rect">
                          <a:avLst/>
                        </a:prstGeom>
                        <a:noFill/>
                        <a:ln w="9525">
                          <a:noFill/>
                          <a:miter lim="800000"/>
                          <a:headEnd/>
                          <a:tailEnd/>
                        </a:ln>
                      </pic:spPr>
                    </pic:pic>
                  </a:graphicData>
                </a:graphic>
              </wp:inline>
            </w:drawing>
          </w:r>
        </w:p>
      </w:tc>
      <w:tc>
        <w:tcPr>
          <w:tcW w:w="20" w:type="dxa"/>
          <w:vAlign w:val="bottom"/>
        </w:tcPr>
        <w:p w14:paraId="25D82DB3" w14:textId="38AC25CC" w:rsidR="00FF0000" w:rsidRPr="00D70C9A" w:rsidRDefault="00FF0000" w:rsidP="00C1593B">
          <w:pPr>
            <w:pStyle w:val="Footer"/>
            <w:ind w:left="2977" w:right="1559" w:hanging="2977"/>
            <w:rPr>
              <w:rFonts w:ascii="Arial" w:hAnsi="Arial" w:cs="Arial"/>
              <w:sz w:val="21"/>
              <w:szCs w:val="21"/>
              <w:lang w:val="en-GB"/>
            </w:rPr>
          </w:pPr>
        </w:p>
      </w:tc>
    </w:tr>
  </w:tbl>
  <w:p w14:paraId="3A767C79" w14:textId="77777777" w:rsidR="00FF0000" w:rsidRPr="00D70C9A" w:rsidRDefault="00FF0000" w:rsidP="00D70C9A">
    <w:pPr>
      <w:pStyle w:val="Footer"/>
      <w:rPr>
        <w:rFonts w:ascii="Arial" w:hAnsi="Arial" w:cs="Arial"/>
        <w:sz w:val="4"/>
        <w:szCs w:val="4"/>
        <w:lang w:val="en-GB"/>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F10FF" w14:textId="77777777" w:rsidR="00FF0000" w:rsidRPr="00C0293F" w:rsidRDefault="00FF0000" w:rsidP="00D624F0">
    <w:pPr>
      <w:pStyle w:val="Footer"/>
      <w:pBdr>
        <w:top w:val="single" w:sz="4" w:space="1" w:color="auto"/>
      </w:pBdr>
      <w:tabs>
        <w:tab w:val="clear" w:pos="9072"/>
        <w:tab w:val="right" w:pos="9214"/>
      </w:tabs>
      <w:jc w:val="center"/>
      <w:rPr>
        <w:rFonts w:asciiTheme="minorHAnsi" w:hAnsiTheme="minorHAnsi" w:cstheme="minorHAnsi"/>
        <w:sz w:val="12"/>
        <w:szCs w:val="12"/>
      </w:rPr>
    </w:pPr>
  </w:p>
  <w:p w14:paraId="5FFC0676" w14:textId="77777777" w:rsidR="00FF0000" w:rsidRPr="00D410C4" w:rsidRDefault="00FF0000" w:rsidP="00D624F0">
    <w:pPr>
      <w:pStyle w:val="Footer"/>
      <w:tabs>
        <w:tab w:val="clear" w:pos="9072"/>
        <w:tab w:val="right" w:pos="9214"/>
        <w:tab w:val="right" w:pos="14601"/>
      </w:tabs>
      <w:jc w:val="left"/>
      <w:rPr>
        <w:rFonts w:asciiTheme="minorHAnsi" w:hAnsiTheme="minorHAnsi" w:cstheme="minorHAnsi"/>
        <w:sz w:val="20"/>
        <w:szCs w:val="20"/>
        <w:lang w:val="en-GB"/>
      </w:rPr>
    </w:pPr>
    <w:r>
      <w:rPr>
        <w:rFonts w:asciiTheme="minorHAnsi" w:hAnsiTheme="minorHAnsi" w:cstheme="minorHAnsi"/>
        <w:sz w:val="20"/>
        <w:szCs w:val="20"/>
        <w:lang w:val="en-GB"/>
      </w:rPr>
      <w:t>Module 8</w:t>
    </w:r>
    <w:r w:rsidRPr="00D410C4">
      <w:rPr>
        <w:rFonts w:asciiTheme="minorHAnsi" w:hAnsiTheme="minorHAnsi" w:cstheme="minorHAnsi"/>
        <w:sz w:val="20"/>
        <w:szCs w:val="20"/>
        <w:lang w:val="en-GB"/>
      </w:rPr>
      <w:t xml:space="preserve">: </w:t>
    </w:r>
    <w:r>
      <w:rPr>
        <w:rFonts w:asciiTheme="minorHAnsi" w:hAnsiTheme="minorHAnsi" w:cstheme="minorHAnsi"/>
        <w:sz w:val="20"/>
        <w:szCs w:val="20"/>
        <w:lang w:val="en-GB"/>
      </w:rPr>
      <w:t xml:space="preserve">Mainstreaming </w:t>
    </w:r>
    <w:r w:rsidRPr="00D410C4">
      <w:rPr>
        <w:rFonts w:asciiTheme="minorHAnsi" w:hAnsiTheme="minorHAnsi" w:cstheme="minorHAnsi"/>
        <w:sz w:val="20"/>
        <w:szCs w:val="20"/>
        <w:lang w:val="en-GB"/>
      </w:rPr>
      <w:t>climate change</w:t>
    </w:r>
    <w:r>
      <w:rPr>
        <w:rFonts w:asciiTheme="minorHAnsi" w:hAnsiTheme="minorHAnsi" w:cstheme="minorHAnsi"/>
        <w:sz w:val="20"/>
        <w:szCs w:val="20"/>
        <w:lang w:val="en-GB"/>
      </w:rPr>
      <w:t xml:space="preserve"> in the budgetary process</w:t>
    </w:r>
    <w:r>
      <w:rPr>
        <w:rFonts w:asciiTheme="minorHAnsi" w:hAnsiTheme="minorHAnsi" w:cstheme="minorHAnsi"/>
        <w:sz w:val="20"/>
        <w:szCs w:val="20"/>
        <w:lang w:val="en-GB"/>
      </w:rPr>
      <w:tab/>
    </w:r>
    <w:r w:rsidRPr="00D410C4">
      <w:rPr>
        <w:rFonts w:asciiTheme="minorHAnsi" w:hAnsiTheme="minorHAnsi" w:cstheme="minorHAnsi"/>
        <w:sz w:val="20"/>
        <w:szCs w:val="20"/>
        <w:lang w:val="en-GB"/>
      </w:rPr>
      <w:t xml:space="preserve"> </w:t>
    </w:r>
    <w:r w:rsidRPr="00D410C4">
      <w:rPr>
        <w:rFonts w:asciiTheme="minorHAnsi" w:hAnsiTheme="minorHAnsi" w:cstheme="minorHAnsi"/>
        <w:sz w:val="20"/>
        <w:szCs w:val="20"/>
      </w:rPr>
      <w:fldChar w:fldCharType="begin"/>
    </w:r>
    <w:r w:rsidRPr="00D410C4">
      <w:rPr>
        <w:rFonts w:asciiTheme="minorHAnsi" w:hAnsiTheme="minorHAnsi" w:cstheme="minorHAnsi"/>
        <w:sz w:val="20"/>
        <w:szCs w:val="20"/>
        <w:lang w:val="en-GB"/>
      </w:rPr>
      <w:instrText xml:space="preserve"> PAGE   \* MERGEFORMAT </w:instrText>
    </w:r>
    <w:r w:rsidRPr="00D410C4">
      <w:rPr>
        <w:rFonts w:asciiTheme="minorHAnsi" w:hAnsiTheme="minorHAnsi" w:cstheme="minorHAnsi"/>
        <w:sz w:val="20"/>
        <w:szCs w:val="20"/>
      </w:rPr>
      <w:fldChar w:fldCharType="separate"/>
    </w:r>
    <w:r w:rsidR="00C1593B">
      <w:rPr>
        <w:rFonts w:asciiTheme="minorHAnsi" w:hAnsiTheme="minorHAnsi" w:cstheme="minorHAnsi"/>
        <w:noProof/>
        <w:sz w:val="20"/>
        <w:szCs w:val="20"/>
        <w:lang w:val="en-GB"/>
      </w:rPr>
      <w:t>1</w:t>
    </w:r>
    <w:r w:rsidRPr="00D410C4">
      <w:rPr>
        <w:rFonts w:asciiTheme="minorHAnsi" w:hAnsiTheme="minorHAnsi" w:cstheme="minorHAnsi"/>
        <w:sz w:val="20"/>
        <w:szCs w:val="20"/>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AD0C9" w14:textId="77777777" w:rsidR="00FF0000" w:rsidRPr="00C0293F" w:rsidRDefault="00FF0000" w:rsidP="00353BD3">
    <w:pPr>
      <w:pStyle w:val="Footer"/>
      <w:pBdr>
        <w:top w:val="single" w:sz="4" w:space="1" w:color="auto"/>
      </w:pBdr>
      <w:tabs>
        <w:tab w:val="clear" w:pos="4536"/>
        <w:tab w:val="clear" w:pos="9072"/>
      </w:tabs>
      <w:jc w:val="center"/>
      <w:rPr>
        <w:rFonts w:asciiTheme="minorHAnsi" w:hAnsiTheme="minorHAnsi" w:cstheme="minorHAnsi"/>
        <w:sz w:val="12"/>
        <w:szCs w:val="12"/>
      </w:rPr>
    </w:pPr>
  </w:p>
  <w:p w14:paraId="2F188E41" w14:textId="77777777" w:rsidR="00FF0000" w:rsidRPr="00D410C4" w:rsidRDefault="00FF0000" w:rsidP="00353BD3">
    <w:pPr>
      <w:pStyle w:val="Footer"/>
      <w:tabs>
        <w:tab w:val="clear" w:pos="9072"/>
        <w:tab w:val="right" w:pos="14601"/>
      </w:tabs>
      <w:jc w:val="left"/>
      <w:rPr>
        <w:rFonts w:asciiTheme="minorHAnsi" w:hAnsiTheme="minorHAnsi" w:cstheme="minorHAnsi"/>
        <w:sz w:val="20"/>
        <w:szCs w:val="20"/>
        <w:lang w:val="en-GB"/>
      </w:rPr>
    </w:pPr>
    <w:r>
      <w:rPr>
        <w:rFonts w:asciiTheme="minorHAnsi" w:hAnsiTheme="minorHAnsi" w:cstheme="minorHAnsi"/>
        <w:sz w:val="20"/>
        <w:szCs w:val="20"/>
        <w:lang w:val="en-GB"/>
      </w:rPr>
      <w:t>Module 8</w:t>
    </w:r>
    <w:r w:rsidRPr="00D410C4">
      <w:rPr>
        <w:rFonts w:asciiTheme="minorHAnsi" w:hAnsiTheme="minorHAnsi" w:cstheme="minorHAnsi"/>
        <w:sz w:val="20"/>
        <w:szCs w:val="20"/>
        <w:lang w:val="en-GB"/>
      </w:rPr>
      <w:t xml:space="preserve">: </w:t>
    </w:r>
    <w:r>
      <w:rPr>
        <w:rFonts w:asciiTheme="minorHAnsi" w:hAnsiTheme="minorHAnsi" w:cstheme="minorHAnsi"/>
        <w:sz w:val="20"/>
        <w:szCs w:val="20"/>
        <w:lang w:val="en-GB"/>
      </w:rPr>
      <w:t xml:space="preserve">Mainstreaming </w:t>
    </w:r>
    <w:r w:rsidRPr="00D410C4">
      <w:rPr>
        <w:rFonts w:asciiTheme="minorHAnsi" w:hAnsiTheme="minorHAnsi" w:cstheme="minorHAnsi"/>
        <w:sz w:val="20"/>
        <w:szCs w:val="20"/>
        <w:lang w:val="en-GB"/>
      </w:rPr>
      <w:t>climate change</w:t>
    </w:r>
    <w:r>
      <w:rPr>
        <w:rFonts w:asciiTheme="minorHAnsi" w:hAnsiTheme="minorHAnsi" w:cstheme="minorHAnsi"/>
        <w:sz w:val="20"/>
        <w:szCs w:val="20"/>
        <w:lang w:val="en-GB"/>
      </w:rPr>
      <w:t xml:space="preserve"> in the budgetary process</w:t>
    </w:r>
    <w:r>
      <w:rPr>
        <w:rFonts w:asciiTheme="minorHAnsi" w:hAnsiTheme="minorHAnsi" w:cstheme="minorHAnsi"/>
        <w:sz w:val="20"/>
        <w:szCs w:val="20"/>
        <w:lang w:val="en-GB"/>
      </w:rPr>
      <w:tab/>
    </w:r>
    <w:r w:rsidRPr="00D410C4">
      <w:rPr>
        <w:rFonts w:asciiTheme="minorHAnsi" w:hAnsiTheme="minorHAnsi" w:cstheme="minorHAnsi"/>
        <w:sz w:val="20"/>
        <w:szCs w:val="20"/>
        <w:lang w:val="en-GB"/>
      </w:rPr>
      <w:t xml:space="preserve"> </w:t>
    </w:r>
    <w:r w:rsidRPr="00D410C4">
      <w:rPr>
        <w:rFonts w:asciiTheme="minorHAnsi" w:hAnsiTheme="minorHAnsi" w:cstheme="minorHAnsi"/>
        <w:sz w:val="20"/>
        <w:szCs w:val="20"/>
      </w:rPr>
      <w:fldChar w:fldCharType="begin"/>
    </w:r>
    <w:r w:rsidRPr="00D410C4">
      <w:rPr>
        <w:rFonts w:asciiTheme="minorHAnsi" w:hAnsiTheme="minorHAnsi" w:cstheme="minorHAnsi"/>
        <w:sz w:val="20"/>
        <w:szCs w:val="20"/>
        <w:lang w:val="en-GB"/>
      </w:rPr>
      <w:instrText xml:space="preserve"> PAGE   \* MERGEFORMAT </w:instrText>
    </w:r>
    <w:r w:rsidRPr="00D410C4">
      <w:rPr>
        <w:rFonts w:asciiTheme="minorHAnsi" w:hAnsiTheme="minorHAnsi" w:cstheme="minorHAnsi"/>
        <w:sz w:val="20"/>
        <w:szCs w:val="20"/>
      </w:rPr>
      <w:fldChar w:fldCharType="separate"/>
    </w:r>
    <w:r w:rsidR="00C1593B">
      <w:rPr>
        <w:rFonts w:asciiTheme="minorHAnsi" w:hAnsiTheme="minorHAnsi" w:cstheme="minorHAnsi"/>
        <w:noProof/>
        <w:sz w:val="20"/>
        <w:szCs w:val="20"/>
        <w:lang w:val="en-GB"/>
      </w:rPr>
      <w:t>10</w:t>
    </w:r>
    <w:r w:rsidRPr="00D410C4">
      <w:rPr>
        <w:rFonts w:asciiTheme="minorHAnsi" w:hAnsiTheme="minorHAnsi" w:cstheme="minorHAnsi"/>
        <w:sz w:val="20"/>
        <w:szCs w:val="20"/>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435BC" w14:textId="77777777" w:rsidR="00FF0000" w:rsidRPr="00C0293F" w:rsidRDefault="00FF0000" w:rsidP="00353BD3">
    <w:pPr>
      <w:pStyle w:val="Footer"/>
      <w:pBdr>
        <w:top w:val="single" w:sz="4" w:space="1" w:color="auto"/>
      </w:pBdr>
      <w:tabs>
        <w:tab w:val="clear" w:pos="4536"/>
        <w:tab w:val="clear" w:pos="9072"/>
      </w:tabs>
      <w:jc w:val="center"/>
      <w:rPr>
        <w:rFonts w:asciiTheme="minorHAnsi" w:hAnsiTheme="minorHAnsi" w:cstheme="minorHAnsi"/>
        <w:sz w:val="12"/>
        <w:szCs w:val="12"/>
      </w:rPr>
    </w:pPr>
  </w:p>
  <w:p w14:paraId="775E567E" w14:textId="09BA3F9F" w:rsidR="00FF0000" w:rsidRPr="00D410C4" w:rsidRDefault="00FF0000" w:rsidP="00353BD3">
    <w:pPr>
      <w:pStyle w:val="Footer"/>
      <w:tabs>
        <w:tab w:val="clear" w:pos="9072"/>
        <w:tab w:val="right" w:pos="9214"/>
        <w:tab w:val="right" w:pos="14601"/>
      </w:tabs>
      <w:jc w:val="left"/>
      <w:rPr>
        <w:rFonts w:asciiTheme="minorHAnsi" w:hAnsiTheme="minorHAnsi" w:cstheme="minorHAnsi"/>
        <w:sz w:val="20"/>
        <w:szCs w:val="20"/>
        <w:lang w:val="en-GB"/>
      </w:rPr>
    </w:pPr>
    <w:r>
      <w:rPr>
        <w:rFonts w:asciiTheme="minorHAnsi" w:hAnsiTheme="minorHAnsi" w:cstheme="minorHAnsi"/>
        <w:sz w:val="20"/>
        <w:szCs w:val="20"/>
        <w:lang w:val="en-GB"/>
      </w:rPr>
      <w:t>Module 8</w:t>
    </w:r>
    <w:r w:rsidRPr="00D410C4">
      <w:rPr>
        <w:rFonts w:asciiTheme="minorHAnsi" w:hAnsiTheme="minorHAnsi" w:cstheme="minorHAnsi"/>
        <w:sz w:val="20"/>
        <w:szCs w:val="20"/>
        <w:lang w:val="en-GB"/>
      </w:rPr>
      <w:t xml:space="preserve">: </w:t>
    </w:r>
    <w:r>
      <w:rPr>
        <w:rFonts w:asciiTheme="minorHAnsi" w:hAnsiTheme="minorHAnsi" w:cstheme="minorHAnsi"/>
        <w:sz w:val="20"/>
        <w:szCs w:val="20"/>
        <w:lang w:val="en-GB"/>
      </w:rPr>
      <w:t>Mainstreaming in the budgetary process</w:t>
    </w:r>
    <w:r>
      <w:rPr>
        <w:rFonts w:asciiTheme="minorHAnsi" w:hAnsiTheme="minorHAnsi" w:cstheme="minorHAnsi"/>
        <w:sz w:val="20"/>
        <w:szCs w:val="20"/>
        <w:lang w:val="en-GB"/>
      </w:rPr>
      <w:tab/>
    </w:r>
    <w:r w:rsidRPr="00D410C4">
      <w:rPr>
        <w:rFonts w:asciiTheme="minorHAnsi" w:hAnsiTheme="minorHAnsi" w:cstheme="minorHAnsi"/>
        <w:sz w:val="20"/>
        <w:szCs w:val="20"/>
        <w:lang w:val="en-GB"/>
      </w:rPr>
      <w:t xml:space="preserve"> </w:t>
    </w:r>
    <w:r w:rsidRPr="00D410C4">
      <w:rPr>
        <w:rFonts w:asciiTheme="minorHAnsi" w:hAnsiTheme="minorHAnsi" w:cstheme="minorHAnsi"/>
        <w:sz w:val="20"/>
        <w:szCs w:val="20"/>
      </w:rPr>
      <w:fldChar w:fldCharType="begin"/>
    </w:r>
    <w:r w:rsidRPr="00D410C4">
      <w:rPr>
        <w:rFonts w:asciiTheme="minorHAnsi" w:hAnsiTheme="minorHAnsi" w:cstheme="minorHAnsi"/>
        <w:sz w:val="20"/>
        <w:szCs w:val="20"/>
        <w:lang w:val="en-GB"/>
      </w:rPr>
      <w:instrText xml:space="preserve"> PAGE   \* MERGEFORMAT </w:instrText>
    </w:r>
    <w:r w:rsidRPr="00D410C4">
      <w:rPr>
        <w:rFonts w:asciiTheme="minorHAnsi" w:hAnsiTheme="minorHAnsi" w:cstheme="minorHAnsi"/>
        <w:sz w:val="20"/>
        <w:szCs w:val="20"/>
      </w:rPr>
      <w:fldChar w:fldCharType="separate"/>
    </w:r>
    <w:r w:rsidR="00C1593B">
      <w:rPr>
        <w:rFonts w:asciiTheme="minorHAnsi" w:hAnsiTheme="minorHAnsi" w:cstheme="minorHAnsi"/>
        <w:noProof/>
        <w:sz w:val="20"/>
        <w:szCs w:val="20"/>
        <w:lang w:val="en-GB"/>
      </w:rPr>
      <w:t>16</w:t>
    </w:r>
    <w:r w:rsidRPr="00D410C4">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43867" w14:textId="77777777" w:rsidR="00FF0000" w:rsidRDefault="00FF0000" w:rsidP="00CD7634">
      <w:r>
        <w:separator/>
      </w:r>
    </w:p>
  </w:footnote>
  <w:footnote w:type="continuationSeparator" w:id="0">
    <w:p w14:paraId="7BB0955D" w14:textId="77777777" w:rsidR="00FF0000" w:rsidRDefault="00FF0000" w:rsidP="00CD7634">
      <w:r>
        <w:continuationSeparator/>
      </w:r>
    </w:p>
  </w:footnote>
  <w:footnote w:id="1">
    <w:p w14:paraId="53B743A9" w14:textId="77777777" w:rsidR="00FF0000" w:rsidRPr="00695461" w:rsidRDefault="00FF0000">
      <w:pPr>
        <w:pStyle w:val="FootnoteText"/>
        <w:rPr>
          <w:lang w:val="en-GB"/>
        </w:rPr>
      </w:pPr>
      <w:r>
        <w:rPr>
          <w:rStyle w:val="FootnoteReference"/>
        </w:rPr>
        <w:footnoteRef/>
      </w:r>
      <w:r w:rsidRPr="00695461">
        <w:rPr>
          <w:lang w:val="en-GB"/>
        </w:rPr>
        <w:t xml:space="preserve"> </w:t>
      </w:r>
      <w:r>
        <w:rPr>
          <w:i/>
          <w:lang w:val="en-GB"/>
        </w:rPr>
        <w:t>L</w:t>
      </w:r>
      <w:r w:rsidRPr="00A12EA3">
        <w:rPr>
          <w:i/>
          <w:lang w:val="en-GB"/>
        </w:rPr>
        <w:t>ine item budgeting</w:t>
      </w:r>
      <w:r>
        <w:rPr>
          <w:lang w:val="en-GB"/>
        </w:rPr>
        <w:t xml:space="preserve"> is a generic term referring to the classical approach to budgeting, which does not link resource allocation to the objectives and results of government policy; rather, funds are allocated to various sectors or government departments for specific types of expenditures, usually with the expectation that the next year’s allocation will be equal to the previous year’s plus a small increment (‘incremental budgeting’). </w:t>
      </w:r>
      <w:r w:rsidRPr="00E74B44">
        <w:rPr>
          <w:i/>
          <w:lang w:val="en-GB"/>
        </w:rPr>
        <w:t>Programme budgeting</w:t>
      </w:r>
      <w:r>
        <w:rPr>
          <w:lang w:val="en-GB"/>
        </w:rPr>
        <w:t xml:space="preserve">, in contrast, makes appropriations to programmes and sub-programmes to which performance indicators are associated; it is thus more results-oriented than line item budgeting, but may raise technical difficulties and accountability issues where programmes do not align with organisational structures. </w:t>
      </w:r>
      <w:r w:rsidRPr="0006778F">
        <w:rPr>
          <w:i/>
          <w:lang w:val="en-GB"/>
        </w:rPr>
        <w:t>Performance budgeting</w:t>
      </w:r>
      <w:r>
        <w:rPr>
          <w:lang w:val="en-GB"/>
        </w:rPr>
        <w:t xml:space="preserve"> makes appropriations to specific government units for the delivery of a number of specified outputs, which in turn are expected to contribute to specified programme outcomes. Both programme and performance budgeting aim to increase devolution of authority and accountability, but are complex to implement. In particular, the specification of appropriate, measurable programme outputs and outcomes is a challenging task and may require refinement over many years (</w:t>
      </w:r>
      <w:proofErr w:type="spellStart"/>
      <w:r>
        <w:rPr>
          <w:lang w:val="en-GB"/>
        </w:rPr>
        <w:t>Tulkens</w:t>
      </w:r>
      <w:proofErr w:type="spellEnd"/>
      <w:r>
        <w:rPr>
          <w:lang w:val="en-GB"/>
        </w:rPr>
        <w:t xml:space="preserve"> et al 2004).</w:t>
      </w:r>
    </w:p>
  </w:footnote>
  <w:footnote w:id="2">
    <w:p w14:paraId="38AB7AF1" w14:textId="77777777" w:rsidR="00FF0000" w:rsidRPr="00980653" w:rsidRDefault="00FF0000">
      <w:pPr>
        <w:pStyle w:val="FootnoteText"/>
        <w:rPr>
          <w:lang w:val="en-GB"/>
        </w:rPr>
      </w:pPr>
      <w:r>
        <w:rPr>
          <w:rStyle w:val="FootnoteReference"/>
        </w:rPr>
        <w:footnoteRef/>
      </w:r>
      <w:r w:rsidRPr="00980653">
        <w:rPr>
          <w:lang w:val="en-GB"/>
        </w:rPr>
        <w:t xml:space="preserve"> </w:t>
      </w:r>
      <w:r w:rsidRPr="00BD4A69">
        <w:rPr>
          <w:i/>
          <w:lang w:val="en-GB"/>
        </w:rPr>
        <w:t>Economic classification</w:t>
      </w:r>
      <w:r>
        <w:rPr>
          <w:lang w:val="en-GB"/>
        </w:rPr>
        <w:t xml:space="preserve"> groups expenditures according to their economic category, i.e. current expenditures (salaries/wages and employer contributions, purchase of goods and other services, interest payments, subsidies and other transfers); capital expenditures; and net lending (i.e. lending minus repayment of domestic and foreign loans). It is sometimes associated with a </w:t>
      </w:r>
      <w:r w:rsidRPr="00BD4A69">
        <w:rPr>
          <w:i/>
          <w:lang w:val="en-GB"/>
        </w:rPr>
        <w:t>functional classification</w:t>
      </w:r>
      <w:r>
        <w:rPr>
          <w:lang w:val="en-GB"/>
        </w:rPr>
        <w:t xml:space="preserve"> of expenditures (e.g. health, education, transport, agriculture, defence</w:t>
      </w:r>
      <w:proofErr w:type="gramStart"/>
      <w:r>
        <w:rPr>
          <w:lang w:val="en-GB"/>
        </w:rPr>
        <w:t>, ...</w:t>
      </w:r>
      <w:proofErr w:type="gramEnd"/>
      <w:r>
        <w:rPr>
          <w:lang w:val="en-GB"/>
        </w:rPr>
        <w:t>) and/or allocations by government department (</w:t>
      </w:r>
      <w:proofErr w:type="spellStart"/>
      <w:r>
        <w:rPr>
          <w:lang w:val="en-GB"/>
        </w:rPr>
        <w:t>Tulkens</w:t>
      </w:r>
      <w:proofErr w:type="spellEnd"/>
      <w:r>
        <w:rPr>
          <w:lang w:val="en-GB"/>
        </w:rPr>
        <w:t xml:space="preserve"> et al 2004).</w:t>
      </w:r>
    </w:p>
  </w:footnote>
  <w:footnote w:id="3">
    <w:p w14:paraId="25985382" w14:textId="77777777" w:rsidR="00FF0000" w:rsidRPr="00D827D7" w:rsidRDefault="00FF0000">
      <w:pPr>
        <w:pStyle w:val="FootnoteText"/>
        <w:rPr>
          <w:lang w:val="en-GB"/>
        </w:rPr>
      </w:pPr>
      <w:r>
        <w:rPr>
          <w:rStyle w:val="FootnoteReference"/>
        </w:rPr>
        <w:footnoteRef/>
      </w:r>
      <w:r w:rsidRPr="00D827D7">
        <w:rPr>
          <w:lang w:val="en-GB"/>
        </w:rPr>
        <w:t xml:space="preserve"> The identification of the typical stages in the budget</w:t>
      </w:r>
      <w:r>
        <w:rPr>
          <w:lang w:val="en-GB"/>
        </w:rPr>
        <w:t>ary</w:t>
      </w:r>
      <w:r w:rsidRPr="00D827D7">
        <w:rPr>
          <w:lang w:val="en-GB"/>
        </w:rPr>
        <w:t xml:space="preserve"> pro</w:t>
      </w:r>
      <w:r>
        <w:rPr>
          <w:lang w:val="en-GB"/>
        </w:rPr>
        <w:t xml:space="preserve">cess is based on </w:t>
      </w:r>
      <w:proofErr w:type="spellStart"/>
      <w:r>
        <w:rPr>
          <w:lang w:val="en-GB"/>
        </w:rPr>
        <w:t>Tulkens</w:t>
      </w:r>
      <w:proofErr w:type="spellEnd"/>
      <w:r>
        <w:rPr>
          <w:lang w:val="en-GB"/>
        </w:rPr>
        <w:t xml:space="preserve"> et al (2004).</w:t>
      </w:r>
    </w:p>
  </w:footnote>
  <w:footnote w:id="4">
    <w:p w14:paraId="5FC8618A" w14:textId="77777777" w:rsidR="00FF0000" w:rsidRPr="00A31610" w:rsidRDefault="00FF0000" w:rsidP="00747938">
      <w:pPr>
        <w:pStyle w:val="FootnoteText"/>
        <w:rPr>
          <w:lang w:val="en-GB"/>
        </w:rPr>
      </w:pPr>
      <w:r>
        <w:rPr>
          <w:rStyle w:val="FootnoteReference"/>
        </w:rPr>
        <w:footnoteRef/>
      </w:r>
      <w:r w:rsidRPr="00A31610">
        <w:rPr>
          <w:lang w:val="en-GB"/>
        </w:rPr>
        <w:t xml:space="preserve"> Both developed and developing countr</w:t>
      </w:r>
      <w:r>
        <w:rPr>
          <w:lang w:val="en-GB"/>
        </w:rPr>
        <w:t xml:space="preserve">ies are sometimes reluctant to use development funds to finance adaptation and mitigation – or conversely, to use adaptation and mitigation funds for anything else than measures ‘purely’ linked to the response to (long-term) climate change. Yet the use of development funding </w:t>
      </w:r>
      <w:r w:rsidRPr="00A31610">
        <w:rPr>
          <w:lang w:val="en-GB"/>
        </w:rPr>
        <w:t>can be justified if one considers the sometimes significant overlaps between adaptation, mitigation and development</w:t>
      </w:r>
      <w:r>
        <w:rPr>
          <w:lang w:val="en-GB"/>
        </w:rPr>
        <w:t>.</w:t>
      </w:r>
      <w:r w:rsidRPr="00A31610">
        <w:rPr>
          <w:lang w:val="en-GB"/>
        </w:rPr>
        <w:t xml:space="preserve"> </w:t>
      </w:r>
      <w:r>
        <w:rPr>
          <w:lang w:val="en-GB"/>
        </w:rPr>
        <w:t>Financi</w:t>
      </w:r>
      <w:r w:rsidRPr="00A31610">
        <w:rPr>
          <w:lang w:val="en-GB"/>
        </w:rPr>
        <w:t xml:space="preserve">ng adaptation/mitigation </w:t>
      </w:r>
      <w:r>
        <w:rPr>
          <w:lang w:val="en-GB"/>
        </w:rPr>
        <w:t xml:space="preserve">measures mainstreamed in </w:t>
      </w:r>
      <w:r w:rsidRPr="00A31610">
        <w:rPr>
          <w:lang w:val="en-GB"/>
        </w:rPr>
        <w:t xml:space="preserve">development </w:t>
      </w:r>
      <w:r>
        <w:rPr>
          <w:lang w:val="en-GB"/>
        </w:rPr>
        <w:t>programmes, using</w:t>
      </w:r>
      <w:r w:rsidRPr="00A31610">
        <w:rPr>
          <w:lang w:val="en-GB"/>
        </w:rPr>
        <w:t xml:space="preserve"> ‘blended funding sources’</w:t>
      </w:r>
      <w:r>
        <w:rPr>
          <w:lang w:val="en-GB"/>
        </w:rPr>
        <w:t xml:space="preserve">, encourages effectiveness and efficiency in the use of resources (Burton &amp; van Aalst 2004, </w:t>
      </w:r>
      <w:proofErr w:type="spellStart"/>
      <w:r>
        <w:rPr>
          <w:lang w:val="en-GB"/>
        </w:rPr>
        <w:t>Fankhauser</w:t>
      </w:r>
      <w:proofErr w:type="spellEnd"/>
      <w:r>
        <w:rPr>
          <w:lang w:val="en-GB"/>
        </w:rPr>
        <w:t xml:space="preserve"> &amp; Schmidt-</w:t>
      </w:r>
      <w:proofErr w:type="spellStart"/>
      <w:r>
        <w:rPr>
          <w:lang w:val="en-GB"/>
        </w:rPr>
        <w:t>Traub</w:t>
      </w:r>
      <w:proofErr w:type="spellEnd"/>
      <w:r>
        <w:rPr>
          <w:lang w:val="en-GB"/>
        </w:rPr>
        <w:t xml:space="preserve"> 2010).</w:t>
      </w:r>
    </w:p>
  </w:footnote>
  <w:footnote w:id="5">
    <w:p w14:paraId="2552D7A2" w14:textId="77777777" w:rsidR="00FF0000" w:rsidRPr="00A726BD" w:rsidRDefault="00FF0000">
      <w:pPr>
        <w:pStyle w:val="FootnoteText"/>
        <w:rPr>
          <w:lang w:val="en-GB"/>
        </w:rPr>
      </w:pPr>
      <w:r>
        <w:rPr>
          <w:rStyle w:val="FootnoteReference"/>
        </w:rPr>
        <w:footnoteRef/>
      </w:r>
      <w:r w:rsidRPr="00A726BD">
        <w:rPr>
          <w:lang w:val="en-GB"/>
        </w:rPr>
        <w:t xml:space="preserve"> </w:t>
      </w:r>
      <w:r>
        <w:rPr>
          <w:lang w:val="en-GB"/>
        </w:rPr>
        <w:t>A number of these ‘carbon funds’ are listed here. V</w:t>
      </w:r>
      <w:r w:rsidRPr="00A726BD">
        <w:rPr>
          <w:lang w:val="en-GB"/>
        </w:rPr>
        <w:t>arious other facilities funded by national government</w:t>
      </w:r>
      <w:r>
        <w:rPr>
          <w:lang w:val="en-GB"/>
        </w:rPr>
        <w:t>s</w:t>
      </w:r>
      <w:r w:rsidRPr="00A726BD">
        <w:rPr>
          <w:lang w:val="en-GB"/>
        </w:rPr>
        <w:t xml:space="preserve"> and private funds </w:t>
      </w:r>
      <w:r>
        <w:rPr>
          <w:lang w:val="en-GB"/>
        </w:rPr>
        <w:t>are not mentioned here</w:t>
      </w:r>
      <w:r w:rsidRPr="00A726BD">
        <w:rPr>
          <w:lang w:val="en-GB"/>
        </w:rPr>
        <w:t>.</w:t>
      </w:r>
      <w:r>
        <w:rPr>
          <w:lang w:val="en-GB"/>
        </w:rPr>
        <w:t xml:space="preserve"> For more comprehensive information, see </w:t>
      </w:r>
      <w:hyperlink r:id="rId1" w:history="1">
        <w:r w:rsidRPr="00587B7C">
          <w:rPr>
            <w:rStyle w:val="Hyperlink"/>
            <w:rFonts w:cs="Times New Roman"/>
            <w:sz w:val="20"/>
            <w:szCs w:val="20"/>
            <w:lang w:val="en-GB"/>
          </w:rPr>
          <w:t>http://carbonfinance.org</w:t>
        </w:r>
      </w:hyperlink>
      <w:r>
        <w:rPr>
          <w:lang w:val="en-GB"/>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5CF57" w14:textId="77777777" w:rsidR="00FF0000" w:rsidRDefault="00FF0000" w:rsidP="00554F21">
    <w:pPr>
      <w:pStyle w:val="Header"/>
      <w:tabs>
        <w:tab w:val="clear" w:pos="9072"/>
        <w:tab w:val="right" w:pos="9923"/>
      </w:tabs>
      <w:ind w:right="-853"/>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0E578" w14:textId="77777777" w:rsidR="00FF0000" w:rsidRDefault="00FF0000" w:rsidP="00D410C4">
    <w:pPr>
      <w:pStyle w:val="Header"/>
      <w:tabs>
        <w:tab w:val="clear" w:pos="9072"/>
        <w:tab w:val="right" w:pos="9923"/>
      </w:tabs>
      <w:ind w:right="-853"/>
    </w:pPr>
    <w:r>
      <w:tab/>
    </w:r>
    <w: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154F8" w14:textId="77777777" w:rsidR="00FF0000" w:rsidRDefault="00FF0000" w:rsidP="00353BD3">
    <w:pPr>
      <w:pStyle w:val="Header"/>
      <w:tabs>
        <w:tab w:val="clear" w:pos="9072"/>
      </w:tabs>
      <w:ind w:right="-853"/>
      <w:jc w:val="right"/>
    </w:pPr>
    <w:r>
      <w:tab/>
    </w:r>
    <w:r>
      <w:tab/>
    </w:r>
    <w:r>
      <w:rPr>
        <w:noProof/>
        <w:lang w:val="en-US"/>
      </w:rPr>
      <w:drawing>
        <wp:inline distT="0" distB="0" distL="0" distR="0" wp14:anchorId="4421D252" wp14:editId="608E71F9">
          <wp:extent cx="667226" cy="530066"/>
          <wp:effectExtent l="19050" t="0" r="0" b="0"/>
          <wp:docPr id="1" name="Picture 13" descr="GCC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CA_Logo.png"/>
                  <pic:cNvPicPr/>
                </pic:nvPicPr>
                <pic:blipFill>
                  <a:blip r:embed="rId1"/>
                  <a:stretch>
                    <a:fillRect/>
                  </a:stretch>
                </pic:blipFill>
                <pic:spPr>
                  <a:xfrm>
                    <a:off x="0" y="0"/>
                    <a:ext cx="667226" cy="530066"/>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66B"/>
    <w:multiLevelType w:val="hybridMultilevel"/>
    <w:tmpl w:val="992CA420"/>
    <w:lvl w:ilvl="0" w:tplc="1AFCB9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E407F1"/>
    <w:multiLevelType w:val="hybridMultilevel"/>
    <w:tmpl w:val="9B5817DA"/>
    <w:lvl w:ilvl="0" w:tplc="1AFCB9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E00205"/>
    <w:multiLevelType w:val="hybridMultilevel"/>
    <w:tmpl w:val="908E32CE"/>
    <w:lvl w:ilvl="0" w:tplc="A6C4239C">
      <w:start w:val="1"/>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113B3A13"/>
    <w:multiLevelType w:val="hybridMultilevel"/>
    <w:tmpl w:val="0B7E3092"/>
    <w:lvl w:ilvl="0" w:tplc="A6C4239C">
      <w:start w:val="1"/>
      <w:numFmt w:val="bullet"/>
      <w:lvlText w:val="-"/>
      <w:lvlJc w:val="left"/>
      <w:pPr>
        <w:ind w:left="1004" w:hanging="360"/>
      </w:pPr>
      <w:rPr>
        <w:rFonts w:ascii="Calibri" w:eastAsiaTheme="minorHAnsi" w:hAnsi="Calibri" w:cs="Calibri" w:hint="default"/>
      </w:rPr>
    </w:lvl>
    <w:lvl w:ilvl="1" w:tplc="A3C06F48">
      <w:start w:val="1"/>
      <w:numFmt w:val="lowerRoman"/>
      <w:lvlText w:val="(%2)"/>
      <w:lvlJc w:val="left"/>
      <w:pPr>
        <w:ind w:left="1724" w:hanging="360"/>
      </w:pPr>
      <w:rPr>
        <w:rFonts w:hint="default"/>
      </w:rPr>
    </w:lvl>
    <w:lvl w:ilvl="2" w:tplc="A02C57A8">
      <w:start w:val="1"/>
      <w:numFmt w:val="lowerLetter"/>
      <w:lvlText w:val="(%3)"/>
      <w:lvlJc w:val="left"/>
      <w:pPr>
        <w:ind w:left="2444" w:hanging="360"/>
      </w:pPr>
      <w:rPr>
        <w:rFont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11657F27"/>
    <w:multiLevelType w:val="hybridMultilevel"/>
    <w:tmpl w:val="B6D4699A"/>
    <w:lvl w:ilvl="0" w:tplc="A6C4239C">
      <w:start w:val="1"/>
      <w:numFmt w:val="bullet"/>
      <w:lvlText w:val="-"/>
      <w:lvlJc w:val="left"/>
      <w:pPr>
        <w:ind w:left="1004" w:hanging="360"/>
      </w:pPr>
      <w:rPr>
        <w:rFonts w:ascii="Calibri" w:eastAsiaTheme="minorHAnsi" w:hAnsi="Calibri" w:cs="Calibri"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15801167"/>
    <w:multiLevelType w:val="hybridMultilevel"/>
    <w:tmpl w:val="A2EE1626"/>
    <w:lvl w:ilvl="0" w:tplc="1AFCB976">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6">
    <w:nsid w:val="2F994B0E"/>
    <w:multiLevelType w:val="hybridMultilevel"/>
    <w:tmpl w:val="49686EC4"/>
    <w:lvl w:ilvl="0" w:tplc="1AFCB976">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7">
    <w:nsid w:val="32D72D1A"/>
    <w:multiLevelType w:val="hybridMultilevel"/>
    <w:tmpl w:val="E06AF45C"/>
    <w:lvl w:ilvl="0" w:tplc="18049D32">
      <w:start w:val="1"/>
      <w:numFmt w:val="decimal"/>
      <w:lvlText w:val="%1."/>
      <w:lvlJc w:val="left"/>
      <w:pPr>
        <w:ind w:left="720" w:hanging="360"/>
      </w:pPr>
      <w:rPr>
        <w:rFonts w:hint="default"/>
      </w:rPr>
    </w:lvl>
    <w:lvl w:ilvl="1" w:tplc="A6C4239C">
      <w:start w:val="1"/>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3451EB8"/>
    <w:multiLevelType w:val="hybridMultilevel"/>
    <w:tmpl w:val="687A7808"/>
    <w:lvl w:ilvl="0" w:tplc="1AFCB9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F664A7"/>
    <w:multiLevelType w:val="hybridMultilevel"/>
    <w:tmpl w:val="5A48DCB0"/>
    <w:lvl w:ilvl="0" w:tplc="A6C4239C">
      <w:start w:val="1"/>
      <w:numFmt w:val="bullet"/>
      <w:lvlText w:val="-"/>
      <w:lvlJc w:val="left"/>
      <w:pPr>
        <w:ind w:left="1004" w:hanging="360"/>
      </w:pPr>
      <w:rPr>
        <w:rFonts w:ascii="Calibri" w:eastAsia="Times New Roman" w:hAnsi="Calibri" w:hint="default"/>
      </w:rPr>
    </w:lvl>
    <w:lvl w:ilvl="1" w:tplc="A3C06F48">
      <w:start w:val="1"/>
      <w:numFmt w:val="lowerRoman"/>
      <w:lvlText w:val="(%2)"/>
      <w:lvlJc w:val="left"/>
      <w:pPr>
        <w:ind w:left="1724" w:hanging="360"/>
      </w:pPr>
      <w:rPr>
        <w:rFonts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nsid w:val="40EC4DE2"/>
    <w:multiLevelType w:val="hybridMultilevel"/>
    <w:tmpl w:val="E0EC51F0"/>
    <w:lvl w:ilvl="0" w:tplc="1AFCB9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5B03AE3"/>
    <w:multiLevelType w:val="hybridMultilevel"/>
    <w:tmpl w:val="B9BAA00A"/>
    <w:lvl w:ilvl="0" w:tplc="A6C4239C">
      <w:start w:val="1"/>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4B52413E"/>
    <w:multiLevelType w:val="hybridMultilevel"/>
    <w:tmpl w:val="5F9EAA76"/>
    <w:lvl w:ilvl="0" w:tplc="1AFCB9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C260680"/>
    <w:multiLevelType w:val="hybridMultilevel"/>
    <w:tmpl w:val="2E9EDB20"/>
    <w:lvl w:ilvl="0" w:tplc="080C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C440ACD"/>
    <w:multiLevelType w:val="hybridMultilevel"/>
    <w:tmpl w:val="407A136E"/>
    <w:lvl w:ilvl="0" w:tplc="E744A7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D31293E"/>
    <w:multiLevelType w:val="hybridMultilevel"/>
    <w:tmpl w:val="BC9664CA"/>
    <w:lvl w:ilvl="0" w:tplc="18049D32">
      <w:start w:val="1"/>
      <w:numFmt w:val="decimal"/>
      <w:lvlText w:val="%1."/>
      <w:lvlJc w:val="left"/>
      <w:pPr>
        <w:ind w:left="720" w:hanging="360"/>
      </w:pPr>
      <w:rPr>
        <w:rFonts w:hint="default"/>
      </w:rPr>
    </w:lvl>
    <w:lvl w:ilvl="1" w:tplc="A3C06F48">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E1949C6"/>
    <w:multiLevelType w:val="hybridMultilevel"/>
    <w:tmpl w:val="E60E4A56"/>
    <w:lvl w:ilvl="0" w:tplc="A6C4239C">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FD849C3"/>
    <w:multiLevelType w:val="hybridMultilevel"/>
    <w:tmpl w:val="1A860618"/>
    <w:lvl w:ilvl="0" w:tplc="A6C4239C">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3B47174"/>
    <w:multiLevelType w:val="hybridMultilevel"/>
    <w:tmpl w:val="5DA605F4"/>
    <w:lvl w:ilvl="0" w:tplc="1AFCB9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3966C0"/>
    <w:multiLevelType w:val="hybridMultilevel"/>
    <w:tmpl w:val="47806298"/>
    <w:lvl w:ilvl="0" w:tplc="1AFCB9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6A41706"/>
    <w:multiLevelType w:val="hybridMultilevel"/>
    <w:tmpl w:val="1A6CED5C"/>
    <w:lvl w:ilvl="0" w:tplc="BFACE238">
      <w:start w:val="1"/>
      <w:numFmt w:val="lowerLetter"/>
      <w:lvlText w:val="(%1)"/>
      <w:lvlJc w:val="left"/>
      <w:pPr>
        <w:ind w:left="535" w:hanging="360"/>
      </w:pPr>
      <w:rPr>
        <w:rFonts w:hint="default"/>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21">
    <w:nsid w:val="580451CC"/>
    <w:multiLevelType w:val="hybridMultilevel"/>
    <w:tmpl w:val="A55C6C9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5F5D3D47"/>
    <w:multiLevelType w:val="hybridMultilevel"/>
    <w:tmpl w:val="16C0075E"/>
    <w:lvl w:ilvl="0" w:tplc="1AFCB9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2790788"/>
    <w:multiLevelType w:val="hybridMultilevel"/>
    <w:tmpl w:val="41828106"/>
    <w:lvl w:ilvl="0" w:tplc="1AFCB9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345188A"/>
    <w:multiLevelType w:val="hybridMultilevel"/>
    <w:tmpl w:val="13C616C0"/>
    <w:lvl w:ilvl="0" w:tplc="A6C4239C">
      <w:start w:val="1"/>
      <w:numFmt w:val="bullet"/>
      <w:lvlText w:val="-"/>
      <w:lvlJc w:val="left"/>
      <w:pPr>
        <w:ind w:left="1004" w:hanging="360"/>
      </w:pPr>
      <w:rPr>
        <w:rFonts w:ascii="Calibri" w:eastAsiaTheme="minorHAnsi" w:hAnsi="Calibri" w:cs="Calibri"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nsid w:val="6B6977B3"/>
    <w:multiLevelType w:val="hybridMultilevel"/>
    <w:tmpl w:val="D99E20E2"/>
    <w:lvl w:ilvl="0" w:tplc="A6C4239C">
      <w:start w:val="1"/>
      <w:numFmt w:val="bullet"/>
      <w:lvlText w:val="-"/>
      <w:lvlJc w:val="left"/>
      <w:pPr>
        <w:ind w:left="1004" w:hanging="360"/>
      </w:pPr>
      <w:rPr>
        <w:rFonts w:ascii="Calibri" w:eastAsia="Times New Roman" w:hAnsi="Calibri" w:hint="default"/>
      </w:rPr>
    </w:lvl>
    <w:lvl w:ilvl="1" w:tplc="A3C06F48">
      <w:start w:val="1"/>
      <w:numFmt w:val="lowerRoman"/>
      <w:lvlText w:val="(%2)"/>
      <w:lvlJc w:val="left"/>
      <w:pPr>
        <w:ind w:left="1724" w:hanging="360"/>
      </w:pPr>
      <w:rPr>
        <w:rFonts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6CB765CE"/>
    <w:multiLevelType w:val="hybridMultilevel"/>
    <w:tmpl w:val="9742258C"/>
    <w:lvl w:ilvl="0" w:tplc="1AFCB9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22B1E62"/>
    <w:multiLevelType w:val="hybridMultilevel"/>
    <w:tmpl w:val="B5307D3A"/>
    <w:lvl w:ilvl="0" w:tplc="BA34E490">
      <w:start w:val="1"/>
      <w:numFmt w:val="lowerLetter"/>
      <w:lvlText w:val="(%1)"/>
      <w:lvlJc w:val="left"/>
      <w:pPr>
        <w:ind w:left="720" w:hanging="360"/>
      </w:pPr>
      <w:rPr>
        <w:rFonts w:asciiTheme="minorHAnsi" w:eastAsia="SimSun"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C540722"/>
    <w:multiLevelType w:val="hybridMultilevel"/>
    <w:tmpl w:val="C010ACE4"/>
    <w:lvl w:ilvl="0" w:tplc="1AFCB9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25"/>
  </w:num>
  <w:num w:numId="4">
    <w:abstractNumId w:val="4"/>
  </w:num>
  <w:num w:numId="5">
    <w:abstractNumId w:val="24"/>
  </w:num>
  <w:num w:numId="6">
    <w:abstractNumId w:val="16"/>
  </w:num>
  <w:num w:numId="7">
    <w:abstractNumId w:val="17"/>
  </w:num>
  <w:num w:numId="8">
    <w:abstractNumId w:val="11"/>
  </w:num>
  <w:num w:numId="9">
    <w:abstractNumId w:val="3"/>
  </w:num>
  <w:num w:numId="10">
    <w:abstractNumId w:val="23"/>
  </w:num>
  <w:num w:numId="11">
    <w:abstractNumId w:val="10"/>
  </w:num>
  <w:num w:numId="12">
    <w:abstractNumId w:val="27"/>
  </w:num>
  <w:num w:numId="13">
    <w:abstractNumId w:val="12"/>
  </w:num>
  <w:num w:numId="14">
    <w:abstractNumId w:val="1"/>
  </w:num>
  <w:num w:numId="15">
    <w:abstractNumId w:val="18"/>
  </w:num>
  <w:num w:numId="16">
    <w:abstractNumId w:val="20"/>
  </w:num>
  <w:num w:numId="17">
    <w:abstractNumId w:val="14"/>
  </w:num>
  <w:num w:numId="18">
    <w:abstractNumId w:val="0"/>
  </w:num>
  <w:num w:numId="19">
    <w:abstractNumId w:val="19"/>
  </w:num>
  <w:num w:numId="20">
    <w:abstractNumId w:val="8"/>
  </w:num>
  <w:num w:numId="21">
    <w:abstractNumId w:val="5"/>
  </w:num>
  <w:num w:numId="22">
    <w:abstractNumId w:val="28"/>
  </w:num>
  <w:num w:numId="23">
    <w:abstractNumId w:val="6"/>
  </w:num>
  <w:num w:numId="24">
    <w:abstractNumId w:val="22"/>
  </w:num>
  <w:num w:numId="25">
    <w:abstractNumId w:val="26"/>
  </w:num>
  <w:num w:numId="26">
    <w:abstractNumId w:val="15"/>
  </w:num>
  <w:num w:numId="27">
    <w:abstractNumId w:val="13"/>
  </w:num>
  <w:num w:numId="28">
    <w:abstractNumId w:val="9"/>
  </w:num>
  <w:num w:numId="29">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4F8"/>
    <w:rsid w:val="000014E3"/>
    <w:rsid w:val="000079E0"/>
    <w:rsid w:val="000211E8"/>
    <w:rsid w:val="000377DF"/>
    <w:rsid w:val="000415E0"/>
    <w:rsid w:val="00054E2F"/>
    <w:rsid w:val="00055BFB"/>
    <w:rsid w:val="00062112"/>
    <w:rsid w:val="0006778F"/>
    <w:rsid w:val="00067E11"/>
    <w:rsid w:val="000963F3"/>
    <w:rsid w:val="00097404"/>
    <w:rsid w:val="000A175D"/>
    <w:rsid w:val="000A230C"/>
    <w:rsid w:val="000A59D9"/>
    <w:rsid w:val="000A7546"/>
    <w:rsid w:val="000B3735"/>
    <w:rsid w:val="000B4BC5"/>
    <w:rsid w:val="000B714A"/>
    <w:rsid w:val="000B725D"/>
    <w:rsid w:val="000C6A3C"/>
    <w:rsid w:val="000D4B01"/>
    <w:rsid w:val="000D54AF"/>
    <w:rsid w:val="000D5A24"/>
    <w:rsid w:val="000E13FD"/>
    <w:rsid w:val="000E526F"/>
    <w:rsid w:val="000E665D"/>
    <w:rsid w:val="000F1805"/>
    <w:rsid w:val="000F2FD6"/>
    <w:rsid w:val="000F48ED"/>
    <w:rsid w:val="00103F27"/>
    <w:rsid w:val="00106D15"/>
    <w:rsid w:val="0011104F"/>
    <w:rsid w:val="00124545"/>
    <w:rsid w:val="00132BCA"/>
    <w:rsid w:val="00136479"/>
    <w:rsid w:val="00140AC5"/>
    <w:rsid w:val="00143528"/>
    <w:rsid w:val="00157A2D"/>
    <w:rsid w:val="00160DDD"/>
    <w:rsid w:val="001645EE"/>
    <w:rsid w:val="0016504E"/>
    <w:rsid w:val="00165200"/>
    <w:rsid w:val="001669D6"/>
    <w:rsid w:val="00171CA9"/>
    <w:rsid w:val="001737E5"/>
    <w:rsid w:val="0018144D"/>
    <w:rsid w:val="001842B8"/>
    <w:rsid w:val="00191209"/>
    <w:rsid w:val="001976F7"/>
    <w:rsid w:val="001A047B"/>
    <w:rsid w:val="001B1EC8"/>
    <w:rsid w:val="001B4088"/>
    <w:rsid w:val="001B5894"/>
    <w:rsid w:val="001C2907"/>
    <w:rsid w:val="001C3E10"/>
    <w:rsid w:val="001C5779"/>
    <w:rsid w:val="001D1EA3"/>
    <w:rsid w:val="001D469E"/>
    <w:rsid w:val="001D4A75"/>
    <w:rsid w:val="001E08BE"/>
    <w:rsid w:val="001E2D6D"/>
    <w:rsid w:val="001F1630"/>
    <w:rsid w:val="001F29D0"/>
    <w:rsid w:val="00201436"/>
    <w:rsid w:val="00205C8E"/>
    <w:rsid w:val="00213181"/>
    <w:rsid w:val="002169EE"/>
    <w:rsid w:val="00224A8B"/>
    <w:rsid w:val="0023019E"/>
    <w:rsid w:val="00230E11"/>
    <w:rsid w:val="00235649"/>
    <w:rsid w:val="00240510"/>
    <w:rsid w:val="0025371F"/>
    <w:rsid w:val="00261355"/>
    <w:rsid w:val="00291454"/>
    <w:rsid w:val="00292C65"/>
    <w:rsid w:val="00294372"/>
    <w:rsid w:val="002A7774"/>
    <w:rsid w:val="002A7EBC"/>
    <w:rsid w:val="002B5355"/>
    <w:rsid w:val="002C0542"/>
    <w:rsid w:val="002C0666"/>
    <w:rsid w:val="002C5B6A"/>
    <w:rsid w:val="002C6F94"/>
    <w:rsid w:val="002D31C7"/>
    <w:rsid w:val="002D429B"/>
    <w:rsid w:val="002D4BE6"/>
    <w:rsid w:val="002D4DF0"/>
    <w:rsid w:val="002D54F8"/>
    <w:rsid w:val="002D58B5"/>
    <w:rsid w:val="002E4C44"/>
    <w:rsid w:val="002E6F02"/>
    <w:rsid w:val="002F1C86"/>
    <w:rsid w:val="002F74EA"/>
    <w:rsid w:val="00305D4E"/>
    <w:rsid w:val="00306EA1"/>
    <w:rsid w:val="003205C8"/>
    <w:rsid w:val="00324AAE"/>
    <w:rsid w:val="00332DCF"/>
    <w:rsid w:val="0033336B"/>
    <w:rsid w:val="00335F30"/>
    <w:rsid w:val="003416F2"/>
    <w:rsid w:val="003425D0"/>
    <w:rsid w:val="0034351A"/>
    <w:rsid w:val="003447F9"/>
    <w:rsid w:val="0034642B"/>
    <w:rsid w:val="00353BD3"/>
    <w:rsid w:val="00354971"/>
    <w:rsid w:val="00362752"/>
    <w:rsid w:val="00381334"/>
    <w:rsid w:val="0038245C"/>
    <w:rsid w:val="003855F9"/>
    <w:rsid w:val="00386FBC"/>
    <w:rsid w:val="003A35B3"/>
    <w:rsid w:val="003B10A1"/>
    <w:rsid w:val="003B2234"/>
    <w:rsid w:val="003B5047"/>
    <w:rsid w:val="003B67CD"/>
    <w:rsid w:val="003C1704"/>
    <w:rsid w:val="003C64C6"/>
    <w:rsid w:val="003D0C28"/>
    <w:rsid w:val="003D0CF7"/>
    <w:rsid w:val="003D2BB4"/>
    <w:rsid w:val="003D770E"/>
    <w:rsid w:val="003D7812"/>
    <w:rsid w:val="003E0A49"/>
    <w:rsid w:val="003E764B"/>
    <w:rsid w:val="003F630C"/>
    <w:rsid w:val="0040424B"/>
    <w:rsid w:val="004065DE"/>
    <w:rsid w:val="0040730E"/>
    <w:rsid w:val="00415EAB"/>
    <w:rsid w:val="004255A9"/>
    <w:rsid w:val="00432568"/>
    <w:rsid w:val="0043409F"/>
    <w:rsid w:val="00435175"/>
    <w:rsid w:val="0044096F"/>
    <w:rsid w:val="00442CE9"/>
    <w:rsid w:val="00444699"/>
    <w:rsid w:val="00452C58"/>
    <w:rsid w:val="004535C3"/>
    <w:rsid w:val="00461483"/>
    <w:rsid w:val="00464130"/>
    <w:rsid w:val="00464480"/>
    <w:rsid w:val="0049493D"/>
    <w:rsid w:val="00495F68"/>
    <w:rsid w:val="004966E1"/>
    <w:rsid w:val="004B2328"/>
    <w:rsid w:val="004B3401"/>
    <w:rsid w:val="004B67DF"/>
    <w:rsid w:val="004C0BB2"/>
    <w:rsid w:val="004E613F"/>
    <w:rsid w:val="004F3D1B"/>
    <w:rsid w:val="004F4310"/>
    <w:rsid w:val="00500FBD"/>
    <w:rsid w:val="0052268E"/>
    <w:rsid w:val="005277AA"/>
    <w:rsid w:val="00541080"/>
    <w:rsid w:val="0054504C"/>
    <w:rsid w:val="0054605B"/>
    <w:rsid w:val="005463FC"/>
    <w:rsid w:val="005543D5"/>
    <w:rsid w:val="00554F21"/>
    <w:rsid w:val="005628D4"/>
    <w:rsid w:val="00565EA4"/>
    <w:rsid w:val="00567558"/>
    <w:rsid w:val="005702E4"/>
    <w:rsid w:val="00574382"/>
    <w:rsid w:val="0057695C"/>
    <w:rsid w:val="005775BE"/>
    <w:rsid w:val="005939B2"/>
    <w:rsid w:val="00595870"/>
    <w:rsid w:val="005A0F77"/>
    <w:rsid w:val="005A3EA0"/>
    <w:rsid w:val="005C0175"/>
    <w:rsid w:val="005C6E44"/>
    <w:rsid w:val="005C737E"/>
    <w:rsid w:val="005C7CBC"/>
    <w:rsid w:val="005D41B0"/>
    <w:rsid w:val="005D47C1"/>
    <w:rsid w:val="005E0567"/>
    <w:rsid w:val="005E2198"/>
    <w:rsid w:val="005E36D1"/>
    <w:rsid w:val="005E5444"/>
    <w:rsid w:val="005E7E6E"/>
    <w:rsid w:val="00602600"/>
    <w:rsid w:val="006051B8"/>
    <w:rsid w:val="00605B88"/>
    <w:rsid w:val="00612B74"/>
    <w:rsid w:val="00614B5A"/>
    <w:rsid w:val="0062481C"/>
    <w:rsid w:val="006252C5"/>
    <w:rsid w:val="00626B34"/>
    <w:rsid w:val="00633331"/>
    <w:rsid w:val="00636C29"/>
    <w:rsid w:val="00637C84"/>
    <w:rsid w:val="006405BB"/>
    <w:rsid w:val="00641FEA"/>
    <w:rsid w:val="0064288E"/>
    <w:rsid w:val="00650EC6"/>
    <w:rsid w:val="00654218"/>
    <w:rsid w:val="00657192"/>
    <w:rsid w:val="00657737"/>
    <w:rsid w:val="00661A80"/>
    <w:rsid w:val="00661B3A"/>
    <w:rsid w:val="00675337"/>
    <w:rsid w:val="006766C6"/>
    <w:rsid w:val="00676FFB"/>
    <w:rsid w:val="006825EB"/>
    <w:rsid w:val="00683C2A"/>
    <w:rsid w:val="00694344"/>
    <w:rsid w:val="00695461"/>
    <w:rsid w:val="00695657"/>
    <w:rsid w:val="0069659F"/>
    <w:rsid w:val="00697BB4"/>
    <w:rsid w:val="00697D40"/>
    <w:rsid w:val="006A1EF3"/>
    <w:rsid w:val="006A22AE"/>
    <w:rsid w:val="006A25F6"/>
    <w:rsid w:val="006A283B"/>
    <w:rsid w:val="006A5748"/>
    <w:rsid w:val="006A7E31"/>
    <w:rsid w:val="006C0760"/>
    <w:rsid w:val="006C3C43"/>
    <w:rsid w:val="006D26B4"/>
    <w:rsid w:val="006D7672"/>
    <w:rsid w:val="006F285F"/>
    <w:rsid w:val="006F2CCF"/>
    <w:rsid w:val="006F6267"/>
    <w:rsid w:val="00700FB2"/>
    <w:rsid w:val="00703706"/>
    <w:rsid w:val="00705186"/>
    <w:rsid w:val="00705712"/>
    <w:rsid w:val="00711073"/>
    <w:rsid w:val="007110E1"/>
    <w:rsid w:val="0071140D"/>
    <w:rsid w:val="0072118D"/>
    <w:rsid w:val="00724D81"/>
    <w:rsid w:val="00731F2A"/>
    <w:rsid w:val="00732AEB"/>
    <w:rsid w:val="007362CE"/>
    <w:rsid w:val="00745B8A"/>
    <w:rsid w:val="00747938"/>
    <w:rsid w:val="00761FDA"/>
    <w:rsid w:val="007625B8"/>
    <w:rsid w:val="00762BD1"/>
    <w:rsid w:val="00765B2A"/>
    <w:rsid w:val="00775D07"/>
    <w:rsid w:val="007850BE"/>
    <w:rsid w:val="007860A2"/>
    <w:rsid w:val="00786FA1"/>
    <w:rsid w:val="00790943"/>
    <w:rsid w:val="00791D14"/>
    <w:rsid w:val="007A4272"/>
    <w:rsid w:val="007A49E6"/>
    <w:rsid w:val="007A54CD"/>
    <w:rsid w:val="007A6FD0"/>
    <w:rsid w:val="007C07C6"/>
    <w:rsid w:val="007C1898"/>
    <w:rsid w:val="007C1EA5"/>
    <w:rsid w:val="007C35DB"/>
    <w:rsid w:val="007C3AD3"/>
    <w:rsid w:val="007D0A3E"/>
    <w:rsid w:val="007D17E0"/>
    <w:rsid w:val="007D2CF9"/>
    <w:rsid w:val="007D60B9"/>
    <w:rsid w:val="007E502C"/>
    <w:rsid w:val="007F1F27"/>
    <w:rsid w:val="007F2A32"/>
    <w:rsid w:val="007F2CC7"/>
    <w:rsid w:val="007F6A77"/>
    <w:rsid w:val="0080550D"/>
    <w:rsid w:val="00806359"/>
    <w:rsid w:val="008137DD"/>
    <w:rsid w:val="008144F5"/>
    <w:rsid w:val="008165E1"/>
    <w:rsid w:val="00820072"/>
    <w:rsid w:val="0082106C"/>
    <w:rsid w:val="008224DB"/>
    <w:rsid w:val="0083335D"/>
    <w:rsid w:val="00834FE6"/>
    <w:rsid w:val="008352EE"/>
    <w:rsid w:val="00836B02"/>
    <w:rsid w:val="00851BB4"/>
    <w:rsid w:val="00856F2A"/>
    <w:rsid w:val="008578B2"/>
    <w:rsid w:val="008655A0"/>
    <w:rsid w:val="008674F7"/>
    <w:rsid w:val="00871212"/>
    <w:rsid w:val="0087389A"/>
    <w:rsid w:val="008776CC"/>
    <w:rsid w:val="008811B7"/>
    <w:rsid w:val="008823F2"/>
    <w:rsid w:val="00892824"/>
    <w:rsid w:val="008A20CD"/>
    <w:rsid w:val="008A354B"/>
    <w:rsid w:val="008A62EC"/>
    <w:rsid w:val="008B439D"/>
    <w:rsid w:val="008B6A1D"/>
    <w:rsid w:val="008C051B"/>
    <w:rsid w:val="008C11A8"/>
    <w:rsid w:val="008C238F"/>
    <w:rsid w:val="008C25B9"/>
    <w:rsid w:val="008C3BA0"/>
    <w:rsid w:val="008C54A5"/>
    <w:rsid w:val="008C6D81"/>
    <w:rsid w:val="008D468C"/>
    <w:rsid w:val="008E2FC7"/>
    <w:rsid w:val="008F076A"/>
    <w:rsid w:val="00905822"/>
    <w:rsid w:val="0091042C"/>
    <w:rsid w:val="00910519"/>
    <w:rsid w:val="009223DF"/>
    <w:rsid w:val="00923897"/>
    <w:rsid w:val="00946FD8"/>
    <w:rsid w:val="00964907"/>
    <w:rsid w:val="00971334"/>
    <w:rsid w:val="00974C61"/>
    <w:rsid w:val="00980653"/>
    <w:rsid w:val="00982658"/>
    <w:rsid w:val="00982F6D"/>
    <w:rsid w:val="009856DF"/>
    <w:rsid w:val="00987A7F"/>
    <w:rsid w:val="009955DA"/>
    <w:rsid w:val="00996B83"/>
    <w:rsid w:val="00997713"/>
    <w:rsid w:val="009A02A3"/>
    <w:rsid w:val="009A71C2"/>
    <w:rsid w:val="009A76BE"/>
    <w:rsid w:val="009B013E"/>
    <w:rsid w:val="009B5977"/>
    <w:rsid w:val="009B5E19"/>
    <w:rsid w:val="009B7294"/>
    <w:rsid w:val="009B74C8"/>
    <w:rsid w:val="009C757A"/>
    <w:rsid w:val="009D0360"/>
    <w:rsid w:val="009D0C19"/>
    <w:rsid w:val="009D5EBA"/>
    <w:rsid w:val="009E03A8"/>
    <w:rsid w:val="009E2CA7"/>
    <w:rsid w:val="009E44FF"/>
    <w:rsid w:val="009E4E79"/>
    <w:rsid w:val="009E5E67"/>
    <w:rsid w:val="009F5543"/>
    <w:rsid w:val="009F59A6"/>
    <w:rsid w:val="00A05D26"/>
    <w:rsid w:val="00A12EA3"/>
    <w:rsid w:val="00A133A5"/>
    <w:rsid w:val="00A178C6"/>
    <w:rsid w:val="00A212A7"/>
    <w:rsid w:val="00A26AEB"/>
    <w:rsid w:val="00A27B93"/>
    <w:rsid w:val="00A31610"/>
    <w:rsid w:val="00A31B17"/>
    <w:rsid w:val="00A34A9D"/>
    <w:rsid w:val="00A43575"/>
    <w:rsid w:val="00A43736"/>
    <w:rsid w:val="00A53C0C"/>
    <w:rsid w:val="00A65972"/>
    <w:rsid w:val="00A726BD"/>
    <w:rsid w:val="00A73072"/>
    <w:rsid w:val="00A73A81"/>
    <w:rsid w:val="00A81ABB"/>
    <w:rsid w:val="00A8466B"/>
    <w:rsid w:val="00A85F67"/>
    <w:rsid w:val="00A92F4D"/>
    <w:rsid w:val="00A94A26"/>
    <w:rsid w:val="00AA6530"/>
    <w:rsid w:val="00AB1EAA"/>
    <w:rsid w:val="00AB3089"/>
    <w:rsid w:val="00AB6595"/>
    <w:rsid w:val="00AC314F"/>
    <w:rsid w:val="00AC418F"/>
    <w:rsid w:val="00AD6E3C"/>
    <w:rsid w:val="00AE2847"/>
    <w:rsid w:val="00AF2551"/>
    <w:rsid w:val="00AF2B0B"/>
    <w:rsid w:val="00AF4DE8"/>
    <w:rsid w:val="00AF7A34"/>
    <w:rsid w:val="00B13F5E"/>
    <w:rsid w:val="00B24551"/>
    <w:rsid w:val="00B32144"/>
    <w:rsid w:val="00B357BF"/>
    <w:rsid w:val="00B542CC"/>
    <w:rsid w:val="00B563B7"/>
    <w:rsid w:val="00B70A33"/>
    <w:rsid w:val="00B72943"/>
    <w:rsid w:val="00B72961"/>
    <w:rsid w:val="00B74CF0"/>
    <w:rsid w:val="00B75B04"/>
    <w:rsid w:val="00B774CC"/>
    <w:rsid w:val="00B81017"/>
    <w:rsid w:val="00B8185B"/>
    <w:rsid w:val="00B87C82"/>
    <w:rsid w:val="00B9107C"/>
    <w:rsid w:val="00B922F3"/>
    <w:rsid w:val="00BA2151"/>
    <w:rsid w:val="00BA73FE"/>
    <w:rsid w:val="00BB4519"/>
    <w:rsid w:val="00BD054B"/>
    <w:rsid w:val="00BD173E"/>
    <w:rsid w:val="00BD26DD"/>
    <w:rsid w:val="00BD2A9E"/>
    <w:rsid w:val="00BD4A69"/>
    <w:rsid w:val="00C01B1D"/>
    <w:rsid w:val="00C0293F"/>
    <w:rsid w:val="00C040BF"/>
    <w:rsid w:val="00C047AD"/>
    <w:rsid w:val="00C12ED4"/>
    <w:rsid w:val="00C133AE"/>
    <w:rsid w:val="00C1593B"/>
    <w:rsid w:val="00C16888"/>
    <w:rsid w:val="00C171AC"/>
    <w:rsid w:val="00C21F11"/>
    <w:rsid w:val="00C23EA9"/>
    <w:rsid w:val="00C24A98"/>
    <w:rsid w:val="00C30976"/>
    <w:rsid w:val="00C325B4"/>
    <w:rsid w:val="00C33F7A"/>
    <w:rsid w:val="00C37544"/>
    <w:rsid w:val="00C4118B"/>
    <w:rsid w:val="00C44F5A"/>
    <w:rsid w:val="00C5092A"/>
    <w:rsid w:val="00C50F76"/>
    <w:rsid w:val="00C56EC9"/>
    <w:rsid w:val="00C66CB4"/>
    <w:rsid w:val="00C70834"/>
    <w:rsid w:val="00C73F6F"/>
    <w:rsid w:val="00C7579B"/>
    <w:rsid w:val="00C86815"/>
    <w:rsid w:val="00C90114"/>
    <w:rsid w:val="00C90E8A"/>
    <w:rsid w:val="00C93D5B"/>
    <w:rsid w:val="00C97BCB"/>
    <w:rsid w:val="00CB3482"/>
    <w:rsid w:val="00CB45FA"/>
    <w:rsid w:val="00CB5235"/>
    <w:rsid w:val="00CC4A96"/>
    <w:rsid w:val="00CD0E88"/>
    <w:rsid w:val="00CD104F"/>
    <w:rsid w:val="00CD16A6"/>
    <w:rsid w:val="00CD1FC6"/>
    <w:rsid w:val="00CD6FC2"/>
    <w:rsid w:val="00CD7634"/>
    <w:rsid w:val="00CE39B2"/>
    <w:rsid w:val="00CF4FBB"/>
    <w:rsid w:val="00CF63FE"/>
    <w:rsid w:val="00D10C44"/>
    <w:rsid w:val="00D23609"/>
    <w:rsid w:val="00D26B37"/>
    <w:rsid w:val="00D410C4"/>
    <w:rsid w:val="00D4634E"/>
    <w:rsid w:val="00D5706C"/>
    <w:rsid w:val="00D624F0"/>
    <w:rsid w:val="00D63AEB"/>
    <w:rsid w:val="00D70C9A"/>
    <w:rsid w:val="00D728A0"/>
    <w:rsid w:val="00D73E10"/>
    <w:rsid w:val="00D74465"/>
    <w:rsid w:val="00D74E5B"/>
    <w:rsid w:val="00D76C95"/>
    <w:rsid w:val="00D827D7"/>
    <w:rsid w:val="00D84C0A"/>
    <w:rsid w:val="00D949A5"/>
    <w:rsid w:val="00D94B40"/>
    <w:rsid w:val="00D96489"/>
    <w:rsid w:val="00DA72F5"/>
    <w:rsid w:val="00DA7CD5"/>
    <w:rsid w:val="00DB5556"/>
    <w:rsid w:val="00DB7217"/>
    <w:rsid w:val="00DC7218"/>
    <w:rsid w:val="00DC725A"/>
    <w:rsid w:val="00DD3FC7"/>
    <w:rsid w:val="00DD58ED"/>
    <w:rsid w:val="00DD65AA"/>
    <w:rsid w:val="00DE0C2D"/>
    <w:rsid w:val="00DE176A"/>
    <w:rsid w:val="00DE2D92"/>
    <w:rsid w:val="00DE4B69"/>
    <w:rsid w:val="00DE52F7"/>
    <w:rsid w:val="00DF4ED9"/>
    <w:rsid w:val="00E0029A"/>
    <w:rsid w:val="00E03627"/>
    <w:rsid w:val="00E1155E"/>
    <w:rsid w:val="00E208BD"/>
    <w:rsid w:val="00E21C78"/>
    <w:rsid w:val="00E22270"/>
    <w:rsid w:val="00E226FC"/>
    <w:rsid w:val="00E2546F"/>
    <w:rsid w:val="00E261FA"/>
    <w:rsid w:val="00E26879"/>
    <w:rsid w:val="00E31873"/>
    <w:rsid w:val="00E32499"/>
    <w:rsid w:val="00E33041"/>
    <w:rsid w:val="00E41A2C"/>
    <w:rsid w:val="00E4541E"/>
    <w:rsid w:val="00E532BC"/>
    <w:rsid w:val="00E55033"/>
    <w:rsid w:val="00E562B9"/>
    <w:rsid w:val="00E57515"/>
    <w:rsid w:val="00E62B3F"/>
    <w:rsid w:val="00E668C1"/>
    <w:rsid w:val="00E67EA4"/>
    <w:rsid w:val="00E72BAF"/>
    <w:rsid w:val="00E747B4"/>
    <w:rsid w:val="00E74B44"/>
    <w:rsid w:val="00E75294"/>
    <w:rsid w:val="00E858EB"/>
    <w:rsid w:val="00E8702E"/>
    <w:rsid w:val="00E908F2"/>
    <w:rsid w:val="00E90D00"/>
    <w:rsid w:val="00E90D69"/>
    <w:rsid w:val="00E95620"/>
    <w:rsid w:val="00E9620D"/>
    <w:rsid w:val="00EA4CED"/>
    <w:rsid w:val="00EA6C24"/>
    <w:rsid w:val="00EB02EC"/>
    <w:rsid w:val="00EB3B0A"/>
    <w:rsid w:val="00EB4709"/>
    <w:rsid w:val="00EB50E8"/>
    <w:rsid w:val="00EB5926"/>
    <w:rsid w:val="00EB70BC"/>
    <w:rsid w:val="00EC77FA"/>
    <w:rsid w:val="00ED329B"/>
    <w:rsid w:val="00ED6FE2"/>
    <w:rsid w:val="00EE5DDA"/>
    <w:rsid w:val="00EE5E52"/>
    <w:rsid w:val="00EF28D1"/>
    <w:rsid w:val="00EF4492"/>
    <w:rsid w:val="00EF5CF8"/>
    <w:rsid w:val="00F02034"/>
    <w:rsid w:val="00F06FD0"/>
    <w:rsid w:val="00F104E8"/>
    <w:rsid w:val="00F12F36"/>
    <w:rsid w:val="00F20C5E"/>
    <w:rsid w:val="00F244FA"/>
    <w:rsid w:val="00F26372"/>
    <w:rsid w:val="00F31B1A"/>
    <w:rsid w:val="00F339E9"/>
    <w:rsid w:val="00F36863"/>
    <w:rsid w:val="00F42AAD"/>
    <w:rsid w:val="00F45097"/>
    <w:rsid w:val="00F45913"/>
    <w:rsid w:val="00F45A7F"/>
    <w:rsid w:val="00F45D2E"/>
    <w:rsid w:val="00F5254B"/>
    <w:rsid w:val="00F52885"/>
    <w:rsid w:val="00F54C0E"/>
    <w:rsid w:val="00F615F2"/>
    <w:rsid w:val="00F61E82"/>
    <w:rsid w:val="00F62D65"/>
    <w:rsid w:val="00F66BC5"/>
    <w:rsid w:val="00F7631C"/>
    <w:rsid w:val="00F774B7"/>
    <w:rsid w:val="00F77BF6"/>
    <w:rsid w:val="00F81246"/>
    <w:rsid w:val="00F81523"/>
    <w:rsid w:val="00F83048"/>
    <w:rsid w:val="00F857FF"/>
    <w:rsid w:val="00F8699B"/>
    <w:rsid w:val="00F95FD0"/>
    <w:rsid w:val="00FA64C4"/>
    <w:rsid w:val="00FA7AD0"/>
    <w:rsid w:val="00FB70F9"/>
    <w:rsid w:val="00FC23DD"/>
    <w:rsid w:val="00FC2F29"/>
    <w:rsid w:val="00FC7EDD"/>
    <w:rsid w:val="00FD4B52"/>
    <w:rsid w:val="00FD6D55"/>
    <w:rsid w:val="00FE13FF"/>
    <w:rsid w:val="00FF0000"/>
    <w:rsid w:val="00FF1C5A"/>
    <w:rsid w:val="00FF2CFE"/>
    <w:rsid w:val="00FF79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522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F27"/>
    <w:pPr>
      <w:spacing w:after="0" w:line="240" w:lineRule="auto"/>
      <w:jc w:val="both"/>
    </w:pPr>
    <w:rPr>
      <w:rFonts w:ascii="Cambria Math" w:hAnsi="Cambria Math" w:cs="Times New Roman"/>
      <w:sz w:val="28"/>
      <w:szCs w:val="24"/>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F27"/>
    <w:pPr>
      <w:ind w:left="720"/>
      <w:contextualSpacing/>
    </w:pPr>
  </w:style>
  <w:style w:type="character" w:styleId="Hyperlink">
    <w:name w:val="Hyperlink"/>
    <w:aliases w:val="min"/>
    <w:basedOn w:val="DefaultParagraphFont"/>
    <w:uiPriority w:val="99"/>
    <w:rsid w:val="00E1155E"/>
    <w:rPr>
      <w:rFonts w:cs="Arial"/>
      <w:color w:val="0000FF"/>
      <w:sz w:val="16"/>
      <w:szCs w:val="16"/>
      <w:u w:val="single"/>
    </w:rPr>
  </w:style>
  <w:style w:type="paragraph" w:styleId="Header">
    <w:name w:val="header"/>
    <w:basedOn w:val="Normal"/>
    <w:link w:val="HeaderChar"/>
    <w:uiPriority w:val="99"/>
    <w:unhideWhenUsed/>
    <w:rsid w:val="00CD7634"/>
    <w:pPr>
      <w:tabs>
        <w:tab w:val="center" w:pos="4536"/>
        <w:tab w:val="right" w:pos="9072"/>
      </w:tabs>
    </w:pPr>
  </w:style>
  <w:style w:type="character" w:customStyle="1" w:styleId="HeaderChar">
    <w:name w:val="Header Char"/>
    <w:basedOn w:val="DefaultParagraphFont"/>
    <w:link w:val="Header"/>
    <w:uiPriority w:val="99"/>
    <w:rsid w:val="00CD7634"/>
    <w:rPr>
      <w:rFonts w:ascii="Cambria Math" w:hAnsi="Cambria Math" w:cs="Times New Roman"/>
      <w:sz w:val="28"/>
      <w:szCs w:val="24"/>
      <w:lang w:val="fr-BE"/>
    </w:rPr>
  </w:style>
  <w:style w:type="paragraph" w:styleId="Footer">
    <w:name w:val="footer"/>
    <w:basedOn w:val="Normal"/>
    <w:link w:val="FooterChar"/>
    <w:uiPriority w:val="99"/>
    <w:unhideWhenUsed/>
    <w:rsid w:val="00CD7634"/>
    <w:pPr>
      <w:tabs>
        <w:tab w:val="center" w:pos="4536"/>
        <w:tab w:val="right" w:pos="9072"/>
      </w:tabs>
    </w:pPr>
  </w:style>
  <w:style w:type="character" w:customStyle="1" w:styleId="FooterChar">
    <w:name w:val="Footer Char"/>
    <w:basedOn w:val="DefaultParagraphFont"/>
    <w:link w:val="Footer"/>
    <w:uiPriority w:val="99"/>
    <w:rsid w:val="00CD7634"/>
    <w:rPr>
      <w:rFonts w:ascii="Cambria Math" w:hAnsi="Cambria Math" w:cs="Times New Roman"/>
      <w:sz w:val="28"/>
      <w:szCs w:val="24"/>
      <w:lang w:val="fr-BE"/>
    </w:rPr>
  </w:style>
  <w:style w:type="paragraph" w:styleId="FootnoteText">
    <w:name w:val="footnote text"/>
    <w:basedOn w:val="Normal"/>
    <w:link w:val="FootnoteTextChar"/>
    <w:unhideWhenUsed/>
    <w:rsid w:val="007110E1"/>
    <w:rPr>
      <w:sz w:val="20"/>
      <w:szCs w:val="20"/>
    </w:rPr>
  </w:style>
  <w:style w:type="character" w:customStyle="1" w:styleId="FootnoteTextChar">
    <w:name w:val="Footnote Text Char"/>
    <w:basedOn w:val="DefaultParagraphFont"/>
    <w:link w:val="FootnoteText"/>
    <w:rsid w:val="007110E1"/>
    <w:rPr>
      <w:rFonts w:ascii="Cambria Math" w:hAnsi="Cambria Math" w:cs="Times New Roman"/>
      <w:sz w:val="20"/>
      <w:szCs w:val="20"/>
      <w:lang w:val="fr-BE"/>
    </w:rPr>
  </w:style>
  <w:style w:type="character" w:styleId="FootnoteReference">
    <w:name w:val="footnote reference"/>
    <w:basedOn w:val="DefaultParagraphFont"/>
    <w:semiHidden/>
    <w:unhideWhenUsed/>
    <w:rsid w:val="007110E1"/>
    <w:rPr>
      <w:vertAlign w:val="superscript"/>
    </w:rPr>
  </w:style>
  <w:style w:type="paragraph" w:styleId="BalloonText">
    <w:name w:val="Balloon Text"/>
    <w:basedOn w:val="Normal"/>
    <w:link w:val="BalloonTextChar"/>
    <w:uiPriority w:val="99"/>
    <w:semiHidden/>
    <w:unhideWhenUsed/>
    <w:rsid w:val="005543D5"/>
    <w:rPr>
      <w:rFonts w:ascii="Tahoma" w:hAnsi="Tahoma" w:cs="Tahoma"/>
      <w:sz w:val="16"/>
      <w:szCs w:val="16"/>
    </w:rPr>
  </w:style>
  <w:style w:type="character" w:customStyle="1" w:styleId="BalloonTextChar">
    <w:name w:val="Balloon Text Char"/>
    <w:basedOn w:val="DefaultParagraphFont"/>
    <w:link w:val="BalloonText"/>
    <w:uiPriority w:val="99"/>
    <w:semiHidden/>
    <w:rsid w:val="005543D5"/>
    <w:rPr>
      <w:rFonts w:ascii="Tahoma" w:hAnsi="Tahoma" w:cs="Tahoma"/>
      <w:sz w:val="16"/>
      <w:szCs w:val="16"/>
      <w:lang w:val="fr-BE"/>
    </w:rPr>
  </w:style>
  <w:style w:type="character" w:styleId="FollowedHyperlink">
    <w:name w:val="FollowedHyperlink"/>
    <w:basedOn w:val="DefaultParagraphFont"/>
    <w:uiPriority w:val="99"/>
    <w:semiHidden/>
    <w:unhideWhenUsed/>
    <w:rsid w:val="001976F7"/>
    <w:rPr>
      <w:color w:val="800080" w:themeColor="followedHyperlink"/>
      <w:u w:val="single"/>
    </w:rPr>
  </w:style>
  <w:style w:type="paragraph" w:customStyle="1" w:styleId="Coverfooter">
    <w:name w:val="Cover footer"/>
    <w:basedOn w:val="Normal"/>
    <w:uiPriority w:val="99"/>
    <w:rsid w:val="008C3BA0"/>
    <w:pPr>
      <w:spacing w:before="160" w:line="288" w:lineRule="auto"/>
      <w:jc w:val="left"/>
    </w:pPr>
    <w:rPr>
      <w:rFonts w:ascii="Arial" w:eastAsia="Times New Roman" w:hAnsi="Arial"/>
      <w:color w:val="FFFFFF"/>
      <w:sz w:val="21"/>
      <w:szCs w:val="20"/>
      <w:lang w:val="en-GB"/>
    </w:rPr>
  </w:style>
  <w:style w:type="table" w:styleId="TableGrid">
    <w:name w:val="Table Grid"/>
    <w:basedOn w:val="TableNormal"/>
    <w:rsid w:val="00CC4A96"/>
    <w:pPr>
      <w:spacing w:after="0" w:line="240" w:lineRule="auto"/>
    </w:pPr>
    <w:rPr>
      <w:rFonts w:ascii="Times New Roman" w:eastAsia="SimSu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F27"/>
    <w:pPr>
      <w:spacing w:after="0" w:line="240" w:lineRule="auto"/>
      <w:jc w:val="both"/>
    </w:pPr>
    <w:rPr>
      <w:rFonts w:ascii="Cambria Math" w:hAnsi="Cambria Math" w:cs="Times New Roman"/>
      <w:sz w:val="28"/>
      <w:szCs w:val="24"/>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F27"/>
    <w:pPr>
      <w:ind w:left="720"/>
      <w:contextualSpacing/>
    </w:pPr>
  </w:style>
  <w:style w:type="character" w:styleId="Hyperlink">
    <w:name w:val="Hyperlink"/>
    <w:aliases w:val="min"/>
    <w:basedOn w:val="DefaultParagraphFont"/>
    <w:uiPriority w:val="99"/>
    <w:rsid w:val="00E1155E"/>
    <w:rPr>
      <w:rFonts w:cs="Arial"/>
      <w:color w:val="0000FF"/>
      <w:sz w:val="16"/>
      <w:szCs w:val="16"/>
      <w:u w:val="single"/>
    </w:rPr>
  </w:style>
  <w:style w:type="paragraph" w:styleId="Header">
    <w:name w:val="header"/>
    <w:basedOn w:val="Normal"/>
    <w:link w:val="HeaderChar"/>
    <w:uiPriority w:val="99"/>
    <w:unhideWhenUsed/>
    <w:rsid w:val="00CD7634"/>
    <w:pPr>
      <w:tabs>
        <w:tab w:val="center" w:pos="4536"/>
        <w:tab w:val="right" w:pos="9072"/>
      </w:tabs>
    </w:pPr>
  </w:style>
  <w:style w:type="character" w:customStyle="1" w:styleId="HeaderChar">
    <w:name w:val="Header Char"/>
    <w:basedOn w:val="DefaultParagraphFont"/>
    <w:link w:val="Header"/>
    <w:uiPriority w:val="99"/>
    <w:rsid w:val="00CD7634"/>
    <w:rPr>
      <w:rFonts w:ascii="Cambria Math" w:hAnsi="Cambria Math" w:cs="Times New Roman"/>
      <w:sz w:val="28"/>
      <w:szCs w:val="24"/>
      <w:lang w:val="fr-BE"/>
    </w:rPr>
  </w:style>
  <w:style w:type="paragraph" w:styleId="Footer">
    <w:name w:val="footer"/>
    <w:basedOn w:val="Normal"/>
    <w:link w:val="FooterChar"/>
    <w:uiPriority w:val="99"/>
    <w:unhideWhenUsed/>
    <w:rsid w:val="00CD7634"/>
    <w:pPr>
      <w:tabs>
        <w:tab w:val="center" w:pos="4536"/>
        <w:tab w:val="right" w:pos="9072"/>
      </w:tabs>
    </w:pPr>
  </w:style>
  <w:style w:type="character" w:customStyle="1" w:styleId="FooterChar">
    <w:name w:val="Footer Char"/>
    <w:basedOn w:val="DefaultParagraphFont"/>
    <w:link w:val="Footer"/>
    <w:uiPriority w:val="99"/>
    <w:rsid w:val="00CD7634"/>
    <w:rPr>
      <w:rFonts w:ascii="Cambria Math" w:hAnsi="Cambria Math" w:cs="Times New Roman"/>
      <w:sz w:val="28"/>
      <w:szCs w:val="24"/>
      <w:lang w:val="fr-BE"/>
    </w:rPr>
  </w:style>
  <w:style w:type="paragraph" w:styleId="FootnoteText">
    <w:name w:val="footnote text"/>
    <w:basedOn w:val="Normal"/>
    <w:link w:val="FootnoteTextChar"/>
    <w:unhideWhenUsed/>
    <w:rsid w:val="007110E1"/>
    <w:rPr>
      <w:sz w:val="20"/>
      <w:szCs w:val="20"/>
    </w:rPr>
  </w:style>
  <w:style w:type="character" w:customStyle="1" w:styleId="FootnoteTextChar">
    <w:name w:val="Footnote Text Char"/>
    <w:basedOn w:val="DefaultParagraphFont"/>
    <w:link w:val="FootnoteText"/>
    <w:rsid w:val="007110E1"/>
    <w:rPr>
      <w:rFonts w:ascii="Cambria Math" w:hAnsi="Cambria Math" w:cs="Times New Roman"/>
      <w:sz w:val="20"/>
      <w:szCs w:val="20"/>
      <w:lang w:val="fr-BE"/>
    </w:rPr>
  </w:style>
  <w:style w:type="character" w:styleId="FootnoteReference">
    <w:name w:val="footnote reference"/>
    <w:basedOn w:val="DefaultParagraphFont"/>
    <w:semiHidden/>
    <w:unhideWhenUsed/>
    <w:rsid w:val="007110E1"/>
    <w:rPr>
      <w:vertAlign w:val="superscript"/>
    </w:rPr>
  </w:style>
  <w:style w:type="paragraph" w:styleId="BalloonText">
    <w:name w:val="Balloon Text"/>
    <w:basedOn w:val="Normal"/>
    <w:link w:val="BalloonTextChar"/>
    <w:uiPriority w:val="99"/>
    <w:semiHidden/>
    <w:unhideWhenUsed/>
    <w:rsid w:val="005543D5"/>
    <w:rPr>
      <w:rFonts w:ascii="Tahoma" w:hAnsi="Tahoma" w:cs="Tahoma"/>
      <w:sz w:val="16"/>
      <w:szCs w:val="16"/>
    </w:rPr>
  </w:style>
  <w:style w:type="character" w:customStyle="1" w:styleId="BalloonTextChar">
    <w:name w:val="Balloon Text Char"/>
    <w:basedOn w:val="DefaultParagraphFont"/>
    <w:link w:val="BalloonText"/>
    <w:uiPriority w:val="99"/>
    <w:semiHidden/>
    <w:rsid w:val="005543D5"/>
    <w:rPr>
      <w:rFonts w:ascii="Tahoma" w:hAnsi="Tahoma" w:cs="Tahoma"/>
      <w:sz w:val="16"/>
      <w:szCs w:val="16"/>
      <w:lang w:val="fr-BE"/>
    </w:rPr>
  </w:style>
  <w:style w:type="character" w:styleId="FollowedHyperlink">
    <w:name w:val="FollowedHyperlink"/>
    <w:basedOn w:val="DefaultParagraphFont"/>
    <w:uiPriority w:val="99"/>
    <w:semiHidden/>
    <w:unhideWhenUsed/>
    <w:rsid w:val="001976F7"/>
    <w:rPr>
      <w:color w:val="800080" w:themeColor="followedHyperlink"/>
      <w:u w:val="single"/>
    </w:rPr>
  </w:style>
  <w:style w:type="paragraph" w:customStyle="1" w:styleId="Coverfooter">
    <w:name w:val="Cover footer"/>
    <w:basedOn w:val="Normal"/>
    <w:uiPriority w:val="99"/>
    <w:rsid w:val="008C3BA0"/>
    <w:pPr>
      <w:spacing w:before="160" w:line="288" w:lineRule="auto"/>
      <w:jc w:val="left"/>
    </w:pPr>
    <w:rPr>
      <w:rFonts w:ascii="Arial" w:eastAsia="Times New Roman" w:hAnsi="Arial"/>
      <w:color w:val="FFFFFF"/>
      <w:sz w:val="21"/>
      <w:szCs w:val="20"/>
      <w:lang w:val="en-GB"/>
    </w:rPr>
  </w:style>
  <w:style w:type="table" w:styleId="TableGrid">
    <w:name w:val="Table Grid"/>
    <w:basedOn w:val="TableNormal"/>
    <w:rsid w:val="00CC4A96"/>
    <w:pPr>
      <w:spacing w:after="0" w:line="240" w:lineRule="auto"/>
    </w:pPr>
    <w:rPr>
      <w:rFonts w:ascii="Times New Roman" w:eastAsia="SimSu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0281">
      <w:bodyDiv w:val="1"/>
      <w:marLeft w:val="0"/>
      <w:marRight w:val="0"/>
      <w:marTop w:val="0"/>
      <w:marBottom w:val="0"/>
      <w:divBdr>
        <w:top w:val="none" w:sz="0" w:space="0" w:color="auto"/>
        <w:left w:val="none" w:sz="0" w:space="0" w:color="auto"/>
        <w:bottom w:val="none" w:sz="0" w:space="0" w:color="auto"/>
        <w:right w:val="none" w:sz="0" w:space="0" w:color="auto"/>
      </w:divBdr>
      <w:divsChild>
        <w:div w:id="1823934282">
          <w:marLeft w:val="360"/>
          <w:marRight w:val="0"/>
          <w:marTop w:val="134"/>
          <w:marBottom w:val="0"/>
          <w:divBdr>
            <w:top w:val="none" w:sz="0" w:space="0" w:color="auto"/>
            <w:left w:val="none" w:sz="0" w:space="0" w:color="auto"/>
            <w:bottom w:val="none" w:sz="0" w:space="0" w:color="auto"/>
            <w:right w:val="none" w:sz="0" w:space="0" w:color="auto"/>
          </w:divBdr>
        </w:div>
        <w:div w:id="724640266">
          <w:marLeft w:val="994"/>
          <w:marRight w:val="0"/>
          <w:marTop w:val="115"/>
          <w:marBottom w:val="0"/>
          <w:divBdr>
            <w:top w:val="none" w:sz="0" w:space="0" w:color="auto"/>
            <w:left w:val="none" w:sz="0" w:space="0" w:color="auto"/>
            <w:bottom w:val="none" w:sz="0" w:space="0" w:color="auto"/>
            <w:right w:val="none" w:sz="0" w:space="0" w:color="auto"/>
          </w:divBdr>
        </w:div>
        <w:div w:id="1542740575">
          <w:marLeft w:val="994"/>
          <w:marRight w:val="0"/>
          <w:marTop w:val="115"/>
          <w:marBottom w:val="0"/>
          <w:divBdr>
            <w:top w:val="none" w:sz="0" w:space="0" w:color="auto"/>
            <w:left w:val="none" w:sz="0" w:space="0" w:color="auto"/>
            <w:bottom w:val="none" w:sz="0" w:space="0" w:color="auto"/>
            <w:right w:val="none" w:sz="0" w:space="0" w:color="auto"/>
          </w:divBdr>
        </w:div>
        <w:div w:id="298075601">
          <w:marLeft w:val="360"/>
          <w:marRight w:val="0"/>
          <w:marTop w:val="134"/>
          <w:marBottom w:val="0"/>
          <w:divBdr>
            <w:top w:val="none" w:sz="0" w:space="0" w:color="auto"/>
            <w:left w:val="none" w:sz="0" w:space="0" w:color="auto"/>
            <w:bottom w:val="none" w:sz="0" w:space="0" w:color="auto"/>
            <w:right w:val="none" w:sz="0" w:space="0" w:color="auto"/>
          </w:divBdr>
        </w:div>
      </w:divsChild>
    </w:div>
    <w:div w:id="127627320">
      <w:bodyDiv w:val="1"/>
      <w:marLeft w:val="0"/>
      <w:marRight w:val="0"/>
      <w:marTop w:val="0"/>
      <w:marBottom w:val="0"/>
      <w:divBdr>
        <w:top w:val="none" w:sz="0" w:space="0" w:color="auto"/>
        <w:left w:val="none" w:sz="0" w:space="0" w:color="auto"/>
        <w:bottom w:val="none" w:sz="0" w:space="0" w:color="auto"/>
        <w:right w:val="none" w:sz="0" w:space="0" w:color="auto"/>
      </w:divBdr>
      <w:divsChild>
        <w:div w:id="632178408">
          <w:marLeft w:val="360"/>
          <w:marRight w:val="0"/>
          <w:marTop w:val="134"/>
          <w:marBottom w:val="0"/>
          <w:divBdr>
            <w:top w:val="none" w:sz="0" w:space="0" w:color="auto"/>
            <w:left w:val="none" w:sz="0" w:space="0" w:color="auto"/>
            <w:bottom w:val="none" w:sz="0" w:space="0" w:color="auto"/>
            <w:right w:val="none" w:sz="0" w:space="0" w:color="auto"/>
          </w:divBdr>
        </w:div>
        <w:div w:id="1651059761">
          <w:marLeft w:val="994"/>
          <w:marRight w:val="0"/>
          <w:marTop w:val="115"/>
          <w:marBottom w:val="0"/>
          <w:divBdr>
            <w:top w:val="none" w:sz="0" w:space="0" w:color="auto"/>
            <w:left w:val="none" w:sz="0" w:space="0" w:color="auto"/>
            <w:bottom w:val="none" w:sz="0" w:space="0" w:color="auto"/>
            <w:right w:val="none" w:sz="0" w:space="0" w:color="auto"/>
          </w:divBdr>
        </w:div>
        <w:div w:id="1932351601">
          <w:marLeft w:val="994"/>
          <w:marRight w:val="0"/>
          <w:marTop w:val="115"/>
          <w:marBottom w:val="0"/>
          <w:divBdr>
            <w:top w:val="none" w:sz="0" w:space="0" w:color="auto"/>
            <w:left w:val="none" w:sz="0" w:space="0" w:color="auto"/>
            <w:bottom w:val="none" w:sz="0" w:space="0" w:color="auto"/>
            <w:right w:val="none" w:sz="0" w:space="0" w:color="auto"/>
          </w:divBdr>
        </w:div>
        <w:div w:id="2047293388">
          <w:marLeft w:val="994"/>
          <w:marRight w:val="0"/>
          <w:marTop w:val="115"/>
          <w:marBottom w:val="0"/>
          <w:divBdr>
            <w:top w:val="none" w:sz="0" w:space="0" w:color="auto"/>
            <w:left w:val="none" w:sz="0" w:space="0" w:color="auto"/>
            <w:bottom w:val="none" w:sz="0" w:space="0" w:color="auto"/>
            <w:right w:val="none" w:sz="0" w:space="0" w:color="auto"/>
          </w:divBdr>
        </w:div>
        <w:div w:id="317654761">
          <w:marLeft w:val="994"/>
          <w:marRight w:val="0"/>
          <w:marTop w:val="115"/>
          <w:marBottom w:val="0"/>
          <w:divBdr>
            <w:top w:val="none" w:sz="0" w:space="0" w:color="auto"/>
            <w:left w:val="none" w:sz="0" w:space="0" w:color="auto"/>
            <w:bottom w:val="none" w:sz="0" w:space="0" w:color="auto"/>
            <w:right w:val="none" w:sz="0" w:space="0" w:color="auto"/>
          </w:divBdr>
        </w:div>
        <w:div w:id="484396258">
          <w:marLeft w:val="994"/>
          <w:marRight w:val="0"/>
          <w:marTop w:val="115"/>
          <w:marBottom w:val="0"/>
          <w:divBdr>
            <w:top w:val="none" w:sz="0" w:space="0" w:color="auto"/>
            <w:left w:val="none" w:sz="0" w:space="0" w:color="auto"/>
            <w:bottom w:val="none" w:sz="0" w:space="0" w:color="auto"/>
            <w:right w:val="none" w:sz="0" w:space="0" w:color="auto"/>
          </w:divBdr>
        </w:div>
      </w:divsChild>
    </w:div>
    <w:div w:id="304624151">
      <w:bodyDiv w:val="1"/>
      <w:marLeft w:val="0"/>
      <w:marRight w:val="0"/>
      <w:marTop w:val="0"/>
      <w:marBottom w:val="0"/>
      <w:divBdr>
        <w:top w:val="none" w:sz="0" w:space="0" w:color="auto"/>
        <w:left w:val="none" w:sz="0" w:space="0" w:color="auto"/>
        <w:bottom w:val="none" w:sz="0" w:space="0" w:color="auto"/>
        <w:right w:val="none" w:sz="0" w:space="0" w:color="auto"/>
      </w:divBdr>
      <w:divsChild>
        <w:div w:id="459422519">
          <w:marLeft w:val="360"/>
          <w:marRight w:val="0"/>
          <w:marTop w:val="134"/>
          <w:marBottom w:val="0"/>
          <w:divBdr>
            <w:top w:val="none" w:sz="0" w:space="0" w:color="auto"/>
            <w:left w:val="none" w:sz="0" w:space="0" w:color="auto"/>
            <w:bottom w:val="none" w:sz="0" w:space="0" w:color="auto"/>
            <w:right w:val="none" w:sz="0" w:space="0" w:color="auto"/>
          </w:divBdr>
        </w:div>
        <w:div w:id="1235628486">
          <w:marLeft w:val="994"/>
          <w:marRight w:val="0"/>
          <w:marTop w:val="115"/>
          <w:marBottom w:val="0"/>
          <w:divBdr>
            <w:top w:val="none" w:sz="0" w:space="0" w:color="auto"/>
            <w:left w:val="none" w:sz="0" w:space="0" w:color="auto"/>
            <w:bottom w:val="none" w:sz="0" w:space="0" w:color="auto"/>
            <w:right w:val="none" w:sz="0" w:space="0" w:color="auto"/>
          </w:divBdr>
        </w:div>
      </w:divsChild>
    </w:div>
    <w:div w:id="600144208">
      <w:bodyDiv w:val="1"/>
      <w:marLeft w:val="0"/>
      <w:marRight w:val="0"/>
      <w:marTop w:val="0"/>
      <w:marBottom w:val="0"/>
      <w:divBdr>
        <w:top w:val="none" w:sz="0" w:space="0" w:color="auto"/>
        <w:left w:val="none" w:sz="0" w:space="0" w:color="auto"/>
        <w:bottom w:val="none" w:sz="0" w:space="0" w:color="auto"/>
        <w:right w:val="none" w:sz="0" w:space="0" w:color="auto"/>
      </w:divBdr>
      <w:divsChild>
        <w:div w:id="459804062">
          <w:marLeft w:val="360"/>
          <w:marRight w:val="0"/>
          <w:marTop w:val="134"/>
          <w:marBottom w:val="0"/>
          <w:divBdr>
            <w:top w:val="none" w:sz="0" w:space="0" w:color="auto"/>
            <w:left w:val="none" w:sz="0" w:space="0" w:color="auto"/>
            <w:bottom w:val="none" w:sz="0" w:space="0" w:color="auto"/>
            <w:right w:val="none" w:sz="0" w:space="0" w:color="auto"/>
          </w:divBdr>
        </w:div>
        <w:div w:id="36709600">
          <w:marLeft w:val="994"/>
          <w:marRight w:val="0"/>
          <w:marTop w:val="106"/>
          <w:marBottom w:val="0"/>
          <w:divBdr>
            <w:top w:val="none" w:sz="0" w:space="0" w:color="auto"/>
            <w:left w:val="none" w:sz="0" w:space="0" w:color="auto"/>
            <w:bottom w:val="none" w:sz="0" w:space="0" w:color="auto"/>
            <w:right w:val="none" w:sz="0" w:space="0" w:color="auto"/>
          </w:divBdr>
        </w:div>
        <w:div w:id="1021398764">
          <w:marLeft w:val="994"/>
          <w:marRight w:val="0"/>
          <w:marTop w:val="106"/>
          <w:marBottom w:val="0"/>
          <w:divBdr>
            <w:top w:val="none" w:sz="0" w:space="0" w:color="auto"/>
            <w:left w:val="none" w:sz="0" w:space="0" w:color="auto"/>
            <w:bottom w:val="none" w:sz="0" w:space="0" w:color="auto"/>
            <w:right w:val="none" w:sz="0" w:space="0" w:color="auto"/>
          </w:divBdr>
        </w:div>
        <w:div w:id="1557207033">
          <w:marLeft w:val="994"/>
          <w:marRight w:val="0"/>
          <w:marTop w:val="106"/>
          <w:marBottom w:val="0"/>
          <w:divBdr>
            <w:top w:val="none" w:sz="0" w:space="0" w:color="auto"/>
            <w:left w:val="none" w:sz="0" w:space="0" w:color="auto"/>
            <w:bottom w:val="none" w:sz="0" w:space="0" w:color="auto"/>
            <w:right w:val="none" w:sz="0" w:space="0" w:color="auto"/>
          </w:divBdr>
        </w:div>
        <w:div w:id="863396578">
          <w:marLeft w:val="994"/>
          <w:marRight w:val="0"/>
          <w:marTop w:val="106"/>
          <w:marBottom w:val="0"/>
          <w:divBdr>
            <w:top w:val="none" w:sz="0" w:space="0" w:color="auto"/>
            <w:left w:val="none" w:sz="0" w:space="0" w:color="auto"/>
            <w:bottom w:val="none" w:sz="0" w:space="0" w:color="auto"/>
            <w:right w:val="none" w:sz="0" w:space="0" w:color="auto"/>
          </w:divBdr>
        </w:div>
        <w:div w:id="326325680">
          <w:marLeft w:val="994"/>
          <w:marRight w:val="0"/>
          <w:marTop w:val="106"/>
          <w:marBottom w:val="0"/>
          <w:divBdr>
            <w:top w:val="none" w:sz="0" w:space="0" w:color="auto"/>
            <w:left w:val="none" w:sz="0" w:space="0" w:color="auto"/>
            <w:bottom w:val="none" w:sz="0" w:space="0" w:color="auto"/>
            <w:right w:val="none" w:sz="0" w:space="0" w:color="auto"/>
          </w:divBdr>
        </w:div>
        <w:div w:id="1777362547">
          <w:marLeft w:val="360"/>
          <w:marRight w:val="0"/>
          <w:marTop w:val="134"/>
          <w:marBottom w:val="0"/>
          <w:divBdr>
            <w:top w:val="none" w:sz="0" w:space="0" w:color="auto"/>
            <w:left w:val="none" w:sz="0" w:space="0" w:color="auto"/>
            <w:bottom w:val="none" w:sz="0" w:space="0" w:color="auto"/>
            <w:right w:val="none" w:sz="0" w:space="0" w:color="auto"/>
          </w:divBdr>
        </w:div>
        <w:div w:id="741319">
          <w:marLeft w:val="994"/>
          <w:marRight w:val="0"/>
          <w:marTop w:val="106"/>
          <w:marBottom w:val="0"/>
          <w:divBdr>
            <w:top w:val="none" w:sz="0" w:space="0" w:color="auto"/>
            <w:left w:val="none" w:sz="0" w:space="0" w:color="auto"/>
            <w:bottom w:val="none" w:sz="0" w:space="0" w:color="auto"/>
            <w:right w:val="none" w:sz="0" w:space="0" w:color="auto"/>
          </w:divBdr>
        </w:div>
        <w:div w:id="826214618">
          <w:marLeft w:val="360"/>
          <w:marRight w:val="0"/>
          <w:marTop w:val="125"/>
          <w:marBottom w:val="0"/>
          <w:divBdr>
            <w:top w:val="none" w:sz="0" w:space="0" w:color="auto"/>
            <w:left w:val="none" w:sz="0" w:space="0" w:color="auto"/>
            <w:bottom w:val="none" w:sz="0" w:space="0" w:color="auto"/>
            <w:right w:val="none" w:sz="0" w:space="0" w:color="auto"/>
          </w:divBdr>
        </w:div>
        <w:div w:id="376051811">
          <w:marLeft w:val="360"/>
          <w:marRight w:val="0"/>
          <w:marTop w:val="125"/>
          <w:marBottom w:val="0"/>
          <w:divBdr>
            <w:top w:val="none" w:sz="0" w:space="0" w:color="auto"/>
            <w:left w:val="none" w:sz="0" w:space="0" w:color="auto"/>
            <w:bottom w:val="none" w:sz="0" w:space="0" w:color="auto"/>
            <w:right w:val="none" w:sz="0" w:space="0" w:color="auto"/>
          </w:divBdr>
        </w:div>
      </w:divsChild>
    </w:div>
    <w:div w:id="626590478">
      <w:bodyDiv w:val="1"/>
      <w:marLeft w:val="0"/>
      <w:marRight w:val="0"/>
      <w:marTop w:val="0"/>
      <w:marBottom w:val="0"/>
      <w:divBdr>
        <w:top w:val="none" w:sz="0" w:space="0" w:color="auto"/>
        <w:left w:val="none" w:sz="0" w:space="0" w:color="auto"/>
        <w:bottom w:val="none" w:sz="0" w:space="0" w:color="auto"/>
        <w:right w:val="none" w:sz="0" w:space="0" w:color="auto"/>
      </w:divBdr>
      <w:divsChild>
        <w:div w:id="1599479745">
          <w:marLeft w:val="360"/>
          <w:marRight w:val="0"/>
          <w:marTop w:val="134"/>
          <w:marBottom w:val="0"/>
          <w:divBdr>
            <w:top w:val="none" w:sz="0" w:space="0" w:color="auto"/>
            <w:left w:val="none" w:sz="0" w:space="0" w:color="auto"/>
            <w:bottom w:val="none" w:sz="0" w:space="0" w:color="auto"/>
            <w:right w:val="none" w:sz="0" w:space="0" w:color="auto"/>
          </w:divBdr>
        </w:div>
        <w:div w:id="1128426881">
          <w:marLeft w:val="994"/>
          <w:marRight w:val="0"/>
          <w:marTop w:val="120"/>
          <w:marBottom w:val="0"/>
          <w:divBdr>
            <w:top w:val="none" w:sz="0" w:space="0" w:color="auto"/>
            <w:left w:val="none" w:sz="0" w:space="0" w:color="auto"/>
            <w:bottom w:val="none" w:sz="0" w:space="0" w:color="auto"/>
            <w:right w:val="none" w:sz="0" w:space="0" w:color="auto"/>
          </w:divBdr>
        </w:div>
      </w:divsChild>
    </w:div>
    <w:div w:id="679625157">
      <w:bodyDiv w:val="1"/>
      <w:marLeft w:val="0"/>
      <w:marRight w:val="0"/>
      <w:marTop w:val="0"/>
      <w:marBottom w:val="0"/>
      <w:divBdr>
        <w:top w:val="none" w:sz="0" w:space="0" w:color="auto"/>
        <w:left w:val="none" w:sz="0" w:space="0" w:color="auto"/>
        <w:bottom w:val="none" w:sz="0" w:space="0" w:color="auto"/>
        <w:right w:val="none" w:sz="0" w:space="0" w:color="auto"/>
      </w:divBdr>
      <w:divsChild>
        <w:div w:id="2104909942">
          <w:marLeft w:val="994"/>
          <w:marRight w:val="0"/>
          <w:marTop w:val="115"/>
          <w:marBottom w:val="0"/>
          <w:divBdr>
            <w:top w:val="none" w:sz="0" w:space="0" w:color="auto"/>
            <w:left w:val="none" w:sz="0" w:space="0" w:color="auto"/>
            <w:bottom w:val="none" w:sz="0" w:space="0" w:color="auto"/>
            <w:right w:val="none" w:sz="0" w:space="0" w:color="auto"/>
          </w:divBdr>
        </w:div>
        <w:div w:id="707990439">
          <w:marLeft w:val="994"/>
          <w:marRight w:val="0"/>
          <w:marTop w:val="115"/>
          <w:marBottom w:val="0"/>
          <w:divBdr>
            <w:top w:val="none" w:sz="0" w:space="0" w:color="auto"/>
            <w:left w:val="none" w:sz="0" w:space="0" w:color="auto"/>
            <w:bottom w:val="none" w:sz="0" w:space="0" w:color="auto"/>
            <w:right w:val="none" w:sz="0" w:space="0" w:color="auto"/>
          </w:divBdr>
        </w:div>
        <w:div w:id="1829126821">
          <w:marLeft w:val="994"/>
          <w:marRight w:val="0"/>
          <w:marTop w:val="115"/>
          <w:marBottom w:val="0"/>
          <w:divBdr>
            <w:top w:val="none" w:sz="0" w:space="0" w:color="auto"/>
            <w:left w:val="none" w:sz="0" w:space="0" w:color="auto"/>
            <w:bottom w:val="none" w:sz="0" w:space="0" w:color="auto"/>
            <w:right w:val="none" w:sz="0" w:space="0" w:color="auto"/>
          </w:divBdr>
        </w:div>
        <w:div w:id="1068696099">
          <w:marLeft w:val="994"/>
          <w:marRight w:val="0"/>
          <w:marTop w:val="115"/>
          <w:marBottom w:val="0"/>
          <w:divBdr>
            <w:top w:val="none" w:sz="0" w:space="0" w:color="auto"/>
            <w:left w:val="none" w:sz="0" w:space="0" w:color="auto"/>
            <w:bottom w:val="none" w:sz="0" w:space="0" w:color="auto"/>
            <w:right w:val="none" w:sz="0" w:space="0" w:color="auto"/>
          </w:divBdr>
        </w:div>
        <w:div w:id="123937569">
          <w:marLeft w:val="994"/>
          <w:marRight w:val="0"/>
          <w:marTop w:val="115"/>
          <w:marBottom w:val="0"/>
          <w:divBdr>
            <w:top w:val="none" w:sz="0" w:space="0" w:color="auto"/>
            <w:left w:val="none" w:sz="0" w:space="0" w:color="auto"/>
            <w:bottom w:val="none" w:sz="0" w:space="0" w:color="auto"/>
            <w:right w:val="none" w:sz="0" w:space="0" w:color="auto"/>
          </w:divBdr>
        </w:div>
      </w:divsChild>
    </w:div>
    <w:div w:id="714085688">
      <w:bodyDiv w:val="1"/>
      <w:marLeft w:val="0"/>
      <w:marRight w:val="0"/>
      <w:marTop w:val="0"/>
      <w:marBottom w:val="0"/>
      <w:divBdr>
        <w:top w:val="none" w:sz="0" w:space="0" w:color="auto"/>
        <w:left w:val="none" w:sz="0" w:space="0" w:color="auto"/>
        <w:bottom w:val="none" w:sz="0" w:space="0" w:color="auto"/>
        <w:right w:val="none" w:sz="0" w:space="0" w:color="auto"/>
      </w:divBdr>
      <w:divsChild>
        <w:div w:id="312219484">
          <w:marLeft w:val="994"/>
          <w:marRight w:val="0"/>
          <w:marTop w:val="115"/>
          <w:marBottom w:val="0"/>
          <w:divBdr>
            <w:top w:val="none" w:sz="0" w:space="0" w:color="auto"/>
            <w:left w:val="none" w:sz="0" w:space="0" w:color="auto"/>
            <w:bottom w:val="none" w:sz="0" w:space="0" w:color="auto"/>
            <w:right w:val="none" w:sz="0" w:space="0" w:color="auto"/>
          </w:divBdr>
        </w:div>
      </w:divsChild>
    </w:div>
    <w:div w:id="830021271">
      <w:bodyDiv w:val="1"/>
      <w:marLeft w:val="0"/>
      <w:marRight w:val="0"/>
      <w:marTop w:val="0"/>
      <w:marBottom w:val="0"/>
      <w:divBdr>
        <w:top w:val="none" w:sz="0" w:space="0" w:color="auto"/>
        <w:left w:val="none" w:sz="0" w:space="0" w:color="auto"/>
        <w:bottom w:val="none" w:sz="0" w:space="0" w:color="auto"/>
        <w:right w:val="none" w:sz="0" w:space="0" w:color="auto"/>
      </w:divBdr>
      <w:divsChild>
        <w:div w:id="38751170">
          <w:marLeft w:val="994"/>
          <w:marRight w:val="0"/>
          <w:marTop w:val="115"/>
          <w:marBottom w:val="0"/>
          <w:divBdr>
            <w:top w:val="none" w:sz="0" w:space="0" w:color="auto"/>
            <w:left w:val="none" w:sz="0" w:space="0" w:color="auto"/>
            <w:bottom w:val="none" w:sz="0" w:space="0" w:color="auto"/>
            <w:right w:val="none" w:sz="0" w:space="0" w:color="auto"/>
          </w:divBdr>
        </w:div>
        <w:div w:id="2038192346">
          <w:marLeft w:val="994"/>
          <w:marRight w:val="0"/>
          <w:marTop w:val="115"/>
          <w:marBottom w:val="0"/>
          <w:divBdr>
            <w:top w:val="none" w:sz="0" w:space="0" w:color="auto"/>
            <w:left w:val="none" w:sz="0" w:space="0" w:color="auto"/>
            <w:bottom w:val="none" w:sz="0" w:space="0" w:color="auto"/>
            <w:right w:val="none" w:sz="0" w:space="0" w:color="auto"/>
          </w:divBdr>
        </w:div>
        <w:div w:id="1364600436">
          <w:marLeft w:val="994"/>
          <w:marRight w:val="0"/>
          <w:marTop w:val="115"/>
          <w:marBottom w:val="0"/>
          <w:divBdr>
            <w:top w:val="none" w:sz="0" w:space="0" w:color="auto"/>
            <w:left w:val="none" w:sz="0" w:space="0" w:color="auto"/>
            <w:bottom w:val="none" w:sz="0" w:space="0" w:color="auto"/>
            <w:right w:val="none" w:sz="0" w:space="0" w:color="auto"/>
          </w:divBdr>
        </w:div>
        <w:div w:id="1269237701">
          <w:marLeft w:val="994"/>
          <w:marRight w:val="0"/>
          <w:marTop w:val="115"/>
          <w:marBottom w:val="0"/>
          <w:divBdr>
            <w:top w:val="none" w:sz="0" w:space="0" w:color="auto"/>
            <w:left w:val="none" w:sz="0" w:space="0" w:color="auto"/>
            <w:bottom w:val="none" w:sz="0" w:space="0" w:color="auto"/>
            <w:right w:val="none" w:sz="0" w:space="0" w:color="auto"/>
          </w:divBdr>
        </w:div>
        <w:div w:id="692154434">
          <w:marLeft w:val="994"/>
          <w:marRight w:val="0"/>
          <w:marTop w:val="115"/>
          <w:marBottom w:val="0"/>
          <w:divBdr>
            <w:top w:val="none" w:sz="0" w:space="0" w:color="auto"/>
            <w:left w:val="none" w:sz="0" w:space="0" w:color="auto"/>
            <w:bottom w:val="none" w:sz="0" w:space="0" w:color="auto"/>
            <w:right w:val="none" w:sz="0" w:space="0" w:color="auto"/>
          </w:divBdr>
        </w:div>
      </w:divsChild>
    </w:div>
    <w:div w:id="848063883">
      <w:bodyDiv w:val="1"/>
      <w:marLeft w:val="0"/>
      <w:marRight w:val="0"/>
      <w:marTop w:val="0"/>
      <w:marBottom w:val="0"/>
      <w:divBdr>
        <w:top w:val="none" w:sz="0" w:space="0" w:color="auto"/>
        <w:left w:val="none" w:sz="0" w:space="0" w:color="auto"/>
        <w:bottom w:val="none" w:sz="0" w:space="0" w:color="auto"/>
        <w:right w:val="none" w:sz="0" w:space="0" w:color="auto"/>
      </w:divBdr>
      <w:divsChild>
        <w:div w:id="2110076307">
          <w:marLeft w:val="360"/>
          <w:marRight w:val="0"/>
          <w:marTop w:val="134"/>
          <w:marBottom w:val="0"/>
          <w:divBdr>
            <w:top w:val="none" w:sz="0" w:space="0" w:color="auto"/>
            <w:left w:val="none" w:sz="0" w:space="0" w:color="auto"/>
            <w:bottom w:val="none" w:sz="0" w:space="0" w:color="auto"/>
            <w:right w:val="none" w:sz="0" w:space="0" w:color="auto"/>
          </w:divBdr>
        </w:div>
        <w:div w:id="1732118506">
          <w:marLeft w:val="994"/>
          <w:marRight w:val="0"/>
          <w:marTop w:val="115"/>
          <w:marBottom w:val="0"/>
          <w:divBdr>
            <w:top w:val="none" w:sz="0" w:space="0" w:color="auto"/>
            <w:left w:val="none" w:sz="0" w:space="0" w:color="auto"/>
            <w:bottom w:val="none" w:sz="0" w:space="0" w:color="auto"/>
            <w:right w:val="none" w:sz="0" w:space="0" w:color="auto"/>
          </w:divBdr>
        </w:div>
        <w:div w:id="542520503">
          <w:marLeft w:val="994"/>
          <w:marRight w:val="0"/>
          <w:marTop w:val="115"/>
          <w:marBottom w:val="0"/>
          <w:divBdr>
            <w:top w:val="none" w:sz="0" w:space="0" w:color="auto"/>
            <w:left w:val="none" w:sz="0" w:space="0" w:color="auto"/>
            <w:bottom w:val="none" w:sz="0" w:space="0" w:color="auto"/>
            <w:right w:val="none" w:sz="0" w:space="0" w:color="auto"/>
          </w:divBdr>
        </w:div>
        <w:div w:id="1783958758">
          <w:marLeft w:val="994"/>
          <w:marRight w:val="0"/>
          <w:marTop w:val="115"/>
          <w:marBottom w:val="0"/>
          <w:divBdr>
            <w:top w:val="none" w:sz="0" w:space="0" w:color="auto"/>
            <w:left w:val="none" w:sz="0" w:space="0" w:color="auto"/>
            <w:bottom w:val="none" w:sz="0" w:space="0" w:color="auto"/>
            <w:right w:val="none" w:sz="0" w:space="0" w:color="auto"/>
          </w:divBdr>
        </w:div>
        <w:div w:id="1341003876">
          <w:marLeft w:val="994"/>
          <w:marRight w:val="0"/>
          <w:marTop w:val="115"/>
          <w:marBottom w:val="0"/>
          <w:divBdr>
            <w:top w:val="none" w:sz="0" w:space="0" w:color="auto"/>
            <w:left w:val="none" w:sz="0" w:space="0" w:color="auto"/>
            <w:bottom w:val="none" w:sz="0" w:space="0" w:color="auto"/>
            <w:right w:val="none" w:sz="0" w:space="0" w:color="auto"/>
          </w:divBdr>
        </w:div>
        <w:div w:id="1441023839">
          <w:marLeft w:val="994"/>
          <w:marRight w:val="0"/>
          <w:marTop w:val="115"/>
          <w:marBottom w:val="0"/>
          <w:divBdr>
            <w:top w:val="none" w:sz="0" w:space="0" w:color="auto"/>
            <w:left w:val="none" w:sz="0" w:space="0" w:color="auto"/>
            <w:bottom w:val="none" w:sz="0" w:space="0" w:color="auto"/>
            <w:right w:val="none" w:sz="0" w:space="0" w:color="auto"/>
          </w:divBdr>
        </w:div>
      </w:divsChild>
    </w:div>
    <w:div w:id="1000736715">
      <w:bodyDiv w:val="1"/>
      <w:marLeft w:val="0"/>
      <w:marRight w:val="0"/>
      <w:marTop w:val="0"/>
      <w:marBottom w:val="0"/>
      <w:divBdr>
        <w:top w:val="none" w:sz="0" w:space="0" w:color="auto"/>
        <w:left w:val="none" w:sz="0" w:space="0" w:color="auto"/>
        <w:bottom w:val="none" w:sz="0" w:space="0" w:color="auto"/>
        <w:right w:val="none" w:sz="0" w:space="0" w:color="auto"/>
      </w:divBdr>
      <w:divsChild>
        <w:div w:id="605700197">
          <w:marLeft w:val="994"/>
          <w:marRight w:val="0"/>
          <w:marTop w:val="115"/>
          <w:marBottom w:val="0"/>
          <w:divBdr>
            <w:top w:val="none" w:sz="0" w:space="0" w:color="auto"/>
            <w:left w:val="none" w:sz="0" w:space="0" w:color="auto"/>
            <w:bottom w:val="none" w:sz="0" w:space="0" w:color="auto"/>
            <w:right w:val="none" w:sz="0" w:space="0" w:color="auto"/>
          </w:divBdr>
        </w:div>
        <w:div w:id="1834712338">
          <w:marLeft w:val="994"/>
          <w:marRight w:val="0"/>
          <w:marTop w:val="115"/>
          <w:marBottom w:val="0"/>
          <w:divBdr>
            <w:top w:val="none" w:sz="0" w:space="0" w:color="auto"/>
            <w:left w:val="none" w:sz="0" w:space="0" w:color="auto"/>
            <w:bottom w:val="none" w:sz="0" w:space="0" w:color="auto"/>
            <w:right w:val="none" w:sz="0" w:space="0" w:color="auto"/>
          </w:divBdr>
        </w:div>
        <w:div w:id="1530602179">
          <w:marLeft w:val="994"/>
          <w:marRight w:val="0"/>
          <w:marTop w:val="115"/>
          <w:marBottom w:val="0"/>
          <w:divBdr>
            <w:top w:val="none" w:sz="0" w:space="0" w:color="auto"/>
            <w:left w:val="none" w:sz="0" w:space="0" w:color="auto"/>
            <w:bottom w:val="none" w:sz="0" w:space="0" w:color="auto"/>
            <w:right w:val="none" w:sz="0" w:space="0" w:color="auto"/>
          </w:divBdr>
        </w:div>
        <w:div w:id="306516785">
          <w:marLeft w:val="994"/>
          <w:marRight w:val="0"/>
          <w:marTop w:val="115"/>
          <w:marBottom w:val="0"/>
          <w:divBdr>
            <w:top w:val="none" w:sz="0" w:space="0" w:color="auto"/>
            <w:left w:val="none" w:sz="0" w:space="0" w:color="auto"/>
            <w:bottom w:val="none" w:sz="0" w:space="0" w:color="auto"/>
            <w:right w:val="none" w:sz="0" w:space="0" w:color="auto"/>
          </w:divBdr>
        </w:div>
      </w:divsChild>
    </w:div>
    <w:div w:id="1092508773">
      <w:bodyDiv w:val="1"/>
      <w:marLeft w:val="0"/>
      <w:marRight w:val="0"/>
      <w:marTop w:val="0"/>
      <w:marBottom w:val="0"/>
      <w:divBdr>
        <w:top w:val="none" w:sz="0" w:space="0" w:color="auto"/>
        <w:left w:val="none" w:sz="0" w:space="0" w:color="auto"/>
        <w:bottom w:val="none" w:sz="0" w:space="0" w:color="auto"/>
        <w:right w:val="none" w:sz="0" w:space="0" w:color="auto"/>
      </w:divBdr>
      <w:divsChild>
        <w:div w:id="1821073947">
          <w:marLeft w:val="360"/>
          <w:marRight w:val="0"/>
          <w:marTop w:val="134"/>
          <w:marBottom w:val="0"/>
          <w:divBdr>
            <w:top w:val="none" w:sz="0" w:space="0" w:color="auto"/>
            <w:left w:val="none" w:sz="0" w:space="0" w:color="auto"/>
            <w:bottom w:val="none" w:sz="0" w:space="0" w:color="auto"/>
            <w:right w:val="none" w:sz="0" w:space="0" w:color="auto"/>
          </w:divBdr>
        </w:div>
        <w:div w:id="1109860397">
          <w:marLeft w:val="994"/>
          <w:marRight w:val="0"/>
          <w:marTop w:val="106"/>
          <w:marBottom w:val="0"/>
          <w:divBdr>
            <w:top w:val="none" w:sz="0" w:space="0" w:color="auto"/>
            <w:left w:val="none" w:sz="0" w:space="0" w:color="auto"/>
            <w:bottom w:val="none" w:sz="0" w:space="0" w:color="auto"/>
            <w:right w:val="none" w:sz="0" w:space="0" w:color="auto"/>
          </w:divBdr>
        </w:div>
        <w:div w:id="1564216783">
          <w:marLeft w:val="360"/>
          <w:marRight w:val="0"/>
          <w:marTop w:val="134"/>
          <w:marBottom w:val="0"/>
          <w:divBdr>
            <w:top w:val="none" w:sz="0" w:space="0" w:color="auto"/>
            <w:left w:val="none" w:sz="0" w:space="0" w:color="auto"/>
            <w:bottom w:val="none" w:sz="0" w:space="0" w:color="auto"/>
            <w:right w:val="none" w:sz="0" w:space="0" w:color="auto"/>
          </w:divBdr>
        </w:div>
        <w:div w:id="1536767383">
          <w:marLeft w:val="994"/>
          <w:marRight w:val="0"/>
          <w:marTop w:val="106"/>
          <w:marBottom w:val="0"/>
          <w:divBdr>
            <w:top w:val="none" w:sz="0" w:space="0" w:color="auto"/>
            <w:left w:val="none" w:sz="0" w:space="0" w:color="auto"/>
            <w:bottom w:val="none" w:sz="0" w:space="0" w:color="auto"/>
            <w:right w:val="none" w:sz="0" w:space="0" w:color="auto"/>
          </w:divBdr>
        </w:div>
        <w:div w:id="1897207064">
          <w:marLeft w:val="360"/>
          <w:marRight w:val="0"/>
          <w:marTop w:val="134"/>
          <w:marBottom w:val="0"/>
          <w:divBdr>
            <w:top w:val="none" w:sz="0" w:space="0" w:color="auto"/>
            <w:left w:val="none" w:sz="0" w:space="0" w:color="auto"/>
            <w:bottom w:val="none" w:sz="0" w:space="0" w:color="auto"/>
            <w:right w:val="none" w:sz="0" w:space="0" w:color="auto"/>
          </w:divBdr>
        </w:div>
      </w:divsChild>
    </w:div>
    <w:div w:id="1350371049">
      <w:bodyDiv w:val="1"/>
      <w:marLeft w:val="0"/>
      <w:marRight w:val="0"/>
      <w:marTop w:val="0"/>
      <w:marBottom w:val="0"/>
      <w:divBdr>
        <w:top w:val="none" w:sz="0" w:space="0" w:color="auto"/>
        <w:left w:val="none" w:sz="0" w:space="0" w:color="auto"/>
        <w:bottom w:val="none" w:sz="0" w:space="0" w:color="auto"/>
        <w:right w:val="none" w:sz="0" w:space="0" w:color="auto"/>
      </w:divBdr>
      <w:divsChild>
        <w:div w:id="96145299">
          <w:marLeft w:val="994"/>
          <w:marRight w:val="0"/>
          <w:marTop w:val="115"/>
          <w:marBottom w:val="0"/>
          <w:divBdr>
            <w:top w:val="none" w:sz="0" w:space="0" w:color="auto"/>
            <w:left w:val="none" w:sz="0" w:space="0" w:color="auto"/>
            <w:bottom w:val="none" w:sz="0" w:space="0" w:color="auto"/>
            <w:right w:val="none" w:sz="0" w:space="0" w:color="auto"/>
          </w:divBdr>
        </w:div>
        <w:div w:id="240069139">
          <w:marLeft w:val="994"/>
          <w:marRight w:val="0"/>
          <w:marTop w:val="115"/>
          <w:marBottom w:val="0"/>
          <w:divBdr>
            <w:top w:val="none" w:sz="0" w:space="0" w:color="auto"/>
            <w:left w:val="none" w:sz="0" w:space="0" w:color="auto"/>
            <w:bottom w:val="none" w:sz="0" w:space="0" w:color="auto"/>
            <w:right w:val="none" w:sz="0" w:space="0" w:color="auto"/>
          </w:divBdr>
        </w:div>
        <w:div w:id="528103117">
          <w:marLeft w:val="994"/>
          <w:marRight w:val="0"/>
          <w:marTop w:val="115"/>
          <w:marBottom w:val="0"/>
          <w:divBdr>
            <w:top w:val="none" w:sz="0" w:space="0" w:color="auto"/>
            <w:left w:val="none" w:sz="0" w:space="0" w:color="auto"/>
            <w:bottom w:val="none" w:sz="0" w:space="0" w:color="auto"/>
            <w:right w:val="none" w:sz="0" w:space="0" w:color="auto"/>
          </w:divBdr>
        </w:div>
        <w:div w:id="1583291586">
          <w:marLeft w:val="994"/>
          <w:marRight w:val="0"/>
          <w:marTop w:val="115"/>
          <w:marBottom w:val="0"/>
          <w:divBdr>
            <w:top w:val="none" w:sz="0" w:space="0" w:color="auto"/>
            <w:left w:val="none" w:sz="0" w:space="0" w:color="auto"/>
            <w:bottom w:val="none" w:sz="0" w:space="0" w:color="auto"/>
            <w:right w:val="none" w:sz="0" w:space="0" w:color="auto"/>
          </w:divBdr>
        </w:div>
      </w:divsChild>
    </w:div>
    <w:div w:id="1384018741">
      <w:bodyDiv w:val="1"/>
      <w:marLeft w:val="0"/>
      <w:marRight w:val="0"/>
      <w:marTop w:val="0"/>
      <w:marBottom w:val="0"/>
      <w:divBdr>
        <w:top w:val="none" w:sz="0" w:space="0" w:color="auto"/>
        <w:left w:val="none" w:sz="0" w:space="0" w:color="auto"/>
        <w:bottom w:val="none" w:sz="0" w:space="0" w:color="auto"/>
        <w:right w:val="none" w:sz="0" w:space="0" w:color="auto"/>
      </w:divBdr>
      <w:divsChild>
        <w:div w:id="1141926845">
          <w:marLeft w:val="360"/>
          <w:marRight w:val="0"/>
          <w:marTop w:val="134"/>
          <w:marBottom w:val="0"/>
          <w:divBdr>
            <w:top w:val="none" w:sz="0" w:space="0" w:color="auto"/>
            <w:left w:val="none" w:sz="0" w:space="0" w:color="auto"/>
            <w:bottom w:val="none" w:sz="0" w:space="0" w:color="auto"/>
            <w:right w:val="none" w:sz="0" w:space="0" w:color="auto"/>
          </w:divBdr>
        </w:div>
        <w:div w:id="1218518432">
          <w:marLeft w:val="994"/>
          <w:marRight w:val="0"/>
          <w:marTop w:val="106"/>
          <w:marBottom w:val="0"/>
          <w:divBdr>
            <w:top w:val="none" w:sz="0" w:space="0" w:color="auto"/>
            <w:left w:val="none" w:sz="0" w:space="0" w:color="auto"/>
            <w:bottom w:val="none" w:sz="0" w:space="0" w:color="auto"/>
            <w:right w:val="none" w:sz="0" w:space="0" w:color="auto"/>
          </w:divBdr>
        </w:div>
        <w:div w:id="371268435">
          <w:marLeft w:val="994"/>
          <w:marRight w:val="0"/>
          <w:marTop w:val="106"/>
          <w:marBottom w:val="0"/>
          <w:divBdr>
            <w:top w:val="none" w:sz="0" w:space="0" w:color="auto"/>
            <w:left w:val="none" w:sz="0" w:space="0" w:color="auto"/>
            <w:bottom w:val="none" w:sz="0" w:space="0" w:color="auto"/>
            <w:right w:val="none" w:sz="0" w:space="0" w:color="auto"/>
          </w:divBdr>
        </w:div>
        <w:div w:id="1549032105">
          <w:marLeft w:val="994"/>
          <w:marRight w:val="0"/>
          <w:marTop w:val="106"/>
          <w:marBottom w:val="0"/>
          <w:divBdr>
            <w:top w:val="none" w:sz="0" w:space="0" w:color="auto"/>
            <w:left w:val="none" w:sz="0" w:space="0" w:color="auto"/>
            <w:bottom w:val="none" w:sz="0" w:space="0" w:color="auto"/>
            <w:right w:val="none" w:sz="0" w:space="0" w:color="auto"/>
          </w:divBdr>
        </w:div>
        <w:div w:id="735936495">
          <w:marLeft w:val="994"/>
          <w:marRight w:val="0"/>
          <w:marTop w:val="106"/>
          <w:marBottom w:val="0"/>
          <w:divBdr>
            <w:top w:val="none" w:sz="0" w:space="0" w:color="auto"/>
            <w:left w:val="none" w:sz="0" w:space="0" w:color="auto"/>
            <w:bottom w:val="none" w:sz="0" w:space="0" w:color="auto"/>
            <w:right w:val="none" w:sz="0" w:space="0" w:color="auto"/>
          </w:divBdr>
        </w:div>
        <w:div w:id="810711304">
          <w:marLeft w:val="994"/>
          <w:marRight w:val="0"/>
          <w:marTop w:val="106"/>
          <w:marBottom w:val="0"/>
          <w:divBdr>
            <w:top w:val="none" w:sz="0" w:space="0" w:color="auto"/>
            <w:left w:val="none" w:sz="0" w:space="0" w:color="auto"/>
            <w:bottom w:val="none" w:sz="0" w:space="0" w:color="auto"/>
            <w:right w:val="none" w:sz="0" w:space="0" w:color="auto"/>
          </w:divBdr>
        </w:div>
        <w:div w:id="1694502551">
          <w:marLeft w:val="360"/>
          <w:marRight w:val="0"/>
          <w:marTop w:val="134"/>
          <w:marBottom w:val="0"/>
          <w:divBdr>
            <w:top w:val="none" w:sz="0" w:space="0" w:color="auto"/>
            <w:left w:val="none" w:sz="0" w:space="0" w:color="auto"/>
            <w:bottom w:val="none" w:sz="0" w:space="0" w:color="auto"/>
            <w:right w:val="none" w:sz="0" w:space="0" w:color="auto"/>
          </w:divBdr>
        </w:div>
        <w:div w:id="856504109">
          <w:marLeft w:val="994"/>
          <w:marRight w:val="0"/>
          <w:marTop w:val="106"/>
          <w:marBottom w:val="0"/>
          <w:divBdr>
            <w:top w:val="none" w:sz="0" w:space="0" w:color="auto"/>
            <w:left w:val="none" w:sz="0" w:space="0" w:color="auto"/>
            <w:bottom w:val="none" w:sz="0" w:space="0" w:color="auto"/>
            <w:right w:val="none" w:sz="0" w:space="0" w:color="auto"/>
          </w:divBdr>
        </w:div>
        <w:div w:id="1304657804">
          <w:marLeft w:val="360"/>
          <w:marRight w:val="0"/>
          <w:marTop w:val="125"/>
          <w:marBottom w:val="0"/>
          <w:divBdr>
            <w:top w:val="none" w:sz="0" w:space="0" w:color="auto"/>
            <w:left w:val="none" w:sz="0" w:space="0" w:color="auto"/>
            <w:bottom w:val="none" w:sz="0" w:space="0" w:color="auto"/>
            <w:right w:val="none" w:sz="0" w:space="0" w:color="auto"/>
          </w:divBdr>
        </w:div>
        <w:div w:id="1389063481">
          <w:marLeft w:val="360"/>
          <w:marRight w:val="0"/>
          <w:marTop w:val="125"/>
          <w:marBottom w:val="0"/>
          <w:divBdr>
            <w:top w:val="none" w:sz="0" w:space="0" w:color="auto"/>
            <w:left w:val="none" w:sz="0" w:space="0" w:color="auto"/>
            <w:bottom w:val="none" w:sz="0" w:space="0" w:color="auto"/>
            <w:right w:val="none" w:sz="0" w:space="0" w:color="auto"/>
          </w:divBdr>
        </w:div>
      </w:divsChild>
    </w:div>
    <w:div w:id="1578831062">
      <w:bodyDiv w:val="1"/>
      <w:marLeft w:val="0"/>
      <w:marRight w:val="0"/>
      <w:marTop w:val="0"/>
      <w:marBottom w:val="0"/>
      <w:divBdr>
        <w:top w:val="none" w:sz="0" w:space="0" w:color="auto"/>
        <w:left w:val="none" w:sz="0" w:space="0" w:color="auto"/>
        <w:bottom w:val="none" w:sz="0" w:space="0" w:color="auto"/>
        <w:right w:val="none" w:sz="0" w:space="0" w:color="auto"/>
      </w:divBdr>
      <w:divsChild>
        <w:div w:id="1419521250">
          <w:marLeft w:val="994"/>
          <w:marRight w:val="0"/>
          <w:marTop w:val="115"/>
          <w:marBottom w:val="0"/>
          <w:divBdr>
            <w:top w:val="none" w:sz="0" w:space="0" w:color="auto"/>
            <w:left w:val="none" w:sz="0" w:space="0" w:color="auto"/>
            <w:bottom w:val="none" w:sz="0" w:space="0" w:color="auto"/>
            <w:right w:val="none" w:sz="0" w:space="0" w:color="auto"/>
          </w:divBdr>
        </w:div>
      </w:divsChild>
    </w:div>
    <w:div w:id="1582132064">
      <w:bodyDiv w:val="1"/>
      <w:marLeft w:val="0"/>
      <w:marRight w:val="0"/>
      <w:marTop w:val="0"/>
      <w:marBottom w:val="0"/>
      <w:divBdr>
        <w:top w:val="none" w:sz="0" w:space="0" w:color="auto"/>
        <w:left w:val="none" w:sz="0" w:space="0" w:color="auto"/>
        <w:bottom w:val="none" w:sz="0" w:space="0" w:color="auto"/>
        <w:right w:val="none" w:sz="0" w:space="0" w:color="auto"/>
      </w:divBdr>
      <w:divsChild>
        <w:div w:id="509804583">
          <w:marLeft w:val="360"/>
          <w:marRight w:val="0"/>
          <w:marTop w:val="134"/>
          <w:marBottom w:val="0"/>
          <w:divBdr>
            <w:top w:val="none" w:sz="0" w:space="0" w:color="auto"/>
            <w:left w:val="none" w:sz="0" w:space="0" w:color="auto"/>
            <w:bottom w:val="none" w:sz="0" w:space="0" w:color="auto"/>
            <w:right w:val="none" w:sz="0" w:space="0" w:color="auto"/>
          </w:divBdr>
        </w:div>
        <w:div w:id="1509562477">
          <w:marLeft w:val="994"/>
          <w:marRight w:val="0"/>
          <w:marTop w:val="115"/>
          <w:marBottom w:val="0"/>
          <w:divBdr>
            <w:top w:val="none" w:sz="0" w:space="0" w:color="auto"/>
            <w:left w:val="none" w:sz="0" w:space="0" w:color="auto"/>
            <w:bottom w:val="none" w:sz="0" w:space="0" w:color="auto"/>
            <w:right w:val="none" w:sz="0" w:space="0" w:color="auto"/>
          </w:divBdr>
        </w:div>
        <w:div w:id="289478823">
          <w:marLeft w:val="994"/>
          <w:marRight w:val="0"/>
          <w:marTop w:val="115"/>
          <w:marBottom w:val="0"/>
          <w:divBdr>
            <w:top w:val="none" w:sz="0" w:space="0" w:color="auto"/>
            <w:left w:val="none" w:sz="0" w:space="0" w:color="auto"/>
            <w:bottom w:val="none" w:sz="0" w:space="0" w:color="auto"/>
            <w:right w:val="none" w:sz="0" w:space="0" w:color="auto"/>
          </w:divBdr>
        </w:div>
      </w:divsChild>
    </w:div>
    <w:div w:id="1615484048">
      <w:bodyDiv w:val="1"/>
      <w:marLeft w:val="0"/>
      <w:marRight w:val="0"/>
      <w:marTop w:val="0"/>
      <w:marBottom w:val="0"/>
      <w:divBdr>
        <w:top w:val="none" w:sz="0" w:space="0" w:color="auto"/>
        <w:left w:val="none" w:sz="0" w:space="0" w:color="auto"/>
        <w:bottom w:val="none" w:sz="0" w:space="0" w:color="auto"/>
        <w:right w:val="none" w:sz="0" w:space="0" w:color="auto"/>
      </w:divBdr>
      <w:divsChild>
        <w:div w:id="1810588521">
          <w:marLeft w:val="994"/>
          <w:marRight w:val="0"/>
          <w:marTop w:val="115"/>
          <w:marBottom w:val="0"/>
          <w:divBdr>
            <w:top w:val="none" w:sz="0" w:space="0" w:color="auto"/>
            <w:left w:val="none" w:sz="0" w:space="0" w:color="auto"/>
            <w:bottom w:val="none" w:sz="0" w:space="0" w:color="auto"/>
            <w:right w:val="none" w:sz="0" w:space="0" w:color="auto"/>
          </w:divBdr>
        </w:div>
      </w:divsChild>
    </w:div>
    <w:div w:id="1626497343">
      <w:bodyDiv w:val="1"/>
      <w:marLeft w:val="0"/>
      <w:marRight w:val="0"/>
      <w:marTop w:val="0"/>
      <w:marBottom w:val="0"/>
      <w:divBdr>
        <w:top w:val="none" w:sz="0" w:space="0" w:color="auto"/>
        <w:left w:val="none" w:sz="0" w:space="0" w:color="auto"/>
        <w:bottom w:val="none" w:sz="0" w:space="0" w:color="auto"/>
        <w:right w:val="none" w:sz="0" w:space="0" w:color="auto"/>
      </w:divBdr>
      <w:divsChild>
        <w:div w:id="1188907990">
          <w:marLeft w:val="360"/>
          <w:marRight w:val="0"/>
          <w:marTop w:val="134"/>
          <w:marBottom w:val="0"/>
          <w:divBdr>
            <w:top w:val="none" w:sz="0" w:space="0" w:color="auto"/>
            <w:left w:val="none" w:sz="0" w:space="0" w:color="auto"/>
            <w:bottom w:val="none" w:sz="0" w:space="0" w:color="auto"/>
            <w:right w:val="none" w:sz="0" w:space="0" w:color="auto"/>
          </w:divBdr>
        </w:div>
        <w:div w:id="1914048396">
          <w:marLeft w:val="994"/>
          <w:marRight w:val="0"/>
          <w:marTop w:val="106"/>
          <w:marBottom w:val="0"/>
          <w:divBdr>
            <w:top w:val="none" w:sz="0" w:space="0" w:color="auto"/>
            <w:left w:val="none" w:sz="0" w:space="0" w:color="auto"/>
            <w:bottom w:val="none" w:sz="0" w:space="0" w:color="auto"/>
            <w:right w:val="none" w:sz="0" w:space="0" w:color="auto"/>
          </w:divBdr>
        </w:div>
        <w:div w:id="51202611">
          <w:marLeft w:val="360"/>
          <w:marRight w:val="0"/>
          <w:marTop w:val="134"/>
          <w:marBottom w:val="0"/>
          <w:divBdr>
            <w:top w:val="none" w:sz="0" w:space="0" w:color="auto"/>
            <w:left w:val="none" w:sz="0" w:space="0" w:color="auto"/>
            <w:bottom w:val="none" w:sz="0" w:space="0" w:color="auto"/>
            <w:right w:val="none" w:sz="0" w:space="0" w:color="auto"/>
          </w:divBdr>
        </w:div>
        <w:div w:id="674066915">
          <w:marLeft w:val="994"/>
          <w:marRight w:val="0"/>
          <w:marTop w:val="106"/>
          <w:marBottom w:val="0"/>
          <w:divBdr>
            <w:top w:val="none" w:sz="0" w:space="0" w:color="auto"/>
            <w:left w:val="none" w:sz="0" w:space="0" w:color="auto"/>
            <w:bottom w:val="none" w:sz="0" w:space="0" w:color="auto"/>
            <w:right w:val="none" w:sz="0" w:space="0" w:color="auto"/>
          </w:divBdr>
        </w:div>
        <w:div w:id="1232543945">
          <w:marLeft w:val="360"/>
          <w:marRight w:val="0"/>
          <w:marTop w:val="134"/>
          <w:marBottom w:val="0"/>
          <w:divBdr>
            <w:top w:val="none" w:sz="0" w:space="0" w:color="auto"/>
            <w:left w:val="none" w:sz="0" w:space="0" w:color="auto"/>
            <w:bottom w:val="none" w:sz="0" w:space="0" w:color="auto"/>
            <w:right w:val="none" w:sz="0" w:space="0" w:color="auto"/>
          </w:divBdr>
        </w:div>
      </w:divsChild>
    </w:div>
    <w:div w:id="1672559222">
      <w:bodyDiv w:val="1"/>
      <w:marLeft w:val="0"/>
      <w:marRight w:val="0"/>
      <w:marTop w:val="0"/>
      <w:marBottom w:val="0"/>
      <w:divBdr>
        <w:top w:val="none" w:sz="0" w:space="0" w:color="auto"/>
        <w:left w:val="none" w:sz="0" w:space="0" w:color="auto"/>
        <w:bottom w:val="none" w:sz="0" w:space="0" w:color="auto"/>
        <w:right w:val="none" w:sz="0" w:space="0" w:color="auto"/>
      </w:divBdr>
      <w:divsChild>
        <w:div w:id="785739489">
          <w:marLeft w:val="360"/>
          <w:marRight w:val="0"/>
          <w:marTop w:val="134"/>
          <w:marBottom w:val="0"/>
          <w:divBdr>
            <w:top w:val="none" w:sz="0" w:space="0" w:color="auto"/>
            <w:left w:val="none" w:sz="0" w:space="0" w:color="auto"/>
            <w:bottom w:val="none" w:sz="0" w:space="0" w:color="auto"/>
            <w:right w:val="none" w:sz="0" w:space="0" w:color="auto"/>
          </w:divBdr>
        </w:div>
        <w:div w:id="1526362501">
          <w:marLeft w:val="994"/>
          <w:marRight w:val="0"/>
          <w:marTop w:val="115"/>
          <w:marBottom w:val="0"/>
          <w:divBdr>
            <w:top w:val="none" w:sz="0" w:space="0" w:color="auto"/>
            <w:left w:val="none" w:sz="0" w:space="0" w:color="auto"/>
            <w:bottom w:val="none" w:sz="0" w:space="0" w:color="auto"/>
            <w:right w:val="none" w:sz="0" w:space="0" w:color="auto"/>
          </w:divBdr>
        </w:div>
        <w:div w:id="423650340">
          <w:marLeft w:val="994"/>
          <w:marRight w:val="0"/>
          <w:marTop w:val="115"/>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footer" Target="footer3.xml"/><Relationship Id="rId21" Type="http://schemas.openxmlformats.org/officeDocument/2006/relationships/hyperlink" Target="http://www-wds.worldbank.org/external/default/WDSContentServer/WDSP/IB/2004/10/06/000160016_20041006165241/Rendered/PDF/300650PAPER0Look0Before0You0Leap.pdf" TargetMode="External"/><Relationship Id="rId22" Type="http://schemas.openxmlformats.org/officeDocument/2006/relationships/hyperlink" Target="http://ec.europa.eu/europeaid/infopoint/publications/europeaid/105a_en.htm" TargetMode="External"/><Relationship Id="rId23" Type="http://schemas.openxmlformats.org/officeDocument/2006/relationships/hyperlink" Target="http://ec.europa.eu/europeaid/infopoint/publications/europeaid/103a_en.htm" TargetMode="External"/><Relationship Id="rId24" Type="http://schemas.openxmlformats.org/officeDocument/2006/relationships/hyperlink" Target="http://capacity4dev.ec.europa.eu/guidelines-integration-environment-and-climate-change-development-cooperation" TargetMode="External"/><Relationship Id="rId25" Type="http://schemas.openxmlformats.org/officeDocument/2006/relationships/hyperlink" Target="http://www.cccep.ac.uk/Publications/Policy/docs/PPFankhauseretal_costs-climate-proofing.pdf" TargetMode="External"/><Relationship Id="rId26" Type="http://schemas.openxmlformats.org/officeDocument/2006/relationships/hyperlink" Target="http://www.eurocapacity.org/downloads/NFEsPolicyReport.pdf" TargetMode="External"/><Relationship Id="rId27" Type="http://schemas.openxmlformats.org/officeDocument/2006/relationships/hyperlink" Target="http://unstats.un.org/unsd/climate_change/Korea/presentations/(SESSION%202-2-3)%5BJulie%20Hass%5D.ppt" TargetMode="External"/><Relationship Id="rId28" Type="http://schemas.openxmlformats.org/officeDocument/2006/relationships/hyperlink" Target="http://www.oecd.org/dataoecd/53/7/34583142.pdf" TargetMode="External"/><Relationship Id="rId29" Type="http://schemas.openxmlformats.org/officeDocument/2006/relationships/hyperlink" Target="http://browse.oecdbookshop.org/oecd/pdfs/browseit/4309171E.PDF"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30" Type="http://schemas.openxmlformats.org/officeDocument/2006/relationships/hyperlink" Target="http://www.undp.org/climatechange/library.shtml" TargetMode="External"/><Relationship Id="rId31" Type="http://schemas.openxmlformats.org/officeDocument/2006/relationships/hyperlink" Target="http://www.oecd.org/dataoecd/60/6/42898831.pdf" TargetMode="External"/><Relationship Id="rId32" Type="http://schemas.openxmlformats.org/officeDocument/2006/relationships/hyperlink" Target="http://www-wds.worldbank.org/external/default/WDSContentServer/WDSP/IB/2003/07/18/000090341_20030718140221/Rendered/PDF/263380PAPER0Env0Strat0no.07.pdf" TargetMode="External"/><Relationship Id="rId9" Type="http://schemas.openxmlformats.org/officeDocument/2006/relationships/webSettings" Target="webSettings.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33" Type="http://schemas.openxmlformats.org/officeDocument/2006/relationships/hyperlink" Target="http://www.unpei.org/knowledge-resources/publications.html" TargetMode="External"/><Relationship Id="rId34" Type="http://schemas.openxmlformats.org/officeDocument/2006/relationships/hyperlink" Target="http://beta.worldbank.org/climatechange/content/mainstreaming-adaptation-climate-change-agriculture-and-natural-resources-management-project" TargetMode="External"/><Relationship Id="rId35" Type="http://schemas.openxmlformats.org/officeDocument/2006/relationships/hyperlink" Target="http://carbonfinance.org" TargetMode="External"/><Relationship Id="rId36" Type="http://schemas.openxmlformats.org/officeDocument/2006/relationships/hyperlink" Target="http://www.climatefundsupdate.org/" TargetMode="Externa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yperlink" Target="http://www.climatefundsupdate.org" TargetMode="Externa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hyperlink" Target="http://www.climatefundsupdate.org" TargetMode="External"/><Relationship Id="rId18" Type="http://schemas.openxmlformats.org/officeDocument/2006/relationships/hyperlink" Target="http://www.climatefundsupdate.org" TargetMode="External"/><Relationship Id="rId19" Type="http://schemas.openxmlformats.org/officeDocument/2006/relationships/header" Target="header3.xml"/><Relationship Id="rId37" Type="http://schemas.openxmlformats.org/officeDocument/2006/relationships/hyperlink" Target="http://www.aideffectiveness.org/CPEIR/" TargetMode="External"/><Relationship Id="rId38" Type="http://schemas.openxmlformats.org/officeDocument/2006/relationships/footer" Target="footer4.xml"/><Relationship Id="rId39" Type="http://schemas.openxmlformats.org/officeDocument/2006/relationships/fontTable" Target="fontTable.xml"/><Relationship Id="rId4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carbonfinance.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24CA4CA992ED49B8B6C5E385BAC72F" ma:contentTypeVersion="0" ma:contentTypeDescription="Create a new document." ma:contentTypeScope="" ma:versionID="77384dca7ecd43f6b42e58d7fa3f878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314A1-2541-4991-B400-17E49C408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7399560-3CC4-42EE-9FEF-985CDF9BEB30}">
  <ds:schemaRefs>
    <ds:schemaRef ds:uri="http://purl.org/dc/dcmityp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156FD0C1-3702-4F14-B5C8-B20D4D85EE92}">
  <ds:schemaRefs>
    <ds:schemaRef ds:uri="http://schemas.microsoft.com/sharepoint/v3/contenttype/forms"/>
  </ds:schemaRefs>
</ds:datastoreItem>
</file>

<file path=customXml/itemProps4.xml><?xml version="1.0" encoding="utf-8"?>
<ds:datastoreItem xmlns:ds="http://schemas.openxmlformats.org/officeDocument/2006/customXml" ds:itemID="{12596D05-942D-D846-A0DE-561E48CC8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5876</Words>
  <Characters>33496</Characters>
  <Application>Microsoft Macintosh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39294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Juan Palerm</cp:lastModifiedBy>
  <cp:revision>3</cp:revision>
  <dcterms:created xsi:type="dcterms:W3CDTF">2013-03-21T14:14:00Z</dcterms:created>
  <dcterms:modified xsi:type="dcterms:W3CDTF">2013-03-21T14:18:00Z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0x0101003024CA4CA992ED49B8B6C5E385BAC72F</vt:lpwstr>
  </property>
</Properties>
</file>