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90AF7" w14:textId="77777777" w:rsidR="002A7774" w:rsidRPr="00703706" w:rsidRDefault="002A7774" w:rsidP="002A7774">
      <w:pPr>
        <w:jc w:val="center"/>
        <w:rPr>
          <w:rFonts w:ascii="Arial Narrow" w:hAnsi="Arial Narrow" w:cs="Arial"/>
          <w:b/>
          <w:color w:val="1F497D"/>
          <w:sz w:val="48"/>
          <w:szCs w:val="48"/>
          <w:lang w:val="en-GB"/>
        </w:rPr>
      </w:pPr>
    </w:p>
    <w:p w14:paraId="05E69993" w14:textId="77777777" w:rsidR="002A7774" w:rsidRPr="00703706" w:rsidRDefault="002A7774" w:rsidP="002A7774">
      <w:pPr>
        <w:jc w:val="center"/>
        <w:rPr>
          <w:rFonts w:ascii="Arial Narrow" w:hAnsi="Arial Narrow" w:cs="Arial"/>
          <w:b/>
          <w:color w:val="1F497D"/>
          <w:sz w:val="48"/>
          <w:szCs w:val="48"/>
          <w:lang w:val="en-GB"/>
        </w:rPr>
      </w:pPr>
    </w:p>
    <w:p w14:paraId="7A9E48FB" w14:textId="77777777" w:rsidR="009E03A8" w:rsidRDefault="009E03A8" w:rsidP="007F1F27">
      <w:pPr>
        <w:jc w:val="center"/>
        <w:rPr>
          <w:rFonts w:ascii="Arial Narrow" w:hAnsi="Arial Narrow" w:cs="Arial"/>
          <w:b/>
          <w:color w:val="1F497D"/>
          <w:sz w:val="36"/>
          <w:szCs w:val="36"/>
          <w:lang w:val="en-GB"/>
        </w:rPr>
      </w:pPr>
    </w:p>
    <w:p w14:paraId="2562C84F" w14:textId="77777777" w:rsidR="002D3000" w:rsidRDefault="002D3000" w:rsidP="007F1F27">
      <w:pPr>
        <w:jc w:val="center"/>
        <w:rPr>
          <w:rFonts w:ascii="Arial Narrow" w:hAnsi="Arial Narrow" w:cs="Arial"/>
          <w:b/>
          <w:color w:val="1F497D"/>
          <w:sz w:val="36"/>
          <w:szCs w:val="36"/>
          <w:lang w:val="en-GB"/>
        </w:rPr>
      </w:pPr>
    </w:p>
    <w:p w14:paraId="59AB53BE" w14:textId="77777777" w:rsidR="002D3000" w:rsidRDefault="002D3000" w:rsidP="007F1F27">
      <w:pPr>
        <w:jc w:val="center"/>
        <w:rPr>
          <w:rFonts w:ascii="Arial Narrow" w:hAnsi="Arial Narrow" w:cs="Arial"/>
          <w:b/>
          <w:color w:val="1F497D"/>
          <w:sz w:val="36"/>
          <w:szCs w:val="36"/>
          <w:lang w:val="en-GB"/>
        </w:rPr>
      </w:pPr>
    </w:p>
    <w:p w14:paraId="1CB88016" w14:textId="77777777" w:rsidR="002D3000" w:rsidRDefault="002D3000" w:rsidP="007F1F27">
      <w:pPr>
        <w:jc w:val="center"/>
        <w:rPr>
          <w:rFonts w:ascii="Arial Narrow" w:hAnsi="Arial Narrow" w:cs="Arial"/>
          <w:b/>
          <w:color w:val="1F497D"/>
          <w:sz w:val="36"/>
          <w:szCs w:val="36"/>
          <w:lang w:val="en-GB"/>
        </w:rPr>
      </w:pPr>
    </w:p>
    <w:p w14:paraId="6D167A38" w14:textId="77777777" w:rsidR="002D3000" w:rsidRDefault="002D3000" w:rsidP="007F1F27">
      <w:pPr>
        <w:jc w:val="center"/>
        <w:rPr>
          <w:rFonts w:ascii="Arial Narrow" w:hAnsi="Arial Narrow" w:cs="Arial"/>
          <w:b/>
          <w:color w:val="1F497D"/>
          <w:sz w:val="36"/>
          <w:szCs w:val="36"/>
          <w:lang w:val="en-GB"/>
        </w:rPr>
      </w:pPr>
    </w:p>
    <w:p w14:paraId="125BB952" w14:textId="77777777" w:rsidR="002D3000" w:rsidRDefault="002D3000" w:rsidP="007F1F27">
      <w:pPr>
        <w:jc w:val="center"/>
        <w:rPr>
          <w:rFonts w:ascii="Arial Narrow" w:hAnsi="Arial Narrow" w:cs="Arial"/>
          <w:b/>
          <w:color w:val="1F497D"/>
          <w:sz w:val="36"/>
          <w:szCs w:val="36"/>
          <w:lang w:val="en-GB"/>
        </w:rPr>
      </w:pPr>
    </w:p>
    <w:p w14:paraId="63E145BF" w14:textId="77777777" w:rsidR="002D3000" w:rsidRPr="00703706" w:rsidRDefault="002D3000" w:rsidP="007F1F27">
      <w:pPr>
        <w:jc w:val="center"/>
        <w:rPr>
          <w:rFonts w:asciiTheme="minorHAnsi" w:hAnsiTheme="minorHAnsi" w:cstheme="minorHAnsi"/>
          <w:b/>
          <w:color w:val="1F497D"/>
          <w:szCs w:val="28"/>
          <w:lang w:val="en-GB"/>
        </w:rPr>
      </w:pPr>
    </w:p>
    <w:p w14:paraId="543D8AC0" w14:textId="77777777" w:rsidR="009E03A8" w:rsidRPr="00703706" w:rsidRDefault="009E03A8" w:rsidP="007F1F27">
      <w:pPr>
        <w:jc w:val="center"/>
        <w:rPr>
          <w:rFonts w:asciiTheme="minorHAnsi" w:hAnsiTheme="minorHAnsi" w:cstheme="minorHAnsi"/>
          <w:b/>
          <w:color w:val="1F497D"/>
          <w:szCs w:val="28"/>
          <w:lang w:val="en-GB"/>
        </w:rPr>
      </w:pPr>
    </w:p>
    <w:p w14:paraId="5800C3D6" w14:textId="77777777" w:rsidR="009E03A8" w:rsidRPr="00703706" w:rsidRDefault="009E03A8" w:rsidP="007F1F27">
      <w:pPr>
        <w:jc w:val="center"/>
        <w:rPr>
          <w:rFonts w:asciiTheme="minorHAnsi" w:hAnsiTheme="minorHAnsi" w:cstheme="minorHAnsi"/>
          <w:b/>
          <w:color w:val="1F497D"/>
          <w:szCs w:val="28"/>
          <w:lang w:val="en-GB"/>
        </w:rPr>
      </w:pPr>
    </w:p>
    <w:p w14:paraId="3065CBA6" w14:textId="77777777" w:rsidR="009E03A8" w:rsidRPr="00D410C4" w:rsidRDefault="002D3000" w:rsidP="007F1F27">
      <w:pPr>
        <w:jc w:val="center"/>
        <w:rPr>
          <w:rFonts w:ascii="Arial" w:hAnsi="Arial" w:cs="Arial"/>
          <w:b/>
          <w:i/>
          <w:color w:val="1F497D"/>
          <w:sz w:val="36"/>
          <w:szCs w:val="36"/>
          <w:lang w:val="en-GB"/>
        </w:rPr>
      </w:pPr>
      <w:r>
        <w:rPr>
          <w:rFonts w:ascii="Arial" w:hAnsi="Arial" w:cs="Arial"/>
          <w:b/>
          <w:i/>
          <w:color w:val="1F497D"/>
          <w:sz w:val="36"/>
          <w:szCs w:val="36"/>
          <w:lang w:val="en-GB"/>
        </w:rPr>
        <w:t>Country-led environmental and climate change mainstreaming (specialist course)</w:t>
      </w:r>
    </w:p>
    <w:p w14:paraId="4C427027" w14:textId="77777777" w:rsidR="009E03A8" w:rsidRPr="00703706" w:rsidRDefault="009E03A8" w:rsidP="007F1F27">
      <w:pPr>
        <w:jc w:val="center"/>
        <w:rPr>
          <w:rFonts w:asciiTheme="minorHAnsi" w:hAnsiTheme="minorHAnsi" w:cstheme="minorHAnsi"/>
          <w:b/>
          <w:color w:val="1F497D"/>
          <w:szCs w:val="28"/>
          <w:lang w:val="en-GB"/>
        </w:rPr>
      </w:pPr>
    </w:p>
    <w:p w14:paraId="2BD561A2" w14:textId="77777777" w:rsidR="009E03A8" w:rsidRPr="00703706" w:rsidRDefault="009E03A8" w:rsidP="007F1F27">
      <w:pPr>
        <w:jc w:val="center"/>
        <w:rPr>
          <w:rFonts w:asciiTheme="minorHAnsi" w:hAnsiTheme="minorHAnsi" w:cstheme="minorHAnsi"/>
          <w:b/>
          <w:color w:val="1F497D"/>
          <w:szCs w:val="28"/>
          <w:lang w:val="en-GB"/>
        </w:rPr>
      </w:pPr>
    </w:p>
    <w:p w14:paraId="340F590C" w14:textId="77777777" w:rsidR="002A7774" w:rsidRPr="00703706" w:rsidRDefault="002A7774" w:rsidP="007F1F27">
      <w:pPr>
        <w:jc w:val="center"/>
        <w:rPr>
          <w:rFonts w:asciiTheme="minorHAnsi" w:hAnsiTheme="minorHAnsi" w:cstheme="minorHAnsi"/>
          <w:b/>
          <w:color w:val="1F497D"/>
          <w:szCs w:val="28"/>
          <w:lang w:val="en-GB"/>
        </w:rPr>
      </w:pPr>
    </w:p>
    <w:p w14:paraId="4BD7E8FE" w14:textId="77777777" w:rsidR="002A7774" w:rsidRPr="00703706" w:rsidRDefault="002A7774" w:rsidP="007F1F27">
      <w:pPr>
        <w:jc w:val="center"/>
        <w:rPr>
          <w:rFonts w:asciiTheme="minorHAnsi" w:hAnsiTheme="minorHAnsi" w:cstheme="minorHAnsi"/>
          <w:b/>
          <w:color w:val="1F497D"/>
          <w:szCs w:val="28"/>
          <w:lang w:val="en-GB"/>
        </w:rPr>
      </w:pPr>
    </w:p>
    <w:p w14:paraId="351224A0" w14:textId="77777777" w:rsidR="002A7774" w:rsidRPr="00703706" w:rsidRDefault="002A7774" w:rsidP="007F1F27">
      <w:pPr>
        <w:jc w:val="center"/>
        <w:rPr>
          <w:rFonts w:asciiTheme="minorHAnsi" w:hAnsiTheme="minorHAnsi" w:cstheme="minorHAnsi"/>
          <w:b/>
          <w:color w:val="1F497D"/>
          <w:szCs w:val="28"/>
          <w:lang w:val="en-GB"/>
        </w:rPr>
      </w:pPr>
    </w:p>
    <w:p w14:paraId="1413EB7D" w14:textId="77777777" w:rsidR="002A7774" w:rsidRPr="00D410C4" w:rsidRDefault="002A7774" w:rsidP="009E03A8">
      <w:pPr>
        <w:jc w:val="center"/>
        <w:rPr>
          <w:rFonts w:ascii="Arial" w:hAnsi="Arial" w:cs="Arial"/>
          <w:b/>
          <w:caps/>
          <w:sz w:val="36"/>
          <w:szCs w:val="36"/>
          <w:lang w:val="en-GB"/>
        </w:rPr>
      </w:pPr>
      <w:r w:rsidRPr="00D410C4">
        <w:rPr>
          <w:rFonts w:ascii="Arial" w:hAnsi="Arial" w:cs="Arial"/>
          <w:b/>
          <w:caps/>
          <w:sz w:val="36"/>
          <w:szCs w:val="36"/>
          <w:lang w:val="en-GB"/>
        </w:rPr>
        <w:t>Handout for participants</w:t>
      </w:r>
    </w:p>
    <w:p w14:paraId="5B3DDA53" w14:textId="77777777" w:rsidR="002A7774" w:rsidRPr="00703706" w:rsidRDefault="002A7774" w:rsidP="009E03A8">
      <w:pPr>
        <w:jc w:val="center"/>
        <w:rPr>
          <w:rFonts w:ascii="Arial" w:hAnsi="Arial" w:cs="Arial"/>
          <w:b/>
          <w:sz w:val="40"/>
          <w:szCs w:val="40"/>
          <w:lang w:val="en-GB"/>
        </w:rPr>
      </w:pPr>
    </w:p>
    <w:p w14:paraId="6EED79AB" w14:textId="77777777" w:rsidR="002A7774" w:rsidRPr="00703706" w:rsidRDefault="002A7774" w:rsidP="002A7774">
      <w:pPr>
        <w:jc w:val="center"/>
        <w:rPr>
          <w:rFonts w:asciiTheme="minorHAnsi" w:hAnsiTheme="minorHAnsi" w:cstheme="minorHAnsi"/>
          <w:b/>
          <w:szCs w:val="28"/>
          <w:lang w:val="en-GB"/>
        </w:rPr>
      </w:pPr>
      <w:r w:rsidRPr="00703706">
        <w:rPr>
          <w:rFonts w:asciiTheme="minorHAnsi" w:hAnsiTheme="minorHAnsi" w:cstheme="minorHAnsi"/>
          <w:b/>
          <w:szCs w:val="28"/>
          <w:lang w:val="en-GB"/>
        </w:rPr>
        <w:t>---</w:t>
      </w:r>
    </w:p>
    <w:p w14:paraId="276174F5" w14:textId="77777777" w:rsidR="002A7774" w:rsidRPr="00703706" w:rsidRDefault="002A7774" w:rsidP="009E03A8">
      <w:pPr>
        <w:jc w:val="center"/>
        <w:rPr>
          <w:rFonts w:ascii="Arial" w:hAnsi="Arial" w:cs="Arial"/>
          <w:b/>
          <w:sz w:val="40"/>
          <w:szCs w:val="40"/>
          <w:lang w:val="en-GB"/>
        </w:rPr>
      </w:pPr>
    </w:p>
    <w:p w14:paraId="60D09AC4" w14:textId="77777777" w:rsidR="00541080" w:rsidRPr="00D410C4" w:rsidRDefault="00541080" w:rsidP="009E03A8">
      <w:pPr>
        <w:jc w:val="center"/>
        <w:rPr>
          <w:rFonts w:ascii="Arial" w:hAnsi="Arial" w:cs="Arial"/>
          <w:b/>
          <w:sz w:val="36"/>
          <w:szCs w:val="36"/>
          <w:lang w:val="en-GB"/>
        </w:rPr>
      </w:pPr>
      <w:r w:rsidRPr="00D410C4">
        <w:rPr>
          <w:rFonts w:ascii="Arial" w:hAnsi="Arial" w:cs="Arial"/>
          <w:b/>
          <w:sz w:val="36"/>
          <w:szCs w:val="36"/>
          <w:lang w:val="en-GB"/>
        </w:rPr>
        <w:t xml:space="preserve">MODULE </w:t>
      </w:r>
      <w:r w:rsidR="00D267CE">
        <w:rPr>
          <w:rFonts w:ascii="Arial" w:hAnsi="Arial" w:cs="Arial"/>
          <w:b/>
          <w:sz w:val="36"/>
          <w:szCs w:val="36"/>
          <w:lang w:val="en-GB"/>
        </w:rPr>
        <w:t>9</w:t>
      </w:r>
      <w:r w:rsidRPr="00D410C4">
        <w:rPr>
          <w:rFonts w:ascii="Arial" w:hAnsi="Arial" w:cs="Arial"/>
          <w:b/>
          <w:sz w:val="36"/>
          <w:szCs w:val="36"/>
          <w:lang w:val="en-GB"/>
        </w:rPr>
        <w:t xml:space="preserve"> </w:t>
      </w:r>
    </w:p>
    <w:p w14:paraId="3DCE4125" w14:textId="77777777" w:rsidR="009E03A8" w:rsidRPr="00D410C4" w:rsidRDefault="00EB02EC" w:rsidP="00541080">
      <w:pPr>
        <w:spacing w:before="120"/>
        <w:jc w:val="center"/>
        <w:rPr>
          <w:rFonts w:ascii="Arial" w:hAnsi="Arial" w:cs="Arial"/>
          <w:b/>
          <w:sz w:val="36"/>
          <w:szCs w:val="36"/>
          <w:lang w:val="en-GB"/>
        </w:rPr>
      </w:pPr>
      <w:r>
        <w:rPr>
          <w:rFonts w:ascii="Arial" w:hAnsi="Arial" w:cs="Arial"/>
          <w:b/>
          <w:sz w:val="36"/>
          <w:szCs w:val="36"/>
          <w:lang w:val="en-GB"/>
        </w:rPr>
        <w:t xml:space="preserve">Mainstreaming in </w:t>
      </w:r>
      <w:r w:rsidR="00D267CE">
        <w:rPr>
          <w:rFonts w:ascii="Arial" w:hAnsi="Arial" w:cs="Arial"/>
          <w:b/>
          <w:sz w:val="36"/>
          <w:szCs w:val="36"/>
          <w:lang w:val="en-GB"/>
        </w:rPr>
        <w:t>monitoring systems</w:t>
      </w:r>
    </w:p>
    <w:p w14:paraId="2CA61085" w14:textId="77777777" w:rsidR="009E03A8" w:rsidRPr="00703706" w:rsidRDefault="009E03A8" w:rsidP="007F1F27">
      <w:pPr>
        <w:jc w:val="center"/>
        <w:rPr>
          <w:rFonts w:asciiTheme="minorHAnsi" w:hAnsiTheme="minorHAnsi" w:cstheme="minorHAnsi"/>
          <w:b/>
          <w:color w:val="1F497D"/>
          <w:szCs w:val="28"/>
          <w:lang w:val="en-GB"/>
        </w:rPr>
      </w:pPr>
    </w:p>
    <w:p w14:paraId="79D47D41" w14:textId="77777777" w:rsidR="009E03A8" w:rsidRPr="00703706" w:rsidRDefault="009E03A8" w:rsidP="007F1F27">
      <w:pPr>
        <w:jc w:val="center"/>
        <w:rPr>
          <w:rFonts w:asciiTheme="minorHAnsi" w:hAnsiTheme="minorHAnsi" w:cstheme="minorHAnsi"/>
          <w:b/>
          <w:color w:val="1F497D"/>
          <w:szCs w:val="28"/>
          <w:lang w:val="en-GB"/>
        </w:rPr>
        <w:sectPr w:rsidR="009E03A8" w:rsidRPr="00703706" w:rsidSect="00D410C4">
          <w:headerReference w:type="default" r:id="rId12"/>
          <w:footerReference w:type="default" r:id="rId13"/>
          <w:pgSz w:w="11906" w:h="16838" w:code="9"/>
          <w:pgMar w:top="1418" w:right="1247" w:bottom="1418" w:left="1418" w:header="709" w:footer="709" w:gutter="0"/>
          <w:cols w:space="708"/>
          <w:docGrid w:linePitch="360"/>
        </w:sectPr>
      </w:pPr>
    </w:p>
    <w:p w14:paraId="67D616A1" w14:textId="77777777" w:rsidR="007F1F27" w:rsidRPr="00703706" w:rsidRDefault="00790943" w:rsidP="00C0293F">
      <w:pPr>
        <w:jc w:val="center"/>
        <w:rPr>
          <w:rFonts w:asciiTheme="minorHAnsi" w:hAnsiTheme="minorHAnsi" w:cstheme="minorHAnsi"/>
          <w:b/>
          <w:color w:val="17365D" w:themeColor="text2" w:themeShade="BF"/>
          <w:szCs w:val="28"/>
          <w:lang w:val="en-GB"/>
        </w:rPr>
      </w:pPr>
      <w:r w:rsidRPr="00703706">
        <w:rPr>
          <w:rFonts w:asciiTheme="minorHAnsi" w:hAnsiTheme="minorHAnsi" w:cstheme="minorHAnsi"/>
          <w:b/>
          <w:color w:val="17365D" w:themeColor="text2" w:themeShade="BF"/>
          <w:szCs w:val="28"/>
          <w:lang w:val="en-GB"/>
        </w:rPr>
        <w:lastRenderedPageBreak/>
        <w:t xml:space="preserve">MODULE </w:t>
      </w:r>
      <w:r w:rsidR="00D267CE">
        <w:rPr>
          <w:rFonts w:asciiTheme="minorHAnsi" w:hAnsiTheme="minorHAnsi" w:cstheme="minorHAnsi"/>
          <w:b/>
          <w:color w:val="17365D" w:themeColor="text2" w:themeShade="BF"/>
          <w:szCs w:val="28"/>
          <w:lang w:val="en-GB"/>
        </w:rPr>
        <w:t>9</w:t>
      </w:r>
      <w:r w:rsidR="009B74C8" w:rsidRPr="00703706">
        <w:rPr>
          <w:rFonts w:asciiTheme="minorHAnsi" w:hAnsiTheme="minorHAnsi" w:cstheme="minorHAnsi"/>
          <w:b/>
          <w:color w:val="17365D" w:themeColor="text2" w:themeShade="BF"/>
          <w:szCs w:val="28"/>
          <w:lang w:val="en-GB"/>
        </w:rPr>
        <w:t xml:space="preserve"> –</w:t>
      </w:r>
      <w:r w:rsidR="007F1F27" w:rsidRPr="00703706">
        <w:rPr>
          <w:rFonts w:asciiTheme="minorHAnsi" w:hAnsiTheme="minorHAnsi" w:cstheme="minorHAnsi"/>
          <w:b/>
          <w:color w:val="17365D" w:themeColor="text2" w:themeShade="BF"/>
          <w:szCs w:val="28"/>
          <w:lang w:val="en-GB"/>
        </w:rPr>
        <w:t xml:space="preserve"> </w:t>
      </w:r>
      <w:r w:rsidR="00EB02EC">
        <w:rPr>
          <w:rFonts w:asciiTheme="minorHAnsi" w:hAnsiTheme="minorHAnsi" w:cstheme="minorHAnsi"/>
          <w:b/>
          <w:color w:val="17365D" w:themeColor="text2" w:themeShade="BF"/>
          <w:szCs w:val="28"/>
          <w:lang w:val="en-GB"/>
        </w:rPr>
        <w:t>Mainstreaming</w:t>
      </w:r>
      <w:r w:rsidR="001F29D0">
        <w:rPr>
          <w:rFonts w:asciiTheme="minorHAnsi" w:hAnsiTheme="minorHAnsi" w:cstheme="minorHAnsi"/>
          <w:b/>
          <w:color w:val="17365D" w:themeColor="text2" w:themeShade="BF"/>
          <w:szCs w:val="28"/>
          <w:lang w:val="en-GB"/>
        </w:rPr>
        <w:t xml:space="preserve"> </w:t>
      </w:r>
      <w:r w:rsidR="00EB02EC">
        <w:rPr>
          <w:rFonts w:asciiTheme="minorHAnsi" w:hAnsiTheme="minorHAnsi" w:cstheme="minorHAnsi"/>
          <w:b/>
          <w:color w:val="17365D" w:themeColor="text2" w:themeShade="BF"/>
          <w:szCs w:val="28"/>
          <w:lang w:val="en-GB"/>
        </w:rPr>
        <w:t xml:space="preserve">in </w:t>
      </w:r>
      <w:r w:rsidR="00D267CE">
        <w:rPr>
          <w:rFonts w:asciiTheme="minorHAnsi" w:hAnsiTheme="minorHAnsi" w:cstheme="minorHAnsi"/>
          <w:b/>
          <w:color w:val="17365D" w:themeColor="text2" w:themeShade="BF"/>
          <w:szCs w:val="28"/>
          <w:lang w:val="en-GB"/>
        </w:rPr>
        <w:t>monitoring systems</w:t>
      </w:r>
    </w:p>
    <w:p w14:paraId="1B2F0D9C" w14:textId="77777777" w:rsidR="007F1F27" w:rsidRPr="00703706" w:rsidRDefault="007F1F27" w:rsidP="00C0293F">
      <w:pPr>
        <w:rPr>
          <w:rFonts w:asciiTheme="minorHAnsi" w:hAnsiTheme="minorHAnsi" w:cstheme="minorHAnsi"/>
          <w:sz w:val="22"/>
          <w:szCs w:val="22"/>
          <w:lang w:val="en-GB"/>
        </w:rPr>
      </w:pPr>
    </w:p>
    <w:p w14:paraId="7729DB75" w14:textId="77777777" w:rsidR="007F1F27" w:rsidRPr="00703706" w:rsidRDefault="007F1F27" w:rsidP="00D267CE">
      <w:pPr>
        <w:rPr>
          <w:rFonts w:asciiTheme="minorHAnsi" w:hAnsiTheme="minorHAnsi" w:cstheme="minorHAnsi"/>
          <w:sz w:val="22"/>
          <w:szCs w:val="22"/>
          <w:lang w:val="en-GB"/>
        </w:rPr>
      </w:pPr>
    </w:p>
    <w:p w14:paraId="1BD503C7" w14:textId="77777777" w:rsidR="007F1F27" w:rsidRPr="00703706" w:rsidRDefault="007F1F27" w:rsidP="00D267CE">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Topics</w:t>
      </w:r>
      <w:r w:rsidR="00AE2CDC">
        <w:rPr>
          <w:rFonts w:asciiTheme="minorHAnsi" w:hAnsiTheme="minorHAnsi" w:cstheme="minorHAnsi"/>
          <w:b/>
          <w:smallCaps/>
          <w:sz w:val="22"/>
          <w:szCs w:val="22"/>
          <w:lang w:val="en-GB"/>
        </w:rPr>
        <w:t xml:space="preserve"> </w:t>
      </w:r>
      <w:r w:rsidR="002346A3">
        <w:rPr>
          <w:rFonts w:asciiTheme="minorHAnsi" w:hAnsiTheme="minorHAnsi" w:cstheme="minorHAnsi"/>
          <w:b/>
          <w:smallCaps/>
          <w:sz w:val="22"/>
          <w:szCs w:val="22"/>
          <w:lang w:val="en-GB"/>
        </w:rPr>
        <w:t xml:space="preserve">and tools </w:t>
      </w:r>
      <w:r w:rsidR="00AE2CDC">
        <w:rPr>
          <w:rFonts w:asciiTheme="minorHAnsi" w:hAnsiTheme="minorHAnsi" w:cstheme="minorHAnsi"/>
          <w:b/>
          <w:smallCaps/>
          <w:sz w:val="22"/>
          <w:szCs w:val="22"/>
          <w:lang w:val="en-GB"/>
        </w:rPr>
        <w:t>covered by the module</w:t>
      </w:r>
      <w:r w:rsidRPr="00703706">
        <w:rPr>
          <w:rFonts w:asciiTheme="minorHAnsi" w:hAnsiTheme="minorHAnsi" w:cstheme="minorHAnsi"/>
          <w:b/>
          <w:smallCaps/>
          <w:sz w:val="22"/>
          <w:szCs w:val="22"/>
          <w:lang w:val="en-GB"/>
        </w:rPr>
        <w:t>:</w:t>
      </w:r>
    </w:p>
    <w:p w14:paraId="55FEAEE6" w14:textId="77777777" w:rsidR="007F1F27" w:rsidRPr="00703706" w:rsidRDefault="007F1F27" w:rsidP="00D267CE">
      <w:pPr>
        <w:rPr>
          <w:rFonts w:asciiTheme="minorHAnsi" w:hAnsiTheme="minorHAnsi" w:cstheme="minorHAnsi"/>
          <w:sz w:val="22"/>
          <w:szCs w:val="22"/>
          <w:lang w:val="en-GB"/>
        </w:rPr>
      </w:pPr>
    </w:p>
    <w:p w14:paraId="2688A3F1" w14:textId="77777777" w:rsidR="00D267CE" w:rsidRPr="00D267CE" w:rsidRDefault="00D267CE" w:rsidP="00D7326E">
      <w:pPr>
        <w:numPr>
          <w:ilvl w:val="1"/>
          <w:numId w:val="2"/>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Performance measurement</w:t>
      </w:r>
      <w:r w:rsidR="0004358C">
        <w:rPr>
          <w:rFonts w:asciiTheme="minorHAnsi" w:hAnsiTheme="minorHAnsi" w:cstheme="minorHAnsi"/>
          <w:sz w:val="22"/>
          <w:szCs w:val="22"/>
          <w:lang w:val="en-GB"/>
        </w:rPr>
        <w:t xml:space="preserve"> and monitoring</w:t>
      </w:r>
      <w:r w:rsidRPr="00D267CE">
        <w:rPr>
          <w:rFonts w:asciiTheme="minorHAnsi" w:hAnsiTheme="minorHAnsi" w:cstheme="minorHAnsi"/>
          <w:sz w:val="22"/>
          <w:szCs w:val="22"/>
          <w:lang w:val="en-GB"/>
        </w:rPr>
        <w:t>: key concepts</w:t>
      </w:r>
      <w:r w:rsidR="00C605A7">
        <w:rPr>
          <w:rFonts w:asciiTheme="minorHAnsi" w:hAnsiTheme="minorHAnsi" w:cstheme="minorHAnsi"/>
          <w:sz w:val="22"/>
          <w:szCs w:val="22"/>
          <w:lang w:val="en-GB"/>
        </w:rPr>
        <w:t xml:space="preserve"> and tools</w:t>
      </w:r>
      <w:r>
        <w:rPr>
          <w:rFonts w:asciiTheme="minorHAnsi" w:hAnsiTheme="minorHAnsi" w:cstheme="minorHAnsi"/>
          <w:sz w:val="22"/>
          <w:szCs w:val="22"/>
          <w:lang w:val="en-GB"/>
        </w:rPr>
        <w:t>.</w:t>
      </w:r>
    </w:p>
    <w:p w14:paraId="63062E17" w14:textId="77777777" w:rsidR="00D267CE" w:rsidRPr="00D267CE" w:rsidRDefault="00D267CE" w:rsidP="00D7326E">
      <w:pPr>
        <w:numPr>
          <w:ilvl w:val="1"/>
          <w:numId w:val="2"/>
        </w:numPr>
        <w:ind w:left="284" w:hanging="284"/>
        <w:rPr>
          <w:rFonts w:asciiTheme="minorHAnsi" w:hAnsiTheme="minorHAnsi" w:cstheme="minorHAnsi"/>
          <w:sz w:val="22"/>
          <w:szCs w:val="22"/>
          <w:lang w:val="en-GB"/>
        </w:rPr>
      </w:pPr>
      <w:r w:rsidRPr="00D267CE">
        <w:rPr>
          <w:rFonts w:asciiTheme="minorHAnsi" w:hAnsiTheme="minorHAnsi" w:cstheme="minorHAnsi"/>
          <w:sz w:val="22"/>
          <w:szCs w:val="22"/>
          <w:lang w:val="en-GB"/>
        </w:rPr>
        <w:t xml:space="preserve">Mainstreaming </w:t>
      </w:r>
      <w:r w:rsidR="002D3000">
        <w:rPr>
          <w:rFonts w:asciiTheme="minorHAnsi" w:hAnsiTheme="minorHAnsi" w:cstheme="minorHAnsi"/>
          <w:sz w:val="22"/>
          <w:szCs w:val="22"/>
          <w:lang w:val="en-GB"/>
        </w:rPr>
        <w:t xml:space="preserve">environment and </w:t>
      </w:r>
      <w:r w:rsidRPr="00D267CE">
        <w:rPr>
          <w:rFonts w:asciiTheme="minorHAnsi" w:hAnsiTheme="minorHAnsi" w:cstheme="minorHAnsi"/>
          <w:sz w:val="22"/>
          <w:szCs w:val="22"/>
          <w:lang w:val="en-GB"/>
        </w:rPr>
        <w:t>climate change in m</w:t>
      </w:r>
      <w:r>
        <w:rPr>
          <w:rFonts w:asciiTheme="minorHAnsi" w:hAnsiTheme="minorHAnsi" w:cstheme="minorHAnsi"/>
          <w:sz w:val="22"/>
          <w:szCs w:val="22"/>
          <w:lang w:val="en-GB"/>
        </w:rPr>
        <w:t>onitoring systems</w:t>
      </w:r>
    </w:p>
    <w:p w14:paraId="7F230484" w14:textId="77777777" w:rsidR="00D267CE" w:rsidRPr="00D267CE" w:rsidRDefault="00D267CE" w:rsidP="00D7326E">
      <w:pPr>
        <w:numPr>
          <w:ilvl w:val="1"/>
          <w:numId w:val="2"/>
        </w:numPr>
        <w:ind w:left="284" w:hanging="284"/>
        <w:rPr>
          <w:rFonts w:asciiTheme="minorHAnsi" w:hAnsiTheme="minorHAnsi" w:cstheme="minorHAnsi"/>
          <w:sz w:val="22"/>
          <w:szCs w:val="22"/>
          <w:lang w:val="en-GB"/>
        </w:rPr>
      </w:pPr>
      <w:r w:rsidRPr="00D267CE">
        <w:rPr>
          <w:rFonts w:asciiTheme="minorHAnsi" w:hAnsiTheme="minorHAnsi" w:cstheme="minorHAnsi"/>
          <w:sz w:val="22"/>
          <w:szCs w:val="22"/>
          <w:lang w:val="en-GB"/>
        </w:rPr>
        <w:t>Performance assessment frameworks</w:t>
      </w:r>
      <w:r w:rsidR="002346A3">
        <w:rPr>
          <w:rFonts w:asciiTheme="minorHAnsi" w:hAnsiTheme="minorHAnsi" w:cstheme="minorHAnsi"/>
          <w:sz w:val="22"/>
          <w:szCs w:val="22"/>
          <w:lang w:val="en-GB"/>
        </w:rPr>
        <w:t xml:space="preserve"> (PAFs) </w:t>
      </w:r>
      <w:r w:rsidR="002346A3">
        <w:rPr>
          <w:rFonts w:asciiTheme="minorHAnsi" w:hAnsiTheme="minorHAnsi" w:cstheme="minorHAnsi"/>
          <w:sz w:val="22"/>
          <w:szCs w:val="22"/>
          <w:lang w:val="en-US"/>
        </w:rPr>
        <w:t>and</w:t>
      </w:r>
      <w:r w:rsidRPr="00D267CE">
        <w:rPr>
          <w:rFonts w:asciiTheme="minorHAnsi" w:hAnsiTheme="minorHAnsi" w:cstheme="minorHAnsi"/>
          <w:sz w:val="22"/>
          <w:szCs w:val="22"/>
          <w:lang w:val="en-GB"/>
        </w:rPr>
        <w:t xml:space="preserve"> budget support.</w:t>
      </w:r>
    </w:p>
    <w:p w14:paraId="7D7125D3" w14:textId="77777777" w:rsidR="007F1F27" w:rsidRDefault="007F1F27" w:rsidP="00C0293F">
      <w:pPr>
        <w:pBdr>
          <w:bottom w:val="single" w:sz="6" w:space="1" w:color="auto"/>
        </w:pBdr>
        <w:rPr>
          <w:rFonts w:asciiTheme="minorHAnsi" w:hAnsiTheme="minorHAnsi" w:cstheme="minorHAnsi"/>
          <w:sz w:val="22"/>
          <w:szCs w:val="22"/>
          <w:lang w:val="en-GB"/>
        </w:rPr>
      </w:pPr>
    </w:p>
    <w:p w14:paraId="78C502D0" w14:textId="77777777" w:rsidR="00C33F7A" w:rsidRPr="00703706" w:rsidRDefault="00C33F7A" w:rsidP="00C0293F">
      <w:pPr>
        <w:rPr>
          <w:rFonts w:asciiTheme="minorHAnsi" w:hAnsiTheme="minorHAnsi" w:cstheme="minorHAnsi"/>
          <w:sz w:val="22"/>
          <w:szCs w:val="22"/>
          <w:lang w:val="en-GB"/>
        </w:rPr>
      </w:pPr>
    </w:p>
    <w:p w14:paraId="3909ECCF" w14:textId="77777777" w:rsidR="007F1F27" w:rsidRPr="00703706" w:rsidRDefault="007F1F27" w:rsidP="00C0293F">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 xml:space="preserve">Key </w:t>
      </w:r>
      <w:r w:rsidR="00AE2CDC">
        <w:rPr>
          <w:rFonts w:asciiTheme="minorHAnsi" w:hAnsiTheme="minorHAnsi" w:cstheme="minorHAnsi"/>
          <w:b/>
          <w:smallCaps/>
          <w:sz w:val="22"/>
          <w:szCs w:val="22"/>
          <w:lang w:val="en-GB"/>
        </w:rPr>
        <w:t xml:space="preserve">concepts and </w:t>
      </w:r>
      <w:r w:rsidR="00CF63FE" w:rsidRPr="00703706">
        <w:rPr>
          <w:rFonts w:asciiTheme="minorHAnsi" w:hAnsiTheme="minorHAnsi" w:cstheme="minorHAnsi"/>
          <w:b/>
          <w:smallCaps/>
          <w:sz w:val="22"/>
          <w:szCs w:val="22"/>
          <w:lang w:val="en-GB"/>
        </w:rPr>
        <w:t>messages</w:t>
      </w:r>
      <w:r w:rsidRPr="00703706">
        <w:rPr>
          <w:rFonts w:asciiTheme="minorHAnsi" w:hAnsiTheme="minorHAnsi" w:cstheme="minorHAnsi"/>
          <w:b/>
          <w:smallCaps/>
          <w:sz w:val="22"/>
          <w:szCs w:val="22"/>
          <w:lang w:val="en-GB"/>
        </w:rPr>
        <w:t>:</w:t>
      </w:r>
    </w:p>
    <w:p w14:paraId="4CCE95CB" w14:textId="77777777" w:rsidR="00F61E82" w:rsidRDefault="00F61E82" w:rsidP="00C0293F">
      <w:pPr>
        <w:rPr>
          <w:rFonts w:asciiTheme="minorHAnsi" w:hAnsiTheme="minorHAnsi" w:cstheme="minorHAnsi"/>
          <w:sz w:val="22"/>
          <w:szCs w:val="22"/>
          <w:lang w:val="en-GB"/>
        </w:rPr>
      </w:pPr>
    </w:p>
    <w:p w14:paraId="2C55695C" w14:textId="77777777" w:rsidR="004E613F" w:rsidRPr="00EB02EC" w:rsidRDefault="0004358C" w:rsidP="00C0293F">
      <w:pPr>
        <w:rPr>
          <w:rFonts w:asciiTheme="minorHAnsi" w:hAnsiTheme="minorHAnsi" w:cstheme="minorHAnsi"/>
          <w:i/>
          <w:sz w:val="22"/>
          <w:szCs w:val="22"/>
          <w:lang w:val="en-GB"/>
        </w:rPr>
      </w:pPr>
      <w:r>
        <w:rPr>
          <w:rFonts w:asciiTheme="minorHAnsi" w:hAnsiTheme="minorHAnsi" w:cstheme="minorHAnsi"/>
          <w:i/>
          <w:sz w:val="22"/>
          <w:szCs w:val="22"/>
          <w:lang w:val="en-GB"/>
        </w:rPr>
        <w:t>Performance measurement and monitoring: key concepts</w:t>
      </w:r>
      <w:r w:rsidR="00C605A7">
        <w:rPr>
          <w:rFonts w:asciiTheme="minorHAnsi" w:hAnsiTheme="minorHAnsi" w:cstheme="minorHAnsi"/>
          <w:i/>
          <w:sz w:val="22"/>
          <w:szCs w:val="22"/>
          <w:lang w:val="en-GB"/>
        </w:rPr>
        <w:t xml:space="preserve"> and tools</w:t>
      </w:r>
    </w:p>
    <w:p w14:paraId="63B7B561" w14:textId="77777777" w:rsidR="004E613F" w:rsidRPr="00703706" w:rsidRDefault="004E613F" w:rsidP="00C0293F">
      <w:pPr>
        <w:rPr>
          <w:rFonts w:asciiTheme="minorHAnsi" w:hAnsiTheme="minorHAnsi" w:cstheme="minorHAnsi"/>
          <w:sz w:val="22"/>
          <w:szCs w:val="22"/>
          <w:lang w:val="en-GB"/>
        </w:rPr>
      </w:pPr>
    </w:p>
    <w:p w14:paraId="19B6249B" w14:textId="77777777" w:rsidR="0004358C" w:rsidRDefault="0004358C" w:rsidP="00D7326E">
      <w:pPr>
        <w:numPr>
          <w:ilvl w:val="0"/>
          <w:numId w:val="1"/>
        </w:numPr>
        <w:ind w:left="426" w:hanging="426"/>
        <w:rPr>
          <w:rFonts w:asciiTheme="minorHAnsi" w:hAnsiTheme="minorHAnsi" w:cstheme="minorHAnsi"/>
          <w:sz w:val="22"/>
          <w:szCs w:val="22"/>
          <w:lang w:val="en-GB"/>
        </w:rPr>
      </w:pPr>
      <w:r w:rsidRPr="0004358C">
        <w:rPr>
          <w:rFonts w:asciiTheme="minorHAnsi" w:hAnsiTheme="minorHAnsi" w:cstheme="minorHAnsi"/>
          <w:sz w:val="22"/>
          <w:szCs w:val="22"/>
          <w:lang w:val="en-GB"/>
        </w:rPr>
        <w:t xml:space="preserve">A </w:t>
      </w:r>
      <w:r w:rsidRPr="0004358C">
        <w:rPr>
          <w:rFonts w:asciiTheme="minorHAnsi" w:hAnsiTheme="minorHAnsi" w:cstheme="minorHAnsi"/>
          <w:i/>
          <w:sz w:val="22"/>
          <w:szCs w:val="22"/>
          <w:lang w:val="en-GB"/>
        </w:rPr>
        <w:t>hierarchy of objectives</w:t>
      </w:r>
      <w:r w:rsidRPr="0004358C">
        <w:rPr>
          <w:rFonts w:asciiTheme="minorHAnsi" w:hAnsiTheme="minorHAnsi" w:cstheme="minorHAnsi"/>
          <w:sz w:val="22"/>
          <w:szCs w:val="22"/>
          <w:lang w:val="en-GB"/>
        </w:rPr>
        <w:t xml:space="preserve"> is usually associated with a policy, programme or project</w:t>
      </w:r>
      <w:r w:rsidR="00005FF6">
        <w:rPr>
          <w:rFonts w:asciiTheme="minorHAnsi" w:hAnsiTheme="minorHAnsi" w:cstheme="minorHAnsi"/>
          <w:sz w:val="22"/>
          <w:szCs w:val="22"/>
          <w:lang w:val="en-GB"/>
        </w:rPr>
        <w:t>;</w:t>
      </w:r>
      <w:r w:rsidRPr="0004358C">
        <w:rPr>
          <w:rFonts w:asciiTheme="minorHAnsi" w:hAnsiTheme="minorHAnsi" w:cstheme="minorHAnsi"/>
          <w:sz w:val="22"/>
          <w:szCs w:val="22"/>
          <w:lang w:val="en-GB"/>
        </w:rPr>
        <w:t xml:space="preserve"> milestones and/or indicators</w:t>
      </w:r>
      <w:r w:rsidR="00AB7DA2">
        <w:rPr>
          <w:rFonts w:asciiTheme="minorHAnsi" w:hAnsiTheme="minorHAnsi" w:cstheme="minorHAnsi"/>
          <w:sz w:val="22"/>
          <w:szCs w:val="22"/>
          <w:lang w:val="en-GB"/>
        </w:rPr>
        <w:t xml:space="preserve"> and the </w:t>
      </w:r>
      <w:r w:rsidR="00C605A7">
        <w:rPr>
          <w:rFonts w:asciiTheme="minorHAnsi" w:hAnsiTheme="minorHAnsi" w:cstheme="minorHAnsi"/>
          <w:sz w:val="22"/>
          <w:szCs w:val="22"/>
          <w:lang w:val="en-GB"/>
        </w:rPr>
        <w:t>associated</w:t>
      </w:r>
      <w:r w:rsidR="00AB7DA2">
        <w:rPr>
          <w:rFonts w:asciiTheme="minorHAnsi" w:hAnsiTheme="minorHAnsi" w:cstheme="minorHAnsi"/>
          <w:sz w:val="22"/>
          <w:szCs w:val="22"/>
          <w:lang w:val="en-GB"/>
        </w:rPr>
        <w:t xml:space="preserve"> targets</w:t>
      </w:r>
      <w:r w:rsidR="00A70A75">
        <w:rPr>
          <w:rFonts w:asciiTheme="minorHAnsi" w:hAnsiTheme="minorHAnsi" w:cstheme="minorHAnsi"/>
          <w:sz w:val="22"/>
          <w:szCs w:val="22"/>
          <w:lang w:val="en-GB"/>
        </w:rPr>
        <w:t xml:space="preserve">, as defined in </w:t>
      </w:r>
      <w:r w:rsidR="00A70A75" w:rsidRPr="00C605A7">
        <w:rPr>
          <w:rFonts w:asciiTheme="minorHAnsi" w:hAnsiTheme="minorHAnsi" w:cstheme="minorHAnsi"/>
          <w:b/>
          <w:sz w:val="22"/>
          <w:szCs w:val="22"/>
          <w:lang w:val="en-GB"/>
        </w:rPr>
        <w:t>Box 9.1</w:t>
      </w:r>
      <w:r w:rsidR="00A70A75">
        <w:rPr>
          <w:rFonts w:asciiTheme="minorHAnsi" w:hAnsiTheme="minorHAnsi" w:cstheme="minorHAnsi"/>
          <w:sz w:val="22"/>
          <w:szCs w:val="22"/>
          <w:lang w:val="en-GB"/>
        </w:rPr>
        <w:t>,</w:t>
      </w:r>
      <w:r w:rsidRPr="0004358C">
        <w:rPr>
          <w:rFonts w:asciiTheme="minorHAnsi" w:hAnsiTheme="minorHAnsi" w:cstheme="minorHAnsi"/>
          <w:sz w:val="22"/>
          <w:szCs w:val="22"/>
          <w:lang w:val="en-GB"/>
        </w:rPr>
        <w:t xml:space="preserve"> may be </w:t>
      </w:r>
      <w:r w:rsidR="00C605A7">
        <w:rPr>
          <w:rFonts w:asciiTheme="minorHAnsi" w:hAnsiTheme="minorHAnsi" w:cstheme="minorHAnsi"/>
          <w:sz w:val="22"/>
          <w:szCs w:val="22"/>
          <w:lang w:val="en-GB"/>
        </w:rPr>
        <w:t>used to monitor achievements at</w:t>
      </w:r>
      <w:r w:rsidRPr="0004358C">
        <w:rPr>
          <w:rFonts w:asciiTheme="minorHAnsi" w:hAnsiTheme="minorHAnsi" w:cstheme="minorHAnsi"/>
          <w:sz w:val="22"/>
          <w:szCs w:val="22"/>
          <w:lang w:val="en-GB"/>
        </w:rPr>
        <w:t xml:space="preserve"> each level in the hierarchy</w:t>
      </w:r>
      <w:r w:rsidR="00D921FD">
        <w:rPr>
          <w:rFonts w:asciiTheme="minorHAnsi" w:hAnsiTheme="minorHAnsi" w:cstheme="minorHAnsi"/>
          <w:sz w:val="22"/>
          <w:szCs w:val="22"/>
          <w:lang w:val="en-GB"/>
        </w:rPr>
        <w:t xml:space="preserve"> (OECD 2002, EC 2004</w:t>
      </w:r>
      <w:r w:rsidR="001B7446">
        <w:rPr>
          <w:rFonts w:asciiTheme="minorHAnsi" w:hAnsiTheme="minorHAnsi" w:cstheme="minorHAnsi"/>
          <w:sz w:val="22"/>
          <w:szCs w:val="22"/>
          <w:lang w:val="en-GB"/>
        </w:rPr>
        <w:t>)</w:t>
      </w:r>
      <w:r w:rsidRPr="0004358C">
        <w:rPr>
          <w:rFonts w:asciiTheme="minorHAnsi" w:hAnsiTheme="minorHAnsi" w:cstheme="minorHAnsi"/>
          <w:sz w:val="22"/>
          <w:szCs w:val="22"/>
          <w:lang w:val="en-GB"/>
        </w:rPr>
        <w:t>:</w:t>
      </w:r>
    </w:p>
    <w:p w14:paraId="7BA70407" w14:textId="77777777" w:rsidR="001B7446" w:rsidRPr="001B7446" w:rsidRDefault="001B7446" w:rsidP="00D7326E">
      <w:pPr>
        <w:numPr>
          <w:ilvl w:val="0"/>
          <w:numId w:val="3"/>
        </w:numPr>
        <w:spacing w:before="120"/>
        <w:ind w:left="709" w:hanging="284"/>
        <w:rPr>
          <w:rFonts w:asciiTheme="minorHAnsi" w:hAnsiTheme="minorHAnsi" w:cstheme="minorHAnsi"/>
          <w:sz w:val="22"/>
          <w:szCs w:val="22"/>
          <w:lang w:val="en-GB"/>
        </w:rPr>
      </w:pPr>
      <w:r w:rsidRPr="001B7446">
        <w:rPr>
          <w:rFonts w:asciiTheme="minorHAnsi" w:hAnsiTheme="minorHAnsi" w:cstheme="minorHAnsi"/>
          <w:sz w:val="22"/>
          <w:szCs w:val="22"/>
          <w:lang w:val="en-GB"/>
        </w:rPr>
        <w:t xml:space="preserve">At the bottom of the hierarchy are </w:t>
      </w:r>
      <w:r w:rsidRPr="001B7446">
        <w:rPr>
          <w:rFonts w:asciiTheme="minorHAnsi" w:hAnsiTheme="minorHAnsi" w:cstheme="minorHAnsi"/>
          <w:i/>
          <w:sz w:val="22"/>
          <w:szCs w:val="22"/>
          <w:lang w:val="en-GB"/>
        </w:rPr>
        <w:t>inputs</w:t>
      </w:r>
      <w:r w:rsidRPr="001B7446">
        <w:rPr>
          <w:rFonts w:asciiTheme="minorHAnsi" w:hAnsiTheme="minorHAnsi" w:cstheme="minorHAnsi"/>
          <w:sz w:val="22"/>
          <w:szCs w:val="22"/>
          <w:lang w:val="en-GB"/>
        </w:rPr>
        <w:t xml:space="preserve"> – these are not objectives but the means by which objectives can be achieved. Milestones (corresponding to ‘pre-requisites’), and sometimes indicators, are typically associated with inputs.</w:t>
      </w:r>
    </w:p>
    <w:p w14:paraId="515289D0" w14:textId="77777777" w:rsidR="001B7446" w:rsidRPr="001B7446" w:rsidRDefault="001B7446" w:rsidP="00D7326E">
      <w:pPr>
        <w:numPr>
          <w:ilvl w:val="0"/>
          <w:numId w:val="3"/>
        </w:numPr>
        <w:spacing w:before="120"/>
        <w:ind w:left="709" w:hanging="284"/>
        <w:rPr>
          <w:rFonts w:asciiTheme="minorHAnsi" w:hAnsiTheme="minorHAnsi" w:cstheme="minorHAnsi"/>
          <w:sz w:val="22"/>
          <w:szCs w:val="22"/>
          <w:lang w:val="en-GB"/>
        </w:rPr>
      </w:pPr>
      <w:r w:rsidRPr="001B7446">
        <w:rPr>
          <w:rFonts w:asciiTheme="minorHAnsi" w:hAnsiTheme="minorHAnsi" w:cstheme="minorHAnsi"/>
          <w:sz w:val="22"/>
          <w:szCs w:val="22"/>
          <w:lang w:val="en-GB"/>
        </w:rPr>
        <w:t xml:space="preserve">The use of inputs is expected to deliver at first </w:t>
      </w:r>
      <w:r w:rsidRPr="001B7446">
        <w:rPr>
          <w:rFonts w:asciiTheme="minorHAnsi" w:hAnsiTheme="minorHAnsi" w:cstheme="minorHAnsi"/>
          <w:i/>
          <w:sz w:val="22"/>
          <w:szCs w:val="22"/>
          <w:lang w:val="en-GB"/>
        </w:rPr>
        <w:t>intermediate results</w:t>
      </w:r>
      <w:r w:rsidRPr="001B7446">
        <w:rPr>
          <w:rFonts w:asciiTheme="minorHAnsi" w:hAnsiTheme="minorHAnsi" w:cstheme="minorHAnsi"/>
          <w:sz w:val="22"/>
          <w:szCs w:val="22"/>
          <w:lang w:val="en-GB"/>
        </w:rPr>
        <w:t>; both milestones and output indicators can be associated with this level.</w:t>
      </w:r>
    </w:p>
    <w:p w14:paraId="667DC168" w14:textId="77777777" w:rsidR="001B7446" w:rsidRPr="001B7446" w:rsidRDefault="001B7446" w:rsidP="00D7326E">
      <w:pPr>
        <w:numPr>
          <w:ilvl w:val="0"/>
          <w:numId w:val="3"/>
        </w:numPr>
        <w:spacing w:before="120"/>
        <w:ind w:left="709" w:hanging="284"/>
        <w:rPr>
          <w:rFonts w:asciiTheme="minorHAnsi" w:hAnsiTheme="minorHAnsi" w:cstheme="minorHAnsi"/>
          <w:sz w:val="22"/>
          <w:szCs w:val="22"/>
          <w:lang w:val="en-GB"/>
        </w:rPr>
      </w:pPr>
      <w:r w:rsidRPr="001B7446">
        <w:rPr>
          <w:rFonts w:asciiTheme="minorHAnsi" w:hAnsiTheme="minorHAnsi" w:cstheme="minorHAnsi"/>
          <w:sz w:val="22"/>
          <w:szCs w:val="22"/>
          <w:lang w:val="en-GB"/>
        </w:rPr>
        <w:t xml:space="preserve">Intermediate results are expected, together, to contribute to the achievement of </w:t>
      </w:r>
      <w:r w:rsidRPr="001B7446">
        <w:rPr>
          <w:rFonts w:asciiTheme="minorHAnsi" w:hAnsiTheme="minorHAnsi" w:cstheme="minorHAnsi"/>
          <w:i/>
          <w:sz w:val="22"/>
          <w:szCs w:val="22"/>
          <w:lang w:val="en-GB"/>
        </w:rPr>
        <w:t>specific objectives</w:t>
      </w:r>
      <w:r w:rsidRPr="001B7446">
        <w:rPr>
          <w:rFonts w:asciiTheme="minorHAnsi" w:hAnsiTheme="minorHAnsi" w:cstheme="minorHAnsi"/>
          <w:sz w:val="22"/>
          <w:szCs w:val="22"/>
          <w:lang w:val="en-GB"/>
        </w:rPr>
        <w:t xml:space="preserve">.  </w:t>
      </w:r>
      <w:r w:rsidR="00A70A75">
        <w:rPr>
          <w:rFonts w:asciiTheme="minorHAnsi" w:hAnsiTheme="minorHAnsi" w:cstheme="minorHAnsi"/>
          <w:sz w:val="22"/>
          <w:szCs w:val="22"/>
          <w:lang w:val="en-GB"/>
        </w:rPr>
        <w:t xml:space="preserve">In principle, </w:t>
      </w:r>
      <w:r w:rsidRPr="001B7446">
        <w:rPr>
          <w:rFonts w:asciiTheme="minorHAnsi" w:hAnsiTheme="minorHAnsi" w:cstheme="minorHAnsi"/>
          <w:sz w:val="22"/>
          <w:szCs w:val="22"/>
          <w:lang w:val="en-GB"/>
        </w:rPr>
        <w:t xml:space="preserve">milestones </w:t>
      </w:r>
      <w:r w:rsidR="00A70A75">
        <w:rPr>
          <w:rFonts w:asciiTheme="minorHAnsi" w:hAnsiTheme="minorHAnsi" w:cstheme="minorHAnsi"/>
          <w:sz w:val="22"/>
          <w:szCs w:val="22"/>
          <w:lang w:val="en-GB"/>
        </w:rPr>
        <w:t xml:space="preserve">are not used </w:t>
      </w:r>
      <w:r w:rsidRPr="001B7446">
        <w:rPr>
          <w:rFonts w:asciiTheme="minorHAnsi" w:hAnsiTheme="minorHAnsi" w:cstheme="minorHAnsi"/>
          <w:sz w:val="22"/>
          <w:szCs w:val="22"/>
          <w:lang w:val="en-GB"/>
        </w:rPr>
        <w:t>at this level</w:t>
      </w:r>
      <w:r w:rsidR="00A70A75">
        <w:rPr>
          <w:rFonts w:asciiTheme="minorHAnsi" w:hAnsiTheme="minorHAnsi" w:cstheme="minorHAnsi"/>
          <w:sz w:val="22"/>
          <w:szCs w:val="22"/>
          <w:lang w:val="en-GB"/>
        </w:rPr>
        <w:t xml:space="preserve"> (although there may be exceptions)</w:t>
      </w:r>
      <w:r w:rsidRPr="001B7446">
        <w:rPr>
          <w:rFonts w:asciiTheme="minorHAnsi" w:hAnsiTheme="minorHAnsi" w:cstheme="minorHAnsi"/>
          <w:sz w:val="22"/>
          <w:szCs w:val="22"/>
          <w:lang w:val="en-GB"/>
        </w:rPr>
        <w:t xml:space="preserve">, because this level is no longer associated with processes but with outcomes. Outcome indicators should </w:t>
      </w:r>
      <w:r w:rsidR="00A70A75">
        <w:rPr>
          <w:rFonts w:asciiTheme="minorHAnsi" w:hAnsiTheme="minorHAnsi" w:cstheme="minorHAnsi"/>
          <w:sz w:val="22"/>
          <w:szCs w:val="22"/>
          <w:lang w:val="en-GB"/>
        </w:rPr>
        <w:t xml:space="preserve">ideally </w:t>
      </w:r>
      <w:r w:rsidRPr="001B7446">
        <w:rPr>
          <w:rFonts w:asciiTheme="minorHAnsi" w:hAnsiTheme="minorHAnsi" w:cstheme="minorHAnsi"/>
          <w:sz w:val="22"/>
          <w:szCs w:val="22"/>
          <w:lang w:val="en-GB"/>
        </w:rPr>
        <w:t>be used at this level.</w:t>
      </w:r>
    </w:p>
    <w:p w14:paraId="0171B29D" w14:textId="77777777" w:rsidR="001B7446" w:rsidRDefault="001B7446" w:rsidP="00D7326E">
      <w:pPr>
        <w:numPr>
          <w:ilvl w:val="0"/>
          <w:numId w:val="3"/>
        </w:numPr>
        <w:spacing w:before="120"/>
        <w:ind w:left="709" w:hanging="284"/>
        <w:rPr>
          <w:rFonts w:asciiTheme="minorHAnsi" w:hAnsiTheme="minorHAnsi" w:cstheme="minorHAnsi"/>
          <w:sz w:val="22"/>
          <w:szCs w:val="22"/>
          <w:lang w:val="en-GB"/>
        </w:rPr>
      </w:pPr>
      <w:r w:rsidRPr="001B7446">
        <w:rPr>
          <w:rFonts w:asciiTheme="minorHAnsi" w:hAnsiTheme="minorHAnsi" w:cstheme="minorHAnsi"/>
          <w:sz w:val="22"/>
          <w:szCs w:val="22"/>
          <w:lang w:val="en-GB"/>
        </w:rPr>
        <w:t xml:space="preserve">Finally, the achievement of specific objectives is expected to contribute to more general, </w:t>
      </w:r>
      <w:r w:rsidRPr="001B7446">
        <w:rPr>
          <w:rFonts w:asciiTheme="minorHAnsi" w:hAnsiTheme="minorHAnsi" w:cstheme="minorHAnsi"/>
          <w:i/>
          <w:sz w:val="22"/>
          <w:szCs w:val="22"/>
          <w:lang w:val="en-GB"/>
        </w:rPr>
        <w:t>overall objectives</w:t>
      </w:r>
      <w:r w:rsidRPr="001B7446">
        <w:rPr>
          <w:rFonts w:asciiTheme="minorHAnsi" w:hAnsiTheme="minorHAnsi" w:cstheme="minorHAnsi"/>
          <w:sz w:val="22"/>
          <w:szCs w:val="22"/>
          <w:lang w:val="en-GB"/>
        </w:rPr>
        <w:t>. Impact indicators are associated with this level.</w:t>
      </w:r>
    </w:p>
    <w:p w14:paraId="01DDDFDF" w14:textId="6B9A6F0C" w:rsidR="00FB33CF" w:rsidRPr="00177DA1" w:rsidRDefault="00FB33CF" w:rsidP="00FB33CF">
      <w:pPr>
        <w:spacing w:before="120"/>
        <w:ind w:left="425"/>
        <w:rPr>
          <w:rFonts w:asciiTheme="minorHAnsi" w:hAnsiTheme="minorHAnsi" w:cstheme="minorHAnsi"/>
          <w:sz w:val="22"/>
          <w:szCs w:val="22"/>
          <w:lang w:val="en-GB"/>
        </w:rPr>
      </w:pPr>
      <w:r w:rsidRPr="003B7A50">
        <w:rPr>
          <w:rFonts w:asciiTheme="minorHAnsi" w:hAnsiTheme="minorHAnsi" w:cstheme="minorHAnsi"/>
          <w:b/>
          <w:sz w:val="22"/>
          <w:szCs w:val="22"/>
          <w:lang w:val="en-GB"/>
        </w:rPr>
        <w:t>Table 9.1</w:t>
      </w:r>
      <w:r>
        <w:rPr>
          <w:rFonts w:asciiTheme="minorHAnsi" w:hAnsiTheme="minorHAnsi" w:cstheme="minorHAnsi"/>
          <w:sz w:val="22"/>
          <w:szCs w:val="22"/>
          <w:lang w:val="en-GB"/>
        </w:rPr>
        <w:t xml:space="preserve"> provides examples of impact, outcome and output indicators</w:t>
      </w:r>
      <w:r w:rsidR="003B7A50">
        <w:rPr>
          <w:rFonts w:asciiTheme="minorHAnsi" w:hAnsiTheme="minorHAnsi" w:cstheme="minorHAnsi"/>
          <w:sz w:val="22"/>
          <w:szCs w:val="22"/>
          <w:lang w:val="en-GB"/>
        </w:rPr>
        <w:t xml:space="preserve"> in relation to </w:t>
      </w:r>
      <w:r w:rsidR="000603C5">
        <w:rPr>
          <w:rFonts w:asciiTheme="minorHAnsi" w:hAnsiTheme="minorHAnsi" w:cstheme="minorHAnsi"/>
          <w:sz w:val="22"/>
          <w:szCs w:val="22"/>
          <w:lang w:val="en-GB"/>
        </w:rPr>
        <w:t>a GCCA-funded climate change mainstreaming project in Ethiopia</w:t>
      </w:r>
      <w:r w:rsidR="00177DA1">
        <w:rPr>
          <w:rFonts w:asciiTheme="minorHAnsi" w:hAnsiTheme="minorHAnsi" w:cstheme="minorHAnsi"/>
          <w:sz w:val="22"/>
          <w:szCs w:val="22"/>
          <w:lang w:val="en-GB"/>
        </w:rPr>
        <w:t xml:space="preserve"> and </w:t>
      </w:r>
      <w:r w:rsidR="00177DA1">
        <w:rPr>
          <w:rFonts w:asciiTheme="minorHAnsi" w:hAnsiTheme="minorHAnsi" w:cstheme="minorHAnsi"/>
          <w:b/>
          <w:sz w:val="22"/>
          <w:szCs w:val="22"/>
          <w:lang w:val="en-GB"/>
        </w:rPr>
        <w:t>Table 9.2</w:t>
      </w:r>
      <w:r w:rsidR="00177DA1">
        <w:rPr>
          <w:rFonts w:asciiTheme="minorHAnsi" w:hAnsiTheme="minorHAnsi" w:cstheme="minorHAnsi"/>
          <w:sz w:val="22"/>
          <w:szCs w:val="22"/>
          <w:lang w:val="en-GB"/>
        </w:rPr>
        <w:t xml:space="preserve"> provides examples in relation to an environmental mainstreaming project in Sierra Leone.</w:t>
      </w:r>
    </w:p>
    <w:p w14:paraId="37E20F48" w14:textId="77777777" w:rsidR="0004358C" w:rsidRDefault="0004358C" w:rsidP="0004358C">
      <w:pPr>
        <w:rPr>
          <w:rFonts w:asciiTheme="minorHAnsi" w:hAnsiTheme="minorHAnsi" w:cstheme="minorHAnsi"/>
          <w:sz w:val="22"/>
          <w:szCs w:val="22"/>
          <w:lang w:val="en-GB"/>
        </w:rPr>
      </w:pPr>
    </w:p>
    <w:p w14:paraId="76711501" w14:textId="77777777" w:rsidR="00A70A75" w:rsidRPr="00C605A7" w:rsidRDefault="00A70A75" w:rsidP="00A70A75">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p>
    <w:p w14:paraId="6B3FC2C5" w14:textId="77777777" w:rsidR="00A70A75" w:rsidRPr="00C605A7" w:rsidRDefault="00A70A75" w:rsidP="00177DA1">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b/>
          <w:smallCaps/>
          <w:sz w:val="20"/>
          <w:szCs w:val="20"/>
          <w:lang w:val="en-GB"/>
        </w:rPr>
      </w:pPr>
      <w:r w:rsidRPr="00C605A7">
        <w:rPr>
          <w:rFonts w:asciiTheme="minorHAnsi" w:hAnsiTheme="minorHAnsi" w:cstheme="minorHAnsi"/>
          <w:b/>
          <w:smallCaps/>
          <w:sz w:val="20"/>
          <w:szCs w:val="20"/>
          <w:lang w:val="en-GB"/>
        </w:rPr>
        <w:t xml:space="preserve">Box 9.1 – </w:t>
      </w:r>
      <w:r w:rsidR="00C605A7" w:rsidRPr="00C605A7">
        <w:rPr>
          <w:rFonts w:asciiTheme="minorHAnsi" w:hAnsiTheme="minorHAnsi" w:cstheme="minorHAnsi"/>
          <w:b/>
          <w:smallCaps/>
          <w:sz w:val="20"/>
          <w:szCs w:val="20"/>
          <w:lang w:val="en-GB"/>
        </w:rPr>
        <w:t>Milestones, indicators and targets</w:t>
      </w:r>
    </w:p>
    <w:p w14:paraId="081FDFB4" w14:textId="77777777" w:rsidR="00A70A75" w:rsidRPr="00A70A75" w:rsidRDefault="00A70A75" w:rsidP="00A70A75">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p>
    <w:p w14:paraId="49D5B1AA" w14:textId="77777777" w:rsidR="00C605A7" w:rsidRDefault="00C605A7" w:rsidP="00A70A75">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r w:rsidRPr="00C605A7">
        <w:rPr>
          <w:rFonts w:asciiTheme="minorHAnsi" w:hAnsiTheme="minorHAnsi" w:cstheme="minorHAnsi"/>
          <w:sz w:val="20"/>
          <w:szCs w:val="20"/>
          <w:lang w:val="en-GB"/>
        </w:rPr>
        <w:t xml:space="preserve">A </w:t>
      </w:r>
      <w:r w:rsidRPr="00C605A7">
        <w:rPr>
          <w:rFonts w:asciiTheme="minorHAnsi" w:hAnsiTheme="minorHAnsi" w:cstheme="minorHAnsi"/>
          <w:i/>
          <w:sz w:val="20"/>
          <w:szCs w:val="20"/>
          <w:lang w:val="en-GB"/>
        </w:rPr>
        <w:t>milestone</w:t>
      </w:r>
      <w:r w:rsidRPr="00C605A7">
        <w:rPr>
          <w:rFonts w:asciiTheme="minorHAnsi" w:hAnsiTheme="minorHAnsi" w:cstheme="minorHAnsi"/>
          <w:sz w:val="20"/>
          <w:szCs w:val="20"/>
          <w:lang w:val="en-GB"/>
        </w:rPr>
        <w:t xml:space="preserve"> is a key step in the process of developing or implementing a policy, programme or project. For instance, the adoption of a policy, law or regulation, the establishment of a coordination structure, or restructuring of an organisation may be milestones in the climate change mainstreaming process. An </w:t>
      </w:r>
      <w:r w:rsidRPr="00C605A7">
        <w:rPr>
          <w:rFonts w:asciiTheme="minorHAnsi" w:hAnsiTheme="minorHAnsi" w:cstheme="minorHAnsi"/>
          <w:i/>
          <w:sz w:val="20"/>
          <w:szCs w:val="20"/>
          <w:lang w:val="en-GB"/>
        </w:rPr>
        <w:t>indicator</w:t>
      </w:r>
      <w:r w:rsidRPr="00C605A7">
        <w:rPr>
          <w:rFonts w:asciiTheme="minorHAnsi" w:hAnsiTheme="minorHAnsi" w:cstheme="minorHAnsi"/>
          <w:sz w:val="20"/>
          <w:szCs w:val="20"/>
          <w:lang w:val="en-GB"/>
        </w:rPr>
        <w:t xml:space="preserve"> is a unit of measurement, used to describe a situation, monitor the evolution of a situation or measure achievements against an objective; the measurement may be based on quantitative or qualitative units (e.g. ‘number of pilot adaptation projects completed and evaluated’ is an indicator). A </w:t>
      </w:r>
      <w:r w:rsidRPr="00C605A7">
        <w:rPr>
          <w:rFonts w:asciiTheme="minorHAnsi" w:hAnsiTheme="minorHAnsi" w:cstheme="minorHAnsi"/>
          <w:i/>
          <w:sz w:val="20"/>
          <w:szCs w:val="20"/>
          <w:lang w:val="en-GB"/>
        </w:rPr>
        <w:t>target</w:t>
      </w:r>
      <w:r w:rsidRPr="00C605A7">
        <w:rPr>
          <w:rFonts w:asciiTheme="minorHAnsi" w:hAnsiTheme="minorHAnsi" w:cstheme="minorHAnsi"/>
          <w:sz w:val="20"/>
          <w:szCs w:val="20"/>
          <w:lang w:val="en-GB"/>
        </w:rPr>
        <w:t xml:space="preserve"> is the concrete translation of an objective, expressed by means of an indicator associated with a value or status, and a point in time by which it is expected to be reached (e.g. ‘by the end of 2015, 20 pilot adaptation projects completed and evaluated for the purpose of drawing lessons and identifying good practices’); it may or not be expressed against a baseline</w:t>
      </w:r>
      <w:r>
        <w:rPr>
          <w:rFonts w:asciiTheme="minorHAnsi" w:hAnsiTheme="minorHAnsi" w:cstheme="minorHAnsi"/>
          <w:sz w:val="20"/>
          <w:szCs w:val="20"/>
          <w:lang w:val="en-GB"/>
        </w:rPr>
        <w:t xml:space="preserve"> </w:t>
      </w:r>
      <w:r w:rsidR="00DB174A">
        <w:rPr>
          <w:rFonts w:asciiTheme="minorHAnsi" w:hAnsiTheme="minorHAnsi" w:cstheme="minorHAnsi"/>
          <w:sz w:val="20"/>
          <w:szCs w:val="20"/>
          <w:lang w:val="en-GB"/>
        </w:rPr>
        <w:t>(</w:t>
      </w:r>
      <w:r w:rsidR="00DB174A" w:rsidRPr="00C605A7">
        <w:rPr>
          <w:rFonts w:asciiTheme="minorHAnsi" w:hAnsiTheme="minorHAnsi" w:cstheme="minorHAnsi"/>
          <w:sz w:val="20"/>
          <w:szCs w:val="20"/>
          <w:lang w:val="en-GB"/>
        </w:rPr>
        <w:t>OECD 2002</w:t>
      </w:r>
      <w:r w:rsidR="00DB174A">
        <w:rPr>
          <w:rFonts w:asciiTheme="minorHAnsi" w:hAnsiTheme="minorHAnsi" w:cstheme="minorHAnsi"/>
          <w:sz w:val="20"/>
          <w:szCs w:val="20"/>
          <w:lang w:val="en-GB"/>
        </w:rPr>
        <w:t>, EC 2004</w:t>
      </w:r>
      <w:r w:rsidRPr="00C605A7">
        <w:rPr>
          <w:rFonts w:asciiTheme="minorHAnsi" w:hAnsiTheme="minorHAnsi" w:cstheme="minorHAnsi"/>
          <w:sz w:val="20"/>
          <w:szCs w:val="20"/>
          <w:lang w:val="en-GB"/>
        </w:rPr>
        <w:t xml:space="preserve">). </w:t>
      </w:r>
    </w:p>
    <w:p w14:paraId="260DA638" w14:textId="77777777" w:rsidR="00C605A7" w:rsidRDefault="00C605A7" w:rsidP="00A70A75">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p>
    <w:p w14:paraId="74AE758D" w14:textId="77777777" w:rsidR="00A70A75" w:rsidRPr="00C605A7" w:rsidRDefault="00C605A7" w:rsidP="00A70A75">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r w:rsidRPr="00C605A7">
        <w:rPr>
          <w:rFonts w:asciiTheme="minorHAnsi" w:hAnsiTheme="minorHAnsi" w:cstheme="minorHAnsi"/>
          <w:sz w:val="20"/>
          <w:szCs w:val="20"/>
          <w:lang w:val="en-GB"/>
        </w:rPr>
        <w:t xml:space="preserve">The realisation or completion of a milestone is a way of measuring progress towards an objective – but it is not </w:t>
      </w:r>
      <w:proofErr w:type="spellStart"/>
      <w:r w:rsidRPr="00C605A7">
        <w:rPr>
          <w:rFonts w:asciiTheme="minorHAnsi" w:hAnsiTheme="minorHAnsi" w:cstheme="minorHAnsi"/>
          <w:i/>
          <w:sz w:val="20"/>
          <w:szCs w:val="20"/>
          <w:lang w:val="en-GB"/>
        </w:rPr>
        <w:t>stricto</w:t>
      </w:r>
      <w:proofErr w:type="spellEnd"/>
      <w:r w:rsidRPr="00C605A7">
        <w:rPr>
          <w:rFonts w:asciiTheme="minorHAnsi" w:hAnsiTheme="minorHAnsi" w:cstheme="minorHAnsi"/>
          <w:i/>
          <w:sz w:val="20"/>
          <w:szCs w:val="20"/>
          <w:lang w:val="en-GB"/>
        </w:rPr>
        <w:t xml:space="preserve"> </w:t>
      </w:r>
      <w:proofErr w:type="spellStart"/>
      <w:r w:rsidRPr="00C605A7">
        <w:rPr>
          <w:rFonts w:asciiTheme="minorHAnsi" w:hAnsiTheme="minorHAnsi" w:cstheme="minorHAnsi"/>
          <w:i/>
          <w:sz w:val="20"/>
          <w:szCs w:val="20"/>
          <w:lang w:val="en-GB"/>
        </w:rPr>
        <w:t>sensu</w:t>
      </w:r>
      <w:proofErr w:type="spellEnd"/>
      <w:r w:rsidRPr="00C605A7">
        <w:rPr>
          <w:rFonts w:asciiTheme="minorHAnsi" w:hAnsiTheme="minorHAnsi" w:cstheme="minorHAnsi"/>
          <w:sz w:val="20"/>
          <w:szCs w:val="20"/>
          <w:lang w:val="en-GB"/>
        </w:rPr>
        <w:t xml:space="preserve"> an ‘indicator’</w:t>
      </w:r>
      <w:r>
        <w:rPr>
          <w:rFonts w:asciiTheme="minorHAnsi" w:hAnsiTheme="minorHAnsi" w:cstheme="minorHAnsi"/>
          <w:sz w:val="20"/>
          <w:szCs w:val="20"/>
          <w:lang w:val="en-GB"/>
        </w:rPr>
        <w:t xml:space="preserve"> since the dimension of ‘measurement’ is missing</w:t>
      </w:r>
      <w:r w:rsidRPr="00C605A7">
        <w:rPr>
          <w:rFonts w:asciiTheme="minorHAnsi" w:hAnsiTheme="minorHAnsi" w:cstheme="minorHAnsi"/>
          <w:sz w:val="20"/>
          <w:szCs w:val="20"/>
          <w:lang w:val="en-GB"/>
        </w:rPr>
        <w:t>. In practice, milestones are widely used alongside indicators in logical frameworks and performance assessment frameworks.</w:t>
      </w:r>
    </w:p>
    <w:p w14:paraId="63E09FCD" w14:textId="77777777" w:rsidR="00C605A7" w:rsidRPr="00C605A7" w:rsidRDefault="00C605A7" w:rsidP="00A70A75">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p>
    <w:p w14:paraId="3B5F65CC" w14:textId="77777777" w:rsidR="00A70A75" w:rsidRDefault="00A70A75" w:rsidP="0004358C">
      <w:pPr>
        <w:rPr>
          <w:rFonts w:asciiTheme="minorHAnsi" w:hAnsiTheme="minorHAnsi" w:cstheme="minorHAnsi"/>
          <w:sz w:val="22"/>
          <w:szCs w:val="22"/>
          <w:lang w:val="en-GB"/>
        </w:rPr>
      </w:pPr>
    </w:p>
    <w:p w14:paraId="55D11348" w14:textId="77777777" w:rsidR="00A70A75" w:rsidRPr="0004358C" w:rsidRDefault="00A70A75" w:rsidP="0004358C">
      <w:pPr>
        <w:rPr>
          <w:rFonts w:asciiTheme="minorHAnsi" w:hAnsiTheme="minorHAnsi" w:cstheme="minorHAnsi"/>
          <w:sz w:val="22"/>
          <w:szCs w:val="22"/>
          <w:lang w:val="en-GB"/>
        </w:rPr>
      </w:pPr>
    </w:p>
    <w:p w14:paraId="50DD98A2" w14:textId="5CAF1997" w:rsidR="00DD3728" w:rsidRDefault="00DD3728" w:rsidP="00D7326E">
      <w:pPr>
        <w:numPr>
          <w:ilvl w:val="0"/>
          <w:numId w:val="1"/>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Objectives, related milestones, indicators and targets, and the inputs/resources required to achieve them, can be presented in the form of a </w:t>
      </w:r>
      <w:r w:rsidRPr="00DD3728">
        <w:rPr>
          <w:rFonts w:asciiTheme="minorHAnsi" w:hAnsiTheme="minorHAnsi" w:cstheme="minorHAnsi"/>
          <w:i/>
          <w:sz w:val="22"/>
          <w:szCs w:val="22"/>
          <w:lang w:val="en-GB"/>
        </w:rPr>
        <w:t>logical framework</w:t>
      </w:r>
      <w:r>
        <w:rPr>
          <w:rFonts w:asciiTheme="minorHAnsi" w:hAnsiTheme="minorHAnsi" w:cstheme="minorHAnsi"/>
          <w:sz w:val="22"/>
          <w:szCs w:val="22"/>
          <w:lang w:val="en-GB"/>
        </w:rPr>
        <w:t xml:space="preserve"> </w:t>
      </w:r>
      <w:r w:rsidR="00BE066A">
        <w:rPr>
          <w:rFonts w:asciiTheme="minorHAnsi" w:hAnsiTheme="minorHAnsi" w:cstheme="minorHAnsi"/>
          <w:sz w:val="22"/>
          <w:szCs w:val="22"/>
          <w:lang w:val="en-GB"/>
        </w:rPr>
        <w:t xml:space="preserve">– </w:t>
      </w:r>
      <w:r>
        <w:rPr>
          <w:rFonts w:asciiTheme="minorHAnsi" w:hAnsiTheme="minorHAnsi" w:cstheme="minorHAnsi"/>
          <w:sz w:val="22"/>
          <w:szCs w:val="22"/>
          <w:lang w:val="en-GB"/>
        </w:rPr>
        <w:t>typically associated with a project</w:t>
      </w:r>
      <w:r w:rsidR="00BE066A">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BE066A">
        <w:rPr>
          <w:rFonts w:asciiTheme="minorHAnsi" w:hAnsiTheme="minorHAnsi" w:cstheme="minorHAnsi"/>
          <w:sz w:val="22"/>
          <w:szCs w:val="22"/>
          <w:lang w:val="en-GB"/>
        </w:rPr>
        <w:t>sometimes a</w:t>
      </w:r>
      <w:r>
        <w:rPr>
          <w:rFonts w:asciiTheme="minorHAnsi" w:hAnsiTheme="minorHAnsi" w:cstheme="minorHAnsi"/>
          <w:sz w:val="22"/>
          <w:szCs w:val="22"/>
          <w:lang w:val="en-GB"/>
        </w:rPr>
        <w:t xml:space="preserve"> programme)</w:t>
      </w:r>
      <w:r w:rsidR="00BE066A">
        <w:rPr>
          <w:rFonts w:asciiTheme="minorHAnsi" w:hAnsiTheme="minorHAnsi" w:cstheme="minorHAnsi"/>
          <w:sz w:val="22"/>
          <w:szCs w:val="22"/>
          <w:lang w:val="en-GB"/>
        </w:rPr>
        <w:t>,</w:t>
      </w:r>
      <w:r>
        <w:rPr>
          <w:rFonts w:asciiTheme="minorHAnsi" w:hAnsiTheme="minorHAnsi" w:cstheme="minorHAnsi"/>
          <w:sz w:val="22"/>
          <w:szCs w:val="22"/>
          <w:lang w:val="en-GB"/>
        </w:rPr>
        <w:t xml:space="preserve"> or a </w:t>
      </w:r>
      <w:r w:rsidRPr="00DD3728">
        <w:rPr>
          <w:rFonts w:asciiTheme="minorHAnsi" w:hAnsiTheme="minorHAnsi" w:cstheme="minorHAnsi"/>
          <w:i/>
          <w:sz w:val="22"/>
          <w:szCs w:val="22"/>
          <w:lang w:val="en-GB"/>
        </w:rPr>
        <w:t>performance assessment framework</w:t>
      </w:r>
      <w:r w:rsidR="00BE066A">
        <w:rPr>
          <w:rFonts w:asciiTheme="minorHAnsi" w:hAnsiTheme="minorHAnsi" w:cstheme="minorHAnsi"/>
          <w:i/>
          <w:sz w:val="22"/>
          <w:szCs w:val="22"/>
          <w:lang w:val="en-GB"/>
        </w:rPr>
        <w:t xml:space="preserve"> (PAF)</w:t>
      </w:r>
      <w:r w:rsidR="00BE066A">
        <w:rPr>
          <w:rFonts w:asciiTheme="minorHAnsi" w:hAnsiTheme="minorHAnsi" w:cstheme="minorHAnsi"/>
          <w:sz w:val="22"/>
          <w:szCs w:val="22"/>
          <w:lang w:val="en-GB"/>
        </w:rPr>
        <w:t xml:space="preserve"> – </w:t>
      </w:r>
      <w:r>
        <w:rPr>
          <w:rFonts w:asciiTheme="minorHAnsi" w:hAnsiTheme="minorHAnsi" w:cstheme="minorHAnsi"/>
          <w:sz w:val="22"/>
          <w:szCs w:val="22"/>
          <w:lang w:val="en-GB"/>
        </w:rPr>
        <w:t xml:space="preserve">typically associated with a </w:t>
      </w:r>
      <w:r w:rsidR="00BE066A">
        <w:rPr>
          <w:rFonts w:asciiTheme="minorHAnsi" w:hAnsiTheme="minorHAnsi" w:cstheme="minorHAnsi"/>
          <w:sz w:val="22"/>
          <w:szCs w:val="22"/>
          <w:lang w:val="en-GB"/>
        </w:rPr>
        <w:t>strategy, plan or programme</w:t>
      </w:r>
      <w:r>
        <w:rPr>
          <w:rFonts w:asciiTheme="minorHAnsi" w:hAnsiTheme="minorHAnsi" w:cstheme="minorHAnsi"/>
          <w:sz w:val="22"/>
          <w:szCs w:val="22"/>
          <w:lang w:val="en-GB"/>
        </w:rPr>
        <w:t xml:space="preserve">. </w:t>
      </w:r>
      <w:proofErr w:type="gramStart"/>
      <w:r w:rsidRPr="00BE066A">
        <w:rPr>
          <w:rFonts w:asciiTheme="minorHAnsi" w:hAnsiTheme="minorHAnsi" w:cstheme="minorHAnsi"/>
          <w:b/>
          <w:sz w:val="22"/>
          <w:szCs w:val="22"/>
          <w:lang w:val="en-GB"/>
        </w:rPr>
        <w:t>Table</w:t>
      </w:r>
      <w:r w:rsidR="00775EFC">
        <w:rPr>
          <w:rFonts w:asciiTheme="minorHAnsi" w:hAnsiTheme="minorHAnsi" w:cstheme="minorHAnsi"/>
          <w:b/>
          <w:sz w:val="22"/>
          <w:szCs w:val="22"/>
          <w:lang w:val="en-GB"/>
        </w:rPr>
        <w:t>s</w:t>
      </w:r>
      <w:r w:rsidRPr="00BE066A">
        <w:rPr>
          <w:rFonts w:asciiTheme="minorHAnsi" w:hAnsiTheme="minorHAnsi" w:cstheme="minorHAnsi"/>
          <w:b/>
          <w:sz w:val="22"/>
          <w:szCs w:val="22"/>
          <w:lang w:val="en-GB"/>
        </w:rPr>
        <w:t xml:space="preserve"> 9.1</w:t>
      </w:r>
      <w:r w:rsidR="00775EFC">
        <w:rPr>
          <w:rFonts w:asciiTheme="minorHAnsi" w:hAnsiTheme="minorHAnsi" w:cstheme="minorHAnsi"/>
          <w:b/>
          <w:sz w:val="22"/>
          <w:szCs w:val="22"/>
          <w:lang w:val="en-GB"/>
        </w:rPr>
        <w:t xml:space="preserve"> and 9.2</w:t>
      </w:r>
      <w:r>
        <w:rPr>
          <w:rFonts w:asciiTheme="minorHAnsi" w:hAnsiTheme="minorHAnsi" w:cstheme="minorHAnsi"/>
          <w:sz w:val="22"/>
          <w:szCs w:val="22"/>
          <w:lang w:val="en-GB"/>
        </w:rPr>
        <w:t xml:space="preserve"> uses</w:t>
      </w:r>
      <w:proofErr w:type="gramEnd"/>
      <w:r>
        <w:rPr>
          <w:rFonts w:asciiTheme="minorHAnsi" w:hAnsiTheme="minorHAnsi" w:cstheme="minorHAnsi"/>
          <w:sz w:val="22"/>
          <w:szCs w:val="22"/>
          <w:lang w:val="en-GB"/>
        </w:rPr>
        <w:t xml:space="preserve"> in part</w:t>
      </w:r>
      <w:r>
        <w:rPr>
          <w:rStyle w:val="FootnoteReference"/>
          <w:rFonts w:asciiTheme="minorHAnsi" w:hAnsiTheme="minorHAnsi" w:cstheme="minorHAnsi"/>
          <w:sz w:val="22"/>
          <w:szCs w:val="22"/>
          <w:lang w:val="en-GB"/>
        </w:rPr>
        <w:footnoteReference w:id="1"/>
      </w:r>
      <w:r>
        <w:rPr>
          <w:rFonts w:asciiTheme="minorHAnsi" w:hAnsiTheme="minorHAnsi" w:cstheme="minorHAnsi"/>
          <w:sz w:val="22"/>
          <w:szCs w:val="22"/>
          <w:lang w:val="en-GB"/>
        </w:rPr>
        <w:t xml:space="preserve"> the structure of a logical framework.</w:t>
      </w:r>
    </w:p>
    <w:p w14:paraId="603552C5" w14:textId="77777777" w:rsidR="00DD3728" w:rsidRDefault="00DD3728" w:rsidP="00DD3728">
      <w:pPr>
        <w:rPr>
          <w:rFonts w:asciiTheme="minorHAnsi" w:hAnsiTheme="minorHAnsi" w:cstheme="minorHAnsi"/>
          <w:sz w:val="22"/>
          <w:szCs w:val="22"/>
          <w:lang w:val="en-GB"/>
        </w:rPr>
      </w:pPr>
    </w:p>
    <w:p w14:paraId="78B53A30" w14:textId="77777777" w:rsidR="008D468C" w:rsidRDefault="003D0010" w:rsidP="00D7326E">
      <w:pPr>
        <w:numPr>
          <w:ilvl w:val="0"/>
          <w:numId w:val="1"/>
        </w:numPr>
        <w:ind w:left="426" w:hanging="426"/>
        <w:rPr>
          <w:rFonts w:asciiTheme="minorHAnsi" w:hAnsiTheme="minorHAnsi" w:cstheme="minorHAnsi"/>
          <w:sz w:val="22"/>
          <w:szCs w:val="22"/>
          <w:lang w:val="en-GB"/>
        </w:rPr>
      </w:pPr>
      <w:r w:rsidRPr="003D0010">
        <w:rPr>
          <w:rFonts w:asciiTheme="minorHAnsi" w:hAnsiTheme="minorHAnsi" w:cstheme="minorHAnsi"/>
          <w:sz w:val="22"/>
          <w:szCs w:val="22"/>
          <w:lang w:val="en-GB"/>
        </w:rPr>
        <w:t xml:space="preserve">Indicators and milestones are used </w:t>
      </w:r>
      <w:r w:rsidR="00747E36">
        <w:rPr>
          <w:rFonts w:asciiTheme="minorHAnsi" w:hAnsiTheme="minorHAnsi" w:cstheme="minorHAnsi"/>
          <w:sz w:val="22"/>
          <w:szCs w:val="22"/>
          <w:lang w:val="en-GB"/>
        </w:rPr>
        <w:t>to support</w:t>
      </w:r>
      <w:r w:rsidRPr="003D0010">
        <w:rPr>
          <w:rFonts w:asciiTheme="minorHAnsi" w:hAnsiTheme="minorHAnsi" w:cstheme="minorHAnsi"/>
          <w:sz w:val="22"/>
          <w:szCs w:val="22"/>
          <w:lang w:val="en-GB"/>
        </w:rPr>
        <w:t xml:space="preserve"> </w:t>
      </w:r>
      <w:r w:rsidRPr="003D0010">
        <w:rPr>
          <w:rFonts w:asciiTheme="minorHAnsi" w:hAnsiTheme="minorHAnsi" w:cstheme="minorHAnsi"/>
          <w:i/>
          <w:sz w:val="22"/>
          <w:szCs w:val="22"/>
          <w:lang w:val="en-GB"/>
        </w:rPr>
        <w:t>monitoring</w:t>
      </w:r>
      <w:r w:rsidRPr="003D0010">
        <w:rPr>
          <w:rFonts w:asciiTheme="minorHAnsi" w:hAnsiTheme="minorHAnsi" w:cstheme="minorHAnsi"/>
          <w:sz w:val="22"/>
          <w:szCs w:val="22"/>
          <w:lang w:val="en-GB"/>
        </w:rPr>
        <w:t xml:space="preserve"> (a process aimed at keeping track of progress and external factors, on a continuous basis, to inform management decisions and allow the timely adoption of corrective measures, where necessary) and </w:t>
      </w:r>
      <w:r w:rsidRPr="003D0010">
        <w:rPr>
          <w:rFonts w:asciiTheme="minorHAnsi" w:hAnsiTheme="minorHAnsi" w:cstheme="minorHAnsi"/>
          <w:i/>
          <w:sz w:val="22"/>
          <w:szCs w:val="22"/>
          <w:lang w:val="en-GB"/>
        </w:rPr>
        <w:t>evaluation</w:t>
      </w:r>
      <w:r w:rsidRPr="003D0010">
        <w:rPr>
          <w:rFonts w:asciiTheme="minorHAnsi" w:hAnsiTheme="minorHAnsi" w:cstheme="minorHAnsi"/>
          <w:sz w:val="22"/>
          <w:szCs w:val="22"/>
          <w:lang w:val="en-GB"/>
        </w:rPr>
        <w:t xml:space="preserve"> (an occasional </w:t>
      </w:r>
      <w:r w:rsidR="004C6B73">
        <w:rPr>
          <w:rFonts w:asciiTheme="minorHAnsi" w:hAnsiTheme="minorHAnsi" w:cstheme="minorHAnsi"/>
          <w:sz w:val="22"/>
          <w:szCs w:val="22"/>
          <w:lang w:val="en-GB"/>
        </w:rPr>
        <w:t xml:space="preserve">or periodic </w:t>
      </w:r>
      <w:r w:rsidRPr="003D0010">
        <w:rPr>
          <w:rFonts w:asciiTheme="minorHAnsi" w:hAnsiTheme="minorHAnsi" w:cstheme="minorHAnsi"/>
          <w:sz w:val="22"/>
          <w:szCs w:val="22"/>
          <w:lang w:val="en-GB"/>
        </w:rPr>
        <w:t>activity aimed at ‘taking stock’ of achievements, in a systematic and objective manner, for the purpose of informing stakeholders, re-orienting future activities and/or drawing lessons for future interventions)</w:t>
      </w:r>
      <w:r w:rsidR="00DB174A">
        <w:rPr>
          <w:rFonts w:asciiTheme="minorHAnsi" w:hAnsiTheme="minorHAnsi" w:cstheme="minorHAnsi"/>
          <w:sz w:val="22"/>
          <w:szCs w:val="22"/>
          <w:lang w:val="en-GB"/>
        </w:rPr>
        <w:t xml:space="preserve"> (OECD 2002, EC 2004</w:t>
      </w:r>
      <w:r w:rsidR="00DD454E">
        <w:rPr>
          <w:rFonts w:asciiTheme="minorHAnsi" w:hAnsiTheme="minorHAnsi" w:cstheme="minorHAnsi"/>
          <w:sz w:val="22"/>
          <w:szCs w:val="22"/>
          <w:lang w:val="en-GB"/>
        </w:rPr>
        <w:t>)</w:t>
      </w:r>
      <w:r w:rsidRPr="003D0010">
        <w:rPr>
          <w:rFonts w:asciiTheme="minorHAnsi" w:hAnsiTheme="minorHAnsi" w:cstheme="minorHAnsi"/>
          <w:sz w:val="22"/>
          <w:szCs w:val="22"/>
          <w:lang w:val="en-GB"/>
        </w:rPr>
        <w:t>.</w:t>
      </w:r>
      <w:r w:rsidR="000C5464">
        <w:rPr>
          <w:rFonts w:asciiTheme="minorHAnsi" w:hAnsiTheme="minorHAnsi" w:cstheme="minorHAnsi"/>
          <w:sz w:val="22"/>
          <w:szCs w:val="22"/>
          <w:lang w:val="en-GB"/>
        </w:rPr>
        <w:t xml:space="preserve"> </w:t>
      </w:r>
      <w:r w:rsidR="00D63E9C">
        <w:rPr>
          <w:rFonts w:asciiTheme="minorHAnsi" w:hAnsiTheme="minorHAnsi" w:cstheme="minorHAnsi"/>
          <w:sz w:val="22"/>
          <w:szCs w:val="22"/>
          <w:lang w:val="en-GB"/>
        </w:rPr>
        <w:t>M</w:t>
      </w:r>
      <w:r w:rsidR="000C5464" w:rsidRPr="000C5464">
        <w:rPr>
          <w:rFonts w:asciiTheme="minorHAnsi" w:hAnsiTheme="minorHAnsi" w:cstheme="minorHAnsi"/>
          <w:sz w:val="22"/>
          <w:szCs w:val="22"/>
          <w:lang w:val="en-GB"/>
        </w:rPr>
        <w:t xml:space="preserve">onitoring and evaluation (M&amp;E) are complementary activities, and the </w:t>
      </w:r>
      <w:r w:rsidR="00383F24">
        <w:rPr>
          <w:rFonts w:asciiTheme="minorHAnsi" w:hAnsiTheme="minorHAnsi" w:cstheme="minorHAnsi"/>
          <w:sz w:val="22"/>
          <w:szCs w:val="22"/>
          <w:lang w:val="en-GB"/>
        </w:rPr>
        <w:t>design</w:t>
      </w:r>
      <w:r w:rsidR="000C5464" w:rsidRPr="000C5464">
        <w:rPr>
          <w:rFonts w:asciiTheme="minorHAnsi" w:hAnsiTheme="minorHAnsi" w:cstheme="minorHAnsi"/>
          <w:sz w:val="22"/>
          <w:szCs w:val="22"/>
          <w:lang w:val="en-GB"/>
        </w:rPr>
        <w:t xml:space="preserve"> of a </w:t>
      </w:r>
      <w:r w:rsidR="009C3FBC">
        <w:rPr>
          <w:rFonts w:asciiTheme="minorHAnsi" w:hAnsiTheme="minorHAnsi" w:cstheme="minorHAnsi"/>
          <w:sz w:val="22"/>
          <w:szCs w:val="22"/>
          <w:lang w:val="en-GB"/>
        </w:rPr>
        <w:t xml:space="preserve">PAF or logical framework </w:t>
      </w:r>
      <w:r w:rsidR="00383F24">
        <w:rPr>
          <w:rFonts w:asciiTheme="minorHAnsi" w:hAnsiTheme="minorHAnsi" w:cstheme="minorHAnsi"/>
          <w:sz w:val="22"/>
          <w:szCs w:val="22"/>
          <w:lang w:val="en-GB"/>
        </w:rPr>
        <w:t>supports</w:t>
      </w:r>
      <w:r w:rsidR="000C5464" w:rsidRPr="000C5464">
        <w:rPr>
          <w:rFonts w:asciiTheme="minorHAnsi" w:hAnsiTheme="minorHAnsi" w:cstheme="minorHAnsi"/>
          <w:sz w:val="22"/>
          <w:szCs w:val="22"/>
          <w:lang w:val="en-GB"/>
        </w:rPr>
        <w:t xml:space="preserve"> both.</w:t>
      </w:r>
    </w:p>
    <w:p w14:paraId="5B862F7C" w14:textId="77777777" w:rsidR="00C605A7" w:rsidRDefault="00C605A7" w:rsidP="00C605A7">
      <w:pPr>
        <w:rPr>
          <w:rFonts w:asciiTheme="minorHAnsi" w:hAnsiTheme="minorHAnsi" w:cstheme="minorHAnsi"/>
          <w:sz w:val="22"/>
          <w:szCs w:val="22"/>
          <w:lang w:val="en-GB"/>
        </w:rPr>
      </w:pPr>
    </w:p>
    <w:p w14:paraId="45D87F30" w14:textId="77777777" w:rsidR="003B7A50" w:rsidRPr="003B7A50" w:rsidRDefault="003B7A50" w:rsidP="00C605A7">
      <w:pPr>
        <w:spacing w:before="120" w:after="120"/>
        <w:jc w:val="center"/>
        <w:rPr>
          <w:rFonts w:asciiTheme="minorHAnsi" w:hAnsiTheme="minorHAnsi" w:cstheme="minorHAnsi"/>
          <w:b/>
          <w:sz w:val="20"/>
          <w:szCs w:val="20"/>
          <w:lang w:val="en-GB"/>
        </w:rPr>
      </w:pPr>
      <w:r w:rsidRPr="003B7A50">
        <w:rPr>
          <w:rFonts w:asciiTheme="minorHAnsi" w:hAnsiTheme="minorHAnsi" w:cstheme="minorHAnsi"/>
          <w:b/>
          <w:sz w:val="20"/>
          <w:szCs w:val="20"/>
          <w:lang w:val="en-GB"/>
        </w:rPr>
        <w:t xml:space="preserve">Table 9.1 – Examples of indicators for </w:t>
      </w:r>
      <w:r w:rsidR="000603C5">
        <w:rPr>
          <w:rFonts w:asciiTheme="minorHAnsi" w:hAnsiTheme="minorHAnsi" w:cstheme="minorHAnsi"/>
          <w:b/>
          <w:sz w:val="20"/>
          <w:szCs w:val="20"/>
          <w:lang w:val="en-GB"/>
        </w:rPr>
        <w:t>a climate change mainstreaming</w:t>
      </w:r>
      <w:r w:rsidRPr="003B7A50">
        <w:rPr>
          <w:rFonts w:asciiTheme="minorHAnsi" w:hAnsiTheme="minorHAnsi" w:cstheme="minorHAnsi"/>
          <w:b/>
          <w:sz w:val="20"/>
          <w:szCs w:val="20"/>
          <w:lang w:val="en-GB"/>
        </w:rPr>
        <w:t xml:space="preserve"> project</w:t>
      </w:r>
    </w:p>
    <w:tbl>
      <w:tblPr>
        <w:tblStyle w:val="TableGrid"/>
        <w:tblW w:w="4944" w:type="pct"/>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shd w:val="clear" w:color="auto" w:fill="DDD9C3" w:themeFill="background2" w:themeFillShade="E6"/>
        <w:tblLook w:val="04A0" w:firstRow="1" w:lastRow="0" w:firstColumn="1" w:lastColumn="0" w:noHBand="0" w:noVBand="1"/>
      </w:tblPr>
      <w:tblGrid>
        <w:gridCol w:w="1308"/>
        <w:gridCol w:w="3196"/>
        <w:gridCol w:w="4818"/>
      </w:tblGrid>
      <w:tr w:rsidR="000603C5" w:rsidRPr="00352593" w14:paraId="5A2D3B0A" w14:textId="77777777" w:rsidTr="00906065">
        <w:trPr>
          <w:trHeight w:val="577"/>
          <w:tblHeader/>
        </w:trPr>
        <w:tc>
          <w:tcPr>
            <w:tcW w:w="5000" w:type="pct"/>
            <w:gridSpan w:val="3"/>
            <w:shd w:val="clear" w:color="auto" w:fill="365F91" w:themeFill="accent1" w:themeFillShade="BF"/>
          </w:tcPr>
          <w:p w14:paraId="1D9437CB" w14:textId="77777777" w:rsidR="000603C5" w:rsidRPr="00906065" w:rsidRDefault="000603C5" w:rsidP="000603C5">
            <w:pPr>
              <w:pStyle w:val="TabletextsmallCPA"/>
              <w:spacing w:before="40" w:after="40"/>
              <w:jc w:val="center"/>
              <w:rPr>
                <w:b/>
                <w:color w:val="FFFFFF" w:themeColor="background1"/>
                <w:sz w:val="20"/>
                <w:szCs w:val="20"/>
              </w:rPr>
            </w:pPr>
            <w:r w:rsidRPr="00906065">
              <w:rPr>
                <w:b/>
                <w:color w:val="FFFFFF" w:themeColor="background1"/>
                <w:sz w:val="20"/>
                <w:szCs w:val="20"/>
              </w:rPr>
              <w:t xml:space="preserve">Ethiopia Global Climate Change Alliance: </w:t>
            </w:r>
            <w:r w:rsidRPr="00906065">
              <w:rPr>
                <w:b/>
                <w:color w:val="FFFFFF" w:themeColor="background1"/>
                <w:sz w:val="20"/>
                <w:szCs w:val="20"/>
              </w:rPr>
              <w:br/>
              <w:t>Building the national capacity and knowledge on climate change resilient actions</w:t>
            </w:r>
          </w:p>
        </w:tc>
      </w:tr>
      <w:tr w:rsidR="00920CE9" w:rsidRPr="00352593" w14:paraId="43177F86" w14:textId="77777777" w:rsidTr="00290A07">
        <w:trPr>
          <w:trHeight w:val="577"/>
          <w:tblHeader/>
        </w:trPr>
        <w:tc>
          <w:tcPr>
            <w:tcW w:w="2416" w:type="pct"/>
            <w:gridSpan w:val="2"/>
            <w:shd w:val="clear" w:color="auto" w:fill="DBE5F1" w:themeFill="accent1" w:themeFillTint="33"/>
          </w:tcPr>
          <w:p w14:paraId="143ED5BD" w14:textId="77777777" w:rsidR="00920CE9" w:rsidRPr="00906065" w:rsidRDefault="00920CE9" w:rsidP="003010D6">
            <w:pPr>
              <w:pStyle w:val="TabletextsmallCPA"/>
              <w:spacing w:before="40" w:after="40"/>
              <w:rPr>
                <w:b/>
                <w:color w:val="auto"/>
                <w:sz w:val="20"/>
                <w:szCs w:val="20"/>
              </w:rPr>
            </w:pPr>
            <w:r w:rsidRPr="00906065">
              <w:rPr>
                <w:b/>
                <w:color w:val="auto"/>
                <w:sz w:val="20"/>
                <w:szCs w:val="20"/>
              </w:rPr>
              <w:t>Objectives</w:t>
            </w:r>
          </w:p>
        </w:tc>
        <w:tc>
          <w:tcPr>
            <w:tcW w:w="2584" w:type="pct"/>
            <w:shd w:val="clear" w:color="auto" w:fill="DBE5F1" w:themeFill="accent1" w:themeFillTint="33"/>
          </w:tcPr>
          <w:p w14:paraId="499A64BD" w14:textId="77777777" w:rsidR="00920CE9" w:rsidRPr="00906065" w:rsidRDefault="00920CE9" w:rsidP="003010D6">
            <w:pPr>
              <w:pStyle w:val="TabletextsmallCPA"/>
              <w:spacing w:before="40" w:after="40"/>
              <w:rPr>
                <w:b/>
                <w:color w:val="auto"/>
                <w:sz w:val="20"/>
                <w:szCs w:val="20"/>
              </w:rPr>
            </w:pPr>
            <w:r w:rsidRPr="00906065">
              <w:rPr>
                <w:b/>
                <w:color w:val="auto"/>
                <w:sz w:val="20"/>
                <w:szCs w:val="20"/>
              </w:rPr>
              <w:t>Corresponding indicators</w:t>
            </w:r>
            <w:r w:rsidR="0001310B" w:rsidRPr="00906065">
              <w:rPr>
                <w:b/>
                <w:color w:val="auto"/>
                <w:sz w:val="20"/>
                <w:szCs w:val="20"/>
              </w:rPr>
              <w:t xml:space="preserve"> and milestones</w:t>
            </w:r>
            <w:r w:rsidR="0001310B" w:rsidRPr="00906065">
              <w:rPr>
                <w:b/>
                <w:i/>
                <w:color w:val="auto"/>
                <w:sz w:val="20"/>
                <w:szCs w:val="20"/>
              </w:rPr>
              <w:t xml:space="preserve"> (M)</w:t>
            </w:r>
          </w:p>
        </w:tc>
      </w:tr>
      <w:tr w:rsidR="0089064B" w:rsidRPr="00352593" w14:paraId="53F8D2BD" w14:textId="77777777" w:rsidTr="0089064B">
        <w:trPr>
          <w:trHeight w:val="577"/>
        </w:trPr>
        <w:tc>
          <w:tcPr>
            <w:tcW w:w="702" w:type="pct"/>
            <w:shd w:val="clear" w:color="auto" w:fill="DBE5F1" w:themeFill="accent1" w:themeFillTint="33"/>
          </w:tcPr>
          <w:p w14:paraId="778421DA" w14:textId="77777777" w:rsidR="000603C5" w:rsidRPr="00906065" w:rsidRDefault="00920CE9" w:rsidP="003010D6">
            <w:pPr>
              <w:pStyle w:val="Tablesubtitles11smallCPA"/>
              <w:spacing w:before="40" w:after="40"/>
              <w:rPr>
                <w:color w:val="auto"/>
                <w:sz w:val="20"/>
                <w:szCs w:val="20"/>
              </w:rPr>
            </w:pPr>
            <w:r w:rsidRPr="00906065">
              <w:rPr>
                <w:color w:val="auto"/>
                <w:sz w:val="20"/>
                <w:szCs w:val="20"/>
              </w:rPr>
              <w:t>Overall objective</w:t>
            </w:r>
          </w:p>
        </w:tc>
        <w:tc>
          <w:tcPr>
            <w:tcW w:w="1714" w:type="pct"/>
            <w:shd w:val="clear" w:color="auto" w:fill="auto"/>
          </w:tcPr>
          <w:p w14:paraId="231390CC" w14:textId="77777777" w:rsidR="000603C5" w:rsidRPr="005358D8" w:rsidRDefault="00920CE9" w:rsidP="00CC46CC">
            <w:pPr>
              <w:pStyle w:val="TablebulletssmallCPA"/>
              <w:numPr>
                <w:ilvl w:val="0"/>
                <w:numId w:val="0"/>
              </w:numPr>
              <w:spacing w:before="40" w:after="40"/>
              <w:rPr>
                <w:color w:val="auto"/>
                <w:sz w:val="20"/>
                <w:szCs w:val="20"/>
              </w:rPr>
            </w:pPr>
            <w:r w:rsidRPr="005358D8">
              <w:rPr>
                <w:bCs/>
                <w:color w:val="auto"/>
                <w:sz w:val="20"/>
                <w:szCs w:val="20"/>
              </w:rPr>
              <w:t xml:space="preserve">Construction of a carbon-neutral and climate-resilient economy through </w:t>
            </w:r>
            <w:r w:rsidR="00CC46CC" w:rsidRPr="005358D8">
              <w:rPr>
                <w:bCs/>
                <w:color w:val="auto"/>
                <w:sz w:val="20"/>
                <w:szCs w:val="20"/>
              </w:rPr>
              <w:t xml:space="preserve">the </w:t>
            </w:r>
            <w:r w:rsidRPr="005358D8">
              <w:rPr>
                <w:bCs/>
                <w:color w:val="auto"/>
                <w:sz w:val="20"/>
                <w:szCs w:val="20"/>
              </w:rPr>
              <w:t xml:space="preserve">implementation of </w:t>
            </w:r>
            <w:r w:rsidR="00CC46CC" w:rsidRPr="005358D8">
              <w:rPr>
                <w:bCs/>
                <w:color w:val="auto"/>
                <w:sz w:val="20"/>
                <w:szCs w:val="20"/>
              </w:rPr>
              <w:t>a ‘climate-compatible’</w:t>
            </w:r>
            <w:r w:rsidRPr="005358D8">
              <w:rPr>
                <w:bCs/>
                <w:color w:val="auto"/>
                <w:sz w:val="20"/>
                <w:szCs w:val="20"/>
              </w:rPr>
              <w:t xml:space="preserve"> national socio-economic </w:t>
            </w:r>
            <w:r w:rsidR="00CC46CC" w:rsidRPr="005358D8">
              <w:rPr>
                <w:bCs/>
                <w:color w:val="auto"/>
                <w:sz w:val="20"/>
                <w:szCs w:val="20"/>
              </w:rPr>
              <w:t>development programme</w:t>
            </w:r>
          </w:p>
        </w:tc>
        <w:tc>
          <w:tcPr>
            <w:tcW w:w="2584" w:type="pct"/>
            <w:shd w:val="clear" w:color="auto" w:fill="auto"/>
          </w:tcPr>
          <w:p w14:paraId="40A6AB77" w14:textId="77777777" w:rsidR="000603C5" w:rsidRPr="005358D8" w:rsidRDefault="00CC46CC" w:rsidP="00D7326E">
            <w:pPr>
              <w:pStyle w:val="TabletextsmallCPA"/>
              <w:numPr>
                <w:ilvl w:val="0"/>
                <w:numId w:val="7"/>
              </w:numPr>
              <w:spacing w:before="40" w:after="40"/>
              <w:ind w:left="75" w:hanging="142"/>
              <w:rPr>
                <w:color w:val="auto"/>
                <w:sz w:val="20"/>
                <w:szCs w:val="20"/>
              </w:rPr>
            </w:pPr>
            <w:r w:rsidRPr="005358D8">
              <w:rPr>
                <w:color w:val="auto"/>
                <w:sz w:val="20"/>
                <w:szCs w:val="20"/>
              </w:rPr>
              <w:t>Number of activities under the Growth and Transformation Plan (national development strategy) engaged in climate change action</w:t>
            </w:r>
          </w:p>
          <w:p w14:paraId="550CC766" w14:textId="77777777" w:rsidR="00CC46CC" w:rsidRPr="005358D8" w:rsidRDefault="00CC46CC" w:rsidP="00D7326E">
            <w:pPr>
              <w:pStyle w:val="TabletextsmallCPA"/>
              <w:numPr>
                <w:ilvl w:val="0"/>
                <w:numId w:val="7"/>
              </w:numPr>
              <w:spacing w:before="40" w:after="40"/>
              <w:ind w:left="75" w:hanging="142"/>
              <w:rPr>
                <w:color w:val="auto"/>
                <w:sz w:val="20"/>
                <w:szCs w:val="20"/>
              </w:rPr>
            </w:pPr>
            <w:r w:rsidRPr="005358D8">
              <w:rPr>
                <w:color w:val="auto"/>
                <w:sz w:val="20"/>
                <w:szCs w:val="20"/>
              </w:rPr>
              <w:t>Contribution of climate change adaptation initiatives to growth</w:t>
            </w:r>
          </w:p>
          <w:p w14:paraId="664A85B8" w14:textId="77777777" w:rsidR="00CC46CC" w:rsidRPr="005358D8" w:rsidRDefault="00CC46CC" w:rsidP="00D7326E">
            <w:pPr>
              <w:pStyle w:val="TabletextsmallCPA"/>
              <w:numPr>
                <w:ilvl w:val="0"/>
                <w:numId w:val="7"/>
              </w:numPr>
              <w:spacing w:before="40" w:after="40"/>
              <w:ind w:left="75" w:hanging="142"/>
              <w:rPr>
                <w:i/>
                <w:color w:val="auto"/>
                <w:sz w:val="20"/>
                <w:szCs w:val="20"/>
              </w:rPr>
            </w:pPr>
            <w:r w:rsidRPr="005358D8">
              <w:rPr>
                <w:i/>
                <w:color w:val="auto"/>
                <w:sz w:val="20"/>
                <w:szCs w:val="20"/>
              </w:rPr>
              <w:t>Progress made in the implementation of the Carbon Neutral Climate Resilient strategy for Ethiopia (CNCR-E)</w:t>
            </w:r>
          </w:p>
        </w:tc>
      </w:tr>
      <w:tr w:rsidR="00B76810" w:rsidRPr="00352593" w14:paraId="12EDA9D1" w14:textId="77777777" w:rsidTr="0089064B">
        <w:trPr>
          <w:trHeight w:val="574"/>
        </w:trPr>
        <w:tc>
          <w:tcPr>
            <w:tcW w:w="702" w:type="pct"/>
            <w:shd w:val="clear" w:color="auto" w:fill="DBE5F1" w:themeFill="accent1" w:themeFillTint="33"/>
          </w:tcPr>
          <w:p w14:paraId="0BB96FE9" w14:textId="77777777" w:rsidR="00B76810" w:rsidRPr="00906065" w:rsidRDefault="00B76810" w:rsidP="003010D6">
            <w:pPr>
              <w:pStyle w:val="TabletextsmallCPA"/>
              <w:spacing w:before="40" w:after="40"/>
              <w:rPr>
                <w:b/>
                <w:color w:val="auto"/>
                <w:sz w:val="20"/>
                <w:szCs w:val="20"/>
                <w:vertAlign w:val="superscript"/>
              </w:rPr>
            </w:pPr>
            <w:r w:rsidRPr="00906065">
              <w:rPr>
                <w:b/>
                <w:color w:val="auto"/>
                <w:sz w:val="20"/>
                <w:szCs w:val="20"/>
              </w:rPr>
              <w:t>Specific objective</w:t>
            </w:r>
          </w:p>
        </w:tc>
        <w:tc>
          <w:tcPr>
            <w:tcW w:w="1714" w:type="pct"/>
            <w:shd w:val="clear" w:color="auto" w:fill="auto"/>
          </w:tcPr>
          <w:p w14:paraId="6406E98D" w14:textId="77777777" w:rsidR="00B76810" w:rsidRPr="005358D8" w:rsidRDefault="00B76810" w:rsidP="005358D8">
            <w:pPr>
              <w:pStyle w:val="TablebulletssmallCPA"/>
              <w:numPr>
                <w:ilvl w:val="0"/>
                <w:numId w:val="0"/>
              </w:numPr>
              <w:spacing w:before="40" w:after="40"/>
              <w:rPr>
                <w:color w:val="auto"/>
                <w:sz w:val="20"/>
                <w:szCs w:val="20"/>
              </w:rPr>
            </w:pPr>
            <w:r w:rsidRPr="005358D8">
              <w:rPr>
                <w:color w:val="auto"/>
                <w:sz w:val="20"/>
                <w:szCs w:val="20"/>
              </w:rPr>
              <w:t>Increased</w:t>
            </w:r>
            <w:r>
              <w:rPr>
                <w:color w:val="auto"/>
                <w:sz w:val="20"/>
                <w:szCs w:val="20"/>
              </w:rPr>
              <w:t xml:space="preserve"> awareness and capacity of targeted government institutions, both at federal and regional levels, and of the rural population at large, to deal with climate change</w:t>
            </w:r>
          </w:p>
        </w:tc>
        <w:tc>
          <w:tcPr>
            <w:tcW w:w="2584" w:type="pct"/>
          </w:tcPr>
          <w:p w14:paraId="783AB0FE" w14:textId="77777777" w:rsidR="00B76810" w:rsidRDefault="00B76810" w:rsidP="00D7326E">
            <w:pPr>
              <w:pStyle w:val="TabletextsmallCPA"/>
              <w:numPr>
                <w:ilvl w:val="0"/>
                <w:numId w:val="7"/>
              </w:numPr>
              <w:spacing w:before="40" w:after="40"/>
              <w:ind w:left="75" w:hanging="142"/>
              <w:rPr>
                <w:color w:val="auto"/>
                <w:sz w:val="20"/>
                <w:szCs w:val="20"/>
              </w:rPr>
            </w:pPr>
            <w:r>
              <w:rPr>
                <w:color w:val="auto"/>
                <w:sz w:val="20"/>
                <w:szCs w:val="20"/>
              </w:rPr>
              <w:t>At least 40% of the prioritised needs identified by the CNCR-E are met within the planning timeframe each year</w:t>
            </w:r>
          </w:p>
          <w:p w14:paraId="7EA4FA41" w14:textId="77777777" w:rsidR="00B76810" w:rsidRPr="0001310B" w:rsidRDefault="00B76810" w:rsidP="00D7326E">
            <w:pPr>
              <w:pStyle w:val="TabletextsmallCPA"/>
              <w:numPr>
                <w:ilvl w:val="0"/>
                <w:numId w:val="7"/>
              </w:numPr>
              <w:spacing w:before="40" w:after="40"/>
              <w:ind w:left="75" w:hanging="142"/>
              <w:rPr>
                <w:color w:val="auto"/>
                <w:sz w:val="20"/>
                <w:szCs w:val="20"/>
              </w:rPr>
            </w:pPr>
            <w:r w:rsidRPr="0001310B">
              <w:rPr>
                <w:color w:val="auto"/>
                <w:sz w:val="20"/>
                <w:szCs w:val="20"/>
              </w:rPr>
              <w:t>As from year 2, annual reports from the regional line services, non-state actors and non-governmental organisations underline improved capacities and better understanding of the climate change context</w:t>
            </w:r>
          </w:p>
          <w:p w14:paraId="1A2184BB" w14:textId="77777777" w:rsidR="00B76810" w:rsidRPr="00B76810" w:rsidRDefault="00B76810" w:rsidP="00D7326E">
            <w:pPr>
              <w:pStyle w:val="TabletextsmallCPA"/>
              <w:numPr>
                <w:ilvl w:val="0"/>
                <w:numId w:val="7"/>
              </w:numPr>
              <w:spacing w:before="40" w:after="40"/>
              <w:ind w:left="75" w:hanging="142"/>
              <w:rPr>
                <w:color w:val="auto"/>
                <w:sz w:val="20"/>
                <w:szCs w:val="20"/>
              </w:rPr>
            </w:pPr>
            <w:r w:rsidRPr="0001310B">
              <w:rPr>
                <w:color w:val="auto"/>
                <w:sz w:val="20"/>
                <w:szCs w:val="20"/>
              </w:rPr>
              <w:t>The Environmental Council produces reports that confirm progress, clear action plans and constructive trends towards the achievement of the CNCR-E</w:t>
            </w:r>
          </w:p>
        </w:tc>
      </w:tr>
      <w:tr w:rsidR="0089064B" w:rsidRPr="00352593" w14:paraId="6771659B" w14:textId="77777777" w:rsidTr="0089064B">
        <w:trPr>
          <w:trHeight w:val="574"/>
        </w:trPr>
        <w:tc>
          <w:tcPr>
            <w:tcW w:w="702" w:type="pct"/>
            <w:shd w:val="clear" w:color="auto" w:fill="DBE5F1" w:themeFill="accent1" w:themeFillTint="33"/>
          </w:tcPr>
          <w:p w14:paraId="42986D06" w14:textId="77777777" w:rsidR="001D7A0F" w:rsidRPr="00906065" w:rsidRDefault="001D7A0F" w:rsidP="003010D6">
            <w:pPr>
              <w:pStyle w:val="TabletextsmallCPA"/>
              <w:spacing w:before="40" w:after="40"/>
              <w:rPr>
                <w:b/>
                <w:color w:val="auto"/>
                <w:sz w:val="20"/>
                <w:szCs w:val="20"/>
                <w:vertAlign w:val="superscript"/>
              </w:rPr>
            </w:pPr>
            <w:r w:rsidRPr="00906065">
              <w:rPr>
                <w:b/>
                <w:color w:val="auto"/>
                <w:sz w:val="20"/>
                <w:szCs w:val="20"/>
              </w:rPr>
              <w:t>Intermediate results (outputs)</w:t>
            </w:r>
          </w:p>
        </w:tc>
        <w:tc>
          <w:tcPr>
            <w:tcW w:w="1714" w:type="pct"/>
            <w:shd w:val="clear" w:color="auto" w:fill="auto"/>
          </w:tcPr>
          <w:p w14:paraId="6C9B5E90" w14:textId="77777777" w:rsidR="001D7A0F" w:rsidRPr="005358D8" w:rsidRDefault="001D7A0F" w:rsidP="001D7A0F">
            <w:pPr>
              <w:pStyle w:val="TablebulletssmallCPA"/>
              <w:numPr>
                <w:ilvl w:val="0"/>
                <w:numId w:val="0"/>
              </w:numPr>
              <w:spacing w:before="40" w:after="40"/>
              <w:rPr>
                <w:color w:val="auto"/>
                <w:sz w:val="20"/>
                <w:szCs w:val="20"/>
              </w:rPr>
            </w:pPr>
            <w:r>
              <w:rPr>
                <w:color w:val="auto"/>
                <w:sz w:val="20"/>
                <w:szCs w:val="20"/>
              </w:rPr>
              <w:t>The Environmental Protection Authority (EPA) has the institutional capacities to mainstream climate change into policy, regulatory and strategic development planning</w:t>
            </w:r>
          </w:p>
        </w:tc>
        <w:tc>
          <w:tcPr>
            <w:tcW w:w="2584" w:type="pct"/>
            <w:shd w:val="clear" w:color="auto" w:fill="auto"/>
          </w:tcPr>
          <w:p w14:paraId="1F879CEC" w14:textId="77777777" w:rsidR="00290A07" w:rsidRDefault="00290A07" w:rsidP="00D7326E">
            <w:pPr>
              <w:pStyle w:val="TabletextsmallCPA"/>
              <w:numPr>
                <w:ilvl w:val="0"/>
                <w:numId w:val="7"/>
              </w:numPr>
              <w:spacing w:before="40" w:after="40"/>
              <w:ind w:left="75" w:hanging="142"/>
              <w:rPr>
                <w:color w:val="auto"/>
                <w:sz w:val="20"/>
                <w:szCs w:val="20"/>
              </w:rPr>
            </w:pPr>
            <w:r w:rsidRPr="0001310B">
              <w:rPr>
                <w:i/>
                <w:color w:val="auto"/>
                <w:sz w:val="20"/>
                <w:szCs w:val="20"/>
              </w:rPr>
              <w:t>(M)</w:t>
            </w:r>
            <w:r>
              <w:rPr>
                <w:color w:val="auto"/>
                <w:sz w:val="20"/>
                <w:szCs w:val="20"/>
              </w:rPr>
              <w:t xml:space="preserve"> An effective operational plan</w:t>
            </w:r>
            <w:r w:rsidRPr="0001310B">
              <w:rPr>
                <w:color w:val="auto"/>
                <w:sz w:val="20"/>
                <w:szCs w:val="20"/>
              </w:rPr>
              <w:t>, including the definition of tangible outputs and outcomes, is drawn up and adopted by the EPA</w:t>
            </w:r>
          </w:p>
          <w:p w14:paraId="309BBEB6" w14:textId="77777777" w:rsidR="001D7A0F" w:rsidRDefault="001D7A0F" w:rsidP="00D7326E">
            <w:pPr>
              <w:pStyle w:val="TabletextsmallCPA"/>
              <w:numPr>
                <w:ilvl w:val="0"/>
                <w:numId w:val="7"/>
              </w:numPr>
              <w:spacing w:before="40" w:after="40"/>
              <w:ind w:left="75" w:hanging="142"/>
              <w:rPr>
                <w:color w:val="auto"/>
                <w:sz w:val="20"/>
                <w:szCs w:val="20"/>
              </w:rPr>
            </w:pPr>
            <w:r>
              <w:rPr>
                <w:color w:val="auto"/>
                <w:sz w:val="20"/>
                <w:szCs w:val="20"/>
              </w:rPr>
              <w:t>Reports of the monitoring and evaluation (M&amp;E) system are produced on time and within budget</w:t>
            </w:r>
          </w:p>
          <w:p w14:paraId="61F00FB3" w14:textId="77777777" w:rsidR="0001310B" w:rsidRDefault="0001310B" w:rsidP="00D7326E">
            <w:pPr>
              <w:pStyle w:val="TabletextsmallCPA"/>
              <w:numPr>
                <w:ilvl w:val="0"/>
                <w:numId w:val="7"/>
              </w:numPr>
              <w:spacing w:before="40" w:after="40"/>
              <w:ind w:left="75" w:hanging="142"/>
              <w:rPr>
                <w:color w:val="auto"/>
                <w:sz w:val="20"/>
                <w:szCs w:val="20"/>
              </w:rPr>
            </w:pPr>
            <w:r>
              <w:rPr>
                <w:color w:val="auto"/>
                <w:sz w:val="20"/>
                <w:szCs w:val="20"/>
              </w:rPr>
              <w:t>Forums on climate change are convened according to plan</w:t>
            </w:r>
          </w:p>
          <w:p w14:paraId="51974016" w14:textId="77777777" w:rsidR="0001310B" w:rsidRDefault="0001310B" w:rsidP="00D7326E">
            <w:pPr>
              <w:pStyle w:val="TabletextsmallCPA"/>
              <w:numPr>
                <w:ilvl w:val="0"/>
                <w:numId w:val="7"/>
              </w:numPr>
              <w:spacing w:before="40" w:after="40"/>
              <w:ind w:left="75" w:hanging="142"/>
              <w:rPr>
                <w:color w:val="auto"/>
                <w:sz w:val="20"/>
                <w:szCs w:val="20"/>
              </w:rPr>
            </w:pPr>
            <w:r>
              <w:rPr>
                <w:color w:val="auto"/>
                <w:sz w:val="20"/>
                <w:szCs w:val="20"/>
              </w:rPr>
              <w:t>At least 85% of forums on climate change are oriented towards open discussion through a stakeholder consultation involving regional line services, non-state actors, private companies</w:t>
            </w:r>
          </w:p>
          <w:p w14:paraId="328261B6" w14:textId="77777777" w:rsidR="0001310B" w:rsidRPr="0001310B" w:rsidRDefault="0001310B" w:rsidP="00D7326E">
            <w:pPr>
              <w:pStyle w:val="TabletextsmallCPA"/>
              <w:numPr>
                <w:ilvl w:val="0"/>
                <w:numId w:val="7"/>
              </w:numPr>
              <w:spacing w:before="40" w:after="40"/>
              <w:ind w:left="75" w:hanging="142"/>
              <w:rPr>
                <w:i/>
                <w:color w:val="auto"/>
                <w:sz w:val="20"/>
                <w:szCs w:val="20"/>
              </w:rPr>
            </w:pPr>
            <w:r>
              <w:rPr>
                <w:color w:val="auto"/>
                <w:sz w:val="20"/>
                <w:szCs w:val="20"/>
              </w:rPr>
              <w:t>Number of man-days of training at federal, regional and local levels</w:t>
            </w:r>
          </w:p>
          <w:p w14:paraId="4EEB552A" w14:textId="77777777" w:rsidR="0001310B" w:rsidRPr="001D7A0F" w:rsidRDefault="0001310B" w:rsidP="00D7326E">
            <w:pPr>
              <w:pStyle w:val="TabletextsmallCPA"/>
              <w:numPr>
                <w:ilvl w:val="0"/>
                <w:numId w:val="7"/>
              </w:numPr>
              <w:spacing w:before="40" w:after="40"/>
              <w:ind w:left="75" w:hanging="142"/>
              <w:rPr>
                <w:i/>
                <w:color w:val="auto"/>
                <w:sz w:val="20"/>
                <w:szCs w:val="20"/>
              </w:rPr>
            </w:pPr>
            <w:r>
              <w:rPr>
                <w:color w:val="auto"/>
                <w:sz w:val="20"/>
                <w:szCs w:val="20"/>
              </w:rPr>
              <w:t xml:space="preserve">Number of training maps for federal and regional civil </w:t>
            </w:r>
            <w:r>
              <w:rPr>
                <w:color w:val="auto"/>
                <w:sz w:val="20"/>
                <w:szCs w:val="20"/>
              </w:rPr>
              <w:lastRenderedPageBreak/>
              <w:t>servant staff signed and implemented</w:t>
            </w:r>
          </w:p>
          <w:p w14:paraId="352F0220" w14:textId="77777777" w:rsidR="001D7A0F" w:rsidRPr="00290A07" w:rsidRDefault="0001310B" w:rsidP="00D7326E">
            <w:pPr>
              <w:pStyle w:val="TabletextsmallCPA"/>
              <w:numPr>
                <w:ilvl w:val="0"/>
                <w:numId w:val="7"/>
              </w:numPr>
              <w:spacing w:before="40" w:after="40"/>
              <w:ind w:left="75" w:hanging="142"/>
              <w:rPr>
                <w:color w:val="auto"/>
                <w:sz w:val="20"/>
                <w:szCs w:val="20"/>
              </w:rPr>
            </w:pPr>
            <w:r>
              <w:rPr>
                <w:color w:val="auto"/>
                <w:sz w:val="20"/>
                <w:szCs w:val="20"/>
              </w:rPr>
              <w:t>Number of training sessions accessible to non-governmental bodies</w:t>
            </w:r>
          </w:p>
        </w:tc>
      </w:tr>
      <w:tr w:rsidR="0089064B" w:rsidRPr="00352593" w14:paraId="0C04D1B1" w14:textId="77777777" w:rsidTr="0089064B">
        <w:trPr>
          <w:trHeight w:val="574"/>
        </w:trPr>
        <w:tc>
          <w:tcPr>
            <w:tcW w:w="702" w:type="pct"/>
            <w:shd w:val="clear" w:color="auto" w:fill="DBE5F1" w:themeFill="accent1" w:themeFillTint="33"/>
          </w:tcPr>
          <w:p w14:paraId="0453DF4D" w14:textId="77777777" w:rsidR="00290A07" w:rsidRPr="00247BD4" w:rsidRDefault="00290A07" w:rsidP="003010D6">
            <w:pPr>
              <w:pStyle w:val="TabletextCPA"/>
              <w:spacing w:before="40" w:after="40"/>
              <w:rPr>
                <w:color w:val="244061" w:themeColor="accent1" w:themeShade="80"/>
                <w:sz w:val="20"/>
                <w:szCs w:val="20"/>
                <w:vertAlign w:val="superscript"/>
              </w:rPr>
            </w:pPr>
          </w:p>
        </w:tc>
        <w:tc>
          <w:tcPr>
            <w:tcW w:w="1714" w:type="pct"/>
            <w:shd w:val="clear" w:color="auto" w:fill="auto"/>
          </w:tcPr>
          <w:p w14:paraId="20AA4758" w14:textId="77777777" w:rsidR="00290A07" w:rsidRPr="005358D8" w:rsidRDefault="00290A07" w:rsidP="00290A07">
            <w:pPr>
              <w:pStyle w:val="TablebulletssmallCPA"/>
              <w:numPr>
                <w:ilvl w:val="0"/>
                <w:numId w:val="0"/>
              </w:numPr>
              <w:spacing w:before="40" w:after="40"/>
              <w:rPr>
                <w:color w:val="auto"/>
                <w:sz w:val="20"/>
                <w:szCs w:val="20"/>
              </w:rPr>
            </w:pPr>
            <w:r>
              <w:rPr>
                <w:color w:val="auto"/>
                <w:sz w:val="20"/>
                <w:szCs w:val="20"/>
              </w:rPr>
              <w:t>A knowledge base is developed that allows stakeholders at all levels (federal, regional and local) to build resilience to climate change impacts</w:t>
            </w:r>
          </w:p>
        </w:tc>
        <w:tc>
          <w:tcPr>
            <w:tcW w:w="2584" w:type="pct"/>
            <w:shd w:val="clear" w:color="auto" w:fill="auto"/>
          </w:tcPr>
          <w:p w14:paraId="3F7FC18D" w14:textId="77777777" w:rsidR="00290A07" w:rsidRDefault="00290A07" w:rsidP="00D7326E">
            <w:pPr>
              <w:pStyle w:val="TabletextsmallCPA"/>
              <w:numPr>
                <w:ilvl w:val="0"/>
                <w:numId w:val="7"/>
              </w:numPr>
              <w:spacing w:before="40" w:after="40"/>
              <w:ind w:left="75" w:hanging="142"/>
              <w:rPr>
                <w:color w:val="auto"/>
                <w:sz w:val="20"/>
                <w:szCs w:val="20"/>
              </w:rPr>
            </w:pPr>
            <w:r>
              <w:rPr>
                <w:i/>
                <w:color w:val="auto"/>
                <w:sz w:val="20"/>
                <w:szCs w:val="20"/>
              </w:rPr>
              <w:t xml:space="preserve">(M) </w:t>
            </w:r>
            <w:r>
              <w:rPr>
                <w:color w:val="auto"/>
                <w:sz w:val="20"/>
                <w:szCs w:val="20"/>
              </w:rPr>
              <w:t>By the end of the project inception period, a clear operational plan for the creation of a knowledge base has been set up and approved</w:t>
            </w:r>
          </w:p>
          <w:p w14:paraId="23311C1C" w14:textId="77777777" w:rsidR="00290A07" w:rsidRPr="005358D8" w:rsidRDefault="00290A07" w:rsidP="00D7326E">
            <w:pPr>
              <w:pStyle w:val="TabletextsmallCPA"/>
              <w:numPr>
                <w:ilvl w:val="0"/>
                <w:numId w:val="7"/>
              </w:numPr>
              <w:spacing w:before="40" w:after="40"/>
              <w:ind w:left="75" w:hanging="142"/>
              <w:rPr>
                <w:color w:val="auto"/>
                <w:sz w:val="20"/>
                <w:szCs w:val="20"/>
              </w:rPr>
            </w:pPr>
            <w:r>
              <w:rPr>
                <w:color w:val="auto"/>
                <w:sz w:val="20"/>
                <w:szCs w:val="20"/>
              </w:rPr>
              <w:t xml:space="preserve">By the end of year 2, 50% of planned activities with regard to the knowledge base have started, and 30% have been </w:t>
            </w:r>
            <w:r w:rsidR="004316B8">
              <w:rPr>
                <w:color w:val="auto"/>
                <w:sz w:val="20"/>
                <w:szCs w:val="20"/>
              </w:rPr>
              <w:t>completed</w:t>
            </w:r>
          </w:p>
          <w:p w14:paraId="2E102881" w14:textId="77777777" w:rsidR="00290A07" w:rsidRDefault="00290A07" w:rsidP="00D7326E">
            <w:pPr>
              <w:pStyle w:val="TabletextsmallCPA"/>
              <w:numPr>
                <w:ilvl w:val="0"/>
                <w:numId w:val="7"/>
              </w:numPr>
              <w:spacing w:before="40" w:after="40"/>
              <w:ind w:left="75" w:hanging="142"/>
              <w:rPr>
                <w:color w:val="auto"/>
                <w:sz w:val="20"/>
                <w:szCs w:val="20"/>
              </w:rPr>
            </w:pPr>
            <w:r>
              <w:rPr>
                <w:color w:val="auto"/>
                <w:sz w:val="20"/>
                <w:szCs w:val="20"/>
              </w:rPr>
              <w:t>Once a year as from year 2, an annual report highlights lessons learned, provides recommendations and demonstrates benefits</w:t>
            </w:r>
          </w:p>
          <w:p w14:paraId="3CEE9788" w14:textId="77777777" w:rsidR="00290A07" w:rsidRDefault="00290A07" w:rsidP="00D7326E">
            <w:pPr>
              <w:pStyle w:val="TabletextsmallCPA"/>
              <w:numPr>
                <w:ilvl w:val="0"/>
                <w:numId w:val="7"/>
              </w:numPr>
              <w:spacing w:before="40" w:after="40"/>
              <w:ind w:left="75" w:hanging="142"/>
              <w:rPr>
                <w:color w:val="auto"/>
                <w:sz w:val="20"/>
                <w:szCs w:val="20"/>
              </w:rPr>
            </w:pPr>
            <w:r>
              <w:rPr>
                <w:color w:val="auto"/>
                <w:sz w:val="20"/>
                <w:szCs w:val="20"/>
              </w:rPr>
              <w:t>By the end of year 3, a climate change knowledge management system is operational and accessed by users</w:t>
            </w:r>
          </w:p>
          <w:p w14:paraId="28381EDD" w14:textId="77777777" w:rsidR="00290A07" w:rsidRPr="00290A07" w:rsidRDefault="00290A07" w:rsidP="00D7326E">
            <w:pPr>
              <w:pStyle w:val="TabletextsmallCPA"/>
              <w:numPr>
                <w:ilvl w:val="0"/>
                <w:numId w:val="7"/>
              </w:numPr>
              <w:spacing w:before="40" w:after="40"/>
              <w:ind w:left="75" w:hanging="142"/>
              <w:rPr>
                <w:color w:val="auto"/>
                <w:sz w:val="20"/>
                <w:szCs w:val="20"/>
              </w:rPr>
            </w:pPr>
            <w:r>
              <w:rPr>
                <w:color w:val="auto"/>
                <w:sz w:val="20"/>
                <w:szCs w:val="20"/>
              </w:rPr>
              <w:t xml:space="preserve">All stakeholders involved in the climate change agenda </w:t>
            </w:r>
            <w:r w:rsidR="00D839C1">
              <w:rPr>
                <w:color w:val="auto"/>
                <w:sz w:val="20"/>
                <w:szCs w:val="20"/>
              </w:rPr>
              <w:t>provide knowledge and evidence that is used to assist policy formulation</w:t>
            </w:r>
          </w:p>
        </w:tc>
      </w:tr>
      <w:tr w:rsidR="0089064B" w:rsidRPr="00352593" w14:paraId="733B3361" w14:textId="77777777" w:rsidTr="0089064B">
        <w:trPr>
          <w:trHeight w:val="574"/>
        </w:trPr>
        <w:tc>
          <w:tcPr>
            <w:tcW w:w="702" w:type="pct"/>
            <w:shd w:val="clear" w:color="auto" w:fill="DBE5F1" w:themeFill="accent1" w:themeFillTint="33"/>
          </w:tcPr>
          <w:p w14:paraId="2FED18C4" w14:textId="77777777" w:rsidR="00D839C1" w:rsidRPr="00247BD4" w:rsidRDefault="00D839C1" w:rsidP="003010D6">
            <w:pPr>
              <w:pStyle w:val="TabletextCPA"/>
              <w:spacing w:before="40" w:after="40"/>
              <w:rPr>
                <w:color w:val="244061" w:themeColor="accent1" w:themeShade="80"/>
                <w:sz w:val="20"/>
                <w:szCs w:val="20"/>
                <w:vertAlign w:val="superscript"/>
              </w:rPr>
            </w:pPr>
          </w:p>
        </w:tc>
        <w:tc>
          <w:tcPr>
            <w:tcW w:w="1714" w:type="pct"/>
            <w:shd w:val="clear" w:color="auto" w:fill="auto"/>
          </w:tcPr>
          <w:p w14:paraId="35DBEA26" w14:textId="77777777" w:rsidR="00D839C1" w:rsidRPr="005358D8" w:rsidRDefault="00D839C1" w:rsidP="00D839C1">
            <w:pPr>
              <w:pStyle w:val="TablebulletssmallCPA"/>
              <w:numPr>
                <w:ilvl w:val="0"/>
                <w:numId w:val="0"/>
              </w:numPr>
              <w:spacing w:before="40" w:after="40"/>
              <w:ind w:left="-32"/>
              <w:rPr>
                <w:color w:val="auto"/>
                <w:sz w:val="20"/>
                <w:szCs w:val="20"/>
              </w:rPr>
            </w:pPr>
            <w:r>
              <w:rPr>
                <w:color w:val="auto"/>
                <w:sz w:val="20"/>
                <w:szCs w:val="20"/>
              </w:rPr>
              <w:t>Climate change activities in the context of the CNCR-E have successfully been field-tested in the area of the Sustainable Land Management Programme (SLMP) of the Ministry of Agriculture and Rural Development</w:t>
            </w:r>
          </w:p>
        </w:tc>
        <w:tc>
          <w:tcPr>
            <w:tcW w:w="2584" w:type="pct"/>
            <w:shd w:val="clear" w:color="auto" w:fill="auto"/>
          </w:tcPr>
          <w:p w14:paraId="50B29091" w14:textId="77777777" w:rsidR="00D839C1" w:rsidRPr="005358D8" w:rsidRDefault="00D839C1" w:rsidP="00D7326E">
            <w:pPr>
              <w:pStyle w:val="TabletextsmallCPA"/>
              <w:numPr>
                <w:ilvl w:val="0"/>
                <w:numId w:val="7"/>
              </w:numPr>
              <w:spacing w:before="40" w:after="40"/>
              <w:ind w:left="75" w:hanging="142"/>
              <w:rPr>
                <w:color w:val="auto"/>
                <w:sz w:val="20"/>
                <w:szCs w:val="20"/>
              </w:rPr>
            </w:pPr>
            <w:r w:rsidRPr="005358D8">
              <w:rPr>
                <w:color w:val="auto"/>
                <w:sz w:val="20"/>
                <w:szCs w:val="20"/>
              </w:rPr>
              <w:t xml:space="preserve">Number of </w:t>
            </w:r>
            <w:r>
              <w:rPr>
                <w:color w:val="auto"/>
                <w:sz w:val="20"/>
                <w:szCs w:val="20"/>
              </w:rPr>
              <w:t xml:space="preserve">field-testing </w:t>
            </w:r>
            <w:r w:rsidRPr="005358D8">
              <w:rPr>
                <w:color w:val="auto"/>
                <w:sz w:val="20"/>
                <w:szCs w:val="20"/>
              </w:rPr>
              <w:t xml:space="preserve">activities </w:t>
            </w:r>
            <w:r>
              <w:rPr>
                <w:color w:val="auto"/>
                <w:sz w:val="20"/>
                <w:szCs w:val="20"/>
              </w:rPr>
              <w:t>carried out in identified pilot areas of the SLMP</w:t>
            </w:r>
          </w:p>
          <w:p w14:paraId="6D60DF91" w14:textId="77777777" w:rsidR="00D839C1" w:rsidRDefault="00D839C1" w:rsidP="00D7326E">
            <w:pPr>
              <w:pStyle w:val="TabletextsmallCPA"/>
              <w:numPr>
                <w:ilvl w:val="0"/>
                <w:numId w:val="7"/>
              </w:numPr>
              <w:spacing w:before="40" w:after="40"/>
              <w:ind w:left="75" w:hanging="142"/>
              <w:rPr>
                <w:color w:val="auto"/>
                <w:sz w:val="20"/>
                <w:szCs w:val="20"/>
              </w:rPr>
            </w:pPr>
            <w:r w:rsidRPr="00D839C1">
              <w:rPr>
                <w:i/>
                <w:color w:val="auto"/>
                <w:sz w:val="20"/>
                <w:szCs w:val="20"/>
              </w:rPr>
              <w:t>x</w:t>
            </w:r>
            <w:r>
              <w:rPr>
                <w:color w:val="auto"/>
                <w:sz w:val="20"/>
                <w:szCs w:val="20"/>
              </w:rPr>
              <w:t xml:space="preserve">%, </w:t>
            </w:r>
            <w:r w:rsidRPr="00D839C1">
              <w:rPr>
                <w:i/>
                <w:color w:val="auto"/>
                <w:sz w:val="20"/>
                <w:szCs w:val="20"/>
              </w:rPr>
              <w:t>y</w:t>
            </w:r>
            <w:r>
              <w:rPr>
                <w:color w:val="auto"/>
                <w:sz w:val="20"/>
                <w:szCs w:val="20"/>
              </w:rPr>
              <w:t xml:space="preserve">% and </w:t>
            </w:r>
            <w:r w:rsidRPr="00D839C1">
              <w:rPr>
                <w:i/>
                <w:color w:val="auto"/>
                <w:sz w:val="20"/>
                <w:szCs w:val="20"/>
              </w:rPr>
              <w:t>z</w:t>
            </w:r>
            <w:r>
              <w:rPr>
                <w:color w:val="auto"/>
                <w:sz w:val="20"/>
                <w:szCs w:val="20"/>
              </w:rPr>
              <w:t>% of planned field-testing activities have been implemented by the end of, respectively, years 1, 2 and 3 of the project</w:t>
            </w:r>
          </w:p>
          <w:p w14:paraId="386DB629" w14:textId="77777777" w:rsidR="00D839C1" w:rsidRDefault="00D839C1" w:rsidP="00D7326E">
            <w:pPr>
              <w:pStyle w:val="TabletextsmallCPA"/>
              <w:numPr>
                <w:ilvl w:val="0"/>
                <w:numId w:val="7"/>
              </w:numPr>
              <w:spacing w:before="40" w:after="40"/>
              <w:ind w:left="75" w:hanging="142"/>
              <w:rPr>
                <w:color w:val="auto"/>
                <w:sz w:val="20"/>
                <w:szCs w:val="20"/>
              </w:rPr>
            </w:pPr>
            <w:r>
              <w:rPr>
                <w:color w:val="auto"/>
                <w:sz w:val="20"/>
                <w:szCs w:val="20"/>
              </w:rPr>
              <w:t>Number of prioritised best practices listed in the Climate Change Adaptation programme that are field-tested through the SLMP</w:t>
            </w:r>
          </w:p>
          <w:p w14:paraId="63F21FBB" w14:textId="77777777" w:rsidR="00D839C1" w:rsidRDefault="00D839C1" w:rsidP="00D7326E">
            <w:pPr>
              <w:pStyle w:val="TabletextsmallCPA"/>
              <w:numPr>
                <w:ilvl w:val="0"/>
                <w:numId w:val="7"/>
              </w:numPr>
              <w:spacing w:before="40" w:after="40"/>
              <w:ind w:left="75" w:hanging="142"/>
              <w:rPr>
                <w:color w:val="auto"/>
                <w:sz w:val="20"/>
                <w:szCs w:val="20"/>
              </w:rPr>
            </w:pPr>
            <w:r>
              <w:rPr>
                <w:color w:val="auto"/>
                <w:sz w:val="20"/>
                <w:szCs w:val="20"/>
              </w:rPr>
              <w:t>% of field-tested activities selected as best practices for climate change resilience</w:t>
            </w:r>
          </w:p>
          <w:p w14:paraId="5AB824CB" w14:textId="77777777" w:rsidR="004316B8" w:rsidRDefault="004316B8" w:rsidP="00D7326E">
            <w:pPr>
              <w:pStyle w:val="TabletextsmallCPA"/>
              <w:numPr>
                <w:ilvl w:val="0"/>
                <w:numId w:val="7"/>
              </w:numPr>
              <w:spacing w:before="40" w:after="40"/>
              <w:ind w:left="75" w:hanging="142"/>
              <w:rPr>
                <w:color w:val="auto"/>
                <w:sz w:val="20"/>
                <w:szCs w:val="20"/>
              </w:rPr>
            </w:pPr>
            <w:r>
              <w:rPr>
                <w:color w:val="auto"/>
                <w:sz w:val="20"/>
                <w:szCs w:val="20"/>
              </w:rPr>
              <w:t>Field-tested activities successfully implemented by type of targeted ecosystem</w:t>
            </w:r>
          </w:p>
          <w:p w14:paraId="6568741C" w14:textId="77777777" w:rsidR="004316B8" w:rsidRPr="00D839C1" w:rsidRDefault="004316B8" w:rsidP="00D7326E">
            <w:pPr>
              <w:pStyle w:val="TabletextsmallCPA"/>
              <w:numPr>
                <w:ilvl w:val="0"/>
                <w:numId w:val="7"/>
              </w:numPr>
              <w:spacing w:before="40" w:after="40"/>
              <w:ind w:left="75" w:hanging="142"/>
              <w:rPr>
                <w:color w:val="auto"/>
                <w:sz w:val="20"/>
                <w:szCs w:val="20"/>
              </w:rPr>
            </w:pPr>
            <w:r>
              <w:rPr>
                <w:color w:val="auto"/>
                <w:sz w:val="20"/>
                <w:szCs w:val="20"/>
              </w:rPr>
              <w:t>Number of final beneficiaries of pilot activities (disaggregated by ecosystem, socio-economic status and gender)</w:t>
            </w:r>
          </w:p>
        </w:tc>
      </w:tr>
    </w:tbl>
    <w:p w14:paraId="412F0EF1" w14:textId="77777777" w:rsidR="003B7A50" w:rsidRPr="003B7A50" w:rsidRDefault="003B7A50" w:rsidP="003B7A50">
      <w:pPr>
        <w:spacing w:before="120"/>
        <w:jc w:val="center"/>
        <w:rPr>
          <w:rFonts w:asciiTheme="minorHAnsi" w:hAnsiTheme="minorHAnsi" w:cstheme="minorHAnsi"/>
          <w:sz w:val="20"/>
          <w:szCs w:val="20"/>
          <w:lang w:val="en-GB"/>
        </w:rPr>
      </w:pPr>
      <w:r w:rsidRPr="003B7A50">
        <w:rPr>
          <w:rFonts w:asciiTheme="minorHAnsi" w:hAnsiTheme="minorHAnsi" w:cstheme="minorHAnsi"/>
          <w:sz w:val="20"/>
          <w:szCs w:val="20"/>
          <w:lang w:val="en-GB"/>
        </w:rPr>
        <w:t xml:space="preserve">Source: </w:t>
      </w:r>
      <w:r w:rsidR="00920CE9">
        <w:rPr>
          <w:rFonts w:asciiTheme="minorHAnsi" w:hAnsiTheme="minorHAnsi" w:cstheme="minorHAnsi"/>
          <w:sz w:val="20"/>
          <w:szCs w:val="20"/>
          <w:lang w:val="en-GB"/>
        </w:rPr>
        <w:t>G</w:t>
      </w:r>
      <w:r w:rsidR="002E1615">
        <w:rPr>
          <w:rFonts w:asciiTheme="minorHAnsi" w:hAnsiTheme="minorHAnsi" w:cstheme="minorHAnsi"/>
          <w:sz w:val="20"/>
          <w:szCs w:val="20"/>
          <w:lang w:val="en-GB"/>
        </w:rPr>
        <w:t xml:space="preserve">CCA Support Facility; adapted from the </w:t>
      </w:r>
      <w:r w:rsidR="00920CE9">
        <w:rPr>
          <w:rFonts w:asciiTheme="minorHAnsi" w:hAnsiTheme="minorHAnsi" w:cstheme="minorHAnsi"/>
          <w:sz w:val="20"/>
          <w:szCs w:val="20"/>
          <w:lang w:val="en-GB"/>
        </w:rPr>
        <w:t>project’s logical framework.</w:t>
      </w:r>
    </w:p>
    <w:p w14:paraId="455D1362" w14:textId="4DEF5A42" w:rsidR="00405D53" w:rsidRDefault="00405D53">
      <w:pPr>
        <w:spacing w:after="200" w:line="276" w:lineRule="auto"/>
        <w:jc w:val="left"/>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726687DD" w14:textId="77777777" w:rsidR="003B7A50" w:rsidRDefault="003B7A50" w:rsidP="003B7A50">
      <w:pPr>
        <w:rPr>
          <w:rFonts w:asciiTheme="minorHAnsi" w:hAnsiTheme="minorHAnsi" w:cstheme="minorHAnsi"/>
          <w:sz w:val="22"/>
          <w:szCs w:val="22"/>
          <w:lang w:val="en-GB"/>
        </w:rPr>
      </w:pPr>
    </w:p>
    <w:p w14:paraId="04B1EF50" w14:textId="5B1EF6CF" w:rsidR="00943039" w:rsidRDefault="00177DA1" w:rsidP="00775EFC">
      <w:pPr>
        <w:spacing w:before="120" w:after="120"/>
        <w:jc w:val="center"/>
        <w:rPr>
          <w:rFonts w:asciiTheme="minorHAnsi" w:hAnsiTheme="minorHAnsi" w:cstheme="minorHAnsi"/>
          <w:b/>
          <w:sz w:val="20"/>
          <w:szCs w:val="20"/>
          <w:lang w:val="en-GB"/>
        </w:rPr>
      </w:pPr>
      <w:r>
        <w:rPr>
          <w:rFonts w:asciiTheme="minorHAnsi" w:hAnsiTheme="minorHAnsi" w:cstheme="minorHAnsi"/>
          <w:b/>
          <w:sz w:val="20"/>
          <w:szCs w:val="20"/>
          <w:lang w:val="en-GB"/>
        </w:rPr>
        <w:t>Table 9.2</w:t>
      </w:r>
      <w:r w:rsidR="00B012E3" w:rsidRPr="003B7A50">
        <w:rPr>
          <w:rFonts w:asciiTheme="minorHAnsi" w:hAnsiTheme="minorHAnsi" w:cstheme="minorHAnsi"/>
          <w:b/>
          <w:sz w:val="20"/>
          <w:szCs w:val="20"/>
          <w:lang w:val="en-GB"/>
        </w:rPr>
        <w:t xml:space="preserve"> – Examples of indicators for </w:t>
      </w:r>
      <w:r w:rsidR="00B012E3">
        <w:rPr>
          <w:rFonts w:asciiTheme="minorHAnsi" w:hAnsiTheme="minorHAnsi" w:cstheme="minorHAnsi"/>
          <w:b/>
          <w:sz w:val="20"/>
          <w:szCs w:val="20"/>
          <w:lang w:val="en-GB"/>
        </w:rPr>
        <w:t xml:space="preserve">an environmental </w:t>
      </w:r>
      <w:r w:rsidR="00352593">
        <w:rPr>
          <w:rFonts w:asciiTheme="minorHAnsi" w:hAnsiTheme="minorHAnsi" w:cstheme="minorHAnsi"/>
          <w:b/>
          <w:sz w:val="20"/>
          <w:szCs w:val="20"/>
          <w:lang w:val="en-GB"/>
        </w:rPr>
        <w:t>governance</w:t>
      </w:r>
      <w:r w:rsidR="00352593" w:rsidRPr="003B7A50">
        <w:rPr>
          <w:rFonts w:asciiTheme="minorHAnsi" w:hAnsiTheme="minorHAnsi" w:cstheme="minorHAnsi"/>
          <w:b/>
          <w:sz w:val="20"/>
          <w:szCs w:val="20"/>
          <w:lang w:val="en-GB"/>
        </w:rPr>
        <w:t xml:space="preserve"> </w:t>
      </w:r>
      <w:r w:rsidR="00B012E3" w:rsidRPr="003B7A50">
        <w:rPr>
          <w:rFonts w:asciiTheme="minorHAnsi" w:hAnsiTheme="minorHAnsi" w:cstheme="minorHAnsi"/>
          <w:b/>
          <w:sz w:val="20"/>
          <w:szCs w:val="20"/>
          <w:lang w:val="en-GB"/>
        </w:rPr>
        <w:t>project</w:t>
      </w:r>
    </w:p>
    <w:tbl>
      <w:tblPr>
        <w:tblStyle w:val="TableGrid"/>
        <w:tblW w:w="4944" w:type="pct"/>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shd w:val="clear" w:color="auto" w:fill="DDD9C3" w:themeFill="background2" w:themeFillShade="E6"/>
        <w:tblLook w:val="04A0" w:firstRow="1" w:lastRow="0" w:firstColumn="1" w:lastColumn="0" w:noHBand="0" w:noVBand="1"/>
      </w:tblPr>
      <w:tblGrid>
        <w:gridCol w:w="1309"/>
        <w:gridCol w:w="2629"/>
        <w:gridCol w:w="5384"/>
      </w:tblGrid>
      <w:tr w:rsidR="00943039" w:rsidRPr="00352593" w14:paraId="57312AA7" w14:textId="77777777" w:rsidTr="00870961">
        <w:trPr>
          <w:trHeight w:val="577"/>
          <w:tblHeader/>
        </w:trPr>
        <w:tc>
          <w:tcPr>
            <w:tcW w:w="5000" w:type="pct"/>
            <w:gridSpan w:val="3"/>
            <w:shd w:val="clear" w:color="auto" w:fill="365F91" w:themeFill="accent1" w:themeFillShade="BF"/>
          </w:tcPr>
          <w:p w14:paraId="7875B86D" w14:textId="074E576E" w:rsidR="00943039" w:rsidRPr="00906065" w:rsidRDefault="00943039" w:rsidP="00943039">
            <w:pPr>
              <w:pStyle w:val="TabletextsmallCPA"/>
              <w:spacing w:before="40" w:after="40"/>
              <w:jc w:val="center"/>
              <w:rPr>
                <w:b/>
                <w:color w:val="FFFFFF" w:themeColor="background1"/>
                <w:sz w:val="20"/>
                <w:szCs w:val="20"/>
              </w:rPr>
            </w:pPr>
            <w:r>
              <w:rPr>
                <w:b/>
                <w:color w:val="FFFFFF" w:themeColor="background1"/>
                <w:sz w:val="20"/>
                <w:szCs w:val="20"/>
              </w:rPr>
              <w:t>Sierra Leone</w:t>
            </w:r>
            <w:r w:rsidRPr="00906065">
              <w:rPr>
                <w:b/>
                <w:color w:val="FFFFFF" w:themeColor="background1"/>
                <w:sz w:val="20"/>
                <w:szCs w:val="20"/>
              </w:rPr>
              <w:t xml:space="preserve">: </w:t>
            </w:r>
            <w:r w:rsidRPr="00906065">
              <w:rPr>
                <w:b/>
                <w:color w:val="FFFFFF" w:themeColor="background1"/>
                <w:sz w:val="20"/>
                <w:szCs w:val="20"/>
              </w:rPr>
              <w:br/>
            </w:r>
            <w:r>
              <w:rPr>
                <w:b/>
                <w:color w:val="FFFFFF" w:themeColor="background1"/>
                <w:sz w:val="20"/>
                <w:szCs w:val="20"/>
              </w:rPr>
              <w:t>Environmental mainstreaming and governance project (draft)</w:t>
            </w:r>
          </w:p>
        </w:tc>
      </w:tr>
      <w:tr w:rsidR="00870961" w:rsidRPr="007C472C" w14:paraId="35A389FB" w14:textId="77777777" w:rsidTr="00177DA1">
        <w:trPr>
          <w:trHeight w:val="577"/>
          <w:tblHeader/>
        </w:trPr>
        <w:tc>
          <w:tcPr>
            <w:tcW w:w="2111" w:type="pct"/>
            <w:gridSpan w:val="2"/>
            <w:shd w:val="clear" w:color="auto" w:fill="DBE5F1" w:themeFill="accent1" w:themeFillTint="33"/>
          </w:tcPr>
          <w:p w14:paraId="143E28A7" w14:textId="77777777" w:rsidR="00943039" w:rsidRPr="00906065" w:rsidRDefault="00943039" w:rsidP="00870961">
            <w:pPr>
              <w:pStyle w:val="TabletextsmallCPA"/>
              <w:spacing w:before="40" w:after="40"/>
              <w:rPr>
                <w:b/>
                <w:color w:val="auto"/>
                <w:sz w:val="20"/>
                <w:szCs w:val="20"/>
              </w:rPr>
            </w:pPr>
            <w:r w:rsidRPr="00906065">
              <w:rPr>
                <w:b/>
                <w:color w:val="auto"/>
                <w:sz w:val="20"/>
                <w:szCs w:val="20"/>
              </w:rPr>
              <w:t>Objectives</w:t>
            </w:r>
          </w:p>
        </w:tc>
        <w:tc>
          <w:tcPr>
            <w:tcW w:w="2889" w:type="pct"/>
            <w:shd w:val="clear" w:color="auto" w:fill="DBE5F1" w:themeFill="accent1" w:themeFillTint="33"/>
          </w:tcPr>
          <w:p w14:paraId="2FAA5C4C" w14:textId="736CC142" w:rsidR="00943039" w:rsidRPr="00906065" w:rsidRDefault="00943039" w:rsidP="00870961">
            <w:pPr>
              <w:pStyle w:val="TabletextsmallCPA"/>
              <w:spacing w:before="40" w:after="40"/>
              <w:rPr>
                <w:b/>
                <w:color w:val="auto"/>
                <w:sz w:val="20"/>
                <w:szCs w:val="20"/>
              </w:rPr>
            </w:pPr>
            <w:r w:rsidRPr="00906065">
              <w:rPr>
                <w:b/>
                <w:color w:val="auto"/>
                <w:sz w:val="20"/>
                <w:szCs w:val="20"/>
              </w:rPr>
              <w:t>Corresponding indicators</w:t>
            </w:r>
          </w:p>
        </w:tc>
      </w:tr>
      <w:tr w:rsidR="00870961" w:rsidRPr="00352593" w14:paraId="212FC39B" w14:textId="77777777" w:rsidTr="00177DA1">
        <w:trPr>
          <w:trHeight w:val="577"/>
        </w:trPr>
        <w:tc>
          <w:tcPr>
            <w:tcW w:w="702" w:type="pct"/>
            <w:shd w:val="clear" w:color="auto" w:fill="DBE5F1" w:themeFill="accent1" w:themeFillTint="33"/>
          </w:tcPr>
          <w:p w14:paraId="5DF128C4" w14:textId="77777777" w:rsidR="00943039" w:rsidRPr="00906065" w:rsidRDefault="00943039" w:rsidP="00870961">
            <w:pPr>
              <w:pStyle w:val="Tablesubtitles11smallCPA"/>
              <w:spacing w:before="40" w:after="40"/>
              <w:rPr>
                <w:color w:val="auto"/>
                <w:sz w:val="20"/>
                <w:szCs w:val="20"/>
              </w:rPr>
            </w:pPr>
            <w:r w:rsidRPr="00906065">
              <w:rPr>
                <w:color w:val="auto"/>
                <w:sz w:val="20"/>
                <w:szCs w:val="20"/>
              </w:rPr>
              <w:t>Overall objective</w:t>
            </w:r>
          </w:p>
        </w:tc>
        <w:tc>
          <w:tcPr>
            <w:tcW w:w="1410" w:type="pct"/>
            <w:shd w:val="clear" w:color="auto" w:fill="auto"/>
          </w:tcPr>
          <w:p w14:paraId="07B5C518" w14:textId="100976B8" w:rsidR="00943039" w:rsidRPr="005358D8" w:rsidRDefault="00943039" w:rsidP="00870961">
            <w:pPr>
              <w:pStyle w:val="TablebulletssmallCPA"/>
              <w:numPr>
                <w:ilvl w:val="0"/>
                <w:numId w:val="0"/>
              </w:numPr>
              <w:spacing w:before="40" w:after="40"/>
              <w:rPr>
                <w:color w:val="auto"/>
                <w:sz w:val="20"/>
                <w:szCs w:val="20"/>
              </w:rPr>
            </w:pPr>
            <w:r w:rsidRPr="00943039">
              <w:rPr>
                <w:rFonts w:cs="Arial"/>
                <w:sz w:val="20"/>
                <w:szCs w:val="20"/>
              </w:rPr>
              <w:t>The reduction of poverty and achieving environmental sustainability in Sierra Leone</w:t>
            </w:r>
          </w:p>
        </w:tc>
        <w:tc>
          <w:tcPr>
            <w:tcW w:w="2889" w:type="pct"/>
            <w:shd w:val="clear" w:color="auto" w:fill="auto"/>
          </w:tcPr>
          <w:p w14:paraId="256B8902" w14:textId="77777777"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Proportion of households below basic needs poverty line</w:t>
            </w:r>
          </w:p>
          <w:p w14:paraId="2973CDE5" w14:textId="77777777" w:rsidR="00943039" w:rsidRPr="00943039" w:rsidRDefault="00943039" w:rsidP="00943039">
            <w:pPr>
              <w:pStyle w:val="ListParagraph"/>
              <w:numPr>
                <w:ilvl w:val="0"/>
                <w:numId w:val="7"/>
              </w:numPr>
              <w:snapToGrid w:val="0"/>
              <w:spacing w:before="20" w:after="20"/>
              <w:ind w:left="316"/>
              <w:rPr>
                <w:rFonts w:asciiTheme="minorHAnsi" w:hAnsiTheme="minorHAnsi" w:cs="Arial"/>
                <w:sz w:val="20"/>
                <w:szCs w:val="20"/>
              </w:rPr>
            </w:pPr>
            <w:r w:rsidRPr="00943039">
              <w:rPr>
                <w:rFonts w:asciiTheme="minorHAnsi" w:hAnsiTheme="minorHAnsi" w:cs="Arial"/>
                <w:sz w:val="20"/>
                <w:szCs w:val="20"/>
              </w:rPr>
              <w:t>Hectares of forested area</w:t>
            </w:r>
          </w:p>
          <w:p w14:paraId="5AAE9E8F" w14:textId="77777777" w:rsidR="00943039" w:rsidRPr="00943039" w:rsidRDefault="00943039" w:rsidP="00943039">
            <w:pPr>
              <w:pStyle w:val="ListParagraph"/>
              <w:numPr>
                <w:ilvl w:val="0"/>
                <w:numId w:val="7"/>
              </w:numPr>
              <w:snapToGrid w:val="0"/>
              <w:spacing w:before="20" w:after="20"/>
              <w:ind w:left="316"/>
              <w:rPr>
                <w:rFonts w:asciiTheme="minorHAnsi" w:hAnsiTheme="minorHAnsi" w:cs="Arial"/>
                <w:sz w:val="20"/>
                <w:szCs w:val="20"/>
              </w:rPr>
            </w:pPr>
            <w:r w:rsidRPr="00943039">
              <w:rPr>
                <w:rFonts w:asciiTheme="minorHAnsi" w:hAnsiTheme="minorHAnsi" w:cs="Arial"/>
                <w:sz w:val="20"/>
                <w:szCs w:val="20"/>
              </w:rPr>
              <w:t>% of highly degraded lands</w:t>
            </w:r>
          </w:p>
          <w:p w14:paraId="7805C204" w14:textId="77777777"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 of rivers meeting international water quality standards</w:t>
            </w:r>
          </w:p>
          <w:p w14:paraId="4DB483C4" w14:textId="00C070C7" w:rsidR="00943039" w:rsidRPr="005358D8" w:rsidRDefault="00177DA1" w:rsidP="00943039">
            <w:pPr>
              <w:pStyle w:val="TabletextsmallCPA"/>
              <w:numPr>
                <w:ilvl w:val="0"/>
                <w:numId w:val="7"/>
              </w:numPr>
              <w:spacing w:before="40" w:after="40"/>
              <w:ind w:left="316"/>
              <w:rPr>
                <w:i/>
                <w:color w:val="auto"/>
                <w:sz w:val="20"/>
                <w:szCs w:val="20"/>
              </w:rPr>
            </w:pPr>
            <w:r>
              <w:rPr>
                <w:rFonts w:cs="Arial"/>
                <w:sz w:val="20"/>
                <w:szCs w:val="20"/>
              </w:rPr>
              <w:t xml:space="preserve">Proportion </w:t>
            </w:r>
            <w:r w:rsidR="00943039" w:rsidRPr="00943039">
              <w:rPr>
                <w:rFonts w:cs="Arial"/>
                <w:sz w:val="20"/>
                <w:szCs w:val="20"/>
              </w:rPr>
              <w:t>households with access to a clean water source</w:t>
            </w:r>
          </w:p>
        </w:tc>
      </w:tr>
      <w:tr w:rsidR="00870961" w:rsidRPr="00352593" w14:paraId="4CC9AFAE" w14:textId="77777777" w:rsidTr="00177DA1">
        <w:trPr>
          <w:trHeight w:val="574"/>
        </w:trPr>
        <w:tc>
          <w:tcPr>
            <w:tcW w:w="702" w:type="pct"/>
            <w:shd w:val="clear" w:color="auto" w:fill="DBE5F1" w:themeFill="accent1" w:themeFillTint="33"/>
          </w:tcPr>
          <w:p w14:paraId="406FDD23" w14:textId="77777777" w:rsidR="00943039" w:rsidRPr="00906065" w:rsidRDefault="00943039" w:rsidP="00870961">
            <w:pPr>
              <w:pStyle w:val="TabletextsmallCPA"/>
              <w:spacing w:before="40" w:after="40"/>
              <w:rPr>
                <w:b/>
                <w:color w:val="auto"/>
                <w:sz w:val="20"/>
                <w:szCs w:val="20"/>
                <w:vertAlign w:val="superscript"/>
              </w:rPr>
            </w:pPr>
            <w:r w:rsidRPr="00906065">
              <w:rPr>
                <w:b/>
                <w:color w:val="auto"/>
                <w:sz w:val="20"/>
                <w:szCs w:val="20"/>
              </w:rPr>
              <w:t>Specific objective</w:t>
            </w:r>
          </w:p>
        </w:tc>
        <w:tc>
          <w:tcPr>
            <w:tcW w:w="1410" w:type="pct"/>
            <w:shd w:val="clear" w:color="auto" w:fill="auto"/>
          </w:tcPr>
          <w:p w14:paraId="1E835AAA" w14:textId="6B64C1C0" w:rsidR="00943039" w:rsidRPr="005358D8" w:rsidRDefault="00943039" w:rsidP="00870961">
            <w:pPr>
              <w:pStyle w:val="TablebulletssmallCPA"/>
              <w:numPr>
                <w:ilvl w:val="0"/>
                <w:numId w:val="0"/>
              </w:numPr>
              <w:spacing w:before="40" w:after="40"/>
              <w:rPr>
                <w:color w:val="auto"/>
                <w:sz w:val="20"/>
                <w:szCs w:val="20"/>
              </w:rPr>
            </w:pPr>
            <w:r w:rsidRPr="00943039">
              <w:rPr>
                <w:rFonts w:cs="Arial"/>
                <w:sz w:val="20"/>
                <w:szCs w:val="20"/>
              </w:rPr>
              <w:t>To improve environmental governance in Sierra Leone and facilitate the implementation of environmental and climate change related policies.</w:t>
            </w:r>
          </w:p>
        </w:tc>
        <w:tc>
          <w:tcPr>
            <w:tcW w:w="2889" w:type="pct"/>
          </w:tcPr>
          <w:p w14:paraId="27E9DC5D" w14:textId="71B33936"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Priority regulations on environmental management tabled for Parliament/gazetted</w:t>
            </w:r>
          </w:p>
          <w:p w14:paraId="51B7A058" w14:textId="27986551" w:rsidR="00943039" w:rsidRPr="00405D53" w:rsidRDefault="00177DA1"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No. SLEPA Province/</w:t>
            </w:r>
            <w:r w:rsidR="00943039" w:rsidRPr="00405D53">
              <w:rPr>
                <w:rFonts w:asciiTheme="minorHAnsi" w:hAnsiTheme="minorHAnsi" w:cs="Arial"/>
                <w:sz w:val="20"/>
                <w:szCs w:val="20"/>
                <w:lang w:val="en-GB"/>
              </w:rPr>
              <w:t>District Offices fully staffed</w:t>
            </w:r>
            <w:r w:rsidRPr="00405D53">
              <w:rPr>
                <w:rFonts w:asciiTheme="minorHAnsi" w:hAnsiTheme="minorHAnsi" w:cs="Arial"/>
                <w:sz w:val="20"/>
                <w:szCs w:val="20"/>
                <w:lang w:val="en-GB"/>
              </w:rPr>
              <w:t xml:space="preserve"> &amp; </w:t>
            </w:r>
            <w:r w:rsidR="00943039" w:rsidRPr="00405D53">
              <w:rPr>
                <w:rFonts w:asciiTheme="minorHAnsi" w:hAnsiTheme="minorHAnsi" w:cs="Arial"/>
                <w:sz w:val="20"/>
                <w:szCs w:val="20"/>
                <w:lang w:val="en-GB"/>
              </w:rPr>
              <w:t>equipped</w:t>
            </w:r>
          </w:p>
          <w:p w14:paraId="0C8F3187" w14:textId="77777777"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 of SLEPA staff that have undergone on-the-job training</w:t>
            </w:r>
          </w:p>
          <w:p w14:paraId="6C6BCE8C" w14:textId="1CB9E365" w:rsidR="00943039" w:rsidRPr="00405D53" w:rsidRDefault="00177DA1"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 xml:space="preserve">Advances in </w:t>
            </w:r>
            <w:r w:rsidR="00943039" w:rsidRPr="00405D53">
              <w:rPr>
                <w:rFonts w:asciiTheme="minorHAnsi" w:hAnsiTheme="minorHAnsi" w:cs="Arial"/>
                <w:sz w:val="20"/>
                <w:szCs w:val="20"/>
                <w:lang w:val="en-GB"/>
              </w:rPr>
              <w:t>implementation of environmental regulations</w:t>
            </w:r>
          </w:p>
          <w:p w14:paraId="739240B7" w14:textId="7EDFCE23" w:rsidR="00943039" w:rsidRPr="00405D53" w:rsidRDefault="00943039" w:rsidP="00943039">
            <w:pPr>
              <w:pStyle w:val="TabletextsmallCPA"/>
              <w:numPr>
                <w:ilvl w:val="0"/>
                <w:numId w:val="7"/>
              </w:numPr>
              <w:spacing w:before="40" w:after="40"/>
              <w:ind w:left="316"/>
              <w:rPr>
                <w:rFonts w:cs="Arial"/>
                <w:color w:val="auto"/>
                <w:sz w:val="20"/>
                <w:szCs w:val="20"/>
              </w:rPr>
            </w:pPr>
            <w:r w:rsidRPr="00405D53">
              <w:rPr>
                <w:rFonts w:cs="Arial"/>
                <w:color w:val="auto"/>
                <w:sz w:val="20"/>
                <w:szCs w:val="20"/>
              </w:rPr>
              <w:t>% SLEPA income which is self-generated</w:t>
            </w:r>
          </w:p>
        </w:tc>
      </w:tr>
      <w:tr w:rsidR="00870961" w:rsidRPr="00352593" w14:paraId="0A4F26BE" w14:textId="77777777" w:rsidTr="00177DA1">
        <w:trPr>
          <w:trHeight w:val="574"/>
        </w:trPr>
        <w:tc>
          <w:tcPr>
            <w:tcW w:w="702" w:type="pct"/>
            <w:shd w:val="clear" w:color="auto" w:fill="DBE5F1" w:themeFill="accent1" w:themeFillTint="33"/>
          </w:tcPr>
          <w:p w14:paraId="70658225" w14:textId="77777777" w:rsidR="00943039" w:rsidRPr="00906065" w:rsidRDefault="00943039" w:rsidP="00870961">
            <w:pPr>
              <w:pStyle w:val="TabletextsmallCPA"/>
              <w:spacing w:before="40" w:after="40"/>
              <w:rPr>
                <w:b/>
                <w:color w:val="auto"/>
                <w:sz w:val="20"/>
                <w:szCs w:val="20"/>
                <w:vertAlign w:val="superscript"/>
              </w:rPr>
            </w:pPr>
            <w:r w:rsidRPr="00906065">
              <w:rPr>
                <w:b/>
                <w:color w:val="auto"/>
                <w:sz w:val="20"/>
                <w:szCs w:val="20"/>
              </w:rPr>
              <w:t>Intermediate results (outputs)</w:t>
            </w:r>
          </w:p>
        </w:tc>
        <w:tc>
          <w:tcPr>
            <w:tcW w:w="1410" w:type="pct"/>
            <w:shd w:val="clear" w:color="auto" w:fill="auto"/>
          </w:tcPr>
          <w:p w14:paraId="013EC0C7" w14:textId="109F545C" w:rsidR="00943039" w:rsidRPr="005358D8" w:rsidRDefault="00943039" w:rsidP="00870961">
            <w:pPr>
              <w:pStyle w:val="TablebulletssmallCPA"/>
              <w:numPr>
                <w:ilvl w:val="0"/>
                <w:numId w:val="0"/>
              </w:numPr>
              <w:spacing w:before="40" w:after="40"/>
              <w:rPr>
                <w:color w:val="auto"/>
                <w:sz w:val="20"/>
                <w:szCs w:val="20"/>
              </w:rPr>
            </w:pPr>
            <w:r w:rsidRPr="00943039">
              <w:rPr>
                <w:rFonts w:cs="Arial"/>
                <w:sz w:val="20"/>
                <w:szCs w:val="20"/>
              </w:rPr>
              <w:t>The Sierra Leone Environmental Protection Agency (SLEPA) is fully operational, ensures the core functions of its mandate at central and decentralised level, and makes progress in becoming financially sustainable.</w:t>
            </w:r>
          </w:p>
        </w:tc>
        <w:tc>
          <w:tcPr>
            <w:tcW w:w="2889" w:type="pct"/>
            <w:shd w:val="clear" w:color="auto" w:fill="auto"/>
          </w:tcPr>
          <w:p w14:paraId="488A90C7" w14:textId="0A3D1C97" w:rsidR="00943039" w:rsidRPr="00405D53" w:rsidRDefault="00177DA1"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 SLEPA Province/</w:t>
            </w:r>
            <w:r w:rsidR="00943039" w:rsidRPr="00405D53">
              <w:rPr>
                <w:rFonts w:asciiTheme="minorHAnsi" w:hAnsiTheme="minorHAnsi" w:cs="Arial"/>
                <w:sz w:val="20"/>
                <w:szCs w:val="20"/>
                <w:lang w:val="en-GB"/>
              </w:rPr>
              <w:t xml:space="preserve">District Offices fully staffed </w:t>
            </w:r>
            <w:r w:rsidRPr="00405D53">
              <w:rPr>
                <w:rFonts w:asciiTheme="minorHAnsi" w:hAnsiTheme="minorHAnsi" w:cs="Arial"/>
                <w:sz w:val="20"/>
                <w:szCs w:val="20"/>
                <w:lang w:val="en-GB"/>
              </w:rPr>
              <w:t>&amp;</w:t>
            </w:r>
            <w:r w:rsidR="00943039" w:rsidRPr="00405D53">
              <w:rPr>
                <w:rFonts w:asciiTheme="minorHAnsi" w:hAnsiTheme="minorHAnsi" w:cs="Arial"/>
                <w:sz w:val="20"/>
                <w:szCs w:val="20"/>
                <w:lang w:val="en-GB"/>
              </w:rPr>
              <w:t xml:space="preserve"> equipped</w:t>
            </w:r>
          </w:p>
          <w:p w14:paraId="06E104E7" w14:textId="657E88B9"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 SLEPA staff that have undergone on-the-job training relevant to their functions</w:t>
            </w:r>
          </w:p>
          <w:p w14:paraId="0185C6E5" w14:textId="77777777"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State (draft/approved) of long-term SLEPA business plan, integrating sources of funding and their management</w:t>
            </w:r>
          </w:p>
          <w:p w14:paraId="27735FFE" w14:textId="77777777"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 of sampling equipment for basic water, soil and air quality analysis at headquarters, province and district offices, as required, acquired by SLEPA</w:t>
            </w:r>
          </w:p>
          <w:p w14:paraId="0E5FFAAE" w14:textId="77777777"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Number of SLEPA Annual Reports produced</w:t>
            </w:r>
          </w:p>
          <w:p w14:paraId="1320A743" w14:textId="42500011"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 xml:space="preserve">State of Guidelines for preparation of EIAs in key sectors </w:t>
            </w:r>
          </w:p>
          <w:p w14:paraId="07A4A671" w14:textId="75BB806B"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 xml:space="preserve">State of Manual for Field Operations </w:t>
            </w:r>
          </w:p>
          <w:p w14:paraId="6FE39EC7" w14:textId="0E4572A9" w:rsidR="00943039" w:rsidRPr="00405D53" w:rsidRDefault="00943039" w:rsidP="00177DA1">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State of completion o</w:t>
            </w:r>
            <w:r w:rsidR="00177DA1" w:rsidRPr="00405D53">
              <w:rPr>
                <w:rFonts w:asciiTheme="minorHAnsi" w:hAnsiTheme="minorHAnsi" w:cs="Arial"/>
                <w:sz w:val="20"/>
                <w:szCs w:val="20"/>
                <w:lang w:val="en-GB"/>
              </w:rPr>
              <w:t>f water quality monitoring plan</w:t>
            </w:r>
          </w:p>
        </w:tc>
      </w:tr>
      <w:tr w:rsidR="00870961" w:rsidRPr="005D175D" w14:paraId="556EE76D" w14:textId="77777777" w:rsidTr="00177DA1">
        <w:trPr>
          <w:trHeight w:val="574"/>
        </w:trPr>
        <w:tc>
          <w:tcPr>
            <w:tcW w:w="702" w:type="pct"/>
            <w:shd w:val="clear" w:color="auto" w:fill="DBE5F1" w:themeFill="accent1" w:themeFillTint="33"/>
          </w:tcPr>
          <w:p w14:paraId="198DF09C" w14:textId="77777777" w:rsidR="00943039" w:rsidRPr="00247BD4" w:rsidRDefault="00943039" w:rsidP="00870961">
            <w:pPr>
              <w:pStyle w:val="TabletextCPA"/>
              <w:spacing w:before="40" w:after="40"/>
              <w:rPr>
                <w:color w:val="244061" w:themeColor="accent1" w:themeShade="80"/>
                <w:sz w:val="20"/>
                <w:szCs w:val="20"/>
                <w:vertAlign w:val="superscript"/>
              </w:rPr>
            </w:pPr>
          </w:p>
        </w:tc>
        <w:tc>
          <w:tcPr>
            <w:tcW w:w="1410" w:type="pct"/>
            <w:shd w:val="clear" w:color="auto" w:fill="auto"/>
          </w:tcPr>
          <w:p w14:paraId="7554633D" w14:textId="62AAA7BC" w:rsidR="00943039" w:rsidRPr="00943039" w:rsidRDefault="00943039" w:rsidP="00870961">
            <w:pPr>
              <w:pStyle w:val="TablebulletssmallCPA"/>
              <w:numPr>
                <w:ilvl w:val="0"/>
                <w:numId w:val="0"/>
              </w:numPr>
              <w:spacing w:before="40" w:after="40"/>
              <w:rPr>
                <w:color w:val="auto"/>
                <w:sz w:val="20"/>
                <w:szCs w:val="20"/>
              </w:rPr>
            </w:pPr>
            <w:r w:rsidRPr="00943039">
              <w:rPr>
                <w:sz w:val="20"/>
                <w:szCs w:val="20"/>
              </w:rPr>
              <w:t>Mainstreaming efforts by SLEPA lead to the development of coherent environmental policies, regulations and standards on environment and climate change, and progress is made on their implementation.</w:t>
            </w:r>
          </w:p>
        </w:tc>
        <w:tc>
          <w:tcPr>
            <w:tcW w:w="2889" w:type="pct"/>
            <w:shd w:val="clear" w:color="auto" w:fill="auto"/>
          </w:tcPr>
          <w:p w14:paraId="7F43B6F8" w14:textId="711A77FB"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State of review of existing legislation on EIA</w:t>
            </w:r>
          </w:p>
          <w:p w14:paraId="63CF3350" w14:textId="1E137ADF"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 xml:space="preserve">State of key environmental management regulations </w:t>
            </w:r>
          </w:p>
          <w:p w14:paraId="1EF08192" w14:textId="6C5D8C6F"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 xml:space="preserve">State of formulation of water quality standards </w:t>
            </w:r>
          </w:p>
          <w:p w14:paraId="0BA77B09" w14:textId="77777777"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 of activities requiring an EIA that have prepared one</w:t>
            </w:r>
          </w:p>
          <w:p w14:paraId="3751BA90" w14:textId="3327B634" w:rsidR="00943039" w:rsidRPr="005D175D" w:rsidRDefault="00943039" w:rsidP="00943039">
            <w:pPr>
              <w:pStyle w:val="TabletextsmallCPA"/>
              <w:numPr>
                <w:ilvl w:val="0"/>
                <w:numId w:val="7"/>
              </w:numPr>
              <w:spacing w:before="40" w:after="40"/>
              <w:ind w:left="316"/>
              <w:rPr>
                <w:rFonts w:cs="Arial"/>
                <w:color w:val="auto"/>
                <w:sz w:val="20"/>
                <w:szCs w:val="20"/>
              </w:rPr>
            </w:pPr>
            <w:r w:rsidRPr="005D175D">
              <w:rPr>
                <w:rFonts w:cs="Arial"/>
                <w:color w:val="auto"/>
                <w:sz w:val="20"/>
                <w:szCs w:val="20"/>
              </w:rPr>
              <w:t>% of large-scale and medium-scale mining operations for which regular (at least bi-annual) effluent discharge monitoring reports are produced</w:t>
            </w:r>
          </w:p>
        </w:tc>
      </w:tr>
      <w:tr w:rsidR="00870961" w:rsidRPr="00352593" w14:paraId="68A0D233" w14:textId="77777777" w:rsidTr="00177DA1">
        <w:trPr>
          <w:trHeight w:val="574"/>
        </w:trPr>
        <w:tc>
          <w:tcPr>
            <w:tcW w:w="702" w:type="pct"/>
            <w:shd w:val="clear" w:color="auto" w:fill="DBE5F1" w:themeFill="accent1" w:themeFillTint="33"/>
          </w:tcPr>
          <w:p w14:paraId="1AB11485" w14:textId="77777777" w:rsidR="00943039" w:rsidRPr="00247BD4" w:rsidRDefault="00943039" w:rsidP="00870961">
            <w:pPr>
              <w:pStyle w:val="TabletextCPA"/>
              <w:spacing w:before="40" w:after="40"/>
              <w:rPr>
                <w:color w:val="244061" w:themeColor="accent1" w:themeShade="80"/>
                <w:sz w:val="20"/>
                <w:szCs w:val="20"/>
                <w:vertAlign w:val="superscript"/>
              </w:rPr>
            </w:pPr>
          </w:p>
        </w:tc>
        <w:tc>
          <w:tcPr>
            <w:tcW w:w="1410" w:type="pct"/>
            <w:shd w:val="clear" w:color="auto" w:fill="auto"/>
          </w:tcPr>
          <w:p w14:paraId="166CF694" w14:textId="1D7B0278" w:rsidR="00943039" w:rsidRPr="005358D8" w:rsidRDefault="00943039" w:rsidP="00870961">
            <w:pPr>
              <w:pStyle w:val="TablebulletssmallCPA"/>
              <w:numPr>
                <w:ilvl w:val="0"/>
                <w:numId w:val="0"/>
              </w:numPr>
              <w:spacing w:before="40" w:after="40"/>
              <w:ind w:left="-32"/>
              <w:rPr>
                <w:color w:val="auto"/>
                <w:sz w:val="20"/>
                <w:szCs w:val="20"/>
              </w:rPr>
            </w:pPr>
            <w:r w:rsidRPr="00943039">
              <w:rPr>
                <w:rFonts w:cs="Arial"/>
                <w:sz w:val="20"/>
                <w:szCs w:val="20"/>
              </w:rPr>
              <w:t>The environmental awareness of the general public, particularly the Youth and Women, in relation to environmental and climate change related issues has significantly increased.</w:t>
            </w:r>
          </w:p>
        </w:tc>
        <w:tc>
          <w:tcPr>
            <w:tcW w:w="2889" w:type="pct"/>
            <w:shd w:val="clear" w:color="auto" w:fill="auto"/>
          </w:tcPr>
          <w:p w14:paraId="310FBD3A" w14:textId="551CD18B" w:rsidR="00943039" w:rsidRPr="00405D53" w:rsidRDefault="00177DA1"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No.</w:t>
            </w:r>
            <w:r w:rsidR="00943039" w:rsidRPr="00405D53">
              <w:rPr>
                <w:rFonts w:asciiTheme="minorHAnsi" w:hAnsiTheme="minorHAnsi" w:cs="Arial"/>
                <w:sz w:val="20"/>
                <w:szCs w:val="20"/>
                <w:lang w:val="en-GB"/>
              </w:rPr>
              <w:t xml:space="preserve"> projects funded under call for proposals on environmental and climate change awareness raising and education</w:t>
            </w:r>
          </w:p>
          <w:p w14:paraId="4ABC8AD1" w14:textId="26AFFE02" w:rsidR="00943039" w:rsidRPr="00405D53" w:rsidRDefault="00177DA1"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 xml:space="preserve">% </w:t>
            </w:r>
            <w:r w:rsidR="00943039" w:rsidRPr="00405D53">
              <w:rPr>
                <w:rFonts w:asciiTheme="minorHAnsi" w:hAnsiTheme="minorHAnsi" w:cs="Arial"/>
                <w:sz w:val="20"/>
                <w:szCs w:val="20"/>
                <w:lang w:val="en-GB"/>
              </w:rPr>
              <w:t>projects funded under call for proposals on environmental and climate change awareness raising and education specifically targeting youth &amp; women</w:t>
            </w:r>
          </w:p>
          <w:p w14:paraId="3315DBDF" w14:textId="015BA386" w:rsidR="00943039" w:rsidRPr="00405D53" w:rsidRDefault="00943039" w:rsidP="00943039">
            <w:pPr>
              <w:pStyle w:val="TabletextsmallCPA"/>
              <w:numPr>
                <w:ilvl w:val="0"/>
                <w:numId w:val="7"/>
              </w:numPr>
              <w:spacing w:before="40" w:after="40"/>
              <w:ind w:left="316"/>
              <w:rPr>
                <w:rFonts w:cs="Arial"/>
                <w:color w:val="auto"/>
                <w:sz w:val="20"/>
                <w:szCs w:val="20"/>
              </w:rPr>
            </w:pPr>
            <w:r w:rsidRPr="00405D53">
              <w:rPr>
                <w:rFonts w:cs="Arial"/>
                <w:color w:val="auto"/>
                <w:sz w:val="20"/>
                <w:szCs w:val="20"/>
              </w:rPr>
              <w:t>Advances in integrating environmental education into school curricula (primary and secondary)</w:t>
            </w:r>
          </w:p>
        </w:tc>
      </w:tr>
      <w:tr w:rsidR="00943039" w:rsidRPr="00352593" w14:paraId="0B213FC5" w14:textId="77777777" w:rsidTr="00177DA1">
        <w:trPr>
          <w:trHeight w:val="574"/>
        </w:trPr>
        <w:tc>
          <w:tcPr>
            <w:tcW w:w="702" w:type="pct"/>
            <w:shd w:val="clear" w:color="auto" w:fill="DBE5F1" w:themeFill="accent1" w:themeFillTint="33"/>
          </w:tcPr>
          <w:p w14:paraId="7DCB1D1A" w14:textId="77777777" w:rsidR="00943039" w:rsidRPr="00247BD4" w:rsidRDefault="00943039" w:rsidP="00870961">
            <w:pPr>
              <w:pStyle w:val="TabletextCPA"/>
              <w:spacing w:before="40" w:after="40"/>
              <w:rPr>
                <w:color w:val="244061" w:themeColor="accent1" w:themeShade="80"/>
                <w:sz w:val="20"/>
                <w:szCs w:val="20"/>
                <w:vertAlign w:val="superscript"/>
              </w:rPr>
            </w:pPr>
          </w:p>
        </w:tc>
        <w:tc>
          <w:tcPr>
            <w:tcW w:w="1410" w:type="pct"/>
            <w:shd w:val="clear" w:color="auto" w:fill="auto"/>
          </w:tcPr>
          <w:p w14:paraId="74287AB6" w14:textId="7B3E3FA5" w:rsidR="00943039" w:rsidRPr="00943039" w:rsidRDefault="00943039" w:rsidP="00870961">
            <w:pPr>
              <w:pStyle w:val="TablebulletssmallCPA"/>
              <w:numPr>
                <w:ilvl w:val="0"/>
                <w:numId w:val="0"/>
              </w:numPr>
              <w:spacing w:before="40" w:after="40"/>
              <w:ind w:left="-32"/>
              <w:rPr>
                <w:rFonts w:cs="Arial"/>
                <w:sz w:val="20"/>
                <w:szCs w:val="20"/>
              </w:rPr>
            </w:pPr>
            <w:r w:rsidRPr="00943039">
              <w:rPr>
                <w:rFonts w:cs="Arial"/>
                <w:sz w:val="20"/>
                <w:szCs w:val="20"/>
              </w:rPr>
              <w:t>The professional skills level on environmental management and climate change in Sierra Leone is increased in priority areas.</w:t>
            </w:r>
          </w:p>
        </w:tc>
        <w:tc>
          <w:tcPr>
            <w:tcW w:w="2889" w:type="pct"/>
            <w:shd w:val="clear" w:color="auto" w:fill="auto"/>
          </w:tcPr>
          <w:p w14:paraId="13FD7021" w14:textId="5B40C340"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Advances in the professional training needs assessment in environmenta</w:t>
            </w:r>
            <w:r w:rsidR="00177DA1" w:rsidRPr="00405D53">
              <w:rPr>
                <w:rFonts w:asciiTheme="minorHAnsi" w:hAnsiTheme="minorHAnsi" w:cs="Arial"/>
                <w:sz w:val="20"/>
                <w:szCs w:val="20"/>
                <w:lang w:val="en-GB"/>
              </w:rPr>
              <w:t>l management and climate change</w:t>
            </w:r>
          </w:p>
          <w:p w14:paraId="7CC35636" w14:textId="77777777"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Number of key individuals put through post-graduate training on relevant areas of study</w:t>
            </w:r>
          </w:p>
          <w:p w14:paraId="4FF87EB2" w14:textId="6CCF469B" w:rsidR="00943039" w:rsidRPr="00405D53" w:rsidRDefault="00943039" w:rsidP="00943039">
            <w:pPr>
              <w:pStyle w:val="ListParagraph"/>
              <w:numPr>
                <w:ilvl w:val="0"/>
                <w:numId w:val="7"/>
              </w:numPr>
              <w:snapToGrid w:val="0"/>
              <w:spacing w:before="20" w:after="20"/>
              <w:ind w:left="316"/>
              <w:rPr>
                <w:rFonts w:asciiTheme="minorHAnsi" w:hAnsiTheme="minorHAnsi" w:cs="Arial"/>
                <w:sz w:val="20"/>
                <w:szCs w:val="20"/>
                <w:lang w:val="en-GB"/>
              </w:rPr>
            </w:pPr>
            <w:r w:rsidRPr="00405D53">
              <w:rPr>
                <w:rFonts w:asciiTheme="minorHAnsi" w:hAnsiTheme="minorHAnsi" w:cs="Arial"/>
                <w:sz w:val="20"/>
                <w:szCs w:val="20"/>
                <w:lang w:val="en-GB"/>
              </w:rPr>
              <w:t>Proportion of women receiving post-graduate training, funded by the project, on relevant areas of study</w:t>
            </w:r>
          </w:p>
        </w:tc>
      </w:tr>
    </w:tbl>
    <w:p w14:paraId="7AF69E34" w14:textId="245F2F03" w:rsidR="00B012E3" w:rsidRPr="003B7A50" w:rsidRDefault="00B012E3" w:rsidP="00B012E3">
      <w:pPr>
        <w:spacing w:before="120"/>
        <w:jc w:val="center"/>
        <w:rPr>
          <w:rFonts w:asciiTheme="minorHAnsi" w:hAnsiTheme="minorHAnsi" w:cstheme="minorHAnsi"/>
          <w:sz w:val="20"/>
          <w:szCs w:val="20"/>
          <w:lang w:val="en-GB"/>
        </w:rPr>
      </w:pPr>
      <w:r w:rsidRPr="003B7A50">
        <w:rPr>
          <w:rFonts w:asciiTheme="minorHAnsi" w:hAnsiTheme="minorHAnsi" w:cstheme="minorHAnsi"/>
          <w:sz w:val="20"/>
          <w:szCs w:val="20"/>
          <w:lang w:val="en-GB"/>
        </w:rPr>
        <w:t xml:space="preserve">Source: </w:t>
      </w:r>
      <w:r>
        <w:rPr>
          <w:rFonts w:asciiTheme="minorHAnsi" w:hAnsiTheme="minorHAnsi" w:cstheme="minorHAnsi"/>
          <w:sz w:val="20"/>
          <w:szCs w:val="20"/>
          <w:lang w:val="en-GB"/>
        </w:rPr>
        <w:t xml:space="preserve">draft Action Fiche for the Sierra Leone </w:t>
      </w:r>
      <w:r w:rsidR="00943039">
        <w:rPr>
          <w:rFonts w:asciiTheme="minorHAnsi" w:hAnsiTheme="minorHAnsi" w:cstheme="minorHAnsi"/>
          <w:sz w:val="20"/>
          <w:szCs w:val="20"/>
          <w:lang w:val="en-GB"/>
        </w:rPr>
        <w:t>Environmental Governance and Mainstreaming Project</w:t>
      </w:r>
      <w:r>
        <w:rPr>
          <w:rFonts w:asciiTheme="minorHAnsi" w:hAnsiTheme="minorHAnsi" w:cstheme="minorHAnsi"/>
          <w:sz w:val="20"/>
          <w:szCs w:val="20"/>
          <w:lang w:val="en-GB"/>
        </w:rPr>
        <w:t xml:space="preserve">; </w:t>
      </w:r>
      <w:r w:rsidR="00177DA1">
        <w:rPr>
          <w:rFonts w:asciiTheme="minorHAnsi" w:hAnsiTheme="minorHAnsi" w:cstheme="minorHAnsi"/>
          <w:sz w:val="20"/>
          <w:szCs w:val="20"/>
          <w:lang w:val="en-GB"/>
        </w:rPr>
        <w:t xml:space="preserve">extracts </w:t>
      </w:r>
      <w:r>
        <w:rPr>
          <w:rFonts w:asciiTheme="minorHAnsi" w:hAnsiTheme="minorHAnsi" w:cstheme="minorHAnsi"/>
          <w:sz w:val="20"/>
          <w:szCs w:val="20"/>
          <w:lang w:val="en-GB"/>
        </w:rPr>
        <w:t xml:space="preserve">from the project’s </w:t>
      </w:r>
      <w:r w:rsidR="00943039">
        <w:rPr>
          <w:rFonts w:asciiTheme="minorHAnsi" w:hAnsiTheme="minorHAnsi" w:cstheme="minorHAnsi"/>
          <w:sz w:val="20"/>
          <w:szCs w:val="20"/>
          <w:lang w:val="en-GB"/>
        </w:rPr>
        <w:t xml:space="preserve">draft </w:t>
      </w:r>
      <w:r>
        <w:rPr>
          <w:rFonts w:asciiTheme="minorHAnsi" w:hAnsiTheme="minorHAnsi" w:cstheme="minorHAnsi"/>
          <w:sz w:val="20"/>
          <w:szCs w:val="20"/>
          <w:lang w:val="en-GB"/>
        </w:rPr>
        <w:t>logical framework.</w:t>
      </w:r>
    </w:p>
    <w:p w14:paraId="4EF0472A" w14:textId="77777777" w:rsidR="002B3E52" w:rsidRDefault="002B3E52" w:rsidP="003B7A50">
      <w:pPr>
        <w:rPr>
          <w:rFonts w:asciiTheme="minorHAnsi" w:hAnsiTheme="minorHAnsi" w:cstheme="minorHAnsi"/>
          <w:sz w:val="22"/>
          <w:szCs w:val="22"/>
          <w:lang w:val="en-GB"/>
        </w:rPr>
      </w:pPr>
    </w:p>
    <w:p w14:paraId="6B6C61BD" w14:textId="3B71FD37" w:rsidR="00EB5117" w:rsidRDefault="00EB5117" w:rsidP="00EB5117">
      <w:pPr>
        <w:spacing w:before="120" w:after="120"/>
        <w:jc w:val="center"/>
        <w:rPr>
          <w:rFonts w:asciiTheme="minorHAnsi" w:hAnsiTheme="minorHAnsi" w:cstheme="minorHAnsi"/>
          <w:b/>
          <w:sz w:val="20"/>
          <w:szCs w:val="20"/>
          <w:lang w:val="en-GB"/>
        </w:rPr>
      </w:pPr>
      <w:r>
        <w:rPr>
          <w:rFonts w:asciiTheme="minorHAnsi" w:hAnsiTheme="minorHAnsi" w:cstheme="minorHAnsi"/>
          <w:b/>
          <w:sz w:val="20"/>
          <w:szCs w:val="20"/>
          <w:lang w:val="en-GB"/>
        </w:rPr>
        <w:t>Table 9.3</w:t>
      </w:r>
      <w:r w:rsidRPr="003B7A50">
        <w:rPr>
          <w:rFonts w:asciiTheme="minorHAnsi" w:hAnsiTheme="minorHAnsi" w:cstheme="minorHAnsi"/>
          <w:b/>
          <w:sz w:val="20"/>
          <w:szCs w:val="20"/>
          <w:lang w:val="en-GB"/>
        </w:rPr>
        <w:t xml:space="preserve"> – Examples of indicators for </w:t>
      </w:r>
      <w:r>
        <w:rPr>
          <w:rFonts w:asciiTheme="minorHAnsi" w:hAnsiTheme="minorHAnsi" w:cstheme="minorHAnsi"/>
          <w:b/>
          <w:sz w:val="20"/>
          <w:szCs w:val="20"/>
          <w:lang w:val="en-GB"/>
        </w:rPr>
        <w:t xml:space="preserve">a climate </w:t>
      </w:r>
      <w:proofErr w:type="gramStart"/>
      <w:r>
        <w:rPr>
          <w:rFonts w:asciiTheme="minorHAnsi" w:hAnsiTheme="minorHAnsi" w:cstheme="minorHAnsi"/>
          <w:b/>
          <w:sz w:val="20"/>
          <w:szCs w:val="20"/>
          <w:lang w:val="en-GB"/>
        </w:rPr>
        <w:t>change mainstreaming</w:t>
      </w:r>
      <w:proofErr w:type="gramEnd"/>
      <w:r w:rsidRPr="003B7A50">
        <w:rPr>
          <w:rFonts w:asciiTheme="minorHAnsi" w:hAnsiTheme="minorHAnsi" w:cstheme="minorHAnsi"/>
          <w:b/>
          <w:sz w:val="20"/>
          <w:szCs w:val="20"/>
          <w:lang w:val="en-GB"/>
        </w:rPr>
        <w:t xml:space="preserve"> project</w:t>
      </w:r>
    </w:p>
    <w:tbl>
      <w:tblPr>
        <w:tblStyle w:val="TableGrid"/>
        <w:tblW w:w="4944" w:type="pct"/>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shd w:val="clear" w:color="auto" w:fill="DDD9C3" w:themeFill="background2" w:themeFillShade="E6"/>
        <w:tblLook w:val="04A0" w:firstRow="1" w:lastRow="0" w:firstColumn="1" w:lastColumn="0" w:noHBand="0" w:noVBand="1"/>
      </w:tblPr>
      <w:tblGrid>
        <w:gridCol w:w="1309"/>
        <w:gridCol w:w="3477"/>
        <w:gridCol w:w="4536"/>
      </w:tblGrid>
      <w:tr w:rsidR="00EB5117" w:rsidRPr="00352593" w14:paraId="5587E93D" w14:textId="77777777" w:rsidTr="002D6399">
        <w:trPr>
          <w:trHeight w:val="577"/>
          <w:tblHeader/>
        </w:trPr>
        <w:tc>
          <w:tcPr>
            <w:tcW w:w="5000" w:type="pct"/>
            <w:gridSpan w:val="3"/>
            <w:shd w:val="clear" w:color="auto" w:fill="365F91" w:themeFill="accent1" w:themeFillShade="BF"/>
          </w:tcPr>
          <w:p w14:paraId="37EE8C44" w14:textId="0CE51E64" w:rsidR="00EB5117" w:rsidRPr="00906065" w:rsidRDefault="00EB5117" w:rsidP="00EB5117">
            <w:pPr>
              <w:pStyle w:val="TabletextsmallCPA"/>
              <w:spacing w:before="40" w:after="40"/>
              <w:jc w:val="center"/>
              <w:rPr>
                <w:b/>
                <w:color w:val="FFFFFF" w:themeColor="background1"/>
                <w:sz w:val="20"/>
                <w:szCs w:val="20"/>
              </w:rPr>
            </w:pPr>
            <w:r>
              <w:rPr>
                <w:b/>
                <w:color w:val="FFFFFF" w:themeColor="background1"/>
                <w:sz w:val="20"/>
                <w:szCs w:val="20"/>
              </w:rPr>
              <w:t>Mozambique</w:t>
            </w:r>
            <w:r w:rsidRPr="00906065">
              <w:rPr>
                <w:b/>
                <w:color w:val="FFFFFF" w:themeColor="background1"/>
                <w:sz w:val="20"/>
                <w:szCs w:val="20"/>
              </w:rPr>
              <w:t xml:space="preserve"> </w:t>
            </w:r>
            <w:r w:rsidRPr="00906065">
              <w:rPr>
                <w:b/>
                <w:color w:val="FFFFFF" w:themeColor="background1"/>
                <w:sz w:val="20"/>
                <w:szCs w:val="20"/>
              </w:rPr>
              <w:br/>
            </w:r>
            <w:r>
              <w:rPr>
                <w:b/>
                <w:color w:val="FFFFFF" w:themeColor="background1"/>
                <w:sz w:val="20"/>
                <w:szCs w:val="20"/>
              </w:rPr>
              <w:t>Mainstreaming of climate change into policies and strategies and to adapt to climate change impact support</w:t>
            </w:r>
          </w:p>
        </w:tc>
      </w:tr>
      <w:tr w:rsidR="006C67CF" w:rsidRPr="007C472C" w14:paraId="2D3D9B9E" w14:textId="77777777" w:rsidTr="006C67CF">
        <w:trPr>
          <w:trHeight w:val="577"/>
          <w:tblHeader/>
        </w:trPr>
        <w:tc>
          <w:tcPr>
            <w:tcW w:w="2567" w:type="pct"/>
            <w:gridSpan w:val="2"/>
            <w:shd w:val="clear" w:color="auto" w:fill="DBE5F1" w:themeFill="accent1" w:themeFillTint="33"/>
          </w:tcPr>
          <w:p w14:paraId="5A0BAF83" w14:textId="77777777" w:rsidR="00EB5117" w:rsidRPr="00906065" w:rsidRDefault="00EB5117" w:rsidP="002D6399">
            <w:pPr>
              <w:pStyle w:val="TabletextsmallCPA"/>
              <w:spacing w:before="40" w:after="40"/>
              <w:rPr>
                <w:b/>
                <w:color w:val="auto"/>
                <w:sz w:val="20"/>
                <w:szCs w:val="20"/>
              </w:rPr>
            </w:pPr>
            <w:r w:rsidRPr="00906065">
              <w:rPr>
                <w:b/>
                <w:color w:val="auto"/>
                <w:sz w:val="20"/>
                <w:szCs w:val="20"/>
              </w:rPr>
              <w:t>Objectives</w:t>
            </w:r>
          </w:p>
        </w:tc>
        <w:tc>
          <w:tcPr>
            <w:tcW w:w="2433" w:type="pct"/>
            <w:shd w:val="clear" w:color="auto" w:fill="DBE5F1" w:themeFill="accent1" w:themeFillTint="33"/>
          </w:tcPr>
          <w:p w14:paraId="0D591314" w14:textId="77777777" w:rsidR="00EB5117" w:rsidRPr="00906065" w:rsidRDefault="00EB5117" w:rsidP="002D6399">
            <w:pPr>
              <w:pStyle w:val="TabletextsmallCPA"/>
              <w:spacing w:before="40" w:after="40"/>
              <w:rPr>
                <w:b/>
                <w:color w:val="auto"/>
                <w:sz w:val="20"/>
                <w:szCs w:val="20"/>
              </w:rPr>
            </w:pPr>
            <w:r w:rsidRPr="00906065">
              <w:rPr>
                <w:b/>
                <w:color w:val="auto"/>
                <w:sz w:val="20"/>
                <w:szCs w:val="20"/>
              </w:rPr>
              <w:t>Corresponding indicators</w:t>
            </w:r>
          </w:p>
        </w:tc>
      </w:tr>
      <w:tr w:rsidR="006C67CF" w:rsidRPr="00352593" w14:paraId="31A135F0" w14:textId="77777777" w:rsidTr="006C67CF">
        <w:trPr>
          <w:trHeight w:val="577"/>
        </w:trPr>
        <w:tc>
          <w:tcPr>
            <w:tcW w:w="702" w:type="pct"/>
            <w:shd w:val="clear" w:color="auto" w:fill="DBE5F1" w:themeFill="accent1" w:themeFillTint="33"/>
          </w:tcPr>
          <w:p w14:paraId="2F87BC77" w14:textId="272A4710" w:rsidR="00EB5117" w:rsidRPr="00906065" w:rsidRDefault="00EB5117" w:rsidP="002D6399">
            <w:pPr>
              <w:pStyle w:val="Tablesubtitles11smallCPA"/>
              <w:spacing w:before="40" w:after="40"/>
              <w:rPr>
                <w:color w:val="auto"/>
                <w:sz w:val="20"/>
                <w:szCs w:val="20"/>
              </w:rPr>
            </w:pPr>
            <w:r>
              <w:rPr>
                <w:color w:val="auto"/>
                <w:sz w:val="20"/>
                <w:szCs w:val="20"/>
              </w:rPr>
              <w:t>Specific</w:t>
            </w:r>
            <w:r w:rsidRPr="00906065">
              <w:rPr>
                <w:color w:val="auto"/>
                <w:sz w:val="20"/>
                <w:szCs w:val="20"/>
              </w:rPr>
              <w:t xml:space="preserve"> objective</w:t>
            </w:r>
          </w:p>
        </w:tc>
        <w:tc>
          <w:tcPr>
            <w:tcW w:w="1865" w:type="pct"/>
            <w:shd w:val="clear" w:color="auto" w:fill="auto"/>
          </w:tcPr>
          <w:p w14:paraId="0555E053" w14:textId="3B60F8F0" w:rsidR="00EB5117" w:rsidRPr="005358D8" w:rsidRDefault="00EB5117" w:rsidP="002D6399">
            <w:pPr>
              <w:pStyle w:val="TablebulletssmallCPA"/>
              <w:numPr>
                <w:ilvl w:val="0"/>
                <w:numId w:val="0"/>
              </w:numPr>
              <w:spacing w:before="40" w:after="40"/>
              <w:rPr>
                <w:color w:val="auto"/>
                <w:sz w:val="20"/>
                <w:szCs w:val="20"/>
              </w:rPr>
            </w:pPr>
            <w:r>
              <w:rPr>
                <w:rFonts w:cs="Arial"/>
                <w:sz w:val="20"/>
                <w:szCs w:val="20"/>
              </w:rPr>
              <w:t>Support adequate mainstreaming of climate change and climate-proofing initiatives into the Government poverty alleviation and development strategies</w:t>
            </w:r>
          </w:p>
        </w:tc>
        <w:tc>
          <w:tcPr>
            <w:tcW w:w="2433" w:type="pct"/>
            <w:shd w:val="clear" w:color="auto" w:fill="auto"/>
          </w:tcPr>
          <w:p w14:paraId="769D9F25" w14:textId="02C6CA97" w:rsidR="00EB5117" w:rsidRPr="00EB5117" w:rsidRDefault="00EB5117" w:rsidP="002D6399">
            <w:pPr>
              <w:pStyle w:val="TabletextsmallCPA"/>
              <w:numPr>
                <w:ilvl w:val="0"/>
                <w:numId w:val="7"/>
              </w:numPr>
              <w:spacing w:before="40" w:after="40"/>
              <w:ind w:left="316"/>
              <w:rPr>
                <w:i/>
                <w:color w:val="auto"/>
                <w:sz w:val="20"/>
                <w:szCs w:val="20"/>
              </w:rPr>
            </w:pPr>
            <w:r>
              <w:rPr>
                <w:color w:val="auto"/>
                <w:sz w:val="20"/>
                <w:szCs w:val="20"/>
              </w:rPr>
              <w:t>Nº of policies and sector strategies reviewed and harmonised</w:t>
            </w:r>
          </w:p>
          <w:p w14:paraId="33F74F12" w14:textId="5A9843D5" w:rsidR="00EB5117" w:rsidRPr="005358D8" w:rsidRDefault="00EB5117" w:rsidP="00EB5117">
            <w:pPr>
              <w:pStyle w:val="TabletextsmallCPA"/>
              <w:numPr>
                <w:ilvl w:val="0"/>
                <w:numId w:val="7"/>
              </w:numPr>
              <w:spacing w:before="40" w:after="40"/>
              <w:ind w:left="316"/>
              <w:rPr>
                <w:i/>
                <w:color w:val="auto"/>
                <w:sz w:val="20"/>
                <w:szCs w:val="20"/>
              </w:rPr>
            </w:pPr>
            <w:r>
              <w:rPr>
                <w:color w:val="auto"/>
                <w:sz w:val="20"/>
                <w:szCs w:val="20"/>
              </w:rPr>
              <w:t>Nº of key partners and target groups satisfied with the coordination performance of MICOA (environmental authority)) on climate change compared to baseline study</w:t>
            </w:r>
          </w:p>
        </w:tc>
      </w:tr>
      <w:tr w:rsidR="006C67CF" w:rsidRPr="00352593" w14:paraId="18F78300" w14:textId="77777777" w:rsidTr="006C67CF">
        <w:trPr>
          <w:trHeight w:val="574"/>
        </w:trPr>
        <w:tc>
          <w:tcPr>
            <w:tcW w:w="702" w:type="pct"/>
            <w:shd w:val="clear" w:color="auto" w:fill="DBE5F1" w:themeFill="accent1" w:themeFillTint="33"/>
          </w:tcPr>
          <w:p w14:paraId="662562B5" w14:textId="77777777" w:rsidR="00EB5117" w:rsidRPr="00906065" w:rsidRDefault="00EB5117" w:rsidP="002D6399">
            <w:pPr>
              <w:pStyle w:val="TabletextsmallCPA"/>
              <w:spacing w:before="40" w:after="40"/>
              <w:rPr>
                <w:b/>
                <w:color w:val="auto"/>
                <w:sz w:val="20"/>
                <w:szCs w:val="20"/>
                <w:vertAlign w:val="superscript"/>
              </w:rPr>
            </w:pPr>
            <w:r w:rsidRPr="00906065">
              <w:rPr>
                <w:b/>
                <w:color w:val="auto"/>
                <w:sz w:val="20"/>
                <w:szCs w:val="20"/>
              </w:rPr>
              <w:t>Intermediate results (outputs)</w:t>
            </w:r>
          </w:p>
        </w:tc>
        <w:tc>
          <w:tcPr>
            <w:tcW w:w="1865" w:type="pct"/>
            <w:shd w:val="clear" w:color="auto" w:fill="auto"/>
          </w:tcPr>
          <w:p w14:paraId="4348A846" w14:textId="78ADDA7D" w:rsidR="00EB5117" w:rsidRPr="005358D8" w:rsidRDefault="00EB5117" w:rsidP="002D6399">
            <w:pPr>
              <w:pStyle w:val="TablebulletssmallCPA"/>
              <w:numPr>
                <w:ilvl w:val="0"/>
                <w:numId w:val="0"/>
              </w:numPr>
              <w:spacing w:before="40" w:after="40"/>
              <w:rPr>
                <w:color w:val="auto"/>
                <w:sz w:val="20"/>
                <w:szCs w:val="20"/>
              </w:rPr>
            </w:pPr>
            <w:r>
              <w:rPr>
                <w:rFonts w:cs="Arial"/>
                <w:sz w:val="20"/>
                <w:szCs w:val="20"/>
              </w:rPr>
              <w:t>Capacity building – Institutional and financial management capacity and technical expertise of key government institutions is strengthened, contributing to increased implementation and budget execution</w:t>
            </w:r>
          </w:p>
        </w:tc>
        <w:tc>
          <w:tcPr>
            <w:tcW w:w="2433" w:type="pct"/>
            <w:shd w:val="clear" w:color="auto" w:fill="auto"/>
          </w:tcPr>
          <w:p w14:paraId="7F8C6D2C" w14:textId="77777777" w:rsidR="00EB5117" w:rsidRDefault="00B2689E" w:rsidP="002D6399">
            <w:pPr>
              <w:pStyle w:val="ListParagraph"/>
              <w:numPr>
                <w:ilvl w:val="0"/>
                <w:numId w:val="7"/>
              </w:numPr>
              <w:snapToGrid w:val="0"/>
              <w:spacing w:before="20" w:after="20"/>
              <w:ind w:left="316"/>
              <w:rPr>
                <w:rFonts w:asciiTheme="minorHAnsi" w:hAnsiTheme="minorHAnsi" w:cs="Arial"/>
                <w:sz w:val="20"/>
                <w:szCs w:val="20"/>
                <w:lang w:val="en-GB"/>
              </w:rPr>
            </w:pPr>
            <w:r>
              <w:rPr>
                <w:rFonts w:asciiTheme="minorHAnsi" w:hAnsiTheme="minorHAnsi" w:cs="Arial"/>
                <w:sz w:val="20"/>
                <w:szCs w:val="20"/>
                <w:lang w:val="en-GB"/>
              </w:rPr>
              <w:t>Appropriate coordination mechanisms for climate change are established and functioning</w:t>
            </w:r>
          </w:p>
          <w:p w14:paraId="7B3855BD" w14:textId="77777777" w:rsidR="00B2689E" w:rsidRDefault="00B2689E" w:rsidP="002D6399">
            <w:pPr>
              <w:pStyle w:val="ListParagraph"/>
              <w:numPr>
                <w:ilvl w:val="0"/>
                <w:numId w:val="7"/>
              </w:numPr>
              <w:snapToGrid w:val="0"/>
              <w:spacing w:before="20" w:after="20"/>
              <w:ind w:left="316"/>
              <w:rPr>
                <w:rFonts w:asciiTheme="minorHAnsi" w:hAnsiTheme="minorHAnsi" w:cs="Arial"/>
                <w:sz w:val="20"/>
                <w:szCs w:val="20"/>
                <w:lang w:val="en-GB"/>
              </w:rPr>
            </w:pPr>
            <w:r>
              <w:rPr>
                <w:rFonts w:asciiTheme="minorHAnsi" w:hAnsiTheme="minorHAnsi" w:cs="Arial"/>
                <w:sz w:val="20"/>
                <w:szCs w:val="20"/>
                <w:lang w:val="en-GB"/>
              </w:rPr>
              <w:t>Nº of plans and regulations reviewed and updated</w:t>
            </w:r>
          </w:p>
          <w:p w14:paraId="393E0454" w14:textId="77777777" w:rsidR="00B2689E" w:rsidRDefault="00B2689E" w:rsidP="002D6399">
            <w:pPr>
              <w:pStyle w:val="ListParagraph"/>
              <w:numPr>
                <w:ilvl w:val="0"/>
                <w:numId w:val="7"/>
              </w:numPr>
              <w:snapToGrid w:val="0"/>
              <w:spacing w:before="20" w:after="20"/>
              <w:ind w:left="316"/>
              <w:rPr>
                <w:rFonts w:asciiTheme="minorHAnsi" w:hAnsiTheme="minorHAnsi" w:cs="Arial"/>
                <w:sz w:val="20"/>
                <w:szCs w:val="20"/>
                <w:lang w:val="en-GB"/>
              </w:rPr>
            </w:pPr>
            <w:r>
              <w:rPr>
                <w:rFonts w:asciiTheme="minorHAnsi" w:hAnsiTheme="minorHAnsi" w:cs="Arial"/>
                <w:sz w:val="20"/>
                <w:szCs w:val="20"/>
                <w:lang w:val="en-GB"/>
              </w:rPr>
              <w:t>Indicators, targets and monitoring system for key environmental sectors in place – Regular monitoring carried out</w:t>
            </w:r>
          </w:p>
          <w:p w14:paraId="22B25E8B" w14:textId="77777777" w:rsidR="00B2689E" w:rsidRDefault="00C72996" w:rsidP="002D6399">
            <w:pPr>
              <w:pStyle w:val="ListParagraph"/>
              <w:numPr>
                <w:ilvl w:val="0"/>
                <w:numId w:val="7"/>
              </w:numPr>
              <w:snapToGrid w:val="0"/>
              <w:spacing w:before="20" w:after="20"/>
              <w:ind w:left="316"/>
              <w:rPr>
                <w:rFonts w:asciiTheme="minorHAnsi" w:hAnsiTheme="minorHAnsi" w:cs="Arial"/>
                <w:sz w:val="20"/>
                <w:szCs w:val="20"/>
                <w:lang w:val="en-GB"/>
              </w:rPr>
            </w:pPr>
            <w:r>
              <w:rPr>
                <w:rFonts w:asciiTheme="minorHAnsi" w:hAnsiTheme="minorHAnsi" w:cs="Arial"/>
                <w:sz w:val="20"/>
                <w:szCs w:val="20"/>
                <w:lang w:val="en-GB"/>
              </w:rPr>
              <w:t>Systems, procedures and mechanisms for environmental mainstreaming in place</w:t>
            </w:r>
          </w:p>
          <w:p w14:paraId="0165C96A" w14:textId="77777777" w:rsidR="00C72996" w:rsidRDefault="00C72996" w:rsidP="002D6399">
            <w:pPr>
              <w:pStyle w:val="ListParagraph"/>
              <w:numPr>
                <w:ilvl w:val="0"/>
                <w:numId w:val="7"/>
              </w:numPr>
              <w:snapToGrid w:val="0"/>
              <w:spacing w:before="20" w:after="20"/>
              <w:ind w:left="316"/>
              <w:rPr>
                <w:rFonts w:asciiTheme="minorHAnsi" w:hAnsiTheme="minorHAnsi" w:cs="Arial"/>
                <w:sz w:val="20"/>
                <w:szCs w:val="20"/>
                <w:lang w:val="en-GB"/>
              </w:rPr>
            </w:pPr>
            <w:r>
              <w:rPr>
                <w:rFonts w:asciiTheme="minorHAnsi" w:hAnsiTheme="minorHAnsi" w:cs="Arial"/>
                <w:sz w:val="20"/>
                <w:szCs w:val="20"/>
                <w:lang w:val="en-GB"/>
              </w:rPr>
              <w:t>Environmental related functions and responsibilities amongst relevant government institutions are streamlined</w:t>
            </w:r>
          </w:p>
          <w:p w14:paraId="6992153E" w14:textId="77777777" w:rsidR="00C72996" w:rsidRDefault="00C72996" w:rsidP="002D6399">
            <w:pPr>
              <w:pStyle w:val="ListParagraph"/>
              <w:numPr>
                <w:ilvl w:val="0"/>
                <w:numId w:val="7"/>
              </w:numPr>
              <w:snapToGrid w:val="0"/>
              <w:spacing w:before="20" w:after="20"/>
              <w:ind w:left="316"/>
              <w:rPr>
                <w:rFonts w:asciiTheme="minorHAnsi" w:hAnsiTheme="minorHAnsi" w:cs="Arial"/>
                <w:sz w:val="20"/>
                <w:szCs w:val="20"/>
                <w:lang w:val="en-GB"/>
              </w:rPr>
            </w:pPr>
            <w:r>
              <w:rPr>
                <w:rFonts w:asciiTheme="minorHAnsi" w:hAnsiTheme="minorHAnsi" w:cs="Arial"/>
                <w:sz w:val="20"/>
                <w:szCs w:val="20"/>
                <w:lang w:val="en-GB"/>
              </w:rPr>
              <w:t>Inter-ministerial bodies provided with clearly defined systems and mechanisms to carry out EIAs, SEAs as enforcement/compliance with laws and regulations</w:t>
            </w:r>
          </w:p>
          <w:p w14:paraId="25BC7AEC" w14:textId="582480B0" w:rsidR="00C72996" w:rsidRDefault="00C72996" w:rsidP="002D6399">
            <w:pPr>
              <w:pStyle w:val="ListParagraph"/>
              <w:numPr>
                <w:ilvl w:val="0"/>
                <w:numId w:val="7"/>
              </w:numPr>
              <w:snapToGrid w:val="0"/>
              <w:spacing w:before="20" w:after="20"/>
              <w:ind w:left="316"/>
              <w:rPr>
                <w:rFonts w:asciiTheme="minorHAnsi" w:hAnsiTheme="minorHAnsi" w:cs="Arial"/>
                <w:sz w:val="20"/>
                <w:szCs w:val="20"/>
                <w:lang w:val="en-GB"/>
              </w:rPr>
            </w:pPr>
            <w:r>
              <w:rPr>
                <w:rFonts w:asciiTheme="minorHAnsi" w:hAnsiTheme="minorHAnsi" w:cs="Arial"/>
                <w:sz w:val="20"/>
                <w:szCs w:val="20"/>
                <w:lang w:val="en-GB"/>
              </w:rPr>
              <w:t>Nº of PEDDs</w:t>
            </w:r>
            <w:r w:rsidR="00133A7B">
              <w:rPr>
                <w:rFonts w:asciiTheme="minorHAnsi" w:hAnsiTheme="minorHAnsi" w:cs="Arial"/>
                <w:sz w:val="20"/>
                <w:szCs w:val="20"/>
                <w:lang w:val="en-GB"/>
              </w:rPr>
              <w:t xml:space="preserve"> (District Strategic Development Plans) and PESO</w:t>
            </w:r>
            <w:r>
              <w:rPr>
                <w:rFonts w:asciiTheme="minorHAnsi" w:hAnsiTheme="minorHAnsi" w:cs="Arial"/>
                <w:sz w:val="20"/>
                <w:szCs w:val="20"/>
                <w:lang w:val="en-GB"/>
              </w:rPr>
              <w:t xml:space="preserve">Ds </w:t>
            </w:r>
            <w:r w:rsidR="00133A7B">
              <w:rPr>
                <w:rFonts w:asciiTheme="minorHAnsi" w:hAnsiTheme="minorHAnsi" w:cs="Arial"/>
                <w:sz w:val="20"/>
                <w:szCs w:val="20"/>
                <w:lang w:val="en-GB"/>
              </w:rPr>
              <w:t xml:space="preserve">(District Socioeconomic and Land Use Plans) </w:t>
            </w:r>
            <w:r>
              <w:rPr>
                <w:rFonts w:asciiTheme="minorHAnsi" w:hAnsiTheme="minorHAnsi" w:cs="Arial"/>
                <w:sz w:val="20"/>
                <w:szCs w:val="20"/>
                <w:lang w:val="en-GB"/>
              </w:rPr>
              <w:t>in the target vulnerable areas that include climate-proofed territorial planning</w:t>
            </w:r>
          </w:p>
          <w:p w14:paraId="0B69CC4A" w14:textId="77777777" w:rsidR="00C72996" w:rsidRDefault="00C72996" w:rsidP="002D6399">
            <w:pPr>
              <w:pStyle w:val="ListParagraph"/>
              <w:numPr>
                <w:ilvl w:val="0"/>
                <w:numId w:val="7"/>
              </w:numPr>
              <w:snapToGrid w:val="0"/>
              <w:spacing w:before="20" w:after="20"/>
              <w:ind w:left="316"/>
              <w:rPr>
                <w:rFonts w:asciiTheme="minorHAnsi" w:hAnsiTheme="minorHAnsi" w:cs="Arial"/>
                <w:sz w:val="20"/>
                <w:szCs w:val="20"/>
                <w:lang w:val="en-GB"/>
              </w:rPr>
            </w:pPr>
            <w:r>
              <w:rPr>
                <w:rFonts w:asciiTheme="minorHAnsi" w:hAnsiTheme="minorHAnsi" w:cs="Arial"/>
                <w:sz w:val="20"/>
                <w:szCs w:val="20"/>
                <w:lang w:val="en-GB"/>
              </w:rPr>
              <w:t>Increased implementation of climate change activities based on national climate change strategy</w:t>
            </w:r>
          </w:p>
          <w:p w14:paraId="773A7716" w14:textId="74CED905" w:rsidR="00133A7B" w:rsidRPr="00405D53" w:rsidRDefault="00133A7B" w:rsidP="002D6399">
            <w:pPr>
              <w:pStyle w:val="ListParagraph"/>
              <w:numPr>
                <w:ilvl w:val="0"/>
                <w:numId w:val="7"/>
              </w:numPr>
              <w:snapToGrid w:val="0"/>
              <w:spacing w:before="20" w:after="20"/>
              <w:ind w:left="316"/>
              <w:rPr>
                <w:rFonts w:asciiTheme="minorHAnsi" w:hAnsiTheme="minorHAnsi" w:cs="Arial"/>
                <w:sz w:val="20"/>
                <w:szCs w:val="20"/>
                <w:lang w:val="en-GB"/>
              </w:rPr>
            </w:pPr>
            <w:r>
              <w:rPr>
                <w:rFonts w:asciiTheme="minorHAnsi" w:hAnsiTheme="minorHAnsi" w:cs="Arial"/>
                <w:sz w:val="20"/>
                <w:szCs w:val="20"/>
                <w:lang w:val="en-GB"/>
              </w:rPr>
              <w:t>Increased financial management capacity, higher budget allocation and budget execution</w:t>
            </w:r>
          </w:p>
        </w:tc>
      </w:tr>
      <w:tr w:rsidR="006C67CF" w:rsidRPr="005D175D" w14:paraId="00E8631E" w14:textId="77777777" w:rsidTr="006C67CF">
        <w:trPr>
          <w:trHeight w:val="574"/>
        </w:trPr>
        <w:tc>
          <w:tcPr>
            <w:tcW w:w="702" w:type="pct"/>
            <w:shd w:val="clear" w:color="auto" w:fill="DBE5F1" w:themeFill="accent1" w:themeFillTint="33"/>
          </w:tcPr>
          <w:p w14:paraId="6A696227" w14:textId="4AC473FE" w:rsidR="00EB5117" w:rsidRPr="00247BD4" w:rsidRDefault="00EB5117" w:rsidP="002D6399">
            <w:pPr>
              <w:pStyle w:val="TabletextCPA"/>
              <w:spacing w:before="40" w:after="40"/>
              <w:rPr>
                <w:color w:val="244061" w:themeColor="accent1" w:themeShade="80"/>
                <w:sz w:val="20"/>
                <w:szCs w:val="20"/>
                <w:vertAlign w:val="superscript"/>
              </w:rPr>
            </w:pPr>
          </w:p>
        </w:tc>
        <w:tc>
          <w:tcPr>
            <w:tcW w:w="1865" w:type="pct"/>
            <w:shd w:val="clear" w:color="auto" w:fill="auto"/>
          </w:tcPr>
          <w:p w14:paraId="67E75320" w14:textId="6732FE1C" w:rsidR="00EB5117" w:rsidRPr="00943039" w:rsidRDefault="00EB5117" w:rsidP="002D6399">
            <w:pPr>
              <w:pStyle w:val="TablebulletssmallCPA"/>
              <w:numPr>
                <w:ilvl w:val="0"/>
                <w:numId w:val="0"/>
              </w:numPr>
              <w:spacing w:before="40" w:after="40"/>
              <w:rPr>
                <w:color w:val="auto"/>
                <w:sz w:val="20"/>
                <w:szCs w:val="20"/>
              </w:rPr>
            </w:pPr>
            <w:r>
              <w:rPr>
                <w:sz w:val="20"/>
                <w:szCs w:val="20"/>
              </w:rPr>
              <w:t>Awareness and training – Information sharing and awareness campaigns are carried out, together with dedicated formation courses</w:t>
            </w:r>
          </w:p>
        </w:tc>
        <w:tc>
          <w:tcPr>
            <w:tcW w:w="2433" w:type="pct"/>
            <w:shd w:val="clear" w:color="auto" w:fill="auto"/>
          </w:tcPr>
          <w:p w14:paraId="4A07B692" w14:textId="77777777" w:rsidR="00EB5117" w:rsidRDefault="00133A7B" w:rsidP="002D6399">
            <w:pPr>
              <w:pStyle w:val="TabletextsmallCPA"/>
              <w:numPr>
                <w:ilvl w:val="0"/>
                <w:numId w:val="7"/>
              </w:numPr>
              <w:spacing w:before="40" w:after="40"/>
              <w:ind w:left="316"/>
              <w:rPr>
                <w:rFonts w:cs="Arial"/>
                <w:color w:val="auto"/>
                <w:sz w:val="20"/>
                <w:szCs w:val="20"/>
              </w:rPr>
            </w:pPr>
            <w:r>
              <w:rPr>
                <w:rFonts w:cs="Arial"/>
                <w:color w:val="auto"/>
                <w:sz w:val="20"/>
                <w:szCs w:val="20"/>
              </w:rPr>
              <w:t>Appropriate curricula for environmental courses developed</w:t>
            </w:r>
          </w:p>
          <w:p w14:paraId="1890ABBD" w14:textId="77777777" w:rsidR="00133A7B" w:rsidRDefault="00133A7B" w:rsidP="002D6399">
            <w:pPr>
              <w:pStyle w:val="TabletextsmallCPA"/>
              <w:numPr>
                <w:ilvl w:val="0"/>
                <w:numId w:val="7"/>
              </w:numPr>
              <w:spacing w:before="40" w:after="40"/>
              <w:ind w:left="316"/>
              <w:rPr>
                <w:rFonts w:cs="Arial"/>
                <w:color w:val="auto"/>
                <w:sz w:val="20"/>
                <w:szCs w:val="20"/>
              </w:rPr>
            </w:pPr>
            <w:r>
              <w:rPr>
                <w:rFonts w:cs="Arial"/>
                <w:color w:val="auto"/>
                <w:sz w:val="20"/>
                <w:szCs w:val="20"/>
              </w:rPr>
              <w:t>Nº of training courses and awareness campaigns carried out and nº of participants disaggregated by sex</w:t>
            </w:r>
          </w:p>
          <w:p w14:paraId="739D9EF7" w14:textId="3FEB7C45" w:rsidR="00133A7B" w:rsidRDefault="00133A7B" w:rsidP="002D6399">
            <w:pPr>
              <w:pStyle w:val="TabletextsmallCPA"/>
              <w:numPr>
                <w:ilvl w:val="0"/>
                <w:numId w:val="7"/>
              </w:numPr>
              <w:spacing w:before="40" w:after="40"/>
              <w:ind w:left="316"/>
              <w:rPr>
                <w:rFonts w:cs="Arial"/>
                <w:color w:val="auto"/>
                <w:sz w:val="20"/>
                <w:szCs w:val="20"/>
              </w:rPr>
            </w:pPr>
            <w:r>
              <w:rPr>
                <w:rFonts w:cs="Arial"/>
                <w:color w:val="auto"/>
                <w:sz w:val="20"/>
                <w:szCs w:val="20"/>
              </w:rPr>
              <w:t>Environment-related teaching institutions are promoting applied research and studies for innovative solutions to climate change</w:t>
            </w:r>
          </w:p>
          <w:p w14:paraId="739D9EF7" w14:textId="3FEB7C45" w:rsidR="00133A7B" w:rsidRPr="005D175D" w:rsidRDefault="00133A7B" w:rsidP="002D6399">
            <w:pPr>
              <w:pStyle w:val="TabletextsmallCPA"/>
              <w:numPr>
                <w:ilvl w:val="0"/>
                <w:numId w:val="7"/>
              </w:numPr>
              <w:spacing w:before="40" w:after="40"/>
              <w:ind w:left="316"/>
              <w:rPr>
                <w:rFonts w:cs="Arial"/>
                <w:color w:val="auto"/>
                <w:sz w:val="20"/>
                <w:szCs w:val="20"/>
              </w:rPr>
            </w:pPr>
            <w:r>
              <w:rPr>
                <w:rFonts w:cs="Arial"/>
                <w:color w:val="auto"/>
                <w:sz w:val="20"/>
                <w:szCs w:val="20"/>
              </w:rPr>
              <w:t>Environment-related non state agencies with capacity to design and implement climate change adaptation and mitigation field activities</w:t>
            </w:r>
          </w:p>
        </w:tc>
      </w:tr>
      <w:tr w:rsidR="006C67CF" w:rsidRPr="00352593" w14:paraId="514A81C1" w14:textId="77777777" w:rsidTr="006C67CF">
        <w:trPr>
          <w:trHeight w:val="574"/>
        </w:trPr>
        <w:tc>
          <w:tcPr>
            <w:tcW w:w="702" w:type="pct"/>
            <w:shd w:val="clear" w:color="auto" w:fill="DBE5F1" w:themeFill="accent1" w:themeFillTint="33"/>
          </w:tcPr>
          <w:p w14:paraId="6E2F3343" w14:textId="01193AA5" w:rsidR="00EB5117" w:rsidRPr="00247BD4" w:rsidRDefault="00EB5117" w:rsidP="002D6399">
            <w:pPr>
              <w:pStyle w:val="TabletextCPA"/>
              <w:spacing w:before="40" w:after="40"/>
              <w:rPr>
                <w:color w:val="244061" w:themeColor="accent1" w:themeShade="80"/>
                <w:sz w:val="20"/>
                <w:szCs w:val="20"/>
                <w:vertAlign w:val="superscript"/>
              </w:rPr>
            </w:pPr>
          </w:p>
        </w:tc>
        <w:tc>
          <w:tcPr>
            <w:tcW w:w="1865" w:type="pct"/>
            <w:shd w:val="clear" w:color="auto" w:fill="auto"/>
          </w:tcPr>
          <w:p w14:paraId="2431521D" w14:textId="77777777" w:rsidR="00EB5117" w:rsidRDefault="00EB5117" w:rsidP="00EB5117">
            <w:pPr>
              <w:pStyle w:val="TablebulletssmallCPA"/>
              <w:numPr>
                <w:ilvl w:val="0"/>
                <w:numId w:val="0"/>
              </w:numPr>
              <w:spacing w:before="40" w:after="40"/>
              <w:ind w:left="-32"/>
              <w:rPr>
                <w:rFonts w:cs="Arial"/>
                <w:sz w:val="20"/>
                <w:szCs w:val="20"/>
              </w:rPr>
            </w:pPr>
            <w:r>
              <w:rPr>
                <w:rFonts w:cs="Arial"/>
                <w:sz w:val="20"/>
                <w:szCs w:val="20"/>
              </w:rPr>
              <w:t>Field operations – The implementation of the national response to climate change is supported by putting into practice a number of pilot projects, mainly in the agrarian and agroforestry sectors.</w:t>
            </w:r>
          </w:p>
          <w:p w14:paraId="7CF0643D" w14:textId="77777777" w:rsidR="00EB5117" w:rsidRDefault="00EB5117" w:rsidP="00EB5117">
            <w:pPr>
              <w:pStyle w:val="TablebulletssmallCPA"/>
              <w:numPr>
                <w:ilvl w:val="0"/>
                <w:numId w:val="0"/>
              </w:numPr>
              <w:spacing w:before="40" w:after="40"/>
              <w:ind w:left="-32"/>
              <w:rPr>
                <w:rFonts w:cs="Arial"/>
                <w:sz w:val="20"/>
                <w:szCs w:val="20"/>
              </w:rPr>
            </w:pPr>
            <w:r>
              <w:rPr>
                <w:rFonts w:cs="Arial"/>
                <w:sz w:val="20"/>
                <w:szCs w:val="20"/>
              </w:rPr>
              <w:t xml:space="preserve">Research is promoted and good </w:t>
            </w:r>
            <w:r>
              <w:rPr>
                <w:rFonts w:cs="Arial"/>
                <w:sz w:val="20"/>
                <w:szCs w:val="20"/>
              </w:rPr>
              <w:lastRenderedPageBreak/>
              <w:t>practices are introduced and used in the field.</w:t>
            </w:r>
          </w:p>
          <w:p w14:paraId="23CE887B" w14:textId="2DB8F4A9" w:rsidR="00EB5117" w:rsidRPr="00EB5117" w:rsidRDefault="00EB5117" w:rsidP="00EB5117">
            <w:pPr>
              <w:pStyle w:val="TablebulletssmallCPA"/>
              <w:numPr>
                <w:ilvl w:val="0"/>
                <w:numId w:val="0"/>
              </w:numPr>
              <w:spacing w:before="40" w:after="40"/>
              <w:ind w:left="-32"/>
              <w:rPr>
                <w:rFonts w:cs="Arial"/>
                <w:sz w:val="20"/>
                <w:szCs w:val="20"/>
              </w:rPr>
            </w:pPr>
            <w:r>
              <w:rPr>
                <w:rFonts w:cs="Arial"/>
                <w:sz w:val="20"/>
                <w:szCs w:val="20"/>
              </w:rPr>
              <w:t>Geographic coverage of EIA, environmental audits and inspections is expanded and priorities set.</w:t>
            </w:r>
          </w:p>
        </w:tc>
        <w:tc>
          <w:tcPr>
            <w:tcW w:w="2433" w:type="pct"/>
            <w:shd w:val="clear" w:color="auto" w:fill="auto"/>
          </w:tcPr>
          <w:p w14:paraId="731542F0" w14:textId="77777777" w:rsidR="00EB5117" w:rsidRDefault="00133A7B" w:rsidP="002D6399">
            <w:pPr>
              <w:pStyle w:val="TabletextsmallCPA"/>
              <w:numPr>
                <w:ilvl w:val="0"/>
                <w:numId w:val="7"/>
              </w:numPr>
              <w:spacing w:before="40" w:after="40"/>
              <w:ind w:left="316"/>
              <w:rPr>
                <w:rFonts w:cs="Arial"/>
                <w:color w:val="auto"/>
                <w:sz w:val="20"/>
                <w:szCs w:val="20"/>
              </w:rPr>
            </w:pPr>
            <w:r>
              <w:rPr>
                <w:rFonts w:cs="Arial"/>
                <w:color w:val="auto"/>
                <w:sz w:val="20"/>
                <w:szCs w:val="20"/>
              </w:rPr>
              <w:lastRenderedPageBreak/>
              <w:t>Nº of pilot projects implemented to reduce climate change vulnerability amongst selected local communities</w:t>
            </w:r>
          </w:p>
          <w:p w14:paraId="3C496B52" w14:textId="77777777" w:rsidR="00133A7B" w:rsidRDefault="00133A7B" w:rsidP="00EB2CA4">
            <w:pPr>
              <w:pStyle w:val="TabletextsmallCPA"/>
              <w:numPr>
                <w:ilvl w:val="0"/>
                <w:numId w:val="7"/>
              </w:numPr>
              <w:spacing w:before="40" w:after="40"/>
              <w:ind w:left="316"/>
              <w:rPr>
                <w:rFonts w:cs="Arial"/>
                <w:color w:val="auto"/>
                <w:sz w:val="20"/>
                <w:szCs w:val="20"/>
              </w:rPr>
            </w:pPr>
            <w:r>
              <w:rPr>
                <w:rFonts w:cs="Arial"/>
                <w:color w:val="auto"/>
                <w:sz w:val="20"/>
                <w:szCs w:val="20"/>
              </w:rPr>
              <w:t xml:space="preserve">Results from the INGC </w:t>
            </w:r>
            <w:r w:rsidR="00EB2CA4">
              <w:rPr>
                <w:rFonts w:cs="Arial"/>
                <w:color w:val="auto"/>
                <w:sz w:val="20"/>
                <w:szCs w:val="20"/>
              </w:rPr>
              <w:t xml:space="preserve">(National Disaster Management Institute) phase II thematic studies are incorporated into plans and projects and </w:t>
            </w:r>
            <w:r w:rsidR="00EB2CA4">
              <w:rPr>
                <w:rFonts w:cs="Arial"/>
                <w:color w:val="auto"/>
                <w:sz w:val="20"/>
                <w:szCs w:val="20"/>
              </w:rPr>
              <w:lastRenderedPageBreak/>
              <w:t>implemented</w:t>
            </w:r>
          </w:p>
          <w:p w14:paraId="2BC575F2" w14:textId="67A6ED92" w:rsidR="00EB2CA4" w:rsidRPr="00405D53" w:rsidRDefault="00EB2CA4" w:rsidP="00EB2CA4">
            <w:pPr>
              <w:pStyle w:val="TabletextsmallCPA"/>
              <w:numPr>
                <w:ilvl w:val="0"/>
                <w:numId w:val="7"/>
              </w:numPr>
              <w:spacing w:before="40" w:after="40"/>
              <w:ind w:left="316"/>
              <w:rPr>
                <w:rFonts w:cs="Arial"/>
                <w:color w:val="auto"/>
                <w:sz w:val="20"/>
                <w:szCs w:val="20"/>
              </w:rPr>
            </w:pPr>
            <w:r>
              <w:rPr>
                <w:rFonts w:cs="Arial"/>
                <w:color w:val="auto"/>
                <w:sz w:val="20"/>
                <w:szCs w:val="20"/>
              </w:rPr>
              <w:t>Nº of environmental assessments, licenses, public consultations, audits and inspections in provinces and districts</w:t>
            </w:r>
          </w:p>
        </w:tc>
      </w:tr>
    </w:tbl>
    <w:p w14:paraId="5CDA58FF" w14:textId="131A6095" w:rsidR="00EB5117" w:rsidRPr="003B7A50" w:rsidRDefault="00150D28" w:rsidP="00EB5117">
      <w:pPr>
        <w:spacing w:before="120"/>
        <w:jc w:val="center"/>
        <w:rPr>
          <w:rFonts w:asciiTheme="minorHAnsi" w:hAnsiTheme="minorHAnsi" w:cstheme="minorHAnsi"/>
          <w:sz w:val="20"/>
          <w:szCs w:val="20"/>
          <w:lang w:val="en-GB"/>
        </w:rPr>
      </w:pPr>
      <w:r>
        <w:rPr>
          <w:rFonts w:asciiTheme="minorHAnsi" w:hAnsiTheme="minorHAnsi" w:cstheme="minorHAnsi"/>
          <w:sz w:val="20"/>
          <w:szCs w:val="20"/>
          <w:lang w:val="en-GB"/>
        </w:rPr>
        <w:lastRenderedPageBreak/>
        <w:t>Adapted from</w:t>
      </w:r>
      <w:r w:rsidR="00EB5117" w:rsidRPr="003B7A50">
        <w:rPr>
          <w:rFonts w:asciiTheme="minorHAnsi" w:hAnsiTheme="minorHAnsi" w:cstheme="minorHAnsi"/>
          <w:sz w:val="20"/>
          <w:szCs w:val="20"/>
          <w:lang w:val="en-GB"/>
        </w:rPr>
        <w:t xml:space="preserve">: </w:t>
      </w:r>
      <w:r w:rsidR="00EB5117">
        <w:rPr>
          <w:rFonts w:asciiTheme="minorHAnsi" w:hAnsiTheme="minorHAnsi" w:cstheme="minorHAnsi"/>
          <w:sz w:val="20"/>
          <w:szCs w:val="20"/>
          <w:lang w:val="en-GB"/>
        </w:rPr>
        <w:t xml:space="preserve">Action Fiche for the </w:t>
      </w:r>
      <w:r>
        <w:rPr>
          <w:rFonts w:asciiTheme="minorHAnsi" w:hAnsiTheme="minorHAnsi" w:cstheme="minorHAnsi"/>
          <w:sz w:val="20"/>
          <w:szCs w:val="20"/>
          <w:lang w:val="en-GB"/>
        </w:rPr>
        <w:t>Support Project to the Government of Mozambique for the mainstreaming of climate change into policies and strategies and to adapt to climate change impact – logical framework annex</w:t>
      </w:r>
      <w:bookmarkStart w:id="0" w:name="_GoBack"/>
      <w:bookmarkEnd w:id="0"/>
      <w:r w:rsidR="00EB5117">
        <w:rPr>
          <w:rFonts w:asciiTheme="minorHAnsi" w:hAnsiTheme="minorHAnsi" w:cstheme="minorHAnsi"/>
          <w:sz w:val="20"/>
          <w:szCs w:val="20"/>
          <w:lang w:val="en-GB"/>
        </w:rPr>
        <w:t>.</w:t>
      </w:r>
    </w:p>
    <w:p w14:paraId="1BC4E405" w14:textId="77777777" w:rsidR="00EB5117" w:rsidRDefault="00EB5117" w:rsidP="003B7A50">
      <w:pPr>
        <w:rPr>
          <w:rFonts w:asciiTheme="minorHAnsi" w:hAnsiTheme="minorHAnsi" w:cstheme="minorHAnsi"/>
          <w:sz w:val="22"/>
          <w:szCs w:val="22"/>
          <w:lang w:val="en-GB"/>
        </w:rPr>
      </w:pPr>
    </w:p>
    <w:p w14:paraId="1EBD7CA8" w14:textId="71048412" w:rsidR="00EC0C45" w:rsidRPr="00EC0C45" w:rsidRDefault="00EC0C45" w:rsidP="003B7A50">
      <w:pPr>
        <w:rPr>
          <w:rFonts w:asciiTheme="minorHAnsi" w:hAnsiTheme="minorHAnsi" w:cstheme="minorHAnsi"/>
          <w:i/>
          <w:sz w:val="22"/>
          <w:szCs w:val="22"/>
          <w:lang w:val="en-GB"/>
        </w:rPr>
      </w:pPr>
      <w:r w:rsidRPr="00EC0C45">
        <w:rPr>
          <w:rFonts w:asciiTheme="minorHAnsi" w:hAnsiTheme="minorHAnsi" w:cstheme="minorHAnsi"/>
          <w:i/>
          <w:sz w:val="22"/>
          <w:szCs w:val="22"/>
          <w:lang w:val="en-GB"/>
        </w:rPr>
        <w:t xml:space="preserve">Mainstreaming </w:t>
      </w:r>
      <w:r w:rsidR="00775EFC">
        <w:rPr>
          <w:rFonts w:asciiTheme="minorHAnsi" w:hAnsiTheme="minorHAnsi" w:cstheme="minorHAnsi"/>
          <w:i/>
          <w:sz w:val="22"/>
          <w:szCs w:val="22"/>
          <w:lang w:val="en-GB"/>
        </w:rPr>
        <w:t xml:space="preserve">environment and </w:t>
      </w:r>
      <w:r w:rsidRPr="00EC0C45">
        <w:rPr>
          <w:rFonts w:asciiTheme="minorHAnsi" w:hAnsiTheme="minorHAnsi" w:cstheme="minorHAnsi"/>
          <w:i/>
          <w:sz w:val="22"/>
          <w:szCs w:val="22"/>
          <w:lang w:val="en-GB"/>
        </w:rPr>
        <w:t>climate change in monitoring systems</w:t>
      </w:r>
    </w:p>
    <w:p w14:paraId="6663FBA4" w14:textId="77777777" w:rsidR="003B7A50" w:rsidRDefault="003B7A50" w:rsidP="003B7A50">
      <w:pPr>
        <w:rPr>
          <w:rFonts w:asciiTheme="minorHAnsi" w:hAnsiTheme="minorHAnsi" w:cstheme="minorHAnsi"/>
          <w:sz w:val="22"/>
          <w:szCs w:val="22"/>
          <w:lang w:val="en-GB"/>
        </w:rPr>
      </w:pPr>
    </w:p>
    <w:p w14:paraId="24B9AEC7" w14:textId="249B4745" w:rsidR="003B7A50" w:rsidRDefault="00EC0C45" w:rsidP="00D7326E">
      <w:pPr>
        <w:numPr>
          <w:ilvl w:val="0"/>
          <w:numId w:val="1"/>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The monitoring of </w:t>
      </w:r>
      <w:r w:rsidR="00CD3292">
        <w:rPr>
          <w:rFonts w:asciiTheme="minorHAnsi" w:hAnsiTheme="minorHAnsi" w:cstheme="minorHAnsi"/>
          <w:sz w:val="22"/>
          <w:szCs w:val="22"/>
          <w:lang w:val="en-GB"/>
        </w:rPr>
        <w:t>risks, other external factors that may influence a policy or intervention,</w:t>
      </w:r>
      <w:r w:rsidR="00FA71AE">
        <w:rPr>
          <w:rFonts w:asciiTheme="minorHAnsi" w:hAnsiTheme="minorHAnsi" w:cstheme="minorHAnsi"/>
          <w:sz w:val="22"/>
          <w:szCs w:val="22"/>
          <w:lang w:val="en-GB"/>
        </w:rPr>
        <w:t xml:space="preserve"> and progress made in achieving</w:t>
      </w:r>
      <w:r>
        <w:rPr>
          <w:rFonts w:asciiTheme="minorHAnsi" w:hAnsiTheme="minorHAnsi" w:cstheme="minorHAnsi"/>
          <w:sz w:val="22"/>
          <w:szCs w:val="22"/>
          <w:lang w:val="en-GB"/>
        </w:rPr>
        <w:t xml:space="preserve"> </w:t>
      </w:r>
      <w:r w:rsidR="00CD3292">
        <w:rPr>
          <w:rFonts w:asciiTheme="minorHAnsi" w:hAnsiTheme="minorHAnsi" w:cstheme="minorHAnsi"/>
          <w:sz w:val="22"/>
          <w:szCs w:val="22"/>
          <w:lang w:val="en-GB"/>
        </w:rPr>
        <w:t xml:space="preserve">the objectives of policies and interventions, is a fundamental </w:t>
      </w:r>
      <w:r w:rsidR="003B3FEB">
        <w:rPr>
          <w:rFonts w:asciiTheme="minorHAnsi" w:hAnsiTheme="minorHAnsi" w:cstheme="minorHAnsi"/>
          <w:sz w:val="22"/>
          <w:szCs w:val="22"/>
          <w:lang w:val="en-GB"/>
        </w:rPr>
        <w:t>aspect</w:t>
      </w:r>
      <w:r w:rsidR="00CD3292">
        <w:rPr>
          <w:rFonts w:asciiTheme="minorHAnsi" w:hAnsiTheme="minorHAnsi" w:cstheme="minorHAnsi"/>
          <w:sz w:val="22"/>
          <w:szCs w:val="22"/>
          <w:lang w:val="en-GB"/>
        </w:rPr>
        <w:t xml:space="preserve"> of good </w:t>
      </w:r>
      <w:r w:rsidR="00AC793B">
        <w:rPr>
          <w:rFonts w:asciiTheme="minorHAnsi" w:hAnsiTheme="minorHAnsi" w:cstheme="minorHAnsi"/>
          <w:sz w:val="22"/>
          <w:szCs w:val="22"/>
          <w:lang w:val="en-GB"/>
        </w:rPr>
        <w:t>development</w:t>
      </w:r>
      <w:r w:rsidR="00CD3292">
        <w:rPr>
          <w:rFonts w:asciiTheme="minorHAnsi" w:hAnsiTheme="minorHAnsi" w:cstheme="minorHAnsi"/>
          <w:sz w:val="22"/>
          <w:szCs w:val="22"/>
          <w:lang w:val="en-GB"/>
        </w:rPr>
        <w:t xml:space="preserve"> practices. In the context of </w:t>
      </w:r>
      <w:r w:rsidR="00775EFC">
        <w:rPr>
          <w:rFonts w:asciiTheme="minorHAnsi" w:hAnsiTheme="minorHAnsi" w:cstheme="minorHAnsi"/>
          <w:sz w:val="22"/>
          <w:szCs w:val="22"/>
          <w:lang w:val="en-GB"/>
        </w:rPr>
        <w:t xml:space="preserve">environment and </w:t>
      </w:r>
      <w:r w:rsidR="00CD3292">
        <w:rPr>
          <w:rFonts w:asciiTheme="minorHAnsi" w:hAnsiTheme="minorHAnsi" w:cstheme="minorHAnsi"/>
          <w:sz w:val="22"/>
          <w:szCs w:val="22"/>
          <w:lang w:val="en-GB"/>
        </w:rPr>
        <w:t xml:space="preserve">climate change mainstreaming, </w:t>
      </w:r>
      <w:r w:rsidR="007C6903">
        <w:rPr>
          <w:rFonts w:asciiTheme="minorHAnsi" w:hAnsiTheme="minorHAnsi" w:cstheme="minorHAnsi"/>
          <w:sz w:val="22"/>
          <w:szCs w:val="22"/>
          <w:lang w:val="en-GB"/>
        </w:rPr>
        <w:t>a wide range of</w:t>
      </w:r>
      <w:r w:rsidR="00CD3292">
        <w:rPr>
          <w:rFonts w:asciiTheme="minorHAnsi" w:hAnsiTheme="minorHAnsi" w:cstheme="minorHAnsi"/>
          <w:sz w:val="22"/>
          <w:szCs w:val="22"/>
          <w:lang w:val="en-GB"/>
        </w:rPr>
        <w:t xml:space="preserve"> aspects require monitoring. </w:t>
      </w:r>
      <w:r w:rsidR="00CD3292" w:rsidRPr="008F0AC2">
        <w:rPr>
          <w:rFonts w:asciiTheme="minorHAnsi" w:hAnsiTheme="minorHAnsi" w:cstheme="minorHAnsi"/>
          <w:b/>
          <w:sz w:val="22"/>
          <w:szCs w:val="22"/>
          <w:lang w:val="en-GB"/>
        </w:rPr>
        <w:t>Table</w:t>
      </w:r>
      <w:r w:rsidR="007C6903">
        <w:rPr>
          <w:rFonts w:asciiTheme="minorHAnsi" w:hAnsiTheme="minorHAnsi" w:cstheme="minorHAnsi"/>
          <w:b/>
          <w:sz w:val="22"/>
          <w:szCs w:val="22"/>
          <w:lang w:val="en-GB"/>
        </w:rPr>
        <w:t> </w:t>
      </w:r>
      <w:r w:rsidR="00CD3292" w:rsidRPr="008F0AC2">
        <w:rPr>
          <w:rFonts w:asciiTheme="minorHAnsi" w:hAnsiTheme="minorHAnsi" w:cstheme="minorHAnsi"/>
          <w:b/>
          <w:sz w:val="22"/>
          <w:szCs w:val="22"/>
          <w:lang w:val="en-GB"/>
        </w:rPr>
        <w:t>9.</w:t>
      </w:r>
      <w:r w:rsidR="00EB5117">
        <w:rPr>
          <w:rFonts w:asciiTheme="minorHAnsi" w:hAnsiTheme="minorHAnsi" w:cstheme="minorHAnsi"/>
          <w:b/>
          <w:sz w:val="22"/>
          <w:szCs w:val="22"/>
          <w:lang w:val="en-GB"/>
        </w:rPr>
        <w:t>4</w:t>
      </w:r>
      <w:r w:rsidR="00CD3292">
        <w:rPr>
          <w:rFonts w:asciiTheme="minorHAnsi" w:hAnsiTheme="minorHAnsi" w:cstheme="minorHAnsi"/>
          <w:sz w:val="22"/>
          <w:szCs w:val="22"/>
          <w:lang w:val="en-GB"/>
        </w:rPr>
        <w:t xml:space="preserve"> summarises the main aspects to be monitored, </w:t>
      </w:r>
      <w:r w:rsidR="008F0AC2">
        <w:rPr>
          <w:rFonts w:asciiTheme="minorHAnsi" w:hAnsiTheme="minorHAnsi" w:cstheme="minorHAnsi"/>
          <w:sz w:val="22"/>
          <w:szCs w:val="22"/>
          <w:lang w:val="en-GB"/>
        </w:rPr>
        <w:t xml:space="preserve">and </w:t>
      </w:r>
      <w:r w:rsidR="00CD3292">
        <w:rPr>
          <w:rFonts w:asciiTheme="minorHAnsi" w:hAnsiTheme="minorHAnsi" w:cstheme="minorHAnsi"/>
          <w:sz w:val="22"/>
          <w:szCs w:val="22"/>
          <w:lang w:val="en-GB"/>
        </w:rPr>
        <w:t xml:space="preserve">the </w:t>
      </w:r>
      <w:r w:rsidR="008F0AC2">
        <w:rPr>
          <w:rFonts w:asciiTheme="minorHAnsi" w:hAnsiTheme="minorHAnsi" w:cstheme="minorHAnsi"/>
          <w:sz w:val="22"/>
          <w:szCs w:val="22"/>
          <w:lang w:val="en-GB"/>
        </w:rPr>
        <w:t>rationale</w:t>
      </w:r>
      <w:r w:rsidR="00CD3292">
        <w:rPr>
          <w:rFonts w:asciiTheme="minorHAnsi" w:hAnsiTheme="minorHAnsi" w:cstheme="minorHAnsi"/>
          <w:sz w:val="22"/>
          <w:szCs w:val="22"/>
          <w:lang w:val="en-GB"/>
        </w:rPr>
        <w:t xml:space="preserve"> </w:t>
      </w:r>
      <w:r w:rsidR="008F0AC2">
        <w:rPr>
          <w:rFonts w:asciiTheme="minorHAnsi" w:hAnsiTheme="minorHAnsi" w:cstheme="minorHAnsi"/>
          <w:sz w:val="22"/>
          <w:szCs w:val="22"/>
          <w:lang w:val="en-GB"/>
        </w:rPr>
        <w:t>for monitoring them</w:t>
      </w:r>
      <w:r w:rsidR="00CD3292">
        <w:rPr>
          <w:rFonts w:asciiTheme="minorHAnsi" w:hAnsiTheme="minorHAnsi" w:cstheme="minorHAnsi"/>
          <w:sz w:val="22"/>
          <w:szCs w:val="22"/>
          <w:lang w:val="en-GB"/>
        </w:rPr>
        <w:t>.</w:t>
      </w:r>
      <w:r w:rsidR="00BF6E72">
        <w:rPr>
          <w:rFonts w:asciiTheme="minorHAnsi" w:hAnsiTheme="minorHAnsi" w:cstheme="minorHAnsi"/>
          <w:sz w:val="22"/>
          <w:szCs w:val="22"/>
          <w:lang w:val="en-GB"/>
        </w:rPr>
        <w:t xml:space="preserve"> </w:t>
      </w:r>
      <w:r w:rsidR="00BF6E72" w:rsidRPr="00BF6E72">
        <w:rPr>
          <w:rFonts w:asciiTheme="minorHAnsi" w:hAnsiTheme="minorHAnsi" w:cstheme="minorHAnsi"/>
          <w:b/>
          <w:sz w:val="22"/>
          <w:szCs w:val="22"/>
          <w:lang w:val="en-GB"/>
        </w:rPr>
        <w:t>Annex 9.1</w:t>
      </w:r>
      <w:r w:rsidR="00BF6E72">
        <w:rPr>
          <w:rFonts w:asciiTheme="minorHAnsi" w:hAnsiTheme="minorHAnsi" w:cstheme="minorHAnsi"/>
          <w:sz w:val="22"/>
          <w:szCs w:val="22"/>
          <w:lang w:val="en-GB"/>
        </w:rPr>
        <w:t xml:space="preserve"> provides examples of indicators related to these aspects.</w:t>
      </w:r>
    </w:p>
    <w:p w14:paraId="0272C6DD" w14:textId="77777777" w:rsidR="00CD3292" w:rsidRDefault="00CD3292" w:rsidP="00CD3292">
      <w:pPr>
        <w:rPr>
          <w:rFonts w:asciiTheme="minorHAnsi" w:hAnsiTheme="minorHAnsi" w:cstheme="minorHAnsi"/>
          <w:sz w:val="22"/>
          <w:szCs w:val="22"/>
          <w:lang w:val="en-GB"/>
        </w:rPr>
      </w:pPr>
    </w:p>
    <w:p w14:paraId="283AA35F" w14:textId="7E775FB1" w:rsidR="00CD3292" w:rsidRPr="001B1FDD" w:rsidRDefault="00EB5117" w:rsidP="00405D53">
      <w:pPr>
        <w:spacing w:after="200" w:line="276" w:lineRule="auto"/>
        <w:jc w:val="left"/>
        <w:rPr>
          <w:rFonts w:asciiTheme="minorHAnsi" w:hAnsiTheme="minorHAnsi" w:cstheme="minorHAnsi"/>
          <w:b/>
          <w:sz w:val="20"/>
          <w:szCs w:val="20"/>
          <w:lang w:val="en-GB"/>
        </w:rPr>
      </w:pPr>
      <w:r>
        <w:rPr>
          <w:rFonts w:asciiTheme="minorHAnsi" w:hAnsiTheme="minorHAnsi" w:cstheme="minorHAnsi"/>
          <w:b/>
          <w:sz w:val="20"/>
          <w:szCs w:val="20"/>
          <w:lang w:val="en-GB"/>
        </w:rPr>
        <w:t>Table 9.4</w:t>
      </w:r>
      <w:r w:rsidR="00CD3292" w:rsidRPr="001B1FDD">
        <w:rPr>
          <w:rFonts w:asciiTheme="minorHAnsi" w:hAnsiTheme="minorHAnsi" w:cstheme="minorHAnsi"/>
          <w:b/>
          <w:sz w:val="20"/>
          <w:szCs w:val="20"/>
          <w:lang w:val="en-GB"/>
        </w:rPr>
        <w:t xml:space="preserve"> – </w:t>
      </w:r>
      <w:r w:rsidR="00775EFC">
        <w:rPr>
          <w:rFonts w:asciiTheme="minorHAnsi" w:hAnsiTheme="minorHAnsi" w:cstheme="minorHAnsi"/>
          <w:b/>
          <w:sz w:val="20"/>
          <w:szCs w:val="20"/>
          <w:lang w:val="en-GB"/>
        </w:rPr>
        <w:t>Environment and c</w:t>
      </w:r>
      <w:r w:rsidR="00CD3292" w:rsidRPr="001B1FDD">
        <w:rPr>
          <w:rFonts w:asciiTheme="minorHAnsi" w:hAnsiTheme="minorHAnsi" w:cstheme="minorHAnsi"/>
          <w:b/>
          <w:sz w:val="20"/>
          <w:szCs w:val="20"/>
          <w:lang w:val="en-GB"/>
        </w:rPr>
        <w:t xml:space="preserve">limate change mainstreaming: Aspects to </w:t>
      </w:r>
      <w:r w:rsidR="00AC793B">
        <w:rPr>
          <w:rFonts w:asciiTheme="minorHAnsi" w:hAnsiTheme="minorHAnsi" w:cstheme="minorHAnsi"/>
          <w:b/>
          <w:sz w:val="20"/>
          <w:szCs w:val="20"/>
          <w:lang w:val="en-GB"/>
        </w:rPr>
        <w:t>monitor</w:t>
      </w:r>
    </w:p>
    <w:tbl>
      <w:tblPr>
        <w:tblW w:w="9257" w:type="dxa"/>
        <w:jc w:val="center"/>
        <w:tblInd w:w="2429" w:type="dxa"/>
        <w:tblBorders>
          <w:top w:val="single" w:sz="8" w:space="0" w:color="244061" w:themeColor="accent1" w:themeShade="80"/>
          <w:left w:val="single" w:sz="8" w:space="0" w:color="244061" w:themeColor="accent1" w:themeShade="80"/>
          <w:bottom w:val="single" w:sz="8" w:space="0" w:color="244061" w:themeColor="accent1" w:themeShade="80"/>
          <w:right w:val="single" w:sz="8" w:space="0" w:color="244061" w:themeColor="accent1" w:themeShade="80"/>
          <w:insideH w:val="single" w:sz="8" w:space="0" w:color="244061" w:themeColor="accent1" w:themeShade="80"/>
          <w:insideV w:val="single" w:sz="8" w:space="0" w:color="244061" w:themeColor="accent1" w:themeShade="80"/>
        </w:tblBorders>
        <w:tblCellMar>
          <w:left w:w="0" w:type="dxa"/>
          <w:right w:w="0" w:type="dxa"/>
        </w:tblCellMar>
        <w:tblLook w:val="04A0" w:firstRow="1" w:lastRow="0" w:firstColumn="1" w:lastColumn="0" w:noHBand="0" w:noVBand="1"/>
      </w:tblPr>
      <w:tblGrid>
        <w:gridCol w:w="4559"/>
        <w:gridCol w:w="4698"/>
      </w:tblGrid>
      <w:tr w:rsidR="001B1FDD" w:rsidRPr="00906065" w14:paraId="1425AFD5" w14:textId="77777777" w:rsidTr="00384C6E">
        <w:trPr>
          <w:trHeight w:val="329"/>
          <w:jc w:val="center"/>
        </w:trPr>
        <w:tc>
          <w:tcPr>
            <w:tcW w:w="4559" w:type="dxa"/>
            <w:shd w:val="clear" w:color="auto" w:fill="365F91" w:themeFill="accent1" w:themeFillShade="BF"/>
            <w:tcMar>
              <w:top w:w="72" w:type="dxa"/>
              <w:left w:w="144" w:type="dxa"/>
              <w:bottom w:w="72" w:type="dxa"/>
              <w:right w:w="144" w:type="dxa"/>
            </w:tcMar>
            <w:hideMark/>
          </w:tcPr>
          <w:p w14:paraId="6C9A4373" w14:textId="77777777" w:rsidR="00A51771" w:rsidRPr="00906065" w:rsidRDefault="001B1FDD" w:rsidP="00AC793B">
            <w:pPr>
              <w:ind w:left="163"/>
              <w:jc w:val="center"/>
              <w:rPr>
                <w:rFonts w:asciiTheme="minorHAnsi" w:hAnsiTheme="minorHAnsi" w:cstheme="minorHAnsi"/>
                <w:color w:val="FFFFFF" w:themeColor="background1"/>
                <w:sz w:val="20"/>
                <w:szCs w:val="20"/>
                <w:lang w:val="en-GB"/>
              </w:rPr>
            </w:pPr>
            <w:r w:rsidRPr="00906065">
              <w:rPr>
                <w:rFonts w:asciiTheme="minorHAnsi" w:hAnsiTheme="minorHAnsi" w:cstheme="minorHAnsi"/>
                <w:b/>
                <w:bCs/>
                <w:color w:val="FFFFFF" w:themeColor="background1"/>
                <w:sz w:val="20"/>
                <w:szCs w:val="20"/>
                <w:lang w:val="en-GB"/>
              </w:rPr>
              <w:t>Aspect to monitor</w:t>
            </w:r>
          </w:p>
        </w:tc>
        <w:tc>
          <w:tcPr>
            <w:tcW w:w="4698" w:type="dxa"/>
            <w:shd w:val="clear" w:color="auto" w:fill="365F91" w:themeFill="accent1" w:themeFillShade="BF"/>
            <w:tcMar>
              <w:top w:w="72" w:type="dxa"/>
              <w:left w:w="144" w:type="dxa"/>
              <w:bottom w:w="72" w:type="dxa"/>
              <w:right w:w="144" w:type="dxa"/>
            </w:tcMar>
            <w:hideMark/>
          </w:tcPr>
          <w:p w14:paraId="751A7C76" w14:textId="77777777" w:rsidR="00A51771" w:rsidRPr="00906065" w:rsidRDefault="001B1FDD" w:rsidP="001B1FDD">
            <w:pPr>
              <w:ind w:left="19"/>
              <w:jc w:val="center"/>
              <w:rPr>
                <w:rFonts w:asciiTheme="minorHAnsi" w:hAnsiTheme="minorHAnsi" w:cstheme="minorHAnsi"/>
                <w:color w:val="FFFFFF" w:themeColor="background1"/>
                <w:sz w:val="20"/>
                <w:szCs w:val="20"/>
                <w:lang w:val="en-GB"/>
              </w:rPr>
            </w:pPr>
            <w:r w:rsidRPr="00906065">
              <w:rPr>
                <w:rFonts w:asciiTheme="minorHAnsi" w:hAnsiTheme="minorHAnsi" w:cstheme="minorHAnsi"/>
                <w:b/>
                <w:bCs/>
                <w:color w:val="FFFFFF" w:themeColor="background1"/>
                <w:sz w:val="20"/>
                <w:szCs w:val="20"/>
                <w:lang w:val="en-GB"/>
              </w:rPr>
              <w:t xml:space="preserve">Rationale for monitoring </w:t>
            </w:r>
          </w:p>
        </w:tc>
      </w:tr>
      <w:tr w:rsidR="00B24501" w:rsidRPr="00352593" w14:paraId="08B23317" w14:textId="77777777" w:rsidTr="00384C6E">
        <w:trPr>
          <w:trHeight w:val="584"/>
          <w:jc w:val="center"/>
        </w:trPr>
        <w:tc>
          <w:tcPr>
            <w:tcW w:w="4559" w:type="dxa"/>
            <w:shd w:val="clear" w:color="auto" w:fill="DBE5F1" w:themeFill="accent1" w:themeFillTint="33"/>
            <w:tcMar>
              <w:top w:w="72" w:type="dxa"/>
              <w:left w:w="144" w:type="dxa"/>
              <w:bottom w:w="72" w:type="dxa"/>
              <w:right w:w="144" w:type="dxa"/>
            </w:tcMar>
          </w:tcPr>
          <w:p w14:paraId="027A24D3" w14:textId="5B25D633" w:rsidR="00B24501" w:rsidRPr="0089064B" w:rsidRDefault="00384C6E" w:rsidP="0089064B">
            <w:pPr>
              <w:ind w:left="21"/>
              <w:jc w:val="left"/>
              <w:rPr>
                <w:rFonts w:asciiTheme="minorHAnsi" w:hAnsiTheme="minorHAnsi" w:cstheme="minorHAnsi"/>
                <w:sz w:val="20"/>
                <w:szCs w:val="20"/>
                <w:lang w:val="en-GB"/>
              </w:rPr>
            </w:pPr>
            <w:r>
              <w:rPr>
                <w:rFonts w:asciiTheme="minorHAnsi" w:hAnsiTheme="minorHAnsi" w:cstheme="minorHAnsi"/>
                <w:sz w:val="20"/>
                <w:szCs w:val="20"/>
                <w:lang w:val="en-GB"/>
              </w:rPr>
              <w:t>Changes in environmental parameters that influence poverty/development in a significant manner</w:t>
            </w:r>
          </w:p>
        </w:tc>
        <w:tc>
          <w:tcPr>
            <w:tcW w:w="4698" w:type="dxa"/>
            <w:shd w:val="clear" w:color="auto" w:fill="auto"/>
            <w:tcMar>
              <w:top w:w="72" w:type="dxa"/>
              <w:left w:w="144" w:type="dxa"/>
              <w:bottom w:w="72" w:type="dxa"/>
              <w:right w:w="144" w:type="dxa"/>
            </w:tcMar>
          </w:tcPr>
          <w:p w14:paraId="22E3654E" w14:textId="55974AFA" w:rsidR="00B24501" w:rsidRPr="0089064B" w:rsidRDefault="00384C6E" w:rsidP="00D7326E">
            <w:pPr>
              <w:numPr>
                <w:ilvl w:val="0"/>
                <w:numId w:val="8"/>
              </w:numPr>
              <w:ind w:left="302" w:hanging="283"/>
              <w:jc w:val="left"/>
              <w:rPr>
                <w:rFonts w:asciiTheme="minorHAnsi" w:hAnsiTheme="minorHAnsi" w:cstheme="minorHAnsi"/>
                <w:sz w:val="20"/>
                <w:szCs w:val="20"/>
                <w:lang w:val="en-GB"/>
              </w:rPr>
            </w:pPr>
            <w:r>
              <w:rPr>
                <w:rFonts w:asciiTheme="minorHAnsi" w:hAnsiTheme="minorHAnsi" w:cstheme="minorHAnsi"/>
                <w:sz w:val="20"/>
                <w:szCs w:val="20"/>
                <w:lang w:val="en-GB"/>
              </w:rPr>
              <w:t>Make decisions as well-informed as possible to revert adverse trends</w:t>
            </w:r>
          </w:p>
        </w:tc>
      </w:tr>
      <w:tr w:rsidR="001B1FDD" w:rsidRPr="0089064B" w14:paraId="7DB4653E" w14:textId="77777777" w:rsidTr="00384C6E">
        <w:trPr>
          <w:trHeight w:val="584"/>
          <w:jc w:val="center"/>
        </w:trPr>
        <w:tc>
          <w:tcPr>
            <w:tcW w:w="4559" w:type="dxa"/>
            <w:shd w:val="clear" w:color="auto" w:fill="DBE5F1" w:themeFill="accent1" w:themeFillTint="33"/>
            <w:tcMar>
              <w:top w:w="72" w:type="dxa"/>
              <w:left w:w="144" w:type="dxa"/>
              <w:bottom w:w="72" w:type="dxa"/>
              <w:right w:w="144" w:type="dxa"/>
            </w:tcMar>
            <w:hideMark/>
          </w:tcPr>
          <w:p w14:paraId="04D746B0" w14:textId="77777777" w:rsidR="00A51771" w:rsidRPr="0089064B" w:rsidRDefault="00AC793B" w:rsidP="0089064B">
            <w:pPr>
              <w:ind w:left="21"/>
              <w:jc w:val="left"/>
              <w:rPr>
                <w:rFonts w:asciiTheme="minorHAnsi" w:hAnsiTheme="minorHAnsi" w:cstheme="minorHAnsi"/>
                <w:sz w:val="20"/>
                <w:szCs w:val="20"/>
                <w:lang w:val="en-GB"/>
              </w:rPr>
            </w:pPr>
            <w:r w:rsidRPr="0089064B">
              <w:rPr>
                <w:rFonts w:asciiTheme="minorHAnsi" w:hAnsiTheme="minorHAnsi" w:cstheme="minorHAnsi"/>
                <w:sz w:val="20"/>
                <w:szCs w:val="20"/>
                <w:lang w:val="en-GB"/>
              </w:rPr>
              <w:t>C</w:t>
            </w:r>
            <w:r w:rsidR="001B1FDD" w:rsidRPr="0089064B">
              <w:rPr>
                <w:rFonts w:asciiTheme="minorHAnsi" w:hAnsiTheme="minorHAnsi" w:cstheme="minorHAnsi"/>
                <w:sz w:val="20"/>
                <w:szCs w:val="20"/>
                <w:lang w:val="en-GB"/>
              </w:rPr>
              <w:t>limate</w:t>
            </w:r>
            <w:r w:rsidRPr="0089064B">
              <w:rPr>
                <w:rFonts w:asciiTheme="minorHAnsi" w:hAnsiTheme="minorHAnsi" w:cstheme="minorHAnsi"/>
                <w:sz w:val="20"/>
                <w:szCs w:val="20"/>
                <w:lang w:val="en-GB"/>
              </w:rPr>
              <w:t xml:space="preserve"> variability and change</w:t>
            </w:r>
            <w:r w:rsidR="001B1FDD" w:rsidRPr="0089064B">
              <w:rPr>
                <w:rFonts w:asciiTheme="minorHAnsi" w:hAnsiTheme="minorHAnsi" w:cstheme="minorHAnsi"/>
                <w:sz w:val="20"/>
                <w:szCs w:val="20"/>
                <w:lang w:val="en-GB"/>
              </w:rPr>
              <w:t xml:space="preserve">, </w:t>
            </w:r>
            <w:r w:rsidR="003B3FEB" w:rsidRPr="0089064B">
              <w:rPr>
                <w:rFonts w:asciiTheme="minorHAnsi" w:hAnsiTheme="minorHAnsi" w:cstheme="minorHAnsi"/>
                <w:sz w:val="20"/>
                <w:szCs w:val="20"/>
                <w:lang w:val="en-GB"/>
              </w:rPr>
              <w:t>impacts and vulnerabilities</w:t>
            </w:r>
          </w:p>
        </w:tc>
        <w:tc>
          <w:tcPr>
            <w:tcW w:w="4698" w:type="dxa"/>
            <w:shd w:val="clear" w:color="auto" w:fill="auto"/>
            <w:tcMar>
              <w:top w:w="72" w:type="dxa"/>
              <w:left w:w="144" w:type="dxa"/>
              <w:bottom w:w="72" w:type="dxa"/>
              <w:right w:w="144" w:type="dxa"/>
            </w:tcMar>
            <w:hideMark/>
          </w:tcPr>
          <w:p w14:paraId="51BF8C47" w14:textId="77777777" w:rsidR="00A51771" w:rsidRPr="0089064B" w:rsidRDefault="00A51771" w:rsidP="00D7326E">
            <w:pPr>
              <w:numPr>
                <w:ilvl w:val="0"/>
                <w:numId w:val="8"/>
              </w:numPr>
              <w:ind w:left="302" w:hanging="283"/>
              <w:jc w:val="left"/>
              <w:rPr>
                <w:rFonts w:asciiTheme="minorHAnsi" w:hAnsiTheme="minorHAnsi" w:cstheme="minorHAnsi"/>
                <w:sz w:val="20"/>
                <w:szCs w:val="20"/>
                <w:lang w:val="en-GB"/>
              </w:rPr>
            </w:pPr>
            <w:r w:rsidRPr="0089064B">
              <w:rPr>
                <w:rFonts w:asciiTheme="minorHAnsi" w:hAnsiTheme="minorHAnsi" w:cstheme="minorHAnsi"/>
                <w:sz w:val="20"/>
                <w:szCs w:val="20"/>
                <w:lang w:val="en-GB"/>
              </w:rPr>
              <w:t>Make decisions as well informed as possible</w:t>
            </w:r>
          </w:p>
          <w:p w14:paraId="3C755E6E" w14:textId="77777777" w:rsidR="00A51771" w:rsidRPr="0089064B" w:rsidRDefault="00A51771" w:rsidP="00D7326E">
            <w:pPr>
              <w:numPr>
                <w:ilvl w:val="0"/>
                <w:numId w:val="8"/>
              </w:numPr>
              <w:ind w:left="302" w:hanging="283"/>
              <w:jc w:val="left"/>
              <w:rPr>
                <w:rFonts w:asciiTheme="minorHAnsi" w:hAnsiTheme="minorHAnsi" w:cstheme="minorHAnsi"/>
                <w:sz w:val="20"/>
                <w:szCs w:val="20"/>
                <w:lang w:val="en-GB"/>
              </w:rPr>
            </w:pPr>
            <w:r w:rsidRPr="0089064B">
              <w:rPr>
                <w:rFonts w:asciiTheme="minorHAnsi" w:hAnsiTheme="minorHAnsi" w:cstheme="minorHAnsi"/>
                <w:sz w:val="20"/>
                <w:szCs w:val="20"/>
                <w:lang w:val="en-GB"/>
              </w:rPr>
              <w:t xml:space="preserve">Support adaptive management </w:t>
            </w:r>
          </w:p>
        </w:tc>
      </w:tr>
      <w:tr w:rsidR="001B1FDD" w:rsidRPr="00352593" w14:paraId="19C60BE3" w14:textId="77777777" w:rsidTr="00384C6E">
        <w:trPr>
          <w:trHeight w:val="584"/>
          <w:jc w:val="center"/>
        </w:trPr>
        <w:tc>
          <w:tcPr>
            <w:tcW w:w="4559" w:type="dxa"/>
            <w:shd w:val="clear" w:color="auto" w:fill="DBE5F1" w:themeFill="accent1" w:themeFillTint="33"/>
            <w:tcMar>
              <w:top w:w="72" w:type="dxa"/>
              <w:left w:w="144" w:type="dxa"/>
              <w:bottom w:w="72" w:type="dxa"/>
              <w:right w:w="144" w:type="dxa"/>
            </w:tcMar>
            <w:hideMark/>
          </w:tcPr>
          <w:p w14:paraId="0C9D0013" w14:textId="77777777" w:rsidR="00A51771" w:rsidRPr="0089064B" w:rsidRDefault="001B1FDD" w:rsidP="0089064B">
            <w:pPr>
              <w:ind w:left="21"/>
              <w:jc w:val="left"/>
              <w:rPr>
                <w:rFonts w:asciiTheme="minorHAnsi" w:hAnsiTheme="minorHAnsi" w:cstheme="minorHAnsi"/>
                <w:sz w:val="20"/>
                <w:szCs w:val="20"/>
                <w:lang w:val="en-GB"/>
              </w:rPr>
            </w:pPr>
            <w:r w:rsidRPr="0089064B">
              <w:rPr>
                <w:rFonts w:asciiTheme="minorHAnsi" w:hAnsiTheme="minorHAnsi" w:cstheme="minorHAnsi"/>
                <w:sz w:val="20"/>
                <w:szCs w:val="20"/>
                <w:lang w:val="en-GB"/>
              </w:rPr>
              <w:t xml:space="preserve">Policy and institutional change </w:t>
            </w:r>
          </w:p>
        </w:tc>
        <w:tc>
          <w:tcPr>
            <w:tcW w:w="4698" w:type="dxa"/>
            <w:shd w:val="clear" w:color="auto" w:fill="auto"/>
            <w:tcMar>
              <w:top w:w="72" w:type="dxa"/>
              <w:left w:w="144" w:type="dxa"/>
              <w:bottom w:w="72" w:type="dxa"/>
              <w:right w:w="144" w:type="dxa"/>
            </w:tcMar>
            <w:hideMark/>
          </w:tcPr>
          <w:p w14:paraId="7E1898D0" w14:textId="77777777" w:rsidR="003C3A18" w:rsidRPr="0089064B" w:rsidRDefault="003C3A18" w:rsidP="00D7326E">
            <w:pPr>
              <w:numPr>
                <w:ilvl w:val="0"/>
                <w:numId w:val="8"/>
              </w:numPr>
              <w:ind w:left="302" w:hanging="283"/>
              <w:jc w:val="left"/>
              <w:rPr>
                <w:rFonts w:asciiTheme="minorHAnsi" w:hAnsiTheme="minorHAnsi" w:cstheme="minorHAnsi"/>
                <w:sz w:val="20"/>
                <w:szCs w:val="20"/>
                <w:lang w:val="en-GB"/>
              </w:rPr>
            </w:pPr>
            <w:r w:rsidRPr="0089064B">
              <w:rPr>
                <w:rFonts w:asciiTheme="minorHAnsi" w:hAnsiTheme="minorHAnsi" w:cstheme="minorHAnsi"/>
                <w:sz w:val="20"/>
                <w:szCs w:val="20"/>
                <w:lang w:val="en-GB"/>
              </w:rPr>
              <w:t xml:space="preserve">Enhance the transparency and accountability of the mainstreaming process </w:t>
            </w:r>
          </w:p>
          <w:p w14:paraId="10AB6172" w14:textId="55E5F0F9" w:rsidR="00A51771" w:rsidRPr="0089064B" w:rsidRDefault="00A51771" w:rsidP="00D7326E">
            <w:pPr>
              <w:numPr>
                <w:ilvl w:val="0"/>
                <w:numId w:val="8"/>
              </w:numPr>
              <w:ind w:left="302" w:hanging="283"/>
              <w:jc w:val="left"/>
              <w:rPr>
                <w:rFonts w:asciiTheme="minorHAnsi" w:hAnsiTheme="minorHAnsi" w:cstheme="minorHAnsi"/>
                <w:sz w:val="20"/>
                <w:szCs w:val="20"/>
                <w:lang w:val="en-GB"/>
              </w:rPr>
            </w:pPr>
            <w:r w:rsidRPr="0089064B">
              <w:rPr>
                <w:rFonts w:asciiTheme="minorHAnsi" w:hAnsiTheme="minorHAnsi" w:cstheme="minorHAnsi"/>
                <w:sz w:val="20"/>
                <w:szCs w:val="20"/>
                <w:lang w:val="en-GB"/>
              </w:rPr>
              <w:t>Promote the institutionalisation of</w:t>
            </w:r>
            <w:r w:rsidR="00384C6E">
              <w:rPr>
                <w:rFonts w:asciiTheme="minorHAnsi" w:hAnsiTheme="minorHAnsi" w:cstheme="minorHAnsi"/>
                <w:sz w:val="20"/>
                <w:szCs w:val="20"/>
                <w:lang w:val="en-GB"/>
              </w:rPr>
              <w:t xml:space="preserve"> environmental and climate change mainstreaming</w:t>
            </w:r>
          </w:p>
        </w:tc>
      </w:tr>
      <w:tr w:rsidR="001B1FDD" w:rsidRPr="00352593" w14:paraId="7821275B" w14:textId="77777777" w:rsidTr="00384C6E">
        <w:trPr>
          <w:trHeight w:val="584"/>
          <w:jc w:val="center"/>
        </w:trPr>
        <w:tc>
          <w:tcPr>
            <w:tcW w:w="4559" w:type="dxa"/>
            <w:shd w:val="clear" w:color="auto" w:fill="DBE5F1" w:themeFill="accent1" w:themeFillTint="33"/>
            <w:tcMar>
              <w:top w:w="72" w:type="dxa"/>
              <w:left w:w="144" w:type="dxa"/>
              <w:bottom w:w="72" w:type="dxa"/>
              <w:right w:w="144" w:type="dxa"/>
            </w:tcMar>
            <w:hideMark/>
          </w:tcPr>
          <w:p w14:paraId="5DC2C327" w14:textId="77777777" w:rsidR="00A51771" w:rsidRPr="0089064B" w:rsidRDefault="001B1FDD" w:rsidP="0089064B">
            <w:pPr>
              <w:ind w:left="21"/>
              <w:jc w:val="left"/>
              <w:rPr>
                <w:rFonts w:asciiTheme="minorHAnsi" w:hAnsiTheme="minorHAnsi" w:cstheme="minorHAnsi"/>
                <w:sz w:val="20"/>
                <w:szCs w:val="20"/>
                <w:lang w:val="en-GB"/>
              </w:rPr>
            </w:pPr>
            <w:r w:rsidRPr="0089064B">
              <w:rPr>
                <w:rFonts w:asciiTheme="minorHAnsi" w:hAnsiTheme="minorHAnsi" w:cstheme="minorHAnsi"/>
                <w:sz w:val="20"/>
                <w:szCs w:val="20"/>
                <w:lang w:val="en-GB"/>
              </w:rPr>
              <w:t>Policy</w:t>
            </w:r>
            <w:r w:rsidR="0075354E" w:rsidRPr="0089064B">
              <w:rPr>
                <w:rFonts w:asciiTheme="minorHAnsi" w:hAnsiTheme="minorHAnsi" w:cstheme="minorHAnsi"/>
                <w:sz w:val="20"/>
                <w:szCs w:val="20"/>
                <w:lang w:val="en-GB"/>
              </w:rPr>
              <w:t xml:space="preserve"> </w:t>
            </w:r>
            <w:r w:rsidRPr="0089064B">
              <w:rPr>
                <w:rFonts w:asciiTheme="minorHAnsi" w:hAnsiTheme="minorHAnsi" w:cstheme="minorHAnsi"/>
                <w:sz w:val="20"/>
                <w:szCs w:val="20"/>
                <w:lang w:val="en-GB"/>
              </w:rPr>
              <w:t xml:space="preserve">implementation and outcomes </w:t>
            </w:r>
          </w:p>
        </w:tc>
        <w:tc>
          <w:tcPr>
            <w:tcW w:w="4698" w:type="dxa"/>
            <w:shd w:val="clear" w:color="auto" w:fill="auto"/>
            <w:tcMar>
              <w:top w:w="72" w:type="dxa"/>
              <w:left w:w="144" w:type="dxa"/>
              <w:bottom w:w="72" w:type="dxa"/>
              <w:right w:w="144" w:type="dxa"/>
            </w:tcMar>
            <w:hideMark/>
          </w:tcPr>
          <w:p w14:paraId="13C59825" w14:textId="77777777" w:rsidR="00A51771" w:rsidRPr="0089064B" w:rsidRDefault="00BE5A3F" w:rsidP="00D7326E">
            <w:pPr>
              <w:numPr>
                <w:ilvl w:val="0"/>
                <w:numId w:val="8"/>
              </w:numPr>
              <w:ind w:left="302" w:hanging="283"/>
              <w:jc w:val="left"/>
              <w:rPr>
                <w:rFonts w:asciiTheme="minorHAnsi" w:hAnsiTheme="minorHAnsi" w:cstheme="minorHAnsi"/>
                <w:sz w:val="20"/>
                <w:szCs w:val="20"/>
                <w:lang w:val="en-GB"/>
              </w:rPr>
            </w:pPr>
            <w:r w:rsidRPr="0089064B">
              <w:rPr>
                <w:rFonts w:asciiTheme="minorHAnsi" w:hAnsiTheme="minorHAnsi" w:cstheme="minorHAnsi"/>
                <w:sz w:val="20"/>
                <w:szCs w:val="20"/>
                <w:lang w:val="en-GB"/>
              </w:rPr>
              <w:t>Ensure</w:t>
            </w:r>
            <w:r w:rsidR="00A51771" w:rsidRPr="0089064B">
              <w:rPr>
                <w:rFonts w:asciiTheme="minorHAnsi" w:hAnsiTheme="minorHAnsi" w:cstheme="minorHAnsi"/>
                <w:sz w:val="20"/>
                <w:szCs w:val="20"/>
                <w:lang w:val="en-GB"/>
              </w:rPr>
              <w:t xml:space="preserve"> commitment to the objectives set in policies and strategies</w:t>
            </w:r>
          </w:p>
          <w:p w14:paraId="1E6A8947" w14:textId="77777777" w:rsidR="00A51771" w:rsidRPr="0089064B" w:rsidRDefault="00A51771" w:rsidP="00D7326E">
            <w:pPr>
              <w:numPr>
                <w:ilvl w:val="0"/>
                <w:numId w:val="8"/>
              </w:numPr>
              <w:ind w:left="302" w:hanging="283"/>
              <w:jc w:val="left"/>
              <w:rPr>
                <w:rFonts w:asciiTheme="minorHAnsi" w:hAnsiTheme="minorHAnsi" w:cstheme="minorHAnsi"/>
                <w:sz w:val="20"/>
                <w:szCs w:val="20"/>
                <w:lang w:val="en-GB"/>
              </w:rPr>
            </w:pPr>
            <w:r w:rsidRPr="0089064B">
              <w:rPr>
                <w:rFonts w:asciiTheme="minorHAnsi" w:hAnsiTheme="minorHAnsi" w:cstheme="minorHAnsi"/>
                <w:sz w:val="20"/>
                <w:szCs w:val="20"/>
                <w:lang w:val="en-GB"/>
              </w:rPr>
              <w:t xml:space="preserve">Stimulate the achievement of tangible outcomes </w:t>
            </w:r>
          </w:p>
        </w:tc>
      </w:tr>
    </w:tbl>
    <w:p w14:paraId="2AEFC19A" w14:textId="45D59D3B" w:rsidR="00CD3292" w:rsidRPr="00276DEA" w:rsidRDefault="00332A34" w:rsidP="00276DEA">
      <w:pPr>
        <w:spacing w:before="120"/>
        <w:jc w:val="center"/>
        <w:rPr>
          <w:rFonts w:asciiTheme="minorHAnsi" w:hAnsiTheme="minorHAnsi" w:cstheme="minorHAnsi"/>
          <w:sz w:val="20"/>
          <w:szCs w:val="20"/>
          <w:lang w:val="en-GB"/>
        </w:rPr>
      </w:pPr>
      <w:r>
        <w:rPr>
          <w:rFonts w:asciiTheme="minorHAnsi" w:hAnsiTheme="minorHAnsi" w:cstheme="minorHAnsi"/>
          <w:sz w:val="20"/>
          <w:szCs w:val="20"/>
          <w:lang w:val="en-GB"/>
        </w:rPr>
        <w:t xml:space="preserve">Adapted from: </w:t>
      </w:r>
      <w:r w:rsidR="008F0AC2" w:rsidRPr="00276DEA">
        <w:rPr>
          <w:rFonts w:asciiTheme="minorHAnsi" w:hAnsiTheme="minorHAnsi" w:cstheme="minorHAnsi"/>
          <w:sz w:val="20"/>
          <w:szCs w:val="20"/>
          <w:lang w:val="en-GB"/>
        </w:rPr>
        <w:t>GCCA Support Facility</w:t>
      </w:r>
      <w:r w:rsidR="001130F0" w:rsidRPr="00276DEA">
        <w:rPr>
          <w:rFonts w:asciiTheme="minorHAnsi" w:hAnsiTheme="minorHAnsi" w:cstheme="minorHAnsi"/>
          <w:sz w:val="20"/>
          <w:szCs w:val="20"/>
          <w:lang w:val="en-GB"/>
        </w:rPr>
        <w:t xml:space="preserve">, based on </w:t>
      </w:r>
      <w:proofErr w:type="spellStart"/>
      <w:r w:rsidR="001130F0" w:rsidRPr="00276DEA">
        <w:rPr>
          <w:rFonts w:asciiTheme="minorHAnsi" w:hAnsiTheme="minorHAnsi" w:cstheme="minorHAnsi"/>
          <w:sz w:val="20"/>
          <w:szCs w:val="20"/>
          <w:lang w:val="en-GB"/>
        </w:rPr>
        <w:t>Dalal</w:t>
      </w:r>
      <w:proofErr w:type="spellEnd"/>
      <w:r w:rsidR="001130F0" w:rsidRPr="00276DEA">
        <w:rPr>
          <w:rFonts w:asciiTheme="minorHAnsi" w:hAnsiTheme="minorHAnsi" w:cstheme="minorHAnsi"/>
          <w:sz w:val="20"/>
          <w:szCs w:val="20"/>
          <w:lang w:val="en-GB"/>
        </w:rPr>
        <w:t>-Clayton &amp; Bass (2009), OECD (2009a), UNDP-UNEP (201</w:t>
      </w:r>
      <w:r w:rsidR="00276DEA" w:rsidRPr="00276DEA">
        <w:rPr>
          <w:rFonts w:asciiTheme="minorHAnsi" w:hAnsiTheme="minorHAnsi" w:cstheme="minorHAnsi"/>
          <w:sz w:val="20"/>
          <w:szCs w:val="20"/>
          <w:lang w:val="en-GB"/>
        </w:rPr>
        <w:t>1</w:t>
      </w:r>
      <w:r w:rsidR="001130F0" w:rsidRPr="00276DEA">
        <w:rPr>
          <w:rFonts w:asciiTheme="minorHAnsi" w:hAnsiTheme="minorHAnsi" w:cstheme="minorHAnsi"/>
          <w:sz w:val="20"/>
          <w:szCs w:val="20"/>
          <w:lang w:val="en-GB"/>
        </w:rPr>
        <w:t>)</w:t>
      </w:r>
    </w:p>
    <w:p w14:paraId="4AE2E804" w14:textId="77777777" w:rsidR="00CD3292" w:rsidRDefault="00CD3292" w:rsidP="00CD3292">
      <w:pPr>
        <w:rPr>
          <w:rFonts w:asciiTheme="minorHAnsi" w:hAnsiTheme="minorHAnsi" w:cstheme="minorHAnsi"/>
          <w:sz w:val="22"/>
          <w:szCs w:val="22"/>
          <w:lang w:val="en-GB"/>
        </w:rPr>
      </w:pPr>
    </w:p>
    <w:p w14:paraId="7DEBCEB2" w14:textId="77777777" w:rsidR="00B442F9" w:rsidRDefault="00B442F9" w:rsidP="00B442F9">
      <w:pPr>
        <w:rPr>
          <w:rFonts w:asciiTheme="minorHAnsi" w:hAnsiTheme="minorHAnsi" w:cstheme="minorHAnsi"/>
          <w:sz w:val="22"/>
          <w:szCs w:val="22"/>
          <w:lang w:val="en-GB"/>
        </w:rPr>
      </w:pPr>
    </w:p>
    <w:p w14:paraId="5A657C6C" w14:textId="7288CAD3" w:rsidR="00B442F9" w:rsidRDefault="00384C6E" w:rsidP="00D7326E">
      <w:pPr>
        <w:numPr>
          <w:ilvl w:val="0"/>
          <w:numId w:val="1"/>
        </w:numPr>
        <w:ind w:left="426" w:hanging="426"/>
        <w:rPr>
          <w:rFonts w:asciiTheme="minorHAnsi" w:hAnsiTheme="minorHAnsi" w:cstheme="minorHAnsi"/>
          <w:sz w:val="22"/>
          <w:szCs w:val="22"/>
          <w:lang w:val="en-GB"/>
        </w:rPr>
      </w:pPr>
      <w:r>
        <w:rPr>
          <w:rFonts w:asciiTheme="minorHAnsi" w:hAnsiTheme="minorHAnsi" w:cstheme="minorHAnsi"/>
          <w:i/>
          <w:sz w:val="22"/>
          <w:szCs w:val="22"/>
          <w:lang w:val="en-GB"/>
        </w:rPr>
        <w:t>Environment and c</w:t>
      </w:r>
      <w:r w:rsidR="00B442F9" w:rsidRPr="00BD5F9B">
        <w:rPr>
          <w:rFonts w:asciiTheme="minorHAnsi" w:hAnsiTheme="minorHAnsi" w:cstheme="minorHAnsi"/>
          <w:i/>
          <w:sz w:val="22"/>
          <w:szCs w:val="22"/>
          <w:lang w:val="en-GB"/>
        </w:rPr>
        <w:t xml:space="preserve">limate </w:t>
      </w:r>
      <w:r w:rsidR="003F59BA">
        <w:rPr>
          <w:rFonts w:asciiTheme="minorHAnsi" w:hAnsiTheme="minorHAnsi" w:cstheme="minorHAnsi"/>
          <w:i/>
          <w:sz w:val="22"/>
          <w:szCs w:val="22"/>
          <w:lang w:val="en-GB"/>
        </w:rPr>
        <w:t xml:space="preserve">change </w:t>
      </w:r>
      <w:r w:rsidR="00B442F9" w:rsidRPr="00BD5F9B">
        <w:rPr>
          <w:rFonts w:asciiTheme="minorHAnsi" w:hAnsiTheme="minorHAnsi" w:cstheme="minorHAnsi"/>
          <w:i/>
          <w:sz w:val="22"/>
          <w:szCs w:val="22"/>
          <w:lang w:val="en-GB"/>
        </w:rPr>
        <w:t>monitoring</w:t>
      </w:r>
      <w:r w:rsidR="00B442F9" w:rsidRPr="00B442F9">
        <w:rPr>
          <w:rFonts w:asciiTheme="minorHAnsi" w:hAnsiTheme="minorHAnsi" w:cstheme="minorHAnsi"/>
          <w:sz w:val="22"/>
          <w:szCs w:val="22"/>
          <w:lang w:val="en-GB"/>
        </w:rPr>
        <w:t xml:space="preserve"> </w:t>
      </w:r>
      <w:r w:rsidR="003F59BA">
        <w:rPr>
          <w:rFonts w:asciiTheme="minorHAnsi" w:hAnsiTheme="minorHAnsi" w:cstheme="minorHAnsi"/>
          <w:sz w:val="22"/>
          <w:szCs w:val="22"/>
          <w:lang w:val="en-GB"/>
        </w:rPr>
        <w:t>at large (i.e. the asp</w:t>
      </w:r>
      <w:r>
        <w:rPr>
          <w:rFonts w:asciiTheme="minorHAnsi" w:hAnsiTheme="minorHAnsi" w:cstheme="minorHAnsi"/>
          <w:sz w:val="22"/>
          <w:szCs w:val="22"/>
          <w:lang w:val="en-GB"/>
        </w:rPr>
        <w:t>ects mentioned in Table 9.3</w:t>
      </w:r>
      <w:r w:rsidR="003F59BA">
        <w:rPr>
          <w:rFonts w:asciiTheme="minorHAnsi" w:hAnsiTheme="minorHAnsi" w:cstheme="minorHAnsi"/>
          <w:sz w:val="22"/>
          <w:szCs w:val="22"/>
          <w:lang w:val="en-GB"/>
        </w:rPr>
        <w:t xml:space="preserve">) </w:t>
      </w:r>
      <w:r w:rsidR="00B442F9" w:rsidRPr="00B442F9">
        <w:rPr>
          <w:rFonts w:asciiTheme="minorHAnsi" w:hAnsiTheme="minorHAnsi" w:cstheme="minorHAnsi"/>
          <w:sz w:val="22"/>
          <w:szCs w:val="22"/>
          <w:lang w:val="en-GB"/>
        </w:rPr>
        <w:t xml:space="preserve">should be </w:t>
      </w:r>
      <w:r w:rsidR="00B442F9" w:rsidRPr="00BD5F9B">
        <w:rPr>
          <w:rFonts w:asciiTheme="minorHAnsi" w:hAnsiTheme="minorHAnsi" w:cstheme="minorHAnsi"/>
          <w:i/>
          <w:sz w:val="22"/>
          <w:szCs w:val="22"/>
          <w:lang w:val="en-GB"/>
        </w:rPr>
        <w:t>integrated into the wider national development monitoring system</w:t>
      </w:r>
      <w:r w:rsidR="00B442F9">
        <w:rPr>
          <w:rFonts w:asciiTheme="minorHAnsi" w:hAnsiTheme="minorHAnsi" w:cstheme="minorHAnsi"/>
          <w:sz w:val="22"/>
          <w:szCs w:val="22"/>
          <w:lang w:val="en-GB"/>
        </w:rPr>
        <w:t xml:space="preserve">, including its specific (e.g. </w:t>
      </w:r>
      <w:r w:rsidR="000146C3">
        <w:rPr>
          <w:rFonts w:asciiTheme="minorHAnsi" w:hAnsiTheme="minorHAnsi" w:cstheme="minorHAnsi"/>
          <w:sz w:val="22"/>
          <w:szCs w:val="22"/>
          <w:lang w:val="en-GB"/>
        </w:rPr>
        <w:t>sector</w:t>
      </w:r>
      <w:r w:rsidR="003F59BA">
        <w:rPr>
          <w:rFonts w:asciiTheme="minorHAnsi" w:hAnsiTheme="minorHAnsi" w:cstheme="minorHAnsi"/>
          <w:sz w:val="22"/>
          <w:szCs w:val="22"/>
          <w:lang w:val="en-GB"/>
        </w:rPr>
        <w:t>, local) components</w:t>
      </w:r>
      <w:r w:rsidR="00B442F9" w:rsidRPr="00B442F9">
        <w:rPr>
          <w:rFonts w:asciiTheme="minorHAnsi" w:hAnsiTheme="minorHAnsi" w:cstheme="minorHAnsi"/>
          <w:sz w:val="22"/>
          <w:szCs w:val="22"/>
          <w:lang w:val="en-GB"/>
        </w:rPr>
        <w:t xml:space="preserve">. </w:t>
      </w:r>
      <w:r w:rsidR="00B442F9" w:rsidRPr="00BD5F9B">
        <w:rPr>
          <w:rFonts w:asciiTheme="minorHAnsi" w:hAnsiTheme="minorHAnsi" w:cstheme="minorHAnsi"/>
          <w:sz w:val="22"/>
          <w:szCs w:val="22"/>
          <w:lang w:val="en-GB"/>
        </w:rPr>
        <w:t>Indicators and milestones</w:t>
      </w:r>
      <w:r w:rsidR="00B442F9">
        <w:rPr>
          <w:rFonts w:asciiTheme="minorHAnsi" w:hAnsiTheme="minorHAnsi" w:cstheme="minorHAnsi"/>
          <w:sz w:val="22"/>
          <w:szCs w:val="22"/>
          <w:lang w:val="en-GB"/>
        </w:rPr>
        <w:t xml:space="preserve"> related to</w:t>
      </w:r>
      <w:r>
        <w:rPr>
          <w:rFonts w:asciiTheme="minorHAnsi" w:hAnsiTheme="minorHAnsi" w:cstheme="minorHAnsi"/>
          <w:sz w:val="22"/>
          <w:szCs w:val="22"/>
          <w:lang w:val="en-GB"/>
        </w:rPr>
        <w:t xml:space="preserve"> environment and</w:t>
      </w:r>
      <w:r w:rsidR="00B442F9">
        <w:rPr>
          <w:rFonts w:asciiTheme="minorHAnsi" w:hAnsiTheme="minorHAnsi" w:cstheme="minorHAnsi"/>
          <w:sz w:val="22"/>
          <w:szCs w:val="22"/>
          <w:lang w:val="en-GB"/>
        </w:rPr>
        <w:t xml:space="preserve"> climate change, the mainstreaming process</w:t>
      </w:r>
      <w:r w:rsidR="00B442F9" w:rsidRPr="00B442F9">
        <w:rPr>
          <w:rFonts w:asciiTheme="minorHAnsi" w:hAnsiTheme="minorHAnsi" w:cstheme="minorHAnsi"/>
          <w:sz w:val="22"/>
          <w:szCs w:val="22"/>
          <w:lang w:val="en-GB"/>
        </w:rPr>
        <w:t xml:space="preserve"> </w:t>
      </w:r>
      <w:r w:rsidR="003F59BA">
        <w:rPr>
          <w:rFonts w:asciiTheme="minorHAnsi" w:hAnsiTheme="minorHAnsi" w:cstheme="minorHAnsi"/>
          <w:sz w:val="22"/>
          <w:szCs w:val="22"/>
          <w:lang w:val="en-GB"/>
        </w:rPr>
        <w:t xml:space="preserve">and the associated response </w:t>
      </w:r>
      <w:r w:rsidR="00B442F9" w:rsidRPr="00B442F9">
        <w:rPr>
          <w:rFonts w:asciiTheme="minorHAnsi" w:hAnsiTheme="minorHAnsi" w:cstheme="minorHAnsi"/>
          <w:sz w:val="22"/>
          <w:szCs w:val="22"/>
          <w:lang w:val="en-GB"/>
        </w:rPr>
        <w:t xml:space="preserve">can </w:t>
      </w:r>
      <w:r w:rsidR="00B442F9">
        <w:rPr>
          <w:rFonts w:asciiTheme="minorHAnsi" w:hAnsiTheme="minorHAnsi" w:cstheme="minorHAnsi"/>
          <w:sz w:val="22"/>
          <w:szCs w:val="22"/>
          <w:lang w:val="en-GB"/>
        </w:rPr>
        <w:t xml:space="preserve">thus </w:t>
      </w:r>
      <w:r w:rsidR="00B442F9" w:rsidRPr="00B442F9">
        <w:rPr>
          <w:rFonts w:asciiTheme="minorHAnsi" w:hAnsiTheme="minorHAnsi" w:cstheme="minorHAnsi"/>
          <w:sz w:val="22"/>
          <w:szCs w:val="22"/>
          <w:lang w:val="en-GB"/>
        </w:rPr>
        <w:t xml:space="preserve">be included </w:t>
      </w:r>
      <w:r w:rsidR="00B26D9C" w:rsidRPr="00B26D9C">
        <w:rPr>
          <w:rFonts w:asciiTheme="minorHAnsi" w:hAnsiTheme="minorHAnsi" w:cstheme="minorHAnsi"/>
          <w:sz w:val="22"/>
          <w:szCs w:val="22"/>
          <w:lang w:val="en-GB"/>
        </w:rPr>
        <w:t xml:space="preserve">in the </w:t>
      </w:r>
      <w:r w:rsidR="00B26D9C">
        <w:rPr>
          <w:rFonts w:asciiTheme="minorHAnsi" w:hAnsiTheme="minorHAnsi" w:cstheme="minorHAnsi"/>
          <w:sz w:val="22"/>
          <w:szCs w:val="22"/>
          <w:lang w:val="en-GB"/>
        </w:rPr>
        <w:t>pe</w:t>
      </w:r>
      <w:r w:rsidR="008C4E16">
        <w:rPr>
          <w:rFonts w:asciiTheme="minorHAnsi" w:hAnsiTheme="minorHAnsi" w:cstheme="minorHAnsi"/>
          <w:sz w:val="22"/>
          <w:szCs w:val="22"/>
          <w:lang w:val="en-GB"/>
        </w:rPr>
        <w:t xml:space="preserve">rformance assessment </w:t>
      </w:r>
      <w:r w:rsidR="00FF2957">
        <w:rPr>
          <w:rFonts w:asciiTheme="minorHAnsi" w:hAnsiTheme="minorHAnsi" w:cstheme="minorHAnsi"/>
          <w:sz w:val="22"/>
          <w:szCs w:val="22"/>
          <w:lang w:val="en-GB"/>
        </w:rPr>
        <w:t xml:space="preserve">or logical </w:t>
      </w:r>
      <w:r w:rsidR="008C4E16">
        <w:rPr>
          <w:rFonts w:asciiTheme="minorHAnsi" w:hAnsiTheme="minorHAnsi" w:cstheme="minorHAnsi"/>
          <w:sz w:val="22"/>
          <w:szCs w:val="22"/>
          <w:lang w:val="en-GB"/>
        </w:rPr>
        <w:t>frameworks</w:t>
      </w:r>
      <w:r w:rsidR="00B26D9C">
        <w:rPr>
          <w:rFonts w:asciiTheme="minorHAnsi" w:hAnsiTheme="minorHAnsi" w:cstheme="minorHAnsi"/>
          <w:sz w:val="22"/>
          <w:szCs w:val="22"/>
          <w:lang w:val="en-GB"/>
        </w:rPr>
        <w:t xml:space="preserve"> associated with</w:t>
      </w:r>
      <w:r w:rsidR="00B442F9" w:rsidRPr="00B442F9">
        <w:rPr>
          <w:rFonts w:asciiTheme="minorHAnsi" w:hAnsiTheme="minorHAnsi" w:cstheme="minorHAnsi"/>
          <w:sz w:val="22"/>
          <w:szCs w:val="22"/>
          <w:lang w:val="en-GB"/>
        </w:rPr>
        <w:t>:</w:t>
      </w:r>
    </w:p>
    <w:p w14:paraId="02631B85" w14:textId="04DA049B" w:rsidR="00B26D9C" w:rsidRPr="00B26D9C" w:rsidRDefault="00B26D9C" w:rsidP="00D7326E">
      <w:pPr>
        <w:numPr>
          <w:ilvl w:val="0"/>
          <w:numId w:val="5"/>
        </w:numPr>
        <w:spacing w:before="120"/>
        <w:ind w:left="709" w:hanging="284"/>
        <w:rPr>
          <w:rFonts w:asciiTheme="minorHAnsi" w:hAnsiTheme="minorHAnsi" w:cstheme="minorHAnsi"/>
          <w:sz w:val="22"/>
          <w:szCs w:val="22"/>
          <w:lang w:val="en-GB"/>
        </w:rPr>
      </w:pPr>
      <w:r w:rsidRPr="00B26D9C">
        <w:rPr>
          <w:rFonts w:asciiTheme="minorHAnsi" w:hAnsiTheme="minorHAnsi" w:cstheme="minorHAnsi"/>
          <w:sz w:val="22"/>
          <w:szCs w:val="22"/>
          <w:lang w:val="en-GB"/>
        </w:rPr>
        <w:t xml:space="preserve">any national or </w:t>
      </w:r>
      <w:r w:rsidR="000146C3">
        <w:rPr>
          <w:rFonts w:asciiTheme="minorHAnsi" w:hAnsiTheme="minorHAnsi" w:cstheme="minorHAnsi"/>
          <w:sz w:val="22"/>
          <w:szCs w:val="22"/>
          <w:lang w:val="en-GB"/>
        </w:rPr>
        <w:t>sector</w:t>
      </w:r>
      <w:r w:rsidRPr="00B26D9C">
        <w:rPr>
          <w:rFonts w:asciiTheme="minorHAnsi" w:hAnsiTheme="minorHAnsi" w:cstheme="minorHAnsi"/>
          <w:sz w:val="22"/>
          <w:szCs w:val="22"/>
          <w:lang w:val="en-GB"/>
        </w:rPr>
        <w:t xml:space="preserve"> development strategy/programme</w:t>
      </w:r>
      <w:r w:rsidR="003F59BA">
        <w:rPr>
          <w:rFonts w:asciiTheme="minorHAnsi" w:hAnsiTheme="minorHAnsi" w:cstheme="minorHAnsi"/>
          <w:sz w:val="22"/>
          <w:szCs w:val="22"/>
          <w:lang w:val="en-GB"/>
        </w:rPr>
        <w:t xml:space="preserve"> (including </w:t>
      </w:r>
      <w:r w:rsidR="00384C6E">
        <w:rPr>
          <w:rFonts w:asciiTheme="minorHAnsi" w:hAnsiTheme="minorHAnsi" w:cstheme="minorHAnsi"/>
          <w:sz w:val="22"/>
          <w:szCs w:val="22"/>
          <w:lang w:val="en-GB"/>
        </w:rPr>
        <w:t xml:space="preserve">environmental and </w:t>
      </w:r>
      <w:r w:rsidR="003F59BA">
        <w:rPr>
          <w:rFonts w:asciiTheme="minorHAnsi" w:hAnsiTheme="minorHAnsi" w:cstheme="minorHAnsi"/>
          <w:sz w:val="22"/>
          <w:szCs w:val="22"/>
          <w:lang w:val="en-GB"/>
        </w:rPr>
        <w:t>climate change strategies and action plans where applicable)</w:t>
      </w:r>
      <w:r w:rsidRPr="00B26D9C">
        <w:rPr>
          <w:rFonts w:asciiTheme="minorHAnsi" w:hAnsiTheme="minorHAnsi" w:cstheme="minorHAnsi"/>
          <w:sz w:val="22"/>
          <w:szCs w:val="22"/>
          <w:lang w:val="en-GB"/>
        </w:rPr>
        <w:t>;</w:t>
      </w:r>
    </w:p>
    <w:p w14:paraId="2F238074" w14:textId="77777777" w:rsidR="00B26D9C" w:rsidRPr="00B26D9C" w:rsidRDefault="00276DEA" w:rsidP="00D7326E">
      <w:pPr>
        <w:numPr>
          <w:ilvl w:val="0"/>
          <w:numId w:val="5"/>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sub-</w:t>
      </w:r>
      <w:r w:rsidR="00B26D9C" w:rsidRPr="00B26D9C">
        <w:rPr>
          <w:rFonts w:asciiTheme="minorHAnsi" w:hAnsiTheme="minorHAnsi" w:cstheme="minorHAnsi"/>
          <w:sz w:val="22"/>
          <w:szCs w:val="22"/>
          <w:lang w:val="en-GB"/>
        </w:rPr>
        <w:t>national (e.g. regional, local) development plans;</w:t>
      </w:r>
    </w:p>
    <w:p w14:paraId="0003B265" w14:textId="77777777" w:rsidR="00B26D9C" w:rsidRPr="00B26D9C" w:rsidRDefault="00B26D9C" w:rsidP="00D7326E">
      <w:pPr>
        <w:numPr>
          <w:ilvl w:val="0"/>
          <w:numId w:val="5"/>
        </w:numPr>
        <w:spacing w:before="120"/>
        <w:ind w:left="709" w:hanging="284"/>
        <w:rPr>
          <w:rFonts w:asciiTheme="minorHAnsi" w:hAnsiTheme="minorHAnsi" w:cstheme="minorHAnsi"/>
          <w:sz w:val="22"/>
          <w:szCs w:val="22"/>
          <w:lang w:val="en-GB"/>
        </w:rPr>
      </w:pPr>
      <w:proofErr w:type="gramStart"/>
      <w:r w:rsidRPr="00B26D9C">
        <w:rPr>
          <w:rFonts w:asciiTheme="minorHAnsi" w:hAnsiTheme="minorHAnsi" w:cstheme="minorHAnsi"/>
          <w:sz w:val="22"/>
          <w:szCs w:val="22"/>
          <w:lang w:val="en-GB"/>
        </w:rPr>
        <w:t>individual</w:t>
      </w:r>
      <w:proofErr w:type="gramEnd"/>
      <w:r w:rsidRPr="00B26D9C">
        <w:rPr>
          <w:rFonts w:asciiTheme="minorHAnsi" w:hAnsiTheme="minorHAnsi" w:cstheme="minorHAnsi"/>
          <w:sz w:val="22"/>
          <w:szCs w:val="22"/>
          <w:lang w:val="en-GB"/>
        </w:rPr>
        <w:t xml:space="preserve"> projects</w:t>
      </w:r>
      <w:r>
        <w:rPr>
          <w:rFonts w:asciiTheme="minorHAnsi" w:hAnsiTheme="minorHAnsi" w:cstheme="minorHAnsi"/>
          <w:sz w:val="22"/>
          <w:szCs w:val="22"/>
          <w:lang w:val="en-GB"/>
        </w:rPr>
        <w:t xml:space="preserve"> (OECD 2009a, UNDP-UNEP 201</w:t>
      </w:r>
      <w:r w:rsidR="00276DEA">
        <w:rPr>
          <w:rFonts w:asciiTheme="minorHAnsi" w:hAnsiTheme="minorHAnsi" w:cstheme="minorHAnsi"/>
          <w:sz w:val="22"/>
          <w:szCs w:val="22"/>
          <w:lang w:val="en-GB"/>
        </w:rPr>
        <w:t>1</w:t>
      </w:r>
      <w:r>
        <w:rPr>
          <w:rFonts w:asciiTheme="minorHAnsi" w:hAnsiTheme="minorHAnsi" w:cstheme="minorHAnsi"/>
          <w:sz w:val="22"/>
          <w:szCs w:val="22"/>
          <w:lang w:val="en-GB"/>
        </w:rPr>
        <w:t>)</w:t>
      </w:r>
      <w:r w:rsidRPr="00B26D9C">
        <w:rPr>
          <w:rFonts w:asciiTheme="minorHAnsi" w:hAnsiTheme="minorHAnsi" w:cstheme="minorHAnsi"/>
          <w:sz w:val="22"/>
          <w:szCs w:val="22"/>
          <w:lang w:val="en-GB"/>
        </w:rPr>
        <w:t>.</w:t>
      </w:r>
    </w:p>
    <w:p w14:paraId="28DF856A" w14:textId="77777777" w:rsidR="00B442F9" w:rsidRDefault="00B442F9" w:rsidP="00B442F9">
      <w:pPr>
        <w:rPr>
          <w:rFonts w:asciiTheme="minorHAnsi" w:hAnsiTheme="minorHAnsi" w:cstheme="minorHAnsi"/>
          <w:sz w:val="22"/>
          <w:szCs w:val="22"/>
          <w:lang w:val="en-GB"/>
        </w:rPr>
      </w:pPr>
    </w:p>
    <w:p w14:paraId="220DFA3E" w14:textId="11096BF4" w:rsidR="00B442F9" w:rsidRDefault="00BD5F9B" w:rsidP="00D7326E">
      <w:pPr>
        <w:numPr>
          <w:ilvl w:val="0"/>
          <w:numId w:val="1"/>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Development planners and those in charge of </w:t>
      </w:r>
      <w:r w:rsidR="00352593">
        <w:rPr>
          <w:rFonts w:asciiTheme="minorHAnsi" w:hAnsiTheme="minorHAnsi" w:cstheme="minorHAnsi"/>
          <w:sz w:val="22"/>
          <w:szCs w:val="22"/>
          <w:lang w:val="en-GB"/>
        </w:rPr>
        <w:t xml:space="preserve">coordinating </w:t>
      </w:r>
      <w:r w:rsidR="00C82C3D">
        <w:rPr>
          <w:rFonts w:asciiTheme="minorHAnsi" w:hAnsiTheme="minorHAnsi" w:cstheme="minorHAnsi"/>
          <w:sz w:val="22"/>
          <w:szCs w:val="22"/>
          <w:lang w:val="en-GB"/>
        </w:rPr>
        <w:t xml:space="preserve">environmental mainstreaming and </w:t>
      </w:r>
      <w:r>
        <w:rPr>
          <w:rFonts w:asciiTheme="minorHAnsi" w:hAnsiTheme="minorHAnsi" w:cstheme="minorHAnsi"/>
          <w:sz w:val="22"/>
          <w:szCs w:val="22"/>
          <w:lang w:val="en-GB"/>
        </w:rPr>
        <w:t>the response to climate change</w:t>
      </w:r>
      <w:r w:rsidR="00B442F9" w:rsidRPr="00B442F9">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should therefore aim </w:t>
      </w:r>
      <w:r w:rsidR="00B442F9" w:rsidRPr="00B442F9">
        <w:rPr>
          <w:rFonts w:asciiTheme="minorHAnsi" w:hAnsiTheme="minorHAnsi" w:cstheme="minorHAnsi"/>
          <w:sz w:val="22"/>
          <w:szCs w:val="22"/>
          <w:lang w:val="en-GB"/>
        </w:rPr>
        <w:t xml:space="preserve">to </w:t>
      </w:r>
      <w:r w:rsidR="00B442F9" w:rsidRPr="00BD5F9B">
        <w:rPr>
          <w:rFonts w:asciiTheme="minorHAnsi" w:hAnsiTheme="minorHAnsi" w:cstheme="minorHAnsi"/>
          <w:i/>
          <w:sz w:val="22"/>
          <w:szCs w:val="22"/>
          <w:lang w:val="en-GB"/>
        </w:rPr>
        <w:t>strengthen and adapt existing national monitoring systems</w:t>
      </w:r>
      <w:r w:rsidR="00B442F9" w:rsidRPr="00B442F9">
        <w:rPr>
          <w:rFonts w:asciiTheme="minorHAnsi" w:hAnsiTheme="minorHAnsi" w:cstheme="minorHAnsi"/>
          <w:sz w:val="22"/>
          <w:szCs w:val="22"/>
          <w:lang w:val="en-GB"/>
        </w:rPr>
        <w:t xml:space="preserve"> to integrate </w:t>
      </w:r>
      <w:r w:rsidR="00C82C3D">
        <w:rPr>
          <w:rFonts w:asciiTheme="minorHAnsi" w:hAnsiTheme="minorHAnsi" w:cstheme="minorHAnsi"/>
          <w:sz w:val="22"/>
          <w:szCs w:val="22"/>
          <w:lang w:val="en-GB"/>
        </w:rPr>
        <w:t xml:space="preserve">environment and </w:t>
      </w:r>
      <w:r w:rsidR="00B442F9" w:rsidRPr="00B442F9">
        <w:rPr>
          <w:rFonts w:asciiTheme="minorHAnsi" w:hAnsiTheme="minorHAnsi" w:cstheme="minorHAnsi"/>
          <w:sz w:val="22"/>
          <w:szCs w:val="22"/>
          <w:lang w:val="en-GB"/>
        </w:rPr>
        <w:t>climate change</w:t>
      </w:r>
      <w:r w:rsidR="003F59BA">
        <w:rPr>
          <w:rFonts w:asciiTheme="minorHAnsi" w:hAnsiTheme="minorHAnsi" w:cstheme="minorHAnsi"/>
          <w:sz w:val="22"/>
          <w:szCs w:val="22"/>
          <w:lang w:val="en-GB"/>
        </w:rPr>
        <w:t xml:space="preserve"> (rather than developing a standalone system)</w:t>
      </w:r>
      <w:r w:rsidR="00B442F9" w:rsidRPr="00B442F9">
        <w:rPr>
          <w:rFonts w:asciiTheme="minorHAnsi" w:hAnsiTheme="minorHAnsi" w:cstheme="minorHAnsi"/>
          <w:sz w:val="22"/>
          <w:szCs w:val="22"/>
          <w:lang w:val="en-GB"/>
        </w:rPr>
        <w:t xml:space="preserve">. </w:t>
      </w:r>
      <w:r w:rsidR="00005AD9">
        <w:rPr>
          <w:rFonts w:asciiTheme="minorHAnsi" w:hAnsiTheme="minorHAnsi" w:cstheme="minorHAnsi"/>
          <w:sz w:val="22"/>
          <w:szCs w:val="22"/>
          <w:lang w:val="en-GB"/>
        </w:rPr>
        <w:t>The best way of achieving this is to</w:t>
      </w:r>
      <w:r w:rsidR="003039CE">
        <w:rPr>
          <w:rFonts w:asciiTheme="minorHAnsi" w:hAnsiTheme="minorHAnsi" w:cstheme="minorHAnsi"/>
          <w:sz w:val="22"/>
          <w:szCs w:val="22"/>
          <w:lang w:val="en-GB"/>
        </w:rPr>
        <w:t xml:space="preserve"> build on existing institutions, statistical systems, data collection and management systems</w:t>
      </w:r>
      <w:r w:rsidR="00B442F9" w:rsidRPr="00B442F9">
        <w:rPr>
          <w:rFonts w:asciiTheme="minorHAnsi" w:hAnsiTheme="minorHAnsi" w:cstheme="minorHAnsi"/>
          <w:sz w:val="22"/>
          <w:szCs w:val="22"/>
          <w:lang w:val="en-GB"/>
        </w:rPr>
        <w:t xml:space="preserve">, including </w:t>
      </w:r>
      <w:r w:rsidR="003039CE">
        <w:rPr>
          <w:rFonts w:asciiTheme="minorHAnsi" w:hAnsiTheme="minorHAnsi" w:cstheme="minorHAnsi"/>
          <w:sz w:val="22"/>
          <w:szCs w:val="22"/>
          <w:lang w:val="en-GB"/>
        </w:rPr>
        <w:t xml:space="preserve">existing systems at </w:t>
      </w:r>
      <w:r w:rsidR="00B442F9" w:rsidRPr="00B442F9">
        <w:rPr>
          <w:rFonts w:asciiTheme="minorHAnsi" w:hAnsiTheme="minorHAnsi" w:cstheme="minorHAnsi"/>
          <w:sz w:val="22"/>
          <w:szCs w:val="22"/>
          <w:lang w:val="en-GB"/>
        </w:rPr>
        <w:t>the national meteorological services</w:t>
      </w:r>
      <w:r w:rsidR="003039CE">
        <w:rPr>
          <w:rFonts w:asciiTheme="minorHAnsi" w:hAnsiTheme="minorHAnsi" w:cstheme="minorHAnsi"/>
          <w:sz w:val="22"/>
          <w:szCs w:val="22"/>
          <w:lang w:val="en-GB"/>
        </w:rPr>
        <w:t xml:space="preserve"> and</w:t>
      </w:r>
      <w:r w:rsidR="00B442F9" w:rsidRPr="00B442F9">
        <w:rPr>
          <w:rFonts w:asciiTheme="minorHAnsi" w:hAnsiTheme="minorHAnsi" w:cstheme="minorHAnsi"/>
          <w:sz w:val="22"/>
          <w:szCs w:val="22"/>
          <w:lang w:val="en-GB"/>
        </w:rPr>
        <w:t xml:space="preserve"> the national statistical service</w:t>
      </w:r>
      <w:r w:rsidR="003039CE">
        <w:rPr>
          <w:rFonts w:asciiTheme="minorHAnsi" w:hAnsiTheme="minorHAnsi" w:cstheme="minorHAnsi"/>
          <w:sz w:val="22"/>
          <w:szCs w:val="22"/>
          <w:lang w:val="en-GB"/>
        </w:rPr>
        <w:t>.</w:t>
      </w:r>
      <w:r w:rsidR="00B442F9" w:rsidRPr="00B442F9">
        <w:rPr>
          <w:rFonts w:asciiTheme="minorHAnsi" w:hAnsiTheme="minorHAnsi" w:cstheme="minorHAnsi"/>
          <w:sz w:val="22"/>
          <w:szCs w:val="22"/>
          <w:lang w:val="en-GB"/>
        </w:rPr>
        <w:t xml:space="preserve"> </w:t>
      </w:r>
      <w:r w:rsidR="003039CE">
        <w:rPr>
          <w:rFonts w:asciiTheme="minorHAnsi" w:hAnsiTheme="minorHAnsi" w:cstheme="minorHAnsi"/>
          <w:sz w:val="22"/>
          <w:szCs w:val="22"/>
          <w:lang w:val="en-GB"/>
        </w:rPr>
        <w:t>T</w:t>
      </w:r>
      <w:r w:rsidR="00B442F9" w:rsidRPr="00B442F9">
        <w:rPr>
          <w:rFonts w:asciiTheme="minorHAnsi" w:hAnsiTheme="minorHAnsi" w:cstheme="minorHAnsi"/>
          <w:sz w:val="22"/>
          <w:szCs w:val="22"/>
          <w:lang w:val="en-GB"/>
        </w:rPr>
        <w:t xml:space="preserve">he monitoring and evaluation units of the </w:t>
      </w:r>
      <w:r w:rsidR="00365D22" w:rsidRPr="00B442F9">
        <w:rPr>
          <w:rFonts w:asciiTheme="minorHAnsi" w:hAnsiTheme="minorHAnsi" w:cstheme="minorHAnsi"/>
          <w:sz w:val="22"/>
          <w:szCs w:val="22"/>
          <w:lang w:val="en-GB"/>
        </w:rPr>
        <w:t xml:space="preserve">ministry of planning </w:t>
      </w:r>
      <w:r w:rsidR="00365D22">
        <w:rPr>
          <w:rFonts w:asciiTheme="minorHAnsi" w:hAnsiTheme="minorHAnsi" w:cstheme="minorHAnsi"/>
          <w:sz w:val="22"/>
          <w:szCs w:val="22"/>
          <w:lang w:val="en-GB"/>
        </w:rPr>
        <w:t xml:space="preserve">or </w:t>
      </w:r>
      <w:r w:rsidR="00365D22" w:rsidRPr="00B442F9">
        <w:rPr>
          <w:rFonts w:asciiTheme="minorHAnsi" w:hAnsiTheme="minorHAnsi" w:cstheme="minorHAnsi"/>
          <w:sz w:val="22"/>
          <w:szCs w:val="22"/>
          <w:lang w:val="en-GB"/>
        </w:rPr>
        <w:t>economic developmen</w:t>
      </w:r>
      <w:r w:rsidR="00B442F9" w:rsidRPr="00B442F9">
        <w:rPr>
          <w:rFonts w:asciiTheme="minorHAnsi" w:hAnsiTheme="minorHAnsi" w:cstheme="minorHAnsi"/>
          <w:sz w:val="22"/>
          <w:szCs w:val="22"/>
          <w:lang w:val="en-GB"/>
        </w:rPr>
        <w:t xml:space="preserve">t, and </w:t>
      </w:r>
      <w:r w:rsidR="003039CE">
        <w:rPr>
          <w:rFonts w:asciiTheme="minorHAnsi" w:hAnsiTheme="minorHAnsi" w:cstheme="minorHAnsi"/>
          <w:sz w:val="22"/>
          <w:szCs w:val="22"/>
          <w:lang w:val="en-GB"/>
        </w:rPr>
        <w:t xml:space="preserve">of </w:t>
      </w:r>
      <w:r w:rsidR="00B442F9" w:rsidRPr="00B442F9">
        <w:rPr>
          <w:rFonts w:asciiTheme="minorHAnsi" w:hAnsiTheme="minorHAnsi" w:cstheme="minorHAnsi"/>
          <w:sz w:val="22"/>
          <w:szCs w:val="22"/>
          <w:lang w:val="en-GB"/>
        </w:rPr>
        <w:t xml:space="preserve">other relevant ministries and government agencies (e.g. </w:t>
      </w:r>
      <w:r w:rsidR="00005AD9">
        <w:rPr>
          <w:rFonts w:asciiTheme="minorHAnsi" w:hAnsiTheme="minorHAnsi" w:cstheme="minorHAnsi"/>
          <w:sz w:val="22"/>
          <w:szCs w:val="22"/>
          <w:lang w:val="en-GB"/>
        </w:rPr>
        <w:t xml:space="preserve">those </w:t>
      </w:r>
      <w:r w:rsidR="00B442F9" w:rsidRPr="00B442F9">
        <w:rPr>
          <w:rFonts w:asciiTheme="minorHAnsi" w:hAnsiTheme="minorHAnsi" w:cstheme="minorHAnsi"/>
          <w:sz w:val="22"/>
          <w:szCs w:val="22"/>
          <w:lang w:val="en-GB"/>
        </w:rPr>
        <w:t>in charge of agriculture</w:t>
      </w:r>
      <w:r w:rsidR="00005AD9">
        <w:rPr>
          <w:rFonts w:asciiTheme="minorHAnsi" w:hAnsiTheme="minorHAnsi" w:cstheme="minorHAnsi"/>
          <w:sz w:val="22"/>
          <w:szCs w:val="22"/>
          <w:lang w:val="en-GB"/>
        </w:rPr>
        <w:t xml:space="preserve"> and forestry</w:t>
      </w:r>
      <w:r w:rsidR="00B442F9" w:rsidRPr="00B442F9">
        <w:rPr>
          <w:rFonts w:asciiTheme="minorHAnsi" w:hAnsiTheme="minorHAnsi" w:cstheme="minorHAnsi"/>
          <w:sz w:val="22"/>
          <w:szCs w:val="22"/>
          <w:lang w:val="en-GB"/>
        </w:rPr>
        <w:t xml:space="preserve">, water, environment and natural resources, </w:t>
      </w:r>
      <w:r w:rsidR="00005AD9">
        <w:rPr>
          <w:rFonts w:asciiTheme="minorHAnsi" w:hAnsiTheme="minorHAnsi" w:cstheme="minorHAnsi"/>
          <w:sz w:val="22"/>
          <w:szCs w:val="22"/>
          <w:lang w:val="en-GB"/>
        </w:rPr>
        <w:t xml:space="preserve">health, land use planning, </w:t>
      </w:r>
      <w:r w:rsidR="00B442F9" w:rsidRPr="00B442F9">
        <w:rPr>
          <w:rFonts w:asciiTheme="minorHAnsi" w:hAnsiTheme="minorHAnsi" w:cstheme="minorHAnsi"/>
          <w:sz w:val="22"/>
          <w:szCs w:val="22"/>
          <w:lang w:val="en-GB"/>
        </w:rPr>
        <w:t>...)</w:t>
      </w:r>
      <w:r w:rsidR="003039CE">
        <w:rPr>
          <w:rFonts w:asciiTheme="minorHAnsi" w:hAnsiTheme="minorHAnsi" w:cstheme="minorHAnsi"/>
          <w:sz w:val="22"/>
          <w:szCs w:val="22"/>
          <w:lang w:val="en-GB"/>
        </w:rPr>
        <w:t>, should also be involved</w:t>
      </w:r>
      <w:r w:rsidR="00B442F9" w:rsidRPr="00B442F9">
        <w:rPr>
          <w:rFonts w:asciiTheme="minorHAnsi" w:hAnsiTheme="minorHAnsi" w:cstheme="minorHAnsi"/>
          <w:sz w:val="22"/>
          <w:szCs w:val="22"/>
          <w:lang w:val="en-GB"/>
        </w:rPr>
        <w:t>. Existing statistical systems and sources of data may be a (more or less) good starting point, but in many cases will need to be strengthened and made more compatible with each other</w:t>
      </w:r>
      <w:r w:rsidR="003F59BA">
        <w:rPr>
          <w:rFonts w:asciiTheme="minorHAnsi" w:hAnsiTheme="minorHAnsi" w:cstheme="minorHAnsi"/>
          <w:sz w:val="22"/>
          <w:szCs w:val="22"/>
          <w:lang w:val="en-GB"/>
        </w:rPr>
        <w:t xml:space="preserve"> </w:t>
      </w:r>
      <w:r w:rsidR="003F59BA" w:rsidRPr="003F59BA">
        <w:rPr>
          <w:rFonts w:asciiTheme="minorHAnsi" w:hAnsiTheme="minorHAnsi" w:cstheme="minorHAnsi"/>
          <w:sz w:val="22"/>
          <w:szCs w:val="22"/>
          <w:lang w:val="en-GB"/>
        </w:rPr>
        <w:t xml:space="preserve">(an issue that may go beyond </w:t>
      </w:r>
      <w:r w:rsidR="00C82C3D">
        <w:rPr>
          <w:rFonts w:asciiTheme="minorHAnsi" w:hAnsiTheme="minorHAnsi" w:cstheme="minorHAnsi"/>
          <w:sz w:val="22"/>
          <w:szCs w:val="22"/>
          <w:lang w:val="en-GB"/>
        </w:rPr>
        <w:t xml:space="preserve">environmental and </w:t>
      </w:r>
      <w:r w:rsidR="003F59BA" w:rsidRPr="003F59BA">
        <w:rPr>
          <w:rFonts w:asciiTheme="minorHAnsi" w:hAnsiTheme="minorHAnsi" w:cstheme="minorHAnsi"/>
          <w:sz w:val="22"/>
          <w:szCs w:val="22"/>
          <w:lang w:val="en-GB"/>
        </w:rPr>
        <w:t>climate change mainstreaming)</w:t>
      </w:r>
      <w:r w:rsidR="00B442F9" w:rsidRPr="00B442F9">
        <w:rPr>
          <w:rFonts w:asciiTheme="minorHAnsi" w:hAnsiTheme="minorHAnsi" w:cstheme="minorHAnsi"/>
          <w:sz w:val="22"/>
          <w:szCs w:val="22"/>
          <w:lang w:val="en-GB"/>
        </w:rPr>
        <w:t>.</w:t>
      </w:r>
      <w:r w:rsidR="00005AD9">
        <w:rPr>
          <w:rFonts w:asciiTheme="minorHAnsi" w:hAnsiTheme="minorHAnsi" w:cstheme="minorHAnsi"/>
          <w:sz w:val="22"/>
          <w:szCs w:val="22"/>
          <w:lang w:val="en-GB"/>
        </w:rPr>
        <w:t xml:space="preserve"> Capacity strengthening will have to accompany and complement any information system development</w:t>
      </w:r>
      <w:r w:rsidR="00434337">
        <w:rPr>
          <w:rFonts w:asciiTheme="minorHAnsi" w:hAnsiTheme="minorHAnsi" w:cstheme="minorHAnsi"/>
          <w:sz w:val="22"/>
          <w:szCs w:val="22"/>
          <w:lang w:val="en-GB"/>
        </w:rPr>
        <w:t>, requiring financial resources as well as specialised human resources</w:t>
      </w:r>
      <w:r w:rsidR="00005AD9">
        <w:rPr>
          <w:rFonts w:asciiTheme="minorHAnsi" w:hAnsiTheme="minorHAnsi" w:cstheme="minorHAnsi"/>
          <w:sz w:val="22"/>
          <w:szCs w:val="22"/>
          <w:lang w:val="en-GB"/>
        </w:rPr>
        <w:t xml:space="preserve"> (OECD 2009a, UNDP-UNEP 201</w:t>
      </w:r>
      <w:r w:rsidR="00276DEA">
        <w:rPr>
          <w:rFonts w:asciiTheme="minorHAnsi" w:hAnsiTheme="minorHAnsi" w:cstheme="minorHAnsi"/>
          <w:sz w:val="22"/>
          <w:szCs w:val="22"/>
          <w:lang w:val="en-GB"/>
        </w:rPr>
        <w:t>1</w:t>
      </w:r>
      <w:r w:rsidR="00005AD9">
        <w:rPr>
          <w:rFonts w:asciiTheme="minorHAnsi" w:hAnsiTheme="minorHAnsi" w:cstheme="minorHAnsi"/>
          <w:sz w:val="22"/>
          <w:szCs w:val="22"/>
          <w:lang w:val="en-GB"/>
        </w:rPr>
        <w:t>).</w:t>
      </w:r>
    </w:p>
    <w:p w14:paraId="41432328" w14:textId="77777777" w:rsidR="00C82C3D" w:rsidRDefault="00C82C3D" w:rsidP="00C82C3D">
      <w:pPr>
        <w:rPr>
          <w:rFonts w:asciiTheme="minorHAnsi" w:hAnsiTheme="minorHAnsi" w:cstheme="minorHAnsi"/>
          <w:i/>
          <w:sz w:val="22"/>
          <w:szCs w:val="22"/>
          <w:lang w:val="en-GB"/>
        </w:rPr>
      </w:pPr>
    </w:p>
    <w:p w14:paraId="21F554EB" w14:textId="4D1B3838" w:rsidR="00352593" w:rsidRPr="00405D53" w:rsidRDefault="00352593" w:rsidP="00D7326E">
      <w:pPr>
        <w:numPr>
          <w:ilvl w:val="0"/>
          <w:numId w:val="1"/>
        </w:numPr>
        <w:ind w:left="426" w:hanging="426"/>
        <w:rPr>
          <w:rFonts w:asciiTheme="minorHAnsi" w:hAnsiTheme="minorHAnsi" w:cstheme="minorHAnsi"/>
          <w:sz w:val="22"/>
          <w:szCs w:val="22"/>
          <w:lang w:val="en-GB"/>
        </w:rPr>
      </w:pPr>
      <w:r w:rsidRPr="00405D53">
        <w:rPr>
          <w:rFonts w:asciiTheme="minorHAnsi" w:hAnsiTheme="minorHAnsi" w:cstheme="minorHAnsi"/>
          <w:i/>
          <w:sz w:val="20"/>
          <w:szCs w:val="20"/>
          <w:lang w:val="en-GB"/>
        </w:rPr>
        <w:t>Monitoring changes in the state of the environment</w:t>
      </w:r>
      <w:r>
        <w:rPr>
          <w:rFonts w:asciiTheme="minorHAnsi" w:hAnsiTheme="minorHAnsi" w:cstheme="minorHAnsi"/>
          <w:sz w:val="20"/>
          <w:szCs w:val="20"/>
          <w:lang w:val="en-GB"/>
        </w:rPr>
        <w:t xml:space="preserve"> and environmental parameters that influence poverty/development involves</w:t>
      </w:r>
      <w:r w:rsidR="00CF19E5">
        <w:rPr>
          <w:rFonts w:asciiTheme="minorHAnsi" w:hAnsiTheme="minorHAnsi" w:cstheme="minorHAnsi"/>
          <w:sz w:val="20"/>
          <w:szCs w:val="20"/>
          <w:lang w:val="en-GB"/>
        </w:rPr>
        <w:t>:</w:t>
      </w:r>
    </w:p>
    <w:p w14:paraId="07BC0E80" w14:textId="4B835347" w:rsidR="00A26C19" w:rsidRPr="00A26C19" w:rsidRDefault="00A26C19" w:rsidP="00A26C19">
      <w:pPr>
        <w:numPr>
          <w:ilvl w:val="1"/>
          <w:numId w:val="1"/>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Agreeing amongst all relevant sectoral institutions on indicators that are mutually reinforcing. This requires fostering of inter-sectoral cooperation. For example, the health authorities could use results from indicators on water quality at urban air quality generated by the environmental authorities in order to interpret health data on respiratory and infectious disease; likewise the agriculture sector can better interpret data on agricultural productivity in the light of indicators on soil erosion and deforestation.</w:t>
      </w:r>
    </w:p>
    <w:p w14:paraId="3E72F872" w14:textId="04FD9550" w:rsidR="00352593" w:rsidRDefault="002D1A0D" w:rsidP="00405D53">
      <w:pPr>
        <w:numPr>
          <w:ilvl w:val="1"/>
          <w:numId w:val="1"/>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Strengthening data collection and processing capacities within institutions responsible for </w:t>
      </w:r>
      <w:r w:rsidR="00A26C19">
        <w:rPr>
          <w:rFonts w:asciiTheme="minorHAnsi" w:hAnsiTheme="minorHAnsi" w:cstheme="minorHAnsi"/>
          <w:sz w:val="22"/>
          <w:szCs w:val="22"/>
          <w:lang w:val="en-GB"/>
        </w:rPr>
        <w:t>monitoring of poverty-environment indicators</w:t>
      </w:r>
      <w:r>
        <w:rPr>
          <w:rFonts w:asciiTheme="minorHAnsi" w:hAnsiTheme="minorHAnsi" w:cstheme="minorHAnsi"/>
          <w:sz w:val="22"/>
          <w:szCs w:val="22"/>
          <w:lang w:val="en-GB"/>
        </w:rPr>
        <w:t>, e.g. national statistics office, environmental authority, water management authority, agricultural authority, social development.</w:t>
      </w:r>
      <w:r w:rsidR="00A26C19">
        <w:rPr>
          <w:rFonts w:asciiTheme="minorHAnsi" w:hAnsiTheme="minorHAnsi" w:cstheme="minorHAnsi"/>
          <w:sz w:val="22"/>
          <w:szCs w:val="22"/>
          <w:lang w:val="en-GB"/>
        </w:rPr>
        <w:t xml:space="preserve"> This may include capacity building, purchase of equipment (e.g. for sampling, geo-location, data processing software) and infrastructure (e.g. water flow measuring stations).</w:t>
      </w:r>
    </w:p>
    <w:p w14:paraId="2AAAA3A3" w14:textId="39D412AD" w:rsidR="002D1A0D" w:rsidRDefault="002D1A0D" w:rsidP="00405D53">
      <w:pPr>
        <w:numPr>
          <w:ilvl w:val="1"/>
          <w:numId w:val="1"/>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Developing common </w:t>
      </w:r>
      <w:r w:rsidR="00FB4714">
        <w:rPr>
          <w:rFonts w:asciiTheme="minorHAnsi" w:hAnsiTheme="minorHAnsi" w:cstheme="minorHAnsi"/>
          <w:sz w:val="22"/>
          <w:szCs w:val="22"/>
          <w:lang w:val="en-GB"/>
        </w:rPr>
        <w:t>reporting mechanism</w:t>
      </w:r>
      <w:r w:rsidR="00A26C19">
        <w:rPr>
          <w:rFonts w:asciiTheme="minorHAnsi" w:hAnsiTheme="minorHAnsi" w:cstheme="minorHAnsi"/>
          <w:sz w:val="22"/>
          <w:szCs w:val="22"/>
          <w:lang w:val="en-GB"/>
        </w:rPr>
        <w:t>s</w:t>
      </w:r>
      <w:r w:rsidR="006A5A0A">
        <w:rPr>
          <w:rFonts w:asciiTheme="minorHAnsi" w:hAnsiTheme="minorHAnsi" w:cstheme="minorHAnsi"/>
          <w:sz w:val="22"/>
          <w:szCs w:val="22"/>
          <w:lang w:val="en-GB"/>
        </w:rPr>
        <w:t xml:space="preserve"> that ensures data generated at different levels and by different actors can be reported jointly.</w:t>
      </w:r>
    </w:p>
    <w:p w14:paraId="5056BA43" w14:textId="77777777" w:rsidR="00352593" w:rsidRPr="00405D53" w:rsidRDefault="00352593" w:rsidP="00405D53">
      <w:pPr>
        <w:ind w:left="426"/>
        <w:rPr>
          <w:rFonts w:asciiTheme="minorHAnsi" w:hAnsiTheme="minorHAnsi" w:cstheme="minorHAnsi"/>
          <w:sz w:val="22"/>
          <w:szCs w:val="22"/>
          <w:lang w:val="en-GB"/>
        </w:rPr>
      </w:pPr>
    </w:p>
    <w:p w14:paraId="4F0D9AC6" w14:textId="77777777" w:rsidR="007C6903" w:rsidRDefault="007C6903" w:rsidP="00D7326E">
      <w:pPr>
        <w:numPr>
          <w:ilvl w:val="0"/>
          <w:numId w:val="1"/>
        </w:numPr>
        <w:ind w:left="426" w:hanging="426"/>
        <w:rPr>
          <w:rFonts w:asciiTheme="minorHAnsi" w:hAnsiTheme="minorHAnsi" w:cstheme="minorHAnsi"/>
          <w:sz w:val="22"/>
          <w:szCs w:val="22"/>
          <w:lang w:val="en-GB"/>
        </w:rPr>
      </w:pPr>
      <w:r w:rsidRPr="007C6903">
        <w:rPr>
          <w:rFonts w:asciiTheme="minorHAnsi" w:hAnsiTheme="minorHAnsi" w:cstheme="minorHAnsi"/>
          <w:i/>
          <w:sz w:val="22"/>
          <w:szCs w:val="22"/>
          <w:lang w:val="en-GB"/>
        </w:rPr>
        <w:t xml:space="preserve">Monitoring climate </w:t>
      </w:r>
      <w:r w:rsidR="0077595F">
        <w:rPr>
          <w:rFonts w:asciiTheme="minorHAnsi" w:hAnsiTheme="minorHAnsi" w:cstheme="minorHAnsi"/>
          <w:i/>
          <w:sz w:val="22"/>
          <w:szCs w:val="22"/>
          <w:lang w:val="en-GB"/>
        </w:rPr>
        <w:t xml:space="preserve">variability and </w:t>
      </w:r>
      <w:r w:rsidRPr="007C6903">
        <w:rPr>
          <w:rFonts w:asciiTheme="minorHAnsi" w:hAnsiTheme="minorHAnsi" w:cstheme="minorHAnsi"/>
          <w:i/>
          <w:sz w:val="22"/>
          <w:szCs w:val="22"/>
          <w:lang w:val="en-GB"/>
        </w:rPr>
        <w:t>change</w:t>
      </w:r>
      <w:r w:rsidR="002F6921">
        <w:rPr>
          <w:rFonts w:asciiTheme="minorHAnsi" w:hAnsiTheme="minorHAnsi" w:cstheme="minorHAnsi"/>
          <w:i/>
          <w:sz w:val="22"/>
          <w:szCs w:val="22"/>
          <w:lang w:val="en-GB"/>
        </w:rPr>
        <w:t>, impacts and vulnerabilities</w:t>
      </w:r>
      <w:r>
        <w:rPr>
          <w:rFonts w:asciiTheme="minorHAnsi" w:hAnsiTheme="minorHAnsi" w:cstheme="minorHAnsi"/>
          <w:sz w:val="22"/>
          <w:szCs w:val="22"/>
          <w:lang w:val="en-GB"/>
        </w:rPr>
        <w:t xml:space="preserve"> </w:t>
      </w:r>
      <w:r w:rsidR="00545715">
        <w:rPr>
          <w:rFonts w:asciiTheme="minorHAnsi" w:hAnsiTheme="minorHAnsi" w:cstheme="minorHAnsi"/>
          <w:sz w:val="22"/>
          <w:szCs w:val="22"/>
          <w:lang w:val="en-GB"/>
        </w:rPr>
        <w:t>involves</w:t>
      </w:r>
      <w:r w:rsidR="004B7843">
        <w:rPr>
          <w:rFonts w:asciiTheme="minorHAnsi" w:hAnsiTheme="minorHAnsi" w:cstheme="minorHAnsi"/>
          <w:sz w:val="22"/>
          <w:szCs w:val="22"/>
          <w:lang w:val="en-GB"/>
        </w:rPr>
        <w:t xml:space="preserve"> (OECD 2009a, UNDP-UNEP 201</w:t>
      </w:r>
      <w:r w:rsidR="00276DEA">
        <w:rPr>
          <w:rFonts w:asciiTheme="minorHAnsi" w:hAnsiTheme="minorHAnsi" w:cstheme="minorHAnsi"/>
          <w:sz w:val="22"/>
          <w:szCs w:val="22"/>
          <w:lang w:val="en-GB"/>
        </w:rPr>
        <w:t>1</w:t>
      </w:r>
      <w:r w:rsidR="004B7843">
        <w:rPr>
          <w:rFonts w:asciiTheme="minorHAnsi" w:hAnsiTheme="minorHAnsi" w:cstheme="minorHAnsi"/>
          <w:sz w:val="22"/>
          <w:szCs w:val="22"/>
          <w:lang w:val="en-GB"/>
        </w:rPr>
        <w:t>)</w:t>
      </w:r>
      <w:r>
        <w:rPr>
          <w:rFonts w:asciiTheme="minorHAnsi" w:hAnsiTheme="minorHAnsi" w:cstheme="minorHAnsi"/>
          <w:sz w:val="22"/>
          <w:szCs w:val="22"/>
          <w:lang w:val="en-GB"/>
        </w:rPr>
        <w:t>:</w:t>
      </w:r>
    </w:p>
    <w:p w14:paraId="57F77376" w14:textId="77777777" w:rsidR="002F6921" w:rsidRDefault="004B7843" w:rsidP="00D7326E">
      <w:pPr>
        <w:numPr>
          <w:ilvl w:val="1"/>
          <w:numId w:val="1"/>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S</w:t>
      </w:r>
      <w:r w:rsidR="007C6903">
        <w:rPr>
          <w:rFonts w:asciiTheme="minorHAnsi" w:hAnsiTheme="minorHAnsi" w:cstheme="minorHAnsi"/>
          <w:sz w:val="22"/>
          <w:szCs w:val="22"/>
          <w:lang w:val="en-GB"/>
        </w:rPr>
        <w:t xml:space="preserve">trengthening the </w:t>
      </w:r>
      <w:r w:rsidR="00871AF5">
        <w:rPr>
          <w:rFonts w:asciiTheme="minorHAnsi" w:hAnsiTheme="minorHAnsi" w:cstheme="minorHAnsi"/>
          <w:sz w:val="22"/>
          <w:szCs w:val="22"/>
          <w:lang w:val="en-GB"/>
        </w:rPr>
        <w:t>n</w:t>
      </w:r>
      <w:r w:rsidR="00E4065C">
        <w:rPr>
          <w:rFonts w:asciiTheme="minorHAnsi" w:hAnsiTheme="minorHAnsi" w:cstheme="minorHAnsi"/>
          <w:sz w:val="22"/>
          <w:szCs w:val="22"/>
          <w:lang w:val="en-GB"/>
        </w:rPr>
        <w:t>ational meteorological services, with the objective of achieving</w:t>
      </w:r>
      <w:r w:rsidR="00871AF5">
        <w:rPr>
          <w:rFonts w:asciiTheme="minorHAnsi" w:hAnsiTheme="minorHAnsi" w:cstheme="minorHAnsi"/>
          <w:sz w:val="22"/>
          <w:szCs w:val="22"/>
          <w:lang w:val="en-GB"/>
        </w:rPr>
        <w:t xml:space="preserve"> </w:t>
      </w:r>
      <w:r w:rsidR="007C6903">
        <w:rPr>
          <w:rFonts w:asciiTheme="minorHAnsi" w:hAnsiTheme="minorHAnsi" w:cstheme="minorHAnsi"/>
          <w:sz w:val="22"/>
          <w:szCs w:val="22"/>
          <w:lang w:val="en-GB"/>
        </w:rPr>
        <w:t>improved meteorological data collection and management systems</w:t>
      </w:r>
      <w:r w:rsidR="00871AF5">
        <w:rPr>
          <w:rFonts w:asciiTheme="minorHAnsi" w:hAnsiTheme="minorHAnsi" w:cstheme="minorHAnsi"/>
          <w:sz w:val="22"/>
          <w:szCs w:val="22"/>
          <w:lang w:val="en-GB"/>
        </w:rPr>
        <w:t>;</w:t>
      </w:r>
      <w:r w:rsidR="007C6903">
        <w:rPr>
          <w:rFonts w:asciiTheme="minorHAnsi" w:hAnsiTheme="minorHAnsi" w:cstheme="minorHAnsi"/>
          <w:sz w:val="22"/>
          <w:szCs w:val="22"/>
          <w:lang w:val="en-GB"/>
        </w:rPr>
        <w:t xml:space="preserve"> </w:t>
      </w:r>
      <w:r w:rsidR="006721BD">
        <w:rPr>
          <w:rFonts w:asciiTheme="minorHAnsi" w:hAnsiTheme="minorHAnsi" w:cstheme="minorHAnsi"/>
          <w:sz w:val="22"/>
          <w:szCs w:val="22"/>
          <w:lang w:val="en-GB"/>
        </w:rPr>
        <w:t xml:space="preserve">the production of timely, reliable weather statistics and climate indicators; </w:t>
      </w:r>
      <w:r w:rsidR="002F6921">
        <w:rPr>
          <w:rFonts w:asciiTheme="minorHAnsi" w:hAnsiTheme="minorHAnsi" w:cstheme="minorHAnsi"/>
          <w:sz w:val="22"/>
          <w:szCs w:val="22"/>
          <w:lang w:val="en-GB"/>
        </w:rPr>
        <w:t xml:space="preserve">the </w:t>
      </w:r>
      <w:r w:rsidR="00E4065C">
        <w:rPr>
          <w:rFonts w:asciiTheme="minorHAnsi" w:hAnsiTheme="minorHAnsi" w:cstheme="minorHAnsi"/>
          <w:sz w:val="22"/>
          <w:szCs w:val="22"/>
          <w:lang w:val="en-GB"/>
        </w:rPr>
        <w:t xml:space="preserve">timely </w:t>
      </w:r>
      <w:r w:rsidR="002F6921">
        <w:rPr>
          <w:rFonts w:asciiTheme="minorHAnsi" w:hAnsiTheme="minorHAnsi" w:cstheme="minorHAnsi"/>
          <w:sz w:val="22"/>
          <w:szCs w:val="22"/>
          <w:lang w:val="en-GB"/>
        </w:rPr>
        <w:t xml:space="preserve">identification of new patterns and emerging climatic trends; and improved capacity to develop </w:t>
      </w:r>
      <w:r w:rsidR="00E4065C">
        <w:rPr>
          <w:rFonts w:asciiTheme="minorHAnsi" w:hAnsiTheme="minorHAnsi" w:cstheme="minorHAnsi"/>
          <w:sz w:val="22"/>
          <w:szCs w:val="22"/>
          <w:lang w:val="en-GB"/>
        </w:rPr>
        <w:t xml:space="preserve">and communicate </w:t>
      </w:r>
      <w:r w:rsidR="002F6921">
        <w:rPr>
          <w:rFonts w:asciiTheme="minorHAnsi" w:hAnsiTheme="minorHAnsi" w:cstheme="minorHAnsi"/>
          <w:sz w:val="22"/>
          <w:szCs w:val="22"/>
          <w:lang w:val="en-GB"/>
        </w:rPr>
        <w:t>meaningful climate projections and future climate scenarios.</w:t>
      </w:r>
    </w:p>
    <w:p w14:paraId="4B1549A3" w14:textId="77777777" w:rsidR="002F6921" w:rsidRDefault="00E4065C" w:rsidP="00D7326E">
      <w:pPr>
        <w:numPr>
          <w:ilvl w:val="1"/>
          <w:numId w:val="1"/>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Developing climate-related monitoring capacities in</w:t>
      </w:r>
      <w:r w:rsidR="00BF119E">
        <w:rPr>
          <w:rFonts w:asciiTheme="minorHAnsi" w:hAnsiTheme="minorHAnsi" w:cstheme="minorHAnsi"/>
          <w:sz w:val="22"/>
          <w:szCs w:val="22"/>
          <w:lang w:val="en-GB"/>
        </w:rPr>
        <w:t xml:space="preserve"> other organisations</w:t>
      </w:r>
      <w:r w:rsidR="002F6921">
        <w:rPr>
          <w:rFonts w:asciiTheme="minorHAnsi" w:hAnsiTheme="minorHAnsi" w:cstheme="minorHAnsi"/>
          <w:sz w:val="22"/>
          <w:szCs w:val="22"/>
          <w:lang w:val="en-GB"/>
        </w:rPr>
        <w:t xml:space="preserve"> involved in the assessment of climate-related </w:t>
      </w:r>
      <w:r>
        <w:rPr>
          <w:rFonts w:asciiTheme="minorHAnsi" w:hAnsiTheme="minorHAnsi" w:cstheme="minorHAnsi"/>
          <w:sz w:val="22"/>
          <w:szCs w:val="22"/>
          <w:lang w:val="en-GB"/>
        </w:rPr>
        <w:t>vulnerabilities and impacts</w:t>
      </w:r>
      <w:r w:rsidR="005E2373">
        <w:rPr>
          <w:rFonts w:asciiTheme="minorHAnsi" w:hAnsiTheme="minorHAnsi" w:cstheme="minorHAnsi"/>
          <w:sz w:val="22"/>
          <w:szCs w:val="22"/>
          <w:lang w:val="en-GB"/>
        </w:rPr>
        <w:t>,</w:t>
      </w:r>
      <w:r>
        <w:rPr>
          <w:rFonts w:asciiTheme="minorHAnsi" w:hAnsiTheme="minorHAnsi" w:cstheme="minorHAnsi"/>
          <w:sz w:val="22"/>
          <w:szCs w:val="22"/>
          <w:lang w:val="en-GB"/>
        </w:rPr>
        <w:t xml:space="preserve"> and</w:t>
      </w:r>
      <w:r w:rsidR="00BF119E">
        <w:rPr>
          <w:rFonts w:asciiTheme="minorHAnsi" w:hAnsiTheme="minorHAnsi" w:cstheme="minorHAnsi"/>
          <w:sz w:val="22"/>
          <w:szCs w:val="22"/>
          <w:lang w:val="en-GB"/>
        </w:rPr>
        <w:t xml:space="preserve"> in</w:t>
      </w:r>
      <w:r>
        <w:rPr>
          <w:rFonts w:asciiTheme="minorHAnsi" w:hAnsiTheme="minorHAnsi" w:cstheme="minorHAnsi"/>
          <w:sz w:val="22"/>
          <w:szCs w:val="22"/>
          <w:lang w:val="en-GB"/>
        </w:rPr>
        <w:t xml:space="preserve"> the identification</w:t>
      </w:r>
      <w:r w:rsidR="00BF119E">
        <w:rPr>
          <w:rFonts w:asciiTheme="minorHAnsi" w:hAnsiTheme="minorHAnsi" w:cstheme="minorHAnsi"/>
          <w:sz w:val="22"/>
          <w:szCs w:val="22"/>
          <w:lang w:val="en-GB"/>
        </w:rPr>
        <w:t xml:space="preserve"> and </w:t>
      </w:r>
      <w:r>
        <w:rPr>
          <w:rFonts w:asciiTheme="minorHAnsi" w:hAnsiTheme="minorHAnsi" w:cstheme="minorHAnsi"/>
          <w:sz w:val="22"/>
          <w:szCs w:val="22"/>
          <w:lang w:val="en-GB"/>
        </w:rPr>
        <w:t xml:space="preserve">implementation of </w:t>
      </w:r>
      <w:r w:rsidR="00BF119E">
        <w:rPr>
          <w:rFonts w:asciiTheme="minorHAnsi" w:hAnsiTheme="minorHAnsi" w:cstheme="minorHAnsi"/>
          <w:sz w:val="22"/>
          <w:szCs w:val="22"/>
          <w:lang w:val="en-GB"/>
        </w:rPr>
        <w:t>adaptation options.</w:t>
      </w:r>
      <w:r>
        <w:rPr>
          <w:rFonts w:asciiTheme="minorHAnsi" w:hAnsiTheme="minorHAnsi" w:cstheme="minorHAnsi"/>
          <w:sz w:val="22"/>
          <w:szCs w:val="22"/>
          <w:lang w:val="en-GB"/>
        </w:rPr>
        <w:t xml:space="preserve"> </w:t>
      </w:r>
      <w:r w:rsidR="00BF119E">
        <w:rPr>
          <w:rFonts w:asciiTheme="minorHAnsi" w:hAnsiTheme="minorHAnsi" w:cstheme="minorHAnsi"/>
          <w:sz w:val="22"/>
          <w:szCs w:val="22"/>
          <w:lang w:val="en-GB"/>
        </w:rPr>
        <w:t>S</w:t>
      </w:r>
      <w:r>
        <w:rPr>
          <w:rFonts w:asciiTheme="minorHAnsi" w:hAnsiTheme="minorHAnsi" w:cstheme="minorHAnsi"/>
          <w:sz w:val="22"/>
          <w:szCs w:val="22"/>
          <w:lang w:val="en-GB"/>
        </w:rPr>
        <w:t xml:space="preserve">uch organisations </w:t>
      </w:r>
      <w:r w:rsidR="00BF119E">
        <w:rPr>
          <w:rFonts w:asciiTheme="minorHAnsi" w:hAnsiTheme="minorHAnsi" w:cstheme="minorHAnsi"/>
          <w:sz w:val="22"/>
          <w:szCs w:val="22"/>
          <w:lang w:val="en-GB"/>
        </w:rPr>
        <w:t xml:space="preserve">include government bodies, non-governmental and civil society organisations. They </w:t>
      </w:r>
      <w:r>
        <w:rPr>
          <w:rFonts w:asciiTheme="minorHAnsi" w:hAnsiTheme="minorHAnsi" w:cstheme="minorHAnsi"/>
          <w:sz w:val="22"/>
          <w:szCs w:val="22"/>
          <w:lang w:val="en-GB"/>
        </w:rPr>
        <w:t xml:space="preserve">are likely to be found in practically all sectors of activity, </w:t>
      </w:r>
      <w:r w:rsidR="00A536AF">
        <w:rPr>
          <w:rFonts w:asciiTheme="minorHAnsi" w:hAnsiTheme="minorHAnsi" w:cstheme="minorHAnsi"/>
          <w:sz w:val="22"/>
          <w:szCs w:val="22"/>
          <w:lang w:val="en-GB"/>
        </w:rPr>
        <w:t>notably</w:t>
      </w:r>
      <w:r>
        <w:rPr>
          <w:rFonts w:asciiTheme="minorHAnsi" w:hAnsiTheme="minorHAnsi" w:cstheme="minorHAnsi"/>
          <w:sz w:val="22"/>
          <w:szCs w:val="22"/>
          <w:lang w:val="en-GB"/>
        </w:rPr>
        <w:t xml:space="preserve"> agriculture and food security; energy; environment and natural resource management; </w:t>
      </w:r>
      <w:r w:rsidR="00BF119E">
        <w:rPr>
          <w:rFonts w:asciiTheme="minorHAnsi" w:hAnsiTheme="minorHAnsi" w:cstheme="minorHAnsi"/>
          <w:sz w:val="22"/>
          <w:szCs w:val="22"/>
          <w:lang w:val="en-GB"/>
        </w:rPr>
        <w:t xml:space="preserve">financial services; </w:t>
      </w:r>
      <w:r>
        <w:rPr>
          <w:rFonts w:asciiTheme="minorHAnsi" w:hAnsiTheme="minorHAnsi" w:cstheme="minorHAnsi"/>
          <w:sz w:val="22"/>
          <w:szCs w:val="22"/>
          <w:lang w:val="en-GB"/>
        </w:rPr>
        <w:t xml:space="preserve">health; </w:t>
      </w:r>
      <w:r w:rsidR="00BF119E">
        <w:rPr>
          <w:rFonts w:asciiTheme="minorHAnsi" w:hAnsiTheme="minorHAnsi" w:cstheme="minorHAnsi"/>
          <w:sz w:val="22"/>
          <w:szCs w:val="22"/>
          <w:lang w:val="en-GB"/>
        </w:rPr>
        <w:t xml:space="preserve">trade; </w:t>
      </w:r>
      <w:r>
        <w:rPr>
          <w:rFonts w:asciiTheme="minorHAnsi" w:hAnsiTheme="minorHAnsi" w:cstheme="minorHAnsi"/>
          <w:sz w:val="22"/>
          <w:szCs w:val="22"/>
          <w:lang w:val="en-GB"/>
        </w:rPr>
        <w:t xml:space="preserve">transport; waste management; water management; etc. </w:t>
      </w:r>
      <w:r w:rsidR="00BF119E">
        <w:rPr>
          <w:rFonts w:asciiTheme="minorHAnsi" w:hAnsiTheme="minorHAnsi" w:cstheme="minorHAnsi"/>
          <w:sz w:val="22"/>
          <w:szCs w:val="22"/>
          <w:lang w:val="en-GB"/>
        </w:rPr>
        <w:t>These organisations should be trained, in their respective areas of competence, in assessing</w:t>
      </w:r>
      <w:r w:rsidR="00234DE4">
        <w:rPr>
          <w:rFonts w:asciiTheme="minorHAnsi" w:hAnsiTheme="minorHAnsi" w:cstheme="minorHAnsi"/>
          <w:sz w:val="22"/>
          <w:szCs w:val="22"/>
          <w:lang w:val="en-GB"/>
        </w:rPr>
        <w:t xml:space="preserve"> and mapping </w:t>
      </w:r>
      <w:r w:rsidR="00BF119E">
        <w:rPr>
          <w:rFonts w:asciiTheme="minorHAnsi" w:hAnsiTheme="minorHAnsi" w:cstheme="minorHAnsi"/>
          <w:sz w:val="22"/>
          <w:szCs w:val="22"/>
          <w:lang w:val="en-GB"/>
        </w:rPr>
        <w:t>climate-related vulnerabilities</w:t>
      </w:r>
      <w:r w:rsidR="00234DE4">
        <w:rPr>
          <w:rFonts w:asciiTheme="minorHAnsi" w:hAnsiTheme="minorHAnsi" w:cstheme="minorHAnsi"/>
          <w:sz w:val="22"/>
          <w:szCs w:val="22"/>
          <w:lang w:val="en-GB"/>
        </w:rPr>
        <w:t>;</w:t>
      </w:r>
      <w:r w:rsidR="00BF119E">
        <w:rPr>
          <w:rFonts w:asciiTheme="minorHAnsi" w:hAnsiTheme="minorHAnsi" w:cstheme="minorHAnsi"/>
          <w:sz w:val="22"/>
          <w:szCs w:val="22"/>
          <w:lang w:val="en-GB"/>
        </w:rPr>
        <w:t xml:space="preserve"> </w:t>
      </w:r>
      <w:r w:rsidR="00234DE4">
        <w:rPr>
          <w:rFonts w:asciiTheme="minorHAnsi" w:hAnsiTheme="minorHAnsi" w:cstheme="minorHAnsi"/>
          <w:sz w:val="22"/>
          <w:szCs w:val="22"/>
          <w:lang w:val="en-GB"/>
        </w:rPr>
        <w:t>in anticipating</w:t>
      </w:r>
      <w:r w:rsidR="00BF119E">
        <w:rPr>
          <w:rFonts w:asciiTheme="minorHAnsi" w:hAnsiTheme="minorHAnsi" w:cstheme="minorHAnsi"/>
          <w:sz w:val="22"/>
          <w:szCs w:val="22"/>
          <w:lang w:val="en-GB"/>
        </w:rPr>
        <w:t xml:space="preserve"> their evolution over time; and in identifying and reporting on climate impacts.</w:t>
      </w:r>
    </w:p>
    <w:p w14:paraId="0AB6CEE8" w14:textId="77777777" w:rsidR="002F6921" w:rsidRDefault="002F6921" w:rsidP="00D7326E">
      <w:pPr>
        <w:numPr>
          <w:ilvl w:val="1"/>
          <w:numId w:val="1"/>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Fostering cooperation between national meteorological services and other organisations, </w:t>
      </w:r>
      <w:r w:rsidR="00A536AF">
        <w:rPr>
          <w:rFonts w:asciiTheme="minorHAnsi" w:hAnsiTheme="minorHAnsi" w:cstheme="minorHAnsi"/>
          <w:sz w:val="22"/>
          <w:szCs w:val="22"/>
          <w:lang w:val="en-GB"/>
        </w:rPr>
        <w:t xml:space="preserve">for the development of tools for assessing current and future impacts, vulnerabilities and risks. For instance, </w:t>
      </w:r>
      <w:r w:rsidR="007C6903">
        <w:rPr>
          <w:rFonts w:asciiTheme="minorHAnsi" w:hAnsiTheme="minorHAnsi" w:cstheme="minorHAnsi"/>
          <w:sz w:val="22"/>
          <w:szCs w:val="22"/>
          <w:lang w:val="en-GB"/>
        </w:rPr>
        <w:t xml:space="preserve">early warning </w:t>
      </w:r>
      <w:r w:rsidR="00123165">
        <w:rPr>
          <w:rFonts w:asciiTheme="minorHAnsi" w:hAnsiTheme="minorHAnsi" w:cstheme="minorHAnsi"/>
          <w:sz w:val="22"/>
          <w:szCs w:val="22"/>
          <w:lang w:val="en-GB"/>
        </w:rPr>
        <w:t xml:space="preserve">and </w:t>
      </w:r>
      <w:r w:rsidR="00A536AF">
        <w:rPr>
          <w:rFonts w:asciiTheme="minorHAnsi" w:hAnsiTheme="minorHAnsi" w:cstheme="minorHAnsi"/>
          <w:sz w:val="22"/>
          <w:szCs w:val="22"/>
          <w:lang w:val="en-GB"/>
        </w:rPr>
        <w:t xml:space="preserve">longer-range </w:t>
      </w:r>
      <w:r w:rsidR="00123165">
        <w:rPr>
          <w:rFonts w:asciiTheme="minorHAnsi" w:hAnsiTheme="minorHAnsi" w:cstheme="minorHAnsi"/>
          <w:sz w:val="22"/>
          <w:szCs w:val="22"/>
          <w:lang w:val="en-GB"/>
        </w:rPr>
        <w:t xml:space="preserve">forecasting </w:t>
      </w:r>
      <w:r w:rsidR="007C6903">
        <w:rPr>
          <w:rFonts w:asciiTheme="minorHAnsi" w:hAnsiTheme="minorHAnsi" w:cstheme="minorHAnsi"/>
          <w:sz w:val="22"/>
          <w:szCs w:val="22"/>
          <w:lang w:val="en-GB"/>
        </w:rPr>
        <w:t xml:space="preserve">systems </w:t>
      </w:r>
      <w:r w:rsidR="00A536AF">
        <w:rPr>
          <w:rFonts w:asciiTheme="minorHAnsi" w:hAnsiTheme="minorHAnsi" w:cstheme="minorHAnsi"/>
          <w:sz w:val="22"/>
          <w:szCs w:val="22"/>
          <w:lang w:val="en-GB"/>
        </w:rPr>
        <w:t>(</w:t>
      </w:r>
      <w:r w:rsidR="007C6903">
        <w:rPr>
          <w:rFonts w:asciiTheme="minorHAnsi" w:hAnsiTheme="minorHAnsi" w:cstheme="minorHAnsi"/>
          <w:sz w:val="22"/>
          <w:szCs w:val="22"/>
          <w:lang w:val="en-GB"/>
        </w:rPr>
        <w:t xml:space="preserve">for </w:t>
      </w:r>
      <w:r w:rsidR="00A536AF">
        <w:rPr>
          <w:rFonts w:asciiTheme="minorHAnsi" w:hAnsiTheme="minorHAnsi" w:cstheme="minorHAnsi"/>
          <w:sz w:val="22"/>
          <w:szCs w:val="22"/>
          <w:lang w:val="en-GB"/>
        </w:rPr>
        <w:t xml:space="preserve">events such as </w:t>
      </w:r>
      <w:r w:rsidR="007C6903">
        <w:rPr>
          <w:rFonts w:asciiTheme="minorHAnsi" w:hAnsiTheme="minorHAnsi" w:cstheme="minorHAnsi"/>
          <w:sz w:val="22"/>
          <w:szCs w:val="22"/>
          <w:lang w:val="en-GB"/>
        </w:rPr>
        <w:t>drought</w:t>
      </w:r>
      <w:r w:rsidR="005E2373">
        <w:rPr>
          <w:rFonts w:asciiTheme="minorHAnsi" w:hAnsiTheme="minorHAnsi" w:cstheme="minorHAnsi"/>
          <w:sz w:val="22"/>
          <w:szCs w:val="22"/>
          <w:lang w:val="en-GB"/>
        </w:rPr>
        <w:t>s</w:t>
      </w:r>
      <w:r w:rsidR="007C6903">
        <w:rPr>
          <w:rFonts w:asciiTheme="minorHAnsi" w:hAnsiTheme="minorHAnsi" w:cstheme="minorHAnsi"/>
          <w:sz w:val="22"/>
          <w:szCs w:val="22"/>
          <w:lang w:val="en-GB"/>
        </w:rPr>
        <w:t xml:space="preserve">, floods, storms, </w:t>
      </w:r>
      <w:r w:rsidR="00C230F3">
        <w:rPr>
          <w:rFonts w:asciiTheme="minorHAnsi" w:hAnsiTheme="minorHAnsi" w:cstheme="minorHAnsi"/>
          <w:sz w:val="22"/>
          <w:szCs w:val="22"/>
          <w:lang w:val="en-GB"/>
        </w:rPr>
        <w:t xml:space="preserve">famine, </w:t>
      </w:r>
      <w:r w:rsidR="00A536AF">
        <w:rPr>
          <w:rFonts w:asciiTheme="minorHAnsi" w:hAnsiTheme="minorHAnsi" w:cstheme="minorHAnsi"/>
          <w:sz w:val="22"/>
          <w:szCs w:val="22"/>
          <w:lang w:val="en-GB"/>
        </w:rPr>
        <w:t>epidemics</w:t>
      </w:r>
      <w:r w:rsidR="00917F98">
        <w:rPr>
          <w:rFonts w:asciiTheme="minorHAnsi" w:hAnsiTheme="minorHAnsi" w:cstheme="minorHAnsi"/>
          <w:sz w:val="22"/>
          <w:szCs w:val="22"/>
          <w:lang w:val="en-GB"/>
        </w:rPr>
        <w:t xml:space="preserve"> of malaria and other diseases</w:t>
      </w:r>
      <w:r w:rsidR="00A536AF">
        <w:rPr>
          <w:rFonts w:asciiTheme="minorHAnsi" w:hAnsiTheme="minorHAnsi" w:cstheme="minorHAnsi"/>
          <w:sz w:val="22"/>
          <w:szCs w:val="22"/>
          <w:lang w:val="en-GB"/>
        </w:rPr>
        <w:t xml:space="preserve">) </w:t>
      </w:r>
      <w:r w:rsidR="00123165">
        <w:rPr>
          <w:rFonts w:asciiTheme="minorHAnsi" w:hAnsiTheme="minorHAnsi" w:cstheme="minorHAnsi"/>
          <w:sz w:val="22"/>
          <w:szCs w:val="22"/>
          <w:lang w:val="en-GB"/>
        </w:rPr>
        <w:t xml:space="preserve">signal the possible occurrence </w:t>
      </w:r>
      <w:r w:rsidR="00123165">
        <w:rPr>
          <w:rFonts w:asciiTheme="minorHAnsi" w:hAnsiTheme="minorHAnsi" w:cstheme="minorHAnsi"/>
          <w:sz w:val="22"/>
          <w:szCs w:val="22"/>
          <w:lang w:val="en-GB"/>
        </w:rPr>
        <w:lastRenderedPageBreak/>
        <w:t xml:space="preserve">of </w:t>
      </w:r>
      <w:r w:rsidR="00A536AF">
        <w:rPr>
          <w:rFonts w:asciiTheme="minorHAnsi" w:hAnsiTheme="minorHAnsi" w:cstheme="minorHAnsi"/>
          <w:sz w:val="22"/>
          <w:szCs w:val="22"/>
          <w:lang w:val="en-GB"/>
        </w:rPr>
        <w:t>disasters</w:t>
      </w:r>
      <w:r w:rsidR="00123165">
        <w:rPr>
          <w:rFonts w:asciiTheme="minorHAnsi" w:hAnsiTheme="minorHAnsi" w:cstheme="minorHAnsi"/>
          <w:sz w:val="22"/>
          <w:szCs w:val="22"/>
          <w:lang w:val="en-GB"/>
        </w:rPr>
        <w:t xml:space="preserve"> </w:t>
      </w:r>
      <w:r w:rsidR="00A536AF">
        <w:rPr>
          <w:rFonts w:asciiTheme="minorHAnsi" w:hAnsiTheme="minorHAnsi" w:cstheme="minorHAnsi"/>
          <w:sz w:val="22"/>
          <w:szCs w:val="22"/>
          <w:lang w:val="en-GB"/>
        </w:rPr>
        <w:t xml:space="preserve">and epidemics </w:t>
      </w:r>
      <w:r w:rsidR="00123165">
        <w:rPr>
          <w:rFonts w:asciiTheme="minorHAnsi" w:hAnsiTheme="minorHAnsi" w:cstheme="minorHAnsi"/>
          <w:sz w:val="22"/>
          <w:szCs w:val="22"/>
          <w:lang w:val="en-GB"/>
        </w:rPr>
        <w:t xml:space="preserve">with a lead time of a few days, weeks or months, </w:t>
      </w:r>
      <w:r w:rsidR="00A536AF">
        <w:rPr>
          <w:rFonts w:asciiTheme="minorHAnsi" w:hAnsiTheme="minorHAnsi" w:cstheme="minorHAnsi"/>
          <w:sz w:val="22"/>
          <w:szCs w:val="22"/>
          <w:lang w:val="en-GB"/>
        </w:rPr>
        <w:t>thus</w:t>
      </w:r>
      <w:r w:rsidR="00C230F3">
        <w:rPr>
          <w:rFonts w:asciiTheme="minorHAnsi" w:hAnsiTheme="minorHAnsi" w:cstheme="minorHAnsi"/>
          <w:sz w:val="22"/>
          <w:szCs w:val="22"/>
          <w:lang w:val="en-GB"/>
        </w:rPr>
        <w:t xml:space="preserve"> support</w:t>
      </w:r>
      <w:r w:rsidR="00A536AF">
        <w:rPr>
          <w:rFonts w:asciiTheme="minorHAnsi" w:hAnsiTheme="minorHAnsi" w:cstheme="minorHAnsi"/>
          <w:sz w:val="22"/>
          <w:szCs w:val="22"/>
          <w:lang w:val="en-GB"/>
        </w:rPr>
        <w:t>ing</w:t>
      </w:r>
      <w:r w:rsidR="00C230F3">
        <w:rPr>
          <w:rFonts w:asciiTheme="minorHAnsi" w:hAnsiTheme="minorHAnsi" w:cstheme="minorHAnsi"/>
          <w:sz w:val="22"/>
          <w:szCs w:val="22"/>
          <w:lang w:val="en-GB"/>
        </w:rPr>
        <w:t xml:space="preserve"> improved </w:t>
      </w:r>
      <w:r w:rsidR="00C230F3" w:rsidRPr="00C230F3">
        <w:rPr>
          <w:rFonts w:asciiTheme="minorHAnsi" w:hAnsiTheme="minorHAnsi" w:cstheme="minorHAnsi"/>
          <w:sz w:val="22"/>
          <w:szCs w:val="22"/>
          <w:lang w:val="en-GB"/>
        </w:rPr>
        <w:t>responsiveness to a variety of climate-sensitive emergencies</w:t>
      </w:r>
      <w:r w:rsidR="00C230F3">
        <w:rPr>
          <w:rFonts w:asciiTheme="minorHAnsi" w:hAnsiTheme="minorHAnsi" w:cstheme="minorHAnsi"/>
          <w:sz w:val="22"/>
          <w:szCs w:val="22"/>
          <w:lang w:val="en-GB"/>
        </w:rPr>
        <w:t>. They work on</w:t>
      </w:r>
      <w:r w:rsidR="00123165">
        <w:rPr>
          <w:rFonts w:asciiTheme="minorHAnsi" w:hAnsiTheme="minorHAnsi" w:cstheme="minorHAnsi"/>
          <w:sz w:val="22"/>
          <w:szCs w:val="22"/>
          <w:lang w:val="en-GB"/>
        </w:rPr>
        <w:t xml:space="preserve"> the basis of </w:t>
      </w:r>
      <w:r w:rsidR="00123165" w:rsidRPr="00123165">
        <w:rPr>
          <w:rFonts w:asciiTheme="minorHAnsi" w:hAnsiTheme="minorHAnsi" w:cstheme="minorHAnsi"/>
          <w:sz w:val="22"/>
          <w:szCs w:val="22"/>
          <w:lang w:val="en-GB"/>
        </w:rPr>
        <w:t>sophisticated models that</w:t>
      </w:r>
      <w:r w:rsidR="00123165">
        <w:rPr>
          <w:rFonts w:asciiTheme="minorHAnsi" w:hAnsiTheme="minorHAnsi" w:cstheme="minorHAnsi"/>
          <w:sz w:val="22"/>
          <w:szCs w:val="22"/>
          <w:lang w:val="en-GB"/>
        </w:rPr>
        <w:t>, typically,</w:t>
      </w:r>
      <w:r w:rsidR="00123165" w:rsidRPr="00123165">
        <w:rPr>
          <w:rFonts w:asciiTheme="minorHAnsi" w:hAnsiTheme="minorHAnsi" w:cstheme="minorHAnsi"/>
          <w:sz w:val="22"/>
          <w:szCs w:val="22"/>
          <w:lang w:val="en-GB"/>
        </w:rPr>
        <w:t xml:space="preserve"> </w:t>
      </w:r>
      <w:r w:rsidR="00C230F3">
        <w:rPr>
          <w:rFonts w:asciiTheme="minorHAnsi" w:hAnsiTheme="minorHAnsi" w:cstheme="minorHAnsi"/>
          <w:sz w:val="22"/>
          <w:szCs w:val="22"/>
          <w:lang w:val="en-GB"/>
        </w:rPr>
        <w:t>interpret</w:t>
      </w:r>
      <w:r w:rsidR="00123165" w:rsidRPr="00123165">
        <w:rPr>
          <w:rFonts w:asciiTheme="minorHAnsi" w:hAnsiTheme="minorHAnsi" w:cstheme="minorHAnsi"/>
          <w:sz w:val="22"/>
          <w:szCs w:val="22"/>
          <w:lang w:val="en-GB"/>
        </w:rPr>
        <w:t xml:space="preserve"> current</w:t>
      </w:r>
      <w:r w:rsidR="00123165">
        <w:rPr>
          <w:rFonts w:asciiTheme="minorHAnsi" w:hAnsiTheme="minorHAnsi" w:cstheme="minorHAnsi"/>
          <w:sz w:val="22"/>
          <w:szCs w:val="22"/>
          <w:lang w:val="en-GB"/>
        </w:rPr>
        <w:t xml:space="preserve"> </w:t>
      </w:r>
      <w:r w:rsidR="00C230F3">
        <w:rPr>
          <w:rFonts w:asciiTheme="minorHAnsi" w:hAnsiTheme="minorHAnsi" w:cstheme="minorHAnsi"/>
          <w:sz w:val="22"/>
          <w:szCs w:val="22"/>
          <w:lang w:val="en-GB"/>
        </w:rPr>
        <w:t>or</w:t>
      </w:r>
      <w:r w:rsidR="00123165">
        <w:rPr>
          <w:rFonts w:asciiTheme="minorHAnsi" w:hAnsiTheme="minorHAnsi" w:cstheme="minorHAnsi"/>
          <w:sz w:val="22"/>
          <w:szCs w:val="22"/>
          <w:lang w:val="en-GB"/>
        </w:rPr>
        <w:t xml:space="preserve"> recent</w:t>
      </w:r>
      <w:r w:rsidR="00123165" w:rsidRPr="00123165">
        <w:rPr>
          <w:rFonts w:asciiTheme="minorHAnsi" w:hAnsiTheme="minorHAnsi" w:cstheme="minorHAnsi"/>
          <w:sz w:val="22"/>
          <w:szCs w:val="22"/>
          <w:lang w:val="en-GB"/>
        </w:rPr>
        <w:t xml:space="preserve"> </w:t>
      </w:r>
      <w:r w:rsidR="00C230F3">
        <w:rPr>
          <w:rFonts w:asciiTheme="minorHAnsi" w:hAnsiTheme="minorHAnsi" w:cstheme="minorHAnsi"/>
          <w:sz w:val="22"/>
          <w:szCs w:val="22"/>
          <w:lang w:val="en-GB"/>
        </w:rPr>
        <w:t>climatic</w:t>
      </w:r>
      <w:r w:rsidR="00123165">
        <w:rPr>
          <w:rFonts w:asciiTheme="minorHAnsi" w:hAnsiTheme="minorHAnsi" w:cstheme="minorHAnsi"/>
          <w:sz w:val="22"/>
          <w:szCs w:val="22"/>
          <w:lang w:val="en-GB"/>
        </w:rPr>
        <w:t xml:space="preserve"> and non-climatic </w:t>
      </w:r>
      <w:r w:rsidR="00123165" w:rsidRPr="00123165">
        <w:rPr>
          <w:rFonts w:asciiTheme="minorHAnsi" w:hAnsiTheme="minorHAnsi" w:cstheme="minorHAnsi"/>
          <w:sz w:val="22"/>
          <w:szCs w:val="22"/>
          <w:lang w:val="en-GB"/>
        </w:rPr>
        <w:t xml:space="preserve">data </w:t>
      </w:r>
      <w:r w:rsidR="00123165">
        <w:rPr>
          <w:rFonts w:asciiTheme="minorHAnsi" w:hAnsiTheme="minorHAnsi" w:cstheme="minorHAnsi"/>
          <w:sz w:val="22"/>
          <w:szCs w:val="22"/>
          <w:lang w:val="en-GB"/>
        </w:rPr>
        <w:t>in the light of</w:t>
      </w:r>
      <w:r w:rsidR="00123165" w:rsidRPr="00123165">
        <w:rPr>
          <w:rFonts w:asciiTheme="minorHAnsi" w:hAnsiTheme="minorHAnsi" w:cstheme="minorHAnsi"/>
          <w:sz w:val="22"/>
          <w:szCs w:val="22"/>
          <w:lang w:val="en-GB"/>
        </w:rPr>
        <w:t xml:space="preserve"> </w:t>
      </w:r>
      <w:r w:rsidR="00123165">
        <w:rPr>
          <w:rFonts w:asciiTheme="minorHAnsi" w:hAnsiTheme="minorHAnsi" w:cstheme="minorHAnsi"/>
          <w:sz w:val="22"/>
          <w:szCs w:val="22"/>
          <w:lang w:val="en-GB"/>
        </w:rPr>
        <w:t>vulnerability-related information</w:t>
      </w:r>
      <w:r w:rsidR="003F1F2F">
        <w:rPr>
          <w:rFonts w:asciiTheme="minorHAnsi" w:hAnsiTheme="minorHAnsi" w:cstheme="minorHAnsi"/>
          <w:sz w:val="22"/>
          <w:szCs w:val="22"/>
          <w:lang w:val="en-GB"/>
        </w:rPr>
        <w:t xml:space="preserve"> (</w:t>
      </w:r>
      <w:r w:rsidR="000035E4">
        <w:rPr>
          <w:rFonts w:asciiTheme="minorHAnsi" w:hAnsiTheme="minorHAnsi" w:cstheme="minorHAnsi"/>
          <w:sz w:val="22"/>
          <w:szCs w:val="22"/>
          <w:lang w:val="en-GB"/>
        </w:rPr>
        <w:t xml:space="preserve">see for instance </w:t>
      </w:r>
      <w:proofErr w:type="spellStart"/>
      <w:r w:rsidR="003F1F2F">
        <w:rPr>
          <w:rFonts w:asciiTheme="minorHAnsi" w:hAnsiTheme="minorHAnsi" w:cstheme="minorHAnsi"/>
          <w:sz w:val="22"/>
          <w:szCs w:val="22"/>
          <w:lang w:val="en-GB"/>
        </w:rPr>
        <w:t>DaSilva</w:t>
      </w:r>
      <w:proofErr w:type="spellEnd"/>
      <w:r w:rsidR="003F1F2F">
        <w:rPr>
          <w:rFonts w:asciiTheme="minorHAnsi" w:hAnsiTheme="minorHAnsi" w:cstheme="minorHAnsi"/>
          <w:sz w:val="22"/>
          <w:szCs w:val="22"/>
          <w:lang w:val="en-GB"/>
        </w:rPr>
        <w:t xml:space="preserve"> et al 2004, </w:t>
      </w:r>
      <w:r w:rsidR="000035E4">
        <w:rPr>
          <w:rFonts w:asciiTheme="minorHAnsi" w:hAnsiTheme="minorHAnsi" w:cstheme="minorHAnsi"/>
          <w:sz w:val="22"/>
          <w:szCs w:val="22"/>
          <w:lang w:val="en-GB"/>
        </w:rPr>
        <w:t xml:space="preserve">Thomson et al 2005 &amp; 2006, </w:t>
      </w:r>
      <w:proofErr w:type="spellStart"/>
      <w:r w:rsidR="008F0D6D">
        <w:rPr>
          <w:rFonts w:asciiTheme="minorHAnsi" w:hAnsiTheme="minorHAnsi" w:cstheme="minorHAnsi"/>
          <w:sz w:val="22"/>
          <w:szCs w:val="22"/>
          <w:lang w:val="en-GB"/>
        </w:rPr>
        <w:t>Ceccato</w:t>
      </w:r>
      <w:proofErr w:type="spellEnd"/>
      <w:r w:rsidR="008F0D6D">
        <w:rPr>
          <w:rFonts w:asciiTheme="minorHAnsi" w:hAnsiTheme="minorHAnsi" w:cstheme="minorHAnsi"/>
          <w:sz w:val="22"/>
          <w:szCs w:val="22"/>
          <w:lang w:val="en-GB"/>
        </w:rPr>
        <w:t xml:space="preserve"> et al 2007</w:t>
      </w:r>
      <w:r w:rsidR="004541A1">
        <w:rPr>
          <w:rFonts w:asciiTheme="minorHAnsi" w:hAnsiTheme="minorHAnsi" w:cstheme="minorHAnsi"/>
          <w:sz w:val="22"/>
          <w:szCs w:val="22"/>
          <w:lang w:val="en-GB"/>
        </w:rPr>
        <w:t xml:space="preserve">, </w:t>
      </w:r>
      <w:r w:rsidR="000035E4">
        <w:rPr>
          <w:rFonts w:asciiTheme="minorHAnsi" w:hAnsiTheme="minorHAnsi" w:cstheme="minorHAnsi"/>
          <w:sz w:val="22"/>
          <w:szCs w:val="22"/>
          <w:lang w:val="en-GB"/>
        </w:rPr>
        <w:t>on climate-sensitive early warning systems for malaria epidemics</w:t>
      </w:r>
      <w:r w:rsidR="004541A1">
        <w:rPr>
          <w:rFonts w:asciiTheme="minorHAnsi" w:hAnsiTheme="minorHAnsi" w:cstheme="minorHAnsi"/>
          <w:sz w:val="22"/>
          <w:szCs w:val="22"/>
          <w:lang w:val="en-GB"/>
        </w:rPr>
        <w:t>)</w:t>
      </w:r>
      <w:r w:rsidR="00917F98">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123165">
        <w:rPr>
          <w:rFonts w:asciiTheme="minorHAnsi" w:hAnsiTheme="minorHAnsi" w:cstheme="minorHAnsi"/>
          <w:sz w:val="22"/>
          <w:szCs w:val="22"/>
          <w:lang w:val="en-GB"/>
        </w:rPr>
        <w:t xml:space="preserve">The development </w:t>
      </w:r>
      <w:r w:rsidR="00A536AF">
        <w:rPr>
          <w:rFonts w:asciiTheme="minorHAnsi" w:hAnsiTheme="minorHAnsi" w:cstheme="minorHAnsi"/>
          <w:sz w:val="22"/>
          <w:szCs w:val="22"/>
          <w:lang w:val="en-GB"/>
        </w:rPr>
        <w:t xml:space="preserve">and use </w:t>
      </w:r>
      <w:r w:rsidR="00123165">
        <w:rPr>
          <w:rFonts w:asciiTheme="minorHAnsi" w:hAnsiTheme="minorHAnsi" w:cstheme="minorHAnsi"/>
          <w:sz w:val="22"/>
          <w:szCs w:val="22"/>
          <w:lang w:val="en-GB"/>
        </w:rPr>
        <w:t>of early warning and forecasting systems</w:t>
      </w:r>
      <w:r>
        <w:rPr>
          <w:rFonts w:asciiTheme="minorHAnsi" w:hAnsiTheme="minorHAnsi" w:cstheme="minorHAnsi"/>
          <w:sz w:val="22"/>
          <w:szCs w:val="22"/>
          <w:lang w:val="en-GB"/>
        </w:rPr>
        <w:t xml:space="preserve"> require</w:t>
      </w:r>
      <w:r w:rsidR="00917F98">
        <w:rPr>
          <w:rFonts w:asciiTheme="minorHAnsi" w:hAnsiTheme="minorHAnsi" w:cstheme="minorHAnsi"/>
          <w:sz w:val="22"/>
          <w:szCs w:val="22"/>
          <w:lang w:val="en-GB"/>
        </w:rPr>
        <w:t>s</w:t>
      </w:r>
      <w:r>
        <w:rPr>
          <w:rFonts w:asciiTheme="minorHAnsi" w:hAnsiTheme="minorHAnsi" w:cstheme="minorHAnsi"/>
          <w:sz w:val="22"/>
          <w:szCs w:val="22"/>
          <w:lang w:val="en-GB"/>
        </w:rPr>
        <w:t xml:space="preserve"> the development of partnerships between meteorological services and health services, agricultural authorities, </w:t>
      </w:r>
      <w:r w:rsidR="00917F98">
        <w:rPr>
          <w:rFonts w:asciiTheme="minorHAnsi" w:hAnsiTheme="minorHAnsi" w:cstheme="minorHAnsi"/>
          <w:sz w:val="22"/>
          <w:szCs w:val="22"/>
          <w:lang w:val="en-GB"/>
        </w:rPr>
        <w:t xml:space="preserve">water resource management organisations, </w:t>
      </w:r>
      <w:r>
        <w:rPr>
          <w:rFonts w:asciiTheme="minorHAnsi" w:hAnsiTheme="minorHAnsi" w:cstheme="minorHAnsi"/>
          <w:sz w:val="22"/>
          <w:szCs w:val="22"/>
          <w:lang w:val="en-GB"/>
        </w:rPr>
        <w:t>organisations in charge of food security, the disaster risk reduction community</w:t>
      </w:r>
      <w:r w:rsidR="00917F98">
        <w:rPr>
          <w:rFonts w:asciiTheme="minorHAnsi" w:hAnsiTheme="minorHAnsi" w:cstheme="minorHAnsi"/>
          <w:sz w:val="22"/>
          <w:szCs w:val="22"/>
          <w:lang w:val="en-GB"/>
        </w:rPr>
        <w:t xml:space="preserve">, and others. </w:t>
      </w:r>
      <w:r w:rsidR="007C6903">
        <w:rPr>
          <w:rFonts w:asciiTheme="minorHAnsi" w:hAnsiTheme="minorHAnsi" w:cstheme="minorHAnsi"/>
          <w:sz w:val="22"/>
          <w:szCs w:val="22"/>
          <w:lang w:val="en-GB"/>
        </w:rPr>
        <w:t xml:space="preserve"> </w:t>
      </w:r>
    </w:p>
    <w:p w14:paraId="222C41D8" w14:textId="77777777" w:rsidR="00BE066A" w:rsidRPr="00BE066A" w:rsidRDefault="00BE066A" w:rsidP="00BE066A">
      <w:pPr>
        <w:rPr>
          <w:rFonts w:asciiTheme="minorHAnsi" w:hAnsiTheme="minorHAnsi" w:cstheme="minorHAnsi"/>
          <w:sz w:val="22"/>
          <w:szCs w:val="22"/>
          <w:lang w:val="en-GB"/>
        </w:rPr>
      </w:pPr>
    </w:p>
    <w:p w14:paraId="16E6D1B7" w14:textId="77777777" w:rsidR="00545715" w:rsidRDefault="00545715" w:rsidP="00D7326E">
      <w:pPr>
        <w:numPr>
          <w:ilvl w:val="0"/>
          <w:numId w:val="1"/>
        </w:numPr>
        <w:ind w:left="426" w:hanging="426"/>
        <w:rPr>
          <w:rFonts w:asciiTheme="minorHAnsi" w:hAnsiTheme="minorHAnsi" w:cstheme="minorHAnsi"/>
          <w:sz w:val="22"/>
          <w:szCs w:val="22"/>
          <w:lang w:val="en-GB"/>
        </w:rPr>
      </w:pPr>
      <w:r w:rsidRPr="007C6903">
        <w:rPr>
          <w:rFonts w:asciiTheme="minorHAnsi" w:hAnsiTheme="minorHAnsi" w:cstheme="minorHAnsi"/>
          <w:i/>
          <w:sz w:val="22"/>
          <w:szCs w:val="22"/>
          <w:lang w:val="en-GB"/>
        </w:rPr>
        <w:t xml:space="preserve">Monitoring </w:t>
      </w:r>
      <w:r>
        <w:rPr>
          <w:rFonts w:asciiTheme="minorHAnsi" w:hAnsiTheme="minorHAnsi" w:cstheme="minorHAnsi"/>
          <w:i/>
          <w:sz w:val="22"/>
          <w:szCs w:val="22"/>
          <w:lang w:val="en-GB"/>
        </w:rPr>
        <w:t>policy and institutional</w:t>
      </w:r>
      <w:r w:rsidRPr="007C6903">
        <w:rPr>
          <w:rFonts w:asciiTheme="minorHAnsi" w:hAnsiTheme="minorHAnsi" w:cstheme="minorHAnsi"/>
          <w:i/>
          <w:sz w:val="22"/>
          <w:szCs w:val="22"/>
          <w:lang w:val="en-GB"/>
        </w:rPr>
        <w:t xml:space="preserve"> change</w:t>
      </w:r>
      <w:r>
        <w:rPr>
          <w:rFonts w:asciiTheme="minorHAnsi" w:hAnsiTheme="minorHAnsi" w:cstheme="minorHAnsi"/>
          <w:sz w:val="22"/>
          <w:szCs w:val="22"/>
          <w:lang w:val="en-GB"/>
        </w:rPr>
        <w:t xml:space="preserve"> involves</w:t>
      </w:r>
      <w:r w:rsidR="004B7843">
        <w:rPr>
          <w:rFonts w:asciiTheme="minorHAnsi" w:hAnsiTheme="minorHAnsi" w:cstheme="minorHAnsi"/>
          <w:sz w:val="22"/>
          <w:szCs w:val="22"/>
          <w:lang w:val="en-GB"/>
        </w:rPr>
        <w:t xml:space="preserve"> (</w:t>
      </w:r>
      <w:proofErr w:type="spellStart"/>
      <w:r w:rsidR="004B7843">
        <w:rPr>
          <w:rFonts w:asciiTheme="minorHAnsi" w:hAnsiTheme="minorHAnsi" w:cstheme="minorHAnsi"/>
          <w:sz w:val="22"/>
          <w:szCs w:val="22"/>
          <w:lang w:val="en-GB"/>
        </w:rPr>
        <w:t>Dalal</w:t>
      </w:r>
      <w:proofErr w:type="spellEnd"/>
      <w:r w:rsidR="004B7843">
        <w:rPr>
          <w:rFonts w:asciiTheme="minorHAnsi" w:hAnsiTheme="minorHAnsi" w:cstheme="minorHAnsi"/>
          <w:sz w:val="22"/>
          <w:szCs w:val="22"/>
          <w:lang w:val="en-GB"/>
        </w:rPr>
        <w:t>-Clayton &amp; Bass 2009, UNDP-UNEP 201</w:t>
      </w:r>
      <w:r w:rsidR="00276DEA">
        <w:rPr>
          <w:rFonts w:asciiTheme="minorHAnsi" w:hAnsiTheme="minorHAnsi" w:cstheme="minorHAnsi"/>
          <w:sz w:val="22"/>
          <w:szCs w:val="22"/>
          <w:lang w:val="en-GB"/>
        </w:rPr>
        <w:t>1</w:t>
      </w:r>
      <w:r w:rsidR="004B7843">
        <w:rPr>
          <w:rFonts w:asciiTheme="minorHAnsi" w:hAnsiTheme="minorHAnsi" w:cstheme="minorHAnsi"/>
          <w:sz w:val="22"/>
          <w:szCs w:val="22"/>
          <w:lang w:val="en-GB"/>
        </w:rPr>
        <w:t>)</w:t>
      </w:r>
      <w:r>
        <w:rPr>
          <w:rFonts w:asciiTheme="minorHAnsi" w:hAnsiTheme="minorHAnsi" w:cstheme="minorHAnsi"/>
          <w:sz w:val="22"/>
          <w:szCs w:val="22"/>
          <w:lang w:val="en-GB"/>
        </w:rPr>
        <w:t>:</w:t>
      </w:r>
    </w:p>
    <w:p w14:paraId="30080F94" w14:textId="77777777" w:rsidR="00BD1C79" w:rsidRDefault="004B7843" w:rsidP="00D7326E">
      <w:pPr>
        <w:numPr>
          <w:ilvl w:val="1"/>
          <w:numId w:val="1"/>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M</w:t>
      </w:r>
      <w:r w:rsidR="00545715">
        <w:rPr>
          <w:rFonts w:asciiTheme="minorHAnsi" w:hAnsiTheme="minorHAnsi" w:cstheme="minorHAnsi"/>
          <w:sz w:val="22"/>
          <w:szCs w:val="22"/>
          <w:lang w:val="en-GB"/>
        </w:rPr>
        <w:t>onitor</w:t>
      </w:r>
      <w:r w:rsidR="008C4E16">
        <w:rPr>
          <w:rFonts w:asciiTheme="minorHAnsi" w:hAnsiTheme="minorHAnsi" w:cstheme="minorHAnsi"/>
          <w:sz w:val="22"/>
          <w:szCs w:val="22"/>
          <w:lang w:val="en-GB"/>
        </w:rPr>
        <w:t>ing policy evolution and change.</w:t>
      </w:r>
      <w:r w:rsidR="00545715">
        <w:rPr>
          <w:rFonts w:asciiTheme="minorHAnsi" w:hAnsiTheme="minorHAnsi" w:cstheme="minorHAnsi"/>
          <w:sz w:val="22"/>
          <w:szCs w:val="22"/>
          <w:lang w:val="en-GB"/>
        </w:rPr>
        <w:t xml:space="preserve"> </w:t>
      </w:r>
      <w:r w:rsidR="008C4E16">
        <w:rPr>
          <w:rFonts w:asciiTheme="minorHAnsi" w:hAnsiTheme="minorHAnsi" w:cstheme="minorHAnsi"/>
          <w:sz w:val="22"/>
          <w:szCs w:val="22"/>
          <w:lang w:val="en-GB"/>
        </w:rPr>
        <w:t>A</w:t>
      </w:r>
      <w:r w:rsidR="00366E21">
        <w:rPr>
          <w:rFonts w:asciiTheme="minorHAnsi" w:hAnsiTheme="minorHAnsi" w:cstheme="minorHAnsi"/>
          <w:sz w:val="22"/>
          <w:szCs w:val="22"/>
          <w:lang w:val="en-GB"/>
        </w:rPr>
        <w:t xml:space="preserve">spects to </w:t>
      </w:r>
      <w:r w:rsidR="008C4E16">
        <w:rPr>
          <w:rFonts w:asciiTheme="minorHAnsi" w:hAnsiTheme="minorHAnsi" w:cstheme="minorHAnsi"/>
          <w:sz w:val="22"/>
          <w:szCs w:val="22"/>
          <w:lang w:val="en-GB"/>
        </w:rPr>
        <w:t>monitor</w:t>
      </w:r>
      <w:r w:rsidR="00366E21">
        <w:rPr>
          <w:rFonts w:asciiTheme="minorHAnsi" w:hAnsiTheme="minorHAnsi" w:cstheme="minorHAnsi"/>
          <w:sz w:val="22"/>
          <w:szCs w:val="22"/>
          <w:lang w:val="en-GB"/>
        </w:rPr>
        <w:t xml:space="preserve"> include, </w:t>
      </w:r>
      <w:r w:rsidR="00871AF5">
        <w:rPr>
          <w:rFonts w:asciiTheme="minorHAnsi" w:hAnsiTheme="minorHAnsi" w:cstheme="minorHAnsi"/>
          <w:sz w:val="22"/>
          <w:szCs w:val="22"/>
          <w:lang w:val="en-GB"/>
        </w:rPr>
        <w:t>for example</w:t>
      </w:r>
      <w:r w:rsidR="00BD1C79">
        <w:rPr>
          <w:rFonts w:asciiTheme="minorHAnsi" w:hAnsiTheme="minorHAnsi" w:cstheme="minorHAnsi"/>
          <w:sz w:val="22"/>
          <w:szCs w:val="22"/>
          <w:lang w:val="en-GB"/>
        </w:rPr>
        <w:t>:</w:t>
      </w:r>
    </w:p>
    <w:p w14:paraId="404A8026" w14:textId="6C9A001C" w:rsidR="00BD1C79" w:rsidRDefault="00871AF5" w:rsidP="00D7326E">
      <w:pPr>
        <w:numPr>
          <w:ilvl w:val="2"/>
          <w:numId w:val="1"/>
        </w:numPr>
        <w:spacing w:before="120"/>
        <w:ind w:left="993"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 </w:t>
      </w:r>
      <w:r w:rsidR="00366E21">
        <w:rPr>
          <w:rFonts w:asciiTheme="minorHAnsi" w:hAnsiTheme="minorHAnsi" w:cstheme="minorHAnsi"/>
          <w:sz w:val="22"/>
          <w:szCs w:val="22"/>
          <w:lang w:val="en-GB"/>
        </w:rPr>
        <w:t xml:space="preserve">the </w:t>
      </w:r>
      <w:r w:rsidR="00545715">
        <w:rPr>
          <w:rFonts w:asciiTheme="minorHAnsi" w:hAnsiTheme="minorHAnsi" w:cstheme="minorHAnsi"/>
          <w:sz w:val="22"/>
          <w:szCs w:val="22"/>
          <w:lang w:val="en-GB"/>
        </w:rPr>
        <w:t>integration of</w:t>
      </w:r>
      <w:r w:rsidR="00C82C3D">
        <w:rPr>
          <w:rFonts w:asciiTheme="minorHAnsi" w:hAnsiTheme="minorHAnsi" w:cstheme="minorHAnsi"/>
          <w:sz w:val="22"/>
          <w:szCs w:val="22"/>
          <w:lang w:val="en-GB"/>
        </w:rPr>
        <w:t xml:space="preserve"> environment and climate change</w:t>
      </w:r>
      <w:r w:rsidR="00545715">
        <w:rPr>
          <w:rFonts w:asciiTheme="minorHAnsi" w:hAnsiTheme="minorHAnsi" w:cstheme="minorHAnsi"/>
          <w:sz w:val="22"/>
          <w:szCs w:val="22"/>
          <w:lang w:val="en-GB"/>
        </w:rPr>
        <w:t xml:space="preserve"> adaptation and mitigation in national policies and strategies (e.g. poverty reduction strategy </w:t>
      </w:r>
      <w:r w:rsidR="00545715" w:rsidRPr="00545715">
        <w:rPr>
          <w:rFonts w:asciiTheme="minorHAnsi" w:hAnsiTheme="minorHAnsi" w:cstheme="minorHAnsi"/>
          <w:sz w:val="22"/>
          <w:szCs w:val="22"/>
          <w:lang w:val="en-GB"/>
        </w:rPr>
        <w:t>integrating</w:t>
      </w:r>
      <w:r w:rsidR="00C82C3D">
        <w:rPr>
          <w:rFonts w:asciiTheme="minorHAnsi" w:hAnsiTheme="minorHAnsi" w:cstheme="minorHAnsi"/>
          <w:sz w:val="22"/>
          <w:szCs w:val="22"/>
          <w:lang w:val="en-GB"/>
        </w:rPr>
        <w:t xml:space="preserve"> environment and</w:t>
      </w:r>
      <w:r w:rsidR="00545715" w:rsidRPr="00545715">
        <w:rPr>
          <w:rFonts w:asciiTheme="minorHAnsi" w:hAnsiTheme="minorHAnsi" w:cstheme="minorHAnsi"/>
          <w:sz w:val="22"/>
          <w:szCs w:val="22"/>
          <w:lang w:val="en-GB"/>
        </w:rPr>
        <w:t xml:space="preserve"> climate vulnerability and adaptation aspects</w:t>
      </w:r>
      <w:r w:rsidR="00545715">
        <w:rPr>
          <w:rFonts w:asciiTheme="minorHAnsi" w:hAnsiTheme="minorHAnsi" w:cstheme="minorHAnsi"/>
          <w:sz w:val="22"/>
          <w:szCs w:val="22"/>
          <w:lang w:val="en-GB"/>
        </w:rPr>
        <w:t xml:space="preserve">) and at sector </w:t>
      </w:r>
      <w:r w:rsidR="005E2373">
        <w:rPr>
          <w:rFonts w:asciiTheme="minorHAnsi" w:hAnsiTheme="minorHAnsi" w:cstheme="minorHAnsi"/>
          <w:sz w:val="22"/>
          <w:szCs w:val="22"/>
          <w:lang w:val="en-GB"/>
        </w:rPr>
        <w:t>and sub</w:t>
      </w:r>
      <w:r w:rsidR="000035E4">
        <w:rPr>
          <w:rFonts w:asciiTheme="minorHAnsi" w:hAnsiTheme="minorHAnsi" w:cstheme="minorHAnsi"/>
          <w:sz w:val="22"/>
          <w:szCs w:val="22"/>
          <w:lang w:val="en-GB"/>
        </w:rPr>
        <w:t>-</w:t>
      </w:r>
      <w:r w:rsidR="005E2373">
        <w:rPr>
          <w:rFonts w:asciiTheme="minorHAnsi" w:hAnsiTheme="minorHAnsi" w:cstheme="minorHAnsi"/>
          <w:sz w:val="22"/>
          <w:szCs w:val="22"/>
          <w:lang w:val="en-GB"/>
        </w:rPr>
        <w:t xml:space="preserve">national </w:t>
      </w:r>
      <w:r w:rsidR="00545715">
        <w:rPr>
          <w:rFonts w:asciiTheme="minorHAnsi" w:hAnsiTheme="minorHAnsi" w:cstheme="minorHAnsi"/>
          <w:sz w:val="22"/>
          <w:szCs w:val="22"/>
          <w:lang w:val="en-GB"/>
        </w:rPr>
        <w:t>level</w:t>
      </w:r>
      <w:r w:rsidR="005E2373">
        <w:rPr>
          <w:rFonts w:asciiTheme="minorHAnsi" w:hAnsiTheme="minorHAnsi" w:cstheme="minorHAnsi"/>
          <w:sz w:val="22"/>
          <w:szCs w:val="22"/>
          <w:lang w:val="en-GB"/>
        </w:rPr>
        <w:t>s</w:t>
      </w:r>
      <w:r w:rsidR="00545715">
        <w:rPr>
          <w:rFonts w:asciiTheme="minorHAnsi" w:hAnsiTheme="minorHAnsi" w:cstheme="minorHAnsi"/>
          <w:sz w:val="22"/>
          <w:szCs w:val="22"/>
          <w:lang w:val="en-GB"/>
        </w:rPr>
        <w:t xml:space="preserve"> (e.g. agricultural policies and strategies emphasizing climate resilience</w:t>
      </w:r>
      <w:r w:rsidR="00C82C3D">
        <w:rPr>
          <w:rFonts w:asciiTheme="minorHAnsi" w:hAnsiTheme="minorHAnsi" w:cstheme="minorHAnsi"/>
          <w:sz w:val="22"/>
          <w:szCs w:val="22"/>
          <w:lang w:val="en-GB"/>
        </w:rPr>
        <w:t xml:space="preserve"> and protection of environmental degradation</w:t>
      </w:r>
      <w:r w:rsidR="00C07593">
        <w:rPr>
          <w:rFonts w:asciiTheme="minorHAnsi" w:hAnsiTheme="minorHAnsi" w:cstheme="minorHAnsi"/>
          <w:sz w:val="22"/>
          <w:szCs w:val="22"/>
          <w:lang w:val="en-GB"/>
        </w:rPr>
        <w:t>;</w:t>
      </w:r>
      <w:r w:rsidR="00545715">
        <w:rPr>
          <w:rFonts w:asciiTheme="minorHAnsi" w:hAnsiTheme="minorHAnsi" w:cstheme="minorHAnsi"/>
          <w:sz w:val="22"/>
          <w:szCs w:val="22"/>
          <w:lang w:val="en-GB"/>
        </w:rPr>
        <w:t xml:space="preserve"> </w:t>
      </w:r>
      <w:r w:rsidR="00B8003B">
        <w:rPr>
          <w:rFonts w:asciiTheme="minorHAnsi" w:hAnsiTheme="minorHAnsi" w:cstheme="minorHAnsi"/>
          <w:sz w:val="22"/>
          <w:szCs w:val="22"/>
          <w:lang w:val="en-GB"/>
        </w:rPr>
        <w:t>energy policy with a focus on energy efficiency and renewable sources</w:t>
      </w:r>
      <w:r w:rsidR="00C82C3D">
        <w:rPr>
          <w:rFonts w:asciiTheme="minorHAnsi" w:hAnsiTheme="minorHAnsi" w:cstheme="minorHAnsi"/>
          <w:sz w:val="22"/>
          <w:szCs w:val="22"/>
          <w:lang w:val="en-GB"/>
        </w:rPr>
        <w:t>, water management with a focus on water quality and efficient use of the resource</w:t>
      </w:r>
      <w:r w:rsidR="00B8003B">
        <w:rPr>
          <w:rFonts w:asciiTheme="minorHAnsi" w:hAnsiTheme="minorHAnsi" w:cstheme="minorHAnsi"/>
          <w:sz w:val="22"/>
          <w:szCs w:val="22"/>
          <w:lang w:val="en-GB"/>
        </w:rPr>
        <w:t>)</w:t>
      </w:r>
      <w:r w:rsidR="00545715">
        <w:rPr>
          <w:rFonts w:asciiTheme="minorHAnsi" w:hAnsiTheme="minorHAnsi" w:cstheme="minorHAnsi"/>
          <w:sz w:val="22"/>
          <w:szCs w:val="22"/>
          <w:lang w:val="en-GB"/>
        </w:rPr>
        <w:t>;</w:t>
      </w:r>
      <w:r>
        <w:rPr>
          <w:rFonts w:asciiTheme="minorHAnsi" w:hAnsiTheme="minorHAnsi" w:cstheme="minorHAnsi"/>
          <w:sz w:val="22"/>
          <w:szCs w:val="22"/>
          <w:lang w:val="en-GB"/>
        </w:rPr>
        <w:t xml:space="preserve"> </w:t>
      </w:r>
    </w:p>
    <w:p w14:paraId="0523146A" w14:textId="2252A16A" w:rsidR="00545715" w:rsidRDefault="00366E21" w:rsidP="00D7326E">
      <w:pPr>
        <w:numPr>
          <w:ilvl w:val="2"/>
          <w:numId w:val="1"/>
        </w:numPr>
        <w:spacing w:before="120"/>
        <w:ind w:left="993"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the</w:t>
      </w:r>
      <w:proofErr w:type="gramEnd"/>
      <w:r>
        <w:rPr>
          <w:rFonts w:asciiTheme="minorHAnsi" w:hAnsiTheme="minorHAnsi" w:cstheme="minorHAnsi"/>
          <w:sz w:val="22"/>
          <w:szCs w:val="22"/>
          <w:lang w:val="en-GB"/>
        </w:rPr>
        <w:t xml:space="preserve"> </w:t>
      </w:r>
      <w:r w:rsidR="00871AF5">
        <w:rPr>
          <w:rFonts w:asciiTheme="minorHAnsi" w:hAnsiTheme="minorHAnsi" w:cstheme="minorHAnsi"/>
          <w:sz w:val="22"/>
          <w:szCs w:val="22"/>
          <w:lang w:val="en-GB"/>
        </w:rPr>
        <w:t xml:space="preserve">development of </w:t>
      </w:r>
      <w:r w:rsidR="00C82C3D">
        <w:rPr>
          <w:rFonts w:asciiTheme="minorHAnsi" w:hAnsiTheme="minorHAnsi" w:cstheme="minorHAnsi"/>
          <w:sz w:val="22"/>
          <w:szCs w:val="22"/>
          <w:lang w:val="en-GB"/>
        </w:rPr>
        <w:t xml:space="preserve">environment-specific and climate change </w:t>
      </w:r>
      <w:r>
        <w:rPr>
          <w:rFonts w:asciiTheme="minorHAnsi" w:hAnsiTheme="minorHAnsi" w:cstheme="minorHAnsi"/>
          <w:sz w:val="22"/>
          <w:szCs w:val="22"/>
          <w:lang w:val="en-GB"/>
        </w:rPr>
        <w:t xml:space="preserve">adaptation- and mitigation-oriented policies and plans (e.g. disaster risk reduction plans at various territorial </w:t>
      </w:r>
      <w:r w:rsidR="004B7843">
        <w:rPr>
          <w:rFonts w:asciiTheme="minorHAnsi" w:hAnsiTheme="minorHAnsi" w:cstheme="minorHAnsi"/>
          <w:sz w:val="22"/>
          <w:szCs w:val="22"/>
          <w:lang w:val="en-GB"/>
        </w:rPr>
        <w:t>levels; national REDD strategy</w:t>
      </w:r>
      <w:r w:rsidR="00C82C3D">
        <w:rPr>
          <w:rFonts w:asciiTheme="minorHAnsi" w:hAnsiTheme="minorHAnsi" w:cstheme="minorHAnsi"/>
          <w:sz w:val="22"/>
          <w:szCs w:val="22"/>
          <w:lang w:val="en-GB"/>
        </w:rPr>
        <w:t>; biodiversity management; Integrated Water Resources Management</w:t>
      </w:r>
      <w:r w:rsidR="004B7843">
        <w:rPr>
          <w:rFonts w:asciiTheme="minorHAnsi" w:hAnsiTheme="minorHAnsi" w:cstheme="minorHAnsi"/>
          <w:sz w:val="22"/>
          <w:szCs w:val="22"/>
          <w:lang w:val="en-GB"/>
        </w:rPr>
        <w:t>).</w:t>
      </w:r>
    </w:p>
    <w:p w14:paraId="2DD2DB7C" w14:textId="57073513" w:rsidR="007156D0" w:rsidRDefault="004B7843" w:rsidP="00D7326E">
      <w:pPr>
        <w:numPr>
          <w:ilvl w:val="1"/>
          <w:numId w:val="1"/>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M</w:t>
      </w:r>
      <w:r w:rsidR="00366E21">
        <w:rPr>
          <w:rFonts w:asciiTheme="minorHAnsi" w:hAnsiTheme="minorHAnsi" w:cstheme="minorHAnsi"/>
          <w:sz w:val="22"/>
          <w:szCs w:val="22"/>
          <w:lang w:val="en-GB"/>
        </w:rPr>
        <w:t xml:space="preserve">onitoring institutional change, with a focus on assessing progress towards the institutionalisation </w:t>
      </w:r>
      <w:r w:rsidR="008C4E16">
        <w:rPr>
          <w:rFonts w:asciiTheme="minorHAnsi" w:hAnsiTheme="minorHAnsi" w:cstheme="minorHAnsi"/>
          <w:sz w:val="22"/>
          <w:szCs w:val="22"/>
          <w:lang w:val="en-GB"/>
        </w:rPr>
        <w:t>of</w:t>
      </w:r>
      <w:r w:rsidR="00C82C3D">
        <w:rPr>
          <w:rFonts w:asciiTheme="minorHAnsi" w:hAnsiTheme="minorHAnsi" w:cstheme="minorHAnsi"/>
          <w:sz w:val="22"/>
          <w:szCs w:val="22"/>
          <w:lang w:val="en-GB"/>
        </w:rPr>
        <w:t xml:space="preserve"> environmental and</w:t>
      </w:r>
      <w:r w:rsidR="008C4E16">
        <w:rPr>
          <w:rFonts w:asciiTheme="minorHAnsi" w:hAnsiTheme="minorHAnsi" w:cstheme="minorHAnsi"/>
          <w:sz w:val="22"/>
          <w:szCs w:val="22"/>
          <w:lang w:val="en-GB"/>
        </w:rPr>
        <w:t xml:space="preserve"> climate change mainstreaming. This may involve</w:t>
      </w:r>
      <w:r w:rsidR="00366E21">
        <w:rPr>
          <w:rFonts w:asciiTheme="minorHAnsi" w:hAnsiTheme="minorHAnsi" w:cstheme="minorHAnsi"/>
          <w:sz w:val="22"/>
          <w:szCs w:val="22"/>
          <w:lang w:val="en-GB"/>
        </w:rPr>
        <w:t xml:space="preserve"> </w:t>
      </w:r>
      <w:r w:rsidR="008C4E16">
        <w:rPr>
          <w:rFonts w:asciiTheme="minorHAnsi" w:hAnsiTheme="minorHAnsi" w:cstheme="minorHAnsi"/>
          <w:sz w:val="22"/>
          <w:szCs w:val="22"/>
          <w:lang w:val="en-GB"/>
        </w:rPr>
        <w:t xml:space="preserve">the </w:t>
      </w:r>
      <w:r w:rsidR="00366E21">
        <w:rPr>
          <w:rFonts w:asciiTheme="minorHAnsi" w:hAnsiTheme="minorHAnsi" w:cstheme="minorHAnsi"/>
          <w:sz w:val="22"/>
          <w:szCs w:val="22"/>
          <w:lang w:val="en-GB"/>
        </w:rPr>
        <w:t>period</w:t>
      </w:r>
      <w:r w:rsidR="006721BD">
        <w:rPr>
          <w:rFonts w:asciiTheme="minorHAnsi" w:hAnsiTheme="minorHAnsi" w:cstheme="minorHAnsi"/>
          <w:sz w:val="22"/>
          <w:szCs w:val="22"/>
          <w:lang w:val="en-GB"/>
        </w:rPr>
        <w:t>ic</w:t>
      </w:r>
      <w:r w:rsidR="00366E21">
        <w:rPr>
          <w:rFonts w:asciiTheme="minorHAnsi" w:hAnsiTheme="minorHAnsi" w:cstheme="minorHAnsi"/>
          <w:sz w:val="22"/>
          <w:szCs w:val="22"/>
          <w:lang w:val="en-GB"/>
        </w:rPr>
        <w:t xml:space="preserve"> assessment of</w:t>
      </w:r>
      <w:r w:rsidR="007156D0">
        <w:rPr>
          <w:rFonts w:asciiTheme="minorHAnsi" w:hAnsiTheme="minorHAnsi" w:cstheme="minorHAnsi"/>
          <w:sz w:val="22"/>
          <w:szCs w:val="22"/>
          <w:lang w:val="en-GB"/>
        </w:rPr>
        <w:t>:</w:t>
      </w:r>
    </w:p>
    <w:p w14:paraId="0D3AE7A3" w14:textId="7890B4FB" w:rsidR="007156D0" w:rsidRDefault="00366E21" w:rsidP="00D7326E">
      <w:pPr>
        <w:numPr>
          <w:ilvl w:val="2"/>
          <w:numId w:val="1"/>
        </w:numPr>
        <w:spacing w:before="120"/>
        <w:ind w:left="993" w:hanging="284"/>
        <w:rPr>
          <w:rFonts w:asciiTheme="minorHAnsi" w:hAnsiTheme="minorHAnsi" w:cstheme="minorHAnsi"/>
          <w:sz w:val="22"/>
          <w:szCs w:val="22"/>
          <w:lang w:val="en-GB"/>
        </w:rPr>
      </w:pPr>
      <w:r>
        <w:rPr>
          <w:rFonts w:asciiTheme="minorHAnsi" w:hAnsiTheme="minorHAnsi" w:cstheme="minorHAnsi"/>
          <w:sz w:val="22"/>
          <w:szCs w:val="22"/>
          <w:lang w:val="en-GB"/>
        </w:rPr>
        <w:t>institutional commitmen</w:t>
      </w:r>
      <w:r w:rsidR="007156D0">
        <w:rPr>
          <w:rFonts w:asciiTheme="minorHAnsi" w:hAnsiTheme="minorHAnsi" w:cstheme="minorHAnsi"/>
          <w:sz w:val="22"/>
          <w:szCs w:val="22"/>
          <w:lang w:val="en-GB"/>
        </w:rPr>
        <w:t xml:space="preserve">t to </w:t>
      </w:r>
      <w:r w:rsidR="00C82C3D">
        <w:rPr>
          <w:rFonts w:asciiTheme="minorHAnsi" w:hAnsiTheme="minorHAnsi" w:cstheme="minorHAnsi"/>
          <w:sz w:val="22"/>
          <w:szCs w:val="22"/>
          <w:lang w:val="en-GB"/>
        </w:rPr>
        <w:t>environment and climate change (</w:t>
      </w:r>
      <w:r w:rsidR="007156D0">
        <w:rPr>
          <w:rFonts w:asciiTheme="minorHAnsi" w:hAnsiTheme="minorHAnsi" w:cstheme="minorHAnsi"/>
          <w:sz w:val="22"/>
          <w:szCs w:val="22"/>
          <w:lang w:val="en-GB"/>
        </w:rPr>
        <w:t>adaptation and mitigation</w:t>
      </w:r>
      <w:r w:rsidR="00C82C3D">
        <w:rPr>
          <w:rFonts w:asciiTheme="minorHAnsi" w:hAnsiTheme="minorHAnsi" w:cstheme="minorHAnsi"/>
          <w:sz w:val="22"/>
          <w:szCs w:val="22"/>
          <w:lang w:val="en-GB"/>
        </w:rPr>
        <w:t>)</w:t>
      </w:r>
      <w:r w:rsidR="005E2373">
        <w:rPr>
          <w:rFonts w:asciiTheme="minorHAnsi" w:hAnsiTheme="minorHAnsi" w:cstheme="minorHAnsi"/>
          <w:sz w:val="22"/>
          <w:szCs w:val="22"/>
          <w:lang w:val="en-GB"/>
        </w:rPr>
        <w:t xml:space="preserve"> (e.g. </w:t>
      </w:r>
      <w:r w:rsidR="008C4E16">
        <w:rPr>
          <w:rFonts w:asciiTheme="minorHAnsi" w:hAnsiTheme="minorHAnsi" w:cstheme="minorHAnsi"/>
          <w:sz w:val="22"/>
          <w:szCs w:val="22"/>
          <w:lang w:val="en-GB"/>
        </w:rPr>
        <w:t xml:space="preserve">through the evolution of </w:t>
      </w:r>
      <w:r w:rsidR="005E2373">
        <w:rPr>
          <w:rFonts w:asciiTheme="minorHAnsi" w:hAnsiTheme="minorHAnsi" w:cstheme="minorHAnsi"/>
          <w:sz w:val="22"/>
          <w:szCs w:val="22"/>
          <w:lang w:val="en-GB"/>
        </w:rPr>
        <w:t>mandates)</w:t>
      </w:r>
      <w:r w:rsidR="007156D0">
        <w:rPr>
          <w:rFonts w:asciiTheme="minorHAnsi" w:hAnsiTheme="minorHAnsi" w:cstheme="minorHAnsi"/>
          <w:sz w:val="22"/>
          <w:szCs w:val="22"/>
          <w:lang w:val="en-GB"/>
        </w:rPr>
        <w:t>;</w:t>
      </w:r>
    </w:p>
    <w:p w14:paraId="27D5058C" w14:textId="77777777" w:rsidR="007156D0" w:rsidRDefault="00366E21" w:rsidP="00D7326E">
      <w:pPr>
        <w:numPr>
          <w:ilvl w:val="2"/>
          <w:numId w:val="1"/>
        </w:numPr>
        <w:spacing w:before="120"/>
        <w:ind w:left="993" w:hanging="284"/>
        <w:rPr>
          <w:rFonts w:asciiTheme="minorHAnsi" w:hAnsiTheme="minorHAnsi" w:cstheme="minorHAnsi"/>
          <w:sz w:val="22"/>
          <w:szCs w:val="22"/>
          <w:lang w:val="en-GB"/>
        </w:rPr>
      </w:pPr>
      <w:r>
        <w:rPr>
          <w:rFonts w:asciiTheme="minorHAnsi" w:hAnsiTheme="minorHAnsi" w:cstheme="minorHAnsi"/>
          <w:sz w:val="22"/>
          <w:szCs w:val="22"/>
          <w:lang w:val="en-GB"/>
        </w:rPr>
        <w:t>effectiveness of coordinati</w:t>
      </w:r>
      <w:r w:rsidR="007156D0">
        <w:rPr>
          <w:rFonts w:asciiTheme="minorHAnsi" w:hAnsiTheme="minorHAnsi" w:cstheme="minorHAnsi"/>
          <w:sz w:val="22"/>
          <w:szCs w:val="22"/>
          <w:lang w:val="en-GB"/>
        </w:rPr>
        <w:t>on and participatory mechanism</w:t>
      </w:r>
      <w:r w:rsidR="005E2373">
        <w:rPr>
          <w:rFonts w:asciiTheme="minorHAnsi" w:hAnsiTheme="minorHAnsi" w:cstheme="minorHAnsi"/>
          <w:sz w:val="22"/>
          <w:szCs w:val="22"/>
          <w:lang w:val="en-GB"/>
        </w:rPr>
        <w:t>s</w:t>
      </w:r>
      <w:r w:rsidR="007156D0">
        <w:rPr>
          <w:rFonts w:asciiTheme="minorHAnsi" w:hAnsiTheme="minorHAnsi" w:cstheme="minorHAnsi"/>
          <w:sz w:val="22"/>
          <w:szCs w:val="22"/>
          <w:lang w:val="en-GB"/>
        </w:rPr>
        <w:t>;</w:t>
      </w:r>
    </w:p>
    <w:p w14:paraId="3242A194" w14:textId="568A1A04" w:rsidR="007156D0" w:rsidRDefault="00366E21" w:rsidP="00D7326E">
      <w:pPr>
        <w:numPr>
          <w:ilvl w:val="2"/>
          <w:numId w:val="1"/>
        </w:numPr>
        <w:spacing w:before="120"/>
        <w:ind w:left="993"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existence </w:t>
      </w:r>
      <w:r w:rsidR="006721BD">
        <w:rPr>
          <w:rFonts w:asciiTheme="minorHAnsi" w:hAnsiTheme="minorHAnsi" w:cstheme="minorHAnsi"/>
          <w:sz w:val="22"/>
          <w:szCs w:val="22"/>
          <w:lang w:val="en-GB"/>
        </w:rPr>
        <w:t xml:space="preserve">and enforcement </w:t>
      </w:r>
      <w:r>
        <w:rPr>
          <w:rFonts w:asciiTheme="minorHAnsi" w:hAnsiTheme="minorHAnsi" w:cstheme="minorHAnsi"/>
          <w:sz w:val="22"/>
          <w:szCs w:val="22"/>
          <w:lang w:val="en-GB"/>
        </w:rPr>
        <w:t xml:space="preserve">of procedures for ensuring systematic consideration of </w:t>
      </w:r>
      <w:r w:rsidR="00E44804">
        <w:rPr>
          <w:rFonts w:asciiTheme="minorHAnsi" w:hAnsiTheme="minorHAnsi" w:cstheme="minorHAnsi"/>
          <w:sz w:val="22"/>
          <w:szCs w:val="22"/>
          <w:lang w:val="en-GB"/>
        </w:rPr>
        <w:t xml:space="preserve">environment and </w:t>
      </w:r>
      <w:r>
        <w:rPr>
          <w:rFonts w:asciiTheme="minorHAnsi" w:hAnsiTheme="minorHAnsi" w:cstheme="minorHAnsi"/>
          <w:sz w:val="22"/>
          <w:szCs w:val="22"/>
          <w:lang w:val="en-GB"/>
        </w:rPr>
        <w:t>climate-related aspects</w:t>
      </w:r>
      <w:r w:rsidR="006721BD">
        <w:rPr>
          <w:rFonts w:asciiTheme="minorHAnsi" w:hAnsiTheme="minorHAnsi" w:cstheme="minorHAnsi"/>
          <w:sz w:val="22"/>
          <w:szCs w:val="22"/>
          <w:lang w:val="en-GB"/>
        </w:rPr>
        <w:t xml:space="preserve"> </w:t>
      </w:r>
      <w:r w:rsidR="007156D0">
        <w:rPr>
          <w:rFonts w:asciiTheme="minorHAnsi" w:hAnsiTheme="minorHAnsi" w:cstheme="minorHAnsi"/>
          <w:sz w:val="22"/>
          <w:szCs w:val="22"/>
          <w:lang w:val="en-GB"/>
        </w:rPr>
        <w:t xml:space="preserve">and knowledge </w:t>
      </w:r>
      <w:r w:rsidR="006721BD">
        <w:rPr>
          <w:rFonts w:asciiTheme="minorHAnsi" w:hAnsiTheme="minorHAnsi" w:cstheme="minorHAnsi"/>
          <w:sz w:val="22"/>
          <w:szCs w:val="22"/>
          <w:lang w:val="en-GB"/>
        </w:rPr>
        <w:t>in decision making</w:t>
      </w:r>
      <w:r w:rsidR="007156D0">
        <w:rPr>
          <w:rFonts w:asciiTheme="minorHAnsi" w:hAnsiTheme="minorHAnsi" w:cstheme="minorHAnsi"/>
          <w:sz w:val="22"/>
          <w:szCs w:val="22"/>
          <w:lang w:val="en-GB"/>
        </w:rPr>
        <w:t>;</w:t>
      </w:r>
      <w:r>
        <w:rPr>
          <w:rFonts w:asciiTheme="minorHAnsi" w:hAnsiTheme="minorHAnsi" w:cstheme="minorHAnsi"/>
          <w:sz w:val="22"/>
          <w:szCs w:val="22"/>
          <w:lang w:val="en-GB"/>
        </w:rPr>
        <w:t xml:space="preserve"> </w:t>
      </w:r>
    </w:p>
    <w:p w14:paraId="413D7CD0" w14:textId="0B14E3F2" w:rsidR="007156D0" w:rsidRDefault="00366E21" w:rsidP="00D7326E">
      <w:pPr>
        <w:numPr>
          <w:ilvl w:val="2"/>
          <w:numId w:val="1"/>
        </w:numPr>
        <w:spacing w:before="120"/>
        <w:ind w:left="993"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development of systems and tools supporting </w:t>
      </w:r>
      <w:r w:rsidR="005E2373">
        <w:rPr>
          <w:rFonts w:asciiTheme="minorHAnsi" w:hAnsiTheme="minorHAnsi" w:cstheme="minorHAnsi"/>
          <w:sz w:val="22"/>
          <w:szCs w:val="22"/>
          <w:lang w:val="en-GB"/>
        </w:rPr>
        <w:t xml:space="preserve">various aspects of </w:t>
      </w:r>
      <w:r w:rsidR="00E44804">
        <w:rPr>
          <w:rFonts w:asciiTheme="minorHAnsi" w:hAnsiTheme="minorHAnsi" w:cstheme="minorHAnsi"/>
          <w:sz w:val="22"/>
          <w:szCs w:val="22"/>
          <w:lang w:val="en-GB"/>
        </w:rPr>
        <w:t xml:space="preserve">environmental and </w:t>
      </w:r>
      <w:r w:rsidR="005E2373">
        <w:rPr>
          <w:rFonts w:asciiTheme="minorHAnsi" w:hAnsiTheme="minorHAnsi" w:cstheme="minorHAnsi"/>
          <w:sz w:val="22"/>
          <w:szCs w:val="22"/>
          <w:lang w:val="en-GB"/>
        </w:rPr>
        <w:t>climate change mainstreaming</w:t>
      </w:r>
      <w:r w:rsidR="007156D0">
        <w:rPr>
          <w:rFonts w:asciiTheme="minorHAnsi" w:hAnsiTheme="minorHAnsi" w:cstheme="minorHAnsi"/>
          <w:sz w:val="22"/>
          <w:szCs w:val="22"/>
          <w:lang w:val="en-GB"/>
        </w:rPr>
        <w:t>;</w:t>
      </w:r>
    </w:p>
    <w:p w14:paraId="6EEA0D6E" w14:textId="3B79823F" w:rsidR="00366E21" w:rsidRPr="0075354E" w:rsidRDefault="00366E21" w:rsidP="00D7326E">
      <w:pPr>
        <w:numPr>
          <w:ilvl w:val="2"/>
          <w:numId w:val="1"/>
        </w:numPr>
        <w:spacing w:before="120"/>
        <w:ind w:left="993"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availability</w:t>
      </w:r>
      <w:proofErr w:type="gramEnd"/>
      <w:r>
        <w:rPr>
          <w:rFonts w:asciiTheme="minorHAnsi" w:hAnsiTheme="minorHAnsi" w:cstheme="minorHAnsi"/>
          <w:sz w:val="22"/>
          <w:szCs w:val="22"/>
          <w:lang w:val="en-GB"/>
        </w:rPr>
        <w:t xml:space="preserve"> and actual </w:t>
      </w:r>
      <w:r w:rsidR="006721BD">
        <w:rPr>
          <w:rFonts w:asciiTheme="minorHAnsi" w:hAnsiTheme="minorHAnsi" w:cstheme="minorHAnsi"/>
          <w:sz w:val="22"/>
          <w:szCs w:val="22"/>
          <w:lang w:val="en-GB"/>
        </w:rPr>
        <w:t>participation in</w:t>
      </w:r>
      <w:r>
        <w:rPr>
          <w:rFonts w:asciiTheme="minorHAnsi" w:hAnsiTheme="minorHAnsi" w:cstheme="minorHAnsi"/>
          <w:sz w:val="22"/>
          <w:szCs w:val="22"/>
          <w:lang w:val="en-GB"/>
        </w:rPr>
        <w:t xml:space="preserve"> capacity development programmes with regard to </w:t>
      </w:r>
      <w:r w:rsidR="00E44804">
        <w:rPr>
          <w:rFonts w:asciiTheme="minorHAnsi" w:hAnsiTheme="minorHAnsi" w:cstheme="minorHAnsi"/>
          <w:sz w:val="22"/>
          <w:szCs w:val="22"/>
          <w:lang w:val="en-GB"/>
        </w:rPr>
        <w:t xml:space="preserve">environment and </w:t>
      </w:r>
      <w:r w:rsidR="005E2373">
        <w:rPr>
          <w:rFonts w:asciiTheme="minorHAnsi" w:hAnsiTheme="minorHAnsi" w:cstheme="minorHAnsi"/>
          <w:sz w:val="22"/>
          <w:szCs w:val="22"/>
          <w:lang w:val="en-GB"/>
        </w:rPr>
        <w:t>climate change (including monitoring)</w:t>
      </w:r>
      <w:r>
        <w:rPr>
          <w:rFonts w:asciiTheme="minorHAnsi" w:hAnsiTheme="minorHAnsi" w:cstheme="minorHAnsi"/>
          <w:sz w:val="22"/>
          <w:szCs w:val="22"/>
          <w:lang w:val="en-GB"/>
        </w:rPr>
        <w:t>.</w:t>
      </w:r>
    </w:p>
    <w:p w14:paraId="241214F2" w14:textId="77777777" w:rsidR="0075354E" w:rsidRDefault="0075354E" w:rsidP="0075354E">
      <w:pPr>
        <w:rPr>
          <w:rFonts w:asciiTheme="minorHAnsi" w:hAnsiTheme="minorHAnsi" w:cstheme="minorHAnsi"/>
          <w:sz w:val="22"/>
          <w:szCs w:val="22"/>
          <w:lang w:val="en-GB"/>
        </w:rPr>
      </w:pPr>
    </w:p>
    <w:p w14:paraId="64BA559D" w14:textId="16CEF8F2" w:rsidR="0075354E" w:rsidRDefault="0075354E" w:rsidP="00D7326E">
      <w:pPr>
        <w:numPr>
          <w:ilvl w:val="0"/>
          <w:numId w:val="1"/>
        </w:numPr>
        <w:ind w:left="426" w:hanging="426"/>
        <w:rPr>
          <w:rFonts w:asciiTheme="minorHAnsi" w:hAnsiTheme="minorHAnsi" w:cstheme="minorHAnsi"/>
          <w:sz w:val="22"/>
          <w:szCs w:val="22"/>
          <w:lang w:val="en-GB"/>
        </w:rPr>
      </w:pPr>
      <w:r w:rsidRPr="007C6903">
        <w:rPr>
          <w:rFonts w:asciiTheme="minorHAnsi" w:hAnsiTheme="minorHAnsi" w:cstheme="minorHAnsi"/>
          <w:i/>
          <w:sz w:val="22"/>
          <w:szCs w:val="22"/>
          <w:lang w:val="en-GB"/>
        </w:rPr>
        <w:t xml:space="preserve">Monitoring </w:t>
      </w:r>
      <w:r>
        <w:rPr>
          <w:rFonts w:asciiTheme="minorHAnsi" w:hAnsiTheme="minorHAnsi" w:cstheme="minorHAnsi"/>
          <w:i/>
          <w:sz w:val="22"/>
          <w:szCs w:val="22"/>
          <w:lang w:val="en-GB"/>
        </w:rPr>
        <w:t>policy implementation and outcomes</w:t>
      </w:r>
      <w:r>
        <w:rPr>
          <w:rFonts w:asciiTheme="minorHAnsi" w:hAnsiTheme="minorHAnsi" w:cstheme="minorHAnsi"/>
          <w:sz w:val="22"/>
          <w:szCs w:val="22"/>
          <w:lang w:val="en-GB"/>
        </w:rPr>
        <w:t xml:space="preserve"> involves</w:t>
      </w:r>
      <w:r w:rsidR="004B7843">
        <w:rPr>
          <w:rFonts w:asciiTheme="minorHAnsi" w:hAnsiTheme="minorHAnsi" w:cstheme="minorHAnsi"/>
          <w:sz w:val="22"/>
          <w:szCs w:val="22"/>
          <w:lang w:val="en-GB"/>
        </w:rPr>
        <w:t xml:space="preserve"> (</w:t>
      </w:r>
      <w:r w:rsidR="003444E0">
        <w:rPr>
          <w:rFonts w:asciiTheme="minorHAnsi" w:hAnsiTheme="minorHAnsi" w:cstheme="minorHAnsi"/>
          <w:sz w:val="22"/>
          <w:szCs w:val="22"/>
          <w:lang w:val="en-GB"/>
        </w:rPr>
        <w:t xml:space="preserve">adapted from </w:t>
      </w:r>
      <w:r w:rsidR="00276DEA">
        <w:rPr>
          <w:rFonts w:asciiTheme="minorHAnsi" w:hAnsiTheme="minorHAnsi" w:cstheme="minorHAnsi"/>
          <w:sz w:val="22"/>
          <w:szCs w:val="22"/>
          <w:lang w:val="en-GB"/>
        </w:rPr>
        <w:t xml:space="preserve">World Bank </w:t>
      </w:r>
      <w:proofErr w:type="spellStart"/>
      <w:r w:rsidR="00276DEA">
        <w:rPr>
          <w:rFonts w:asciiTheme="minorHAnsi" w:hAnsiTheme="minorHAnsi" w:cstheme="minorHAnsi"/>
          <w:sz w:val="22"/>
          <w:szCs w:val="22"/>
          <w:lang w:val="en-GB"/>
        </w:rPr>
        <w:t>n.d.</w:t>
      </w:r>
      <w:proofErr w:type="spellEnd"/>
      <w:r w:rsidR="00276DEA">
        <w:rPr>
          <w:rFonts w:asciiTheme="minorHAnsi" w:hAnsiTheme="minorHAnsi" w:cstheme="minorHAnsi"/>
          <w:sz w:val="22"/>
          <w:szCs w:val="22"/>
          <w:lang w:val="en-GB"/>
        </w:rPr>
        <w:t xml:space="preserve"> Guidance Note #8, </w:t>
      </w:r>
      <w:proofErr w:type="spellStart"/>
      <w:r w:rsidR="00A51771">
        <w:rPr>
          <w:rFonts w:asciiTheme="minorHAnsi" w:hAnsiTheme="minorHAnsi" w:cstheme="minorHAnsi"/>
          <w:sz w:val="22"/>
          <w:szCs w:val="22"/>
          <w:lang w:val="en-GB"/>
        </w:rPr>
        <w:t>Dalal</w:t>
      </w:r>
      <w:proofErr w:type="spellEnd"/>
      <w:r w:rsidR="00A51771">
        <w:rPr>
          <w:rFonts w:asciiTheme="minorHAnsi" w:hAnsiTheme="minorHAnsi" w:cstheme="minorHAnsi"/>
          <w:sz w:val="22"/>
          <w:szCs w:val="22"/>
          <w:lang w:val="en-GB"/>
        </w:rPr>
        <w:t xml:space="preserve">-Clayton &amp; Bass 2009, </w:t>
      </w:r>
      <w:r w:rsidR="004B7843">
        <w:rPr>
          <w:rFonts w:asciiTheme="minorHAnsi" w:hAnsiTheme="minorHAnsi" w:cstheme="minorHAnsi"/>
          <w:sz w:val="22"/>
          <w:szCs w:val="22"/>
          <w:lang w:val="en-GB"/>
        </w:rPr>
        <w:t>OECD 2009a</w:t>
      </w:r>
      <w:r w:rsidR="006721BD">
        <w:rPr>
          <w:rFonts w:asciiTheme="minorHAnsi" w:hAnsiTheme="minorHAnsi" w:cstheme="minorHAnsi"/>
          <w:sz w:val="22"/>
          <w:szCs w:val="22"/>
          <w:lang w:val="en-GB"/>
        </w:rPr>
        <w:t>, UNDP-UNEP 201</w:t>
      </w:r>
      <w:r w:rsidR="00276DEA">
        <w:rPr>
          <w:rFonts w:asciiTheme="minorHAnsi" w:hAnsiTheme="minorHAnsi" w:cstheme="minorHAnsi"/>
          <w:sz w:val="22"/>
          <w:szCs w:val="22"/>
          <w:lang w:val="en-GB"/>
        </w:rPr>
        <w:t>1</w:t>
      </w:r>
      <w:r w:rsidR="004B7843">
        <w:rPr>
          <w:rFonts w:asciiTheme="minorHAnsi" w:hAnsiTheme="minorHAnsi" w:cstheme="minorHAnsi"/>
          <w:sz w:val="22"/>
          <w:szCs w:val="22"/>
          <w:lang w:val="en-GB"/>
        </w:rPr>
        <w:t>)</w:t>
      </w:r>
      <w:r>
        <w:rPr>
          <w:rFonts w:asciiTheme="minorHAnsi" w:hAnsiTheme="minorHAnsi" w:cstheme="minorHAnsi"/>
          <w:sz w:val="22"/>
          <w:szCs w:val="22"/>
          <w:lang w:val="en-GB"/>
        </w:rPr>
        <w:t>:</w:t>
      </w:r>
    </w:p>
    <w:p w14:paraId="5B734FBC" w14:textId="77ABD9C9" w:rsidR="00BD1C79" w:rsidRDefault="004B7843" w:rsidP="00D7326E">
      <w:pPr>
        <w:numPr>
          <w:ilvl w:val="1"/>
          <w:numId w:val="1"/>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M</w:t>
      </w:r>
      <w:r w:rsidR="0075354E">
        <w:rPr>
          <w:rFonts w:asciiTheme="minorHAnsi" w:hAnsiTheme="minorHAnsi" w:cstheme="minorHAnsi"/>
          <w:sz w:val="22"/>
          <w:szCs w:val="22"/>
          <w:lang w:val="en-GB"/>
        </w:rPr>
        <w:t>onitoring the implementation of policies, strategies, programmes</w:t>
      </w:r>
      <w:r w:rsidR="00390C18">
        <w:rPr>
          <w:rFonts w:asciiTheme="minorHAnsi" w:hAnsiTheme="minorHAnsi" w:cstheme="minorHAnsi"/>
          <w:sz w:val="22"/>
          <w:szCs w:val="22"/>
          <w:lang w:val="en-GB"/>
        </w:rPr>
        <w:t>, projects</w:t>
      </w:r>
      <w:r w:rsidR="0075354E">
        <w:rPr>
          <w:rFonts w:asciiTheme="minorHAnsi" w:hAnsiTheme="minorHAnsi" w:cstheme="minorHAnsi"/>
          <w:sz w:val="22"/>
          <w:szCs w:val="22"/>
          <w:lang w:val="en-GB"/>
        </w:rPr>
        <w:t xml:space="preserve"> and measures </w:t>
      </w:r>
      <w:r w:rsidR="00D947F5">
        <w:rPr>
          <w:rFonts w:asciiTheme="minorHAnsi" w:hAnsiTheme="minorHAnsi" w:cstheme="minorHAnsi"/>
          <w:sz w:val="22"/>
          <w:szCs w:val="22"/>
          <w:lang w:val="en-GB"/>
        </w:rPr>
        <w:t xml:space="preserve">relevant to </w:t>
      </w:r>
      <w:r w:rsidR="003444E0">
        <w:rPr>
          <w:rFonts w:asciiTheme="minorHAnsi" w:hAnsiTheme="minorHAnsi" w:cstheme="minorHAnsi"/>
          <w:sz w:val="22"/>
          <w:szCs w:val="22"/>
          <w:lang w:val="en-GB"/>
        </w:rPr>
        <w:t xml:space="preserve">environmental integration and climate change </w:t>
      </w:r>
      <w:r w:rsidR="00D947F5">
        <w:rPr>
          <w:rFonts w:asciiTheme="minorHAnsi" w:hAnsiTheme="minorHAnsi" w:cstheme="minorHAnsi"/>
          <w:sz w:val="22"/>
          <w:szCs w:val="22"/>
          <w:lang w:val="en-GB"/>
        </w:rPr>
        <w:t xml:space="preserve">adaptation and mitigation </w:t>
      </w:r>
      <w:r w:rsidR="0075354E">
        <w:rPr>
          <w:rFonts w:asciiTheme="minorHAnsi" w:hAnsiTheme="minorHAnsi" w:cstheme="minorHAnsi"/>
          <w:sz w:val="22"/>
          <w:szCs w:val="22"/>
          <w:lang w:val="en-GB"/>
        </w:rPr>
        <w:t>– typically through the use of input and output indicators a</w:t>
      </w:r>
      <w:r w:rsidR="00D947F5">
        <w:rPr>
          <w:rFonts w:asciiTheme="minorHAnsi" w:hAnsiTheme="minorHAnsi" w:cstheme="minorHAnsi"/>
          <w:sz w:val="22"/>
          <w:szCs w:val="22"/>
          <w:lang w:val="en-GB"/>
        </w:rPr>
        <w:t>nd the monitoring of milestones.</w:t>
      </w:r>
      <w:r w:rsidR="0075354E">
        <w:rPr>
          <w:rFonts w:asciiTheme="minorHAnsi" w:hAnsiTheme="minorHAnsi" w:cstheme="minorHAnsi"/>
          <w:sz w:val="22"/>
          <w:szCs w:val="22"/>
          <w:lang w:val="en-GB"/>
        </w:rPr>
        <w:t xml:space="preserve"> </w:t>
      </w:r>
      <w:r w:rsidR="00D947F5">
        <w:rPr>
          <w:rFonts w:asciiTheme="minorHAnsi" w:hAnsiTheme="minorHAnsi" w:cstheme="minorHAnsi"/>
          <w:sz w:val="22"/>
          <w:szCs w:val="22"/>
          <w:lang w:val="en-GB"/>
        </w:rPr>
        <w:t>A</w:t>
      </w:r>
      <w:r w:rsidR="0075354E">
        <w:rPr>
          <w:rFonts w:asciiTheme="minorHAnsi" w:hAnsiTheme="minorHAnsi" w:cstheme="minorHAnsi"/>
          <w:sz w:val="22"/>
          <w:szCs w:val="22"/>
          <w:lang w:val="en-GB"/>
        </w:rPr>
        <w:t xml:space="preserve">spects to </w:t>
      </w:r>
      <w:r w:rsidR="00D947F5">
        <w:rPr>
          <w:rFonts w:asciiTheme="minorHAnsi" w:hAnsiTheme="minorHAnsi" w:cstheme="minorHAnsi"/>
          <w:sz w:val="22"/>
          <w:szCs w:val="22"/>
          <w:lang w:val="en-GB"/>
        </w:rPr>
        <w:t>monitor</w:t>
      </w:r>
      <w:r w:rsidR="00BD1C79">
        <w:rPr>
          <w:rFonts w:asciiTheme="minorHAnsi" w:hAnsiTheme="minorHAnsi" w:cstheme="minorHAnsi"/>
          <w:sz w:val="22"/>
          <w:szCs w:val="22"/>
          <w:lang w:val="en-GB"/>
        </w:rPr>
        <w:t xml:space="preserve"> include, for example:</w:t>
      </w:r>
      <w:r w:rsidR="0075354E">
        <w:rPr>
          <w:rFonts w:asciiTheme="minorHAnsi" w:hAnsiTheme="minorHAnsi" w:cstheme="minorHAnsi"/>
          <w:sz w:val="22"/>
          <w:szCs w:val="22"/>
          <w:lang w:val="en-GB"/>
        </w:rPr>
        <w:t xml:space="preserve"> </w:t>
      </w:r>
    </w:p>
    <w:p w14:paraId="71C6C81E" w14:textId="1D311862" w:rsidR="00BD1C79" w:rsidRDefault="0075354E" w:rsidP="00D7326E">
      <w:pPr>
        <w:numPr>
          <w:ilvl w:val="2"/>
          <w:numId w:val="1"/>
        </w:numPr>
        <w:spacing w:before="120"/>
        <w:ind w:left="993"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trends in resource allocation </w:t>
      </w:r>
      <w:r w:rsidR="006721BD">
        <w:rPr>
          <w:rFonts w:asciiTheme="minorHAnsi" w:hAnsiTheme="minorHAnsi" w:cstheme="minorHAnsi"/>
          <w:sz w:val="22"/>
          <w:szCs w:val="22"/>
          <w:lang w:val="en-GB"/>
        </w:rPr>
        <w:t xml:space="preserve">and actual spending </w:t>
      </w:r>
      <w:r>
        <w:rPr>
          <w:rFonts w:asciiTheme="minorHAnsi" w:hAnsiTheme="minorHAnsi" w:cstheme="minorHAnsi"/>
          <w:sz w:val="22"/>
          <w:szCs w:val="22"/>
          <w:lang w:val="en-GB"/>
        </w:rPr>
        <w:t>for measures</w:t>
      </w:r>
      <w:r w:rsidR="005E2373">
        <w:rPr>
          <w:rFonts w:asciiTheme="minorHAnsi" w:hAnsiTheme="minorHAnsi" w:cstheme="minorHAnsi"/>
          <w:sz w:val="22"/>
          <w:szCs w:val="22"/>
          <w:lang w:val="en-GB"/>
        </w:rPr>
        <w:t xml:space="preserve"> supporting </w:t>
      </w:r>
      <w:r w:rsidR="003444E0">
        <w:rPr>
          <w:rFonts w:asciiTheme="minorHAnsi" w:hAnsiTheme="minorHAnsi" w:cstheme="minorHAnsi"/>
          <w:sz w:val="22"/>
          <w:szCs w:val="22"/>
          <w:lang w:val="en-GB"/>
        </w:rPr>
        <w:t xml:space="preserve">environmental integration and climate change </w:t>
      </w:r>
      <w:r w:rsidR="005E2373">
        <w:rPr>
          <w:rFonts w:asciiTheme="minorHAnsi" w:hAnsiTheme="minorHAnsi" w:cstheme="minorHAnsi"/>
          <w:sz w:val="22"/>
          <w:szCs w:val="22"/>
          <w:lang w:val="en-GB"/>
        </w:rPr>
        <w:t>adaptation and mitigation objectives</w:t>
      </w:r>
      <w:r>
        <w:rPr>
          <w:rFonts w:asciiTheme="minorHAnsi" w:hAnsiTheme="minorHAnsi" w:cstheme="minorHAnsi"/>
          <w:sz w:val="22"/>
          <w:szCs w:val="22"/>
          <w:lang w:val="en-GB"/>
        </w:rPr>
        <w:t xml:space="preserve">; </w:t>
      </w:r>
    </w:p>
    <w:p w14:paraId="71F82B85" w14:textId="23426B40" w:rsidR="00BD1C79" w:rsidRDefault="00390C18" w:rsidP="00D7326E">
      <w:pPr>
        <w:numPr>
          <w:ilvl w:val="2"/>
          <w:numId w:val="1"/>
        </w:numPr>
        <w:spacing w:before="120"/>
        <w:ind w:left="993"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the </w:t>
      </w:r>
      <w:r w:rsidR="00FB4589" w:rsidRPr="00FB4589">
        <w:rPr>
          <w:rFonts w:asciiTheme="minorHAnsi" w:hAnsiTheme="minorHAnsi" w:cstheme="minorHAnsi"/>
          <w:sz w:val="22"/>
          <w:szCs w:val="22"/>
          <w:lang w:val="en-GB"/>
        </w:rPr>
        <w:t xml:space="preserve">integration of </w:t>
      </w:r>
      <w:r w:rsidR="003444E0">
        <w:rPr>
          <w:rFonts w:asciiTheme="minorHAnsi" w:hAnsiTheme="minorHAnsi" w:cstheme="minorHAnsi"/>
          <w:sz w:val="22"/>
          <w:szCs w:val="22"/>
          <w:lang w:val="en-GB"/>
        </w:rPr>
        <w:t>environmental and climate change (</w:t>
      </w:r>
      <w:r w:rsidR="00FB4589" w:rsidRPr="00FB4589">
        <w:rPr>
          <w:rFonts w:asciiTheme="minorHAnsi" w:hAnsiTheme="minorHAnsi" w:cstheme="minorHAnsi"/>
          <w:sz w:val="22"/>
          <w:szCs w:val="22"/>
          <w:lang w:val="en-GB"/>
        </w:rPr>
        <w:t>adaptation/mitigation</w:t>
      </w:r>
      <w:r w:rsidR="003444E0">
        <w:rPr>
          <w:rFonts w:asciiTheme="minorHAnsi" w:hAnsiTheme="minorHAnsi" w:cstheme="minorHAnsi"/>
          <w:sz w:val="22"/>
          <w:szCs w:val="22"/>
          <w:lang w:val="en-GB"/>
        </w:rPr>
        <w:t>)</w:t>
      </w:r>
      <w:r w:rsidR="00FB4589" w:rsidRPr="00FB4589">
        <w:rPr>
          <w:rFonts w:asciiTheme="minorHAnsi" w:hAnsiTheme="minorHAnsi" w:cstheme="minorHAnsi"/>
          <w:sz w:val="22"/>
          <w:szCs w:val="22"/>
          <w:lang w:val="en-GB"/>
        </w:rPr>
        <w:t xml:space="preserve"> measures in sector and sub</w:t>
      </w:r>
      <w:r w:rsidR="000035E4">
        <w:rPr>
          <w:rFonts w:asciiTheme="minorHAnsi" w:hAnsiTheme="minorHAnsi" w:cstheme="minorHAnsi"/>
          <w:sz w:val="22"/>
          <w:szCs w:val="22"/>
          <w:lang w:val="en-GB"/>
        </w:rPr>
        <w:t>-</w:t>
      </w:r>
      <w:r w:rsidR="00FB4589" w:rsidRPr="00FB4589">
        <w:rPr>
          <w:rFonts w:asciiTheme="minorHAnsi" w:hAnsiTheme="minorHAnsi" w:cstheme="minorHAnsi"/>
          <w:sz w:val="22"/>
          <w:szCs w:val="22"/>
          <w:lang w:val="en-GB"/>
        </w:rPr>
        <w:t>national programmes</w:t>
      </w:r>
      <w:r w:rsidR="008C4E16">
        <w:rPr>
          <w:rFonts w:asciiTheme="minorHAnsi" w:hAnsiTheme="minorHAnsi" w:cstheme="minorHAnsi"/>
          <w:sz w:val="22"/>
          <w:szCs w:val="22"/>
          <w:lang w:val="en-GB"/>
        </w:rPr>
        <w:t xml:space="preserve"> </w:t>
      </w:r>
      <w:r w:rsidR="00FB4589" w:rsidRPr="00FB4589">
        <w:rPr>
          <w:rFonts w:asciiTheme="minorHAnsi" w:hAnsiTheme="minorHAnsi" w:cstheme="minorHAnsi"/>
          <w:sz w:val="22"/>
          <w:szCs w:val="22"/>
          <w:lang w:val="en-GB"/>
        </w:rPr>
        <w:t>and projects</w:t>
      </w:r>
      <w:r w:rsidR="00FB4589">
        <w:rPr>
          <w:rFonts w:asciiTheme="minorHAnsi" w:hAnsiTheme="minorHAnsi" w:cstheme="minorHAnsi"/>
          <w:sz w:val="22"/>
          <w:szCs w:val="22"/>
          <w:lang w:val="en-GB"/>
        </w:rPr>
        <w:t>,</w:t>
      </w:r>
      <w:r w:rsidR="00FB4589" w:rsidRPr="00FB4589">
        <w:rPr>
          <w:rFonts w:asciiTheme="minorHAnsi" w:hAnsiTheme="minorHAnsi" w:cstheme="minorHAnsi"/>
          <w:sz w:val="22"/>
          <w:szCs w:val="22"/>
          <w:lang w:val="en-GB"/>
        </w:rPr>
        <w:t xml:space="preserve"> and the </w:t>
      </w:r>
      <w:r>
        <w:rPr>
          <w:rFonts w:asciiTheme="minorHAnsi" w:hAnsiTheme="minorHAnsi" w:cstheme="minorHAnsi"/>
          <w:sz w:val="22"/>
          <w:szCs w:val="22"/>
          <w:lang w:val="en-GB"/>
        </w:rPr>
        <w:t xml:space="preserve">adoption of </w:t>
      </w:r>
      <w:r w:rsidR="003444E0">
        <w:rPr>
          <w:rFonts w:asciiTheme="minorHAnsi" w:hAnsiTheme="minorHAnsi" w:cstheme="minorHAnsi"/>
          <w:sz w:val="22"/>
          <w:szCs w:val="22"/>
          <w:lang w:val="en-GB"/>
        </w:rPr>
        <w:t>environmental and climate change (</w:t>
      </w:r>
      <w:r w:rsidR="0075354E">
        <w:rPr>
          <w:rFonts w:asciiTheme="minorHAnsi" w:hAnsiTheme="minorHAnsi" w:cstheme="minorHAnsi"/>
          <w:sz w:val="22"/>
          <w:szCs w:val="22"/>
          <w:lang w:val="en-GB"/>
        </w:rPr>
        <w:t>adaptation</w:t>
      </w:r>
      <w:r>
        <w:rPr>
          <w:rFonts w:asciiTheme="minorHAnsi" w:hAnsiTheme="minorHAnsi" w:cstheme="minorHAnsi"/>
          <w:sz w:val="22"/>
          <w:szCs w:val="22"/>
          <w:lang w:val="en-GB"/>
        </w:rPr>
        <w:t>-</w:t>
      </w:r>
      <w:r w:rsidR="0075354E">
        <w:rPr>
          <w:rFonts w:asciiTheme="minorHAnsi" w:hAnsiTheme="minorHAnsi" w:cstheme="minorHAnsi"/>
          <w:sz w:val="22"/>
          <w:szCs w:val="22"/>
          <w:lang w:val="en-GB"/>
        </w:rPr>
        <w:t xml:space="preserve"> and mitigation</w:t>
      </w:r>
      <w:r w:rsidR="003444E0">
        <w:rPr>
          <w:rFonts w:asciiTheme="minorHAnsi" w:hAnsiTheme="minorHAnsi" w:cstheme="minorHAnsi"/>
          <w:sz w:val="22"/>
          <w:szCs w:val="22"/>
          <w:lang w:val="en-GB"/>
        </w:rPr>
        <w:t>)</w:t>
      </w:r>
      <w:r>
        <w:rPr>
          <w:rFonts w:asciiTheme="minorHAnsi" w:hAnsiTheme="minorHAnsi" w:cstheme="minorHAnsi"/>
          <w:sz w:val="22"/>
          <w:szCs w:val="22"/>
          <w:lang w:val="en-GB"/>
        </w:rPr>
        <w:t xml:space="preserve">-specific </w:t>
      </w:r>
      <w:r w:rsidR="00FB4589">
        <w:rPr>
          <w:rFonts w:asciiTheme="minorHAnsi" w:hAnsiTheme="minorHAnsi" w:cstheme="minorHAnsi"/>
          <w:sz w:val="22"/>
          <w:szCs w:val="22"/>
          <w:lang w:val="en-GB"/>
        </w:rPr>
        <w:t xml:space="preserve">programmes, projects </w:t>
      </w:r>
      <w:r w:rsidR="008C4E16">
        <w:rPr>
          <w:rFonts w:asciiTheme="minorHAnsi" w:hAnsiTheme="minorHAnsi" w:cstheme="minorHAnsi"/>
          <w:sz w:val="22"/>
          <w:szCs w:val="22"/>
          <w:lang w:val="en-GB"/>
        </w:rPr>
        <w:t xml:space="preserve">and measures </w:t>
      </w:r>
      <w:r w:rsidR="00FB4589">
        <w:rPr>
          <w:rFonts w:asciiTheme="minorHAnsi" w:hAnsiTheme="minorHAnsi" w:cstheme="minorHAnsi"/>
          <w:sz w:val="22"/>
          <w:szCs w:val="22"/>
          <w:lang w:val="en-GB"/>
        </w:rPr>
        <w:lastRenderedPageBreak/>
        <w:t>(</w:t>
      </w:r>
      <w:r w:rsidR="00FB4589" w:rsidRPr="00FB4589">
        <w:rPr>
          <w:rFonts w:asciiTheme="minorHAnsi" w:hAnsiTheme="minorHAnsi" w:cstheme="minorHAnsi"/>
          <w:sz w:val="22"/>
          <w:szCs w:val="22"/>
          <w:lang w:val="en-GB"/>
        </w:rPr>
        <w:t>e.g. zoning regulations, building standards, energy efficiency and emission standards</w:t>
      </w:r>
      <w:r w:rsidR="003444E0">
        <w:rPr>
          <w:rFonts w:asciiTheme="minorHAnsi" w:hAnsiTheme="minorHAnsi" w:cstheme="minorHAnsi"/>
          <w:sz w:val="22"/>
          <w:szCs w:val="22"/>
          <w:lang w:val="en-GB"/>
        </w:rPr>
        <w:t>, water quality and effluent discharge standards</w:t>
      </w:r>
      <w:r w:rsidR="00FB4589">
        <w:rPr>
          <w:rFonts w:asciiTheme="minorHAnsi" w:hAnsiTheme="minorHAnsi" w:cstheme="minorHAnsi"/>
          <w:sz w:val="22"/>
          <w:szCs w:val="22"/>
          <w:lang w:val="en-GB"/>
        </w:rPr>
        <w:t>)</w:t>
      </w:r>
      <w:r>
        <w:rPr>
          <w:rFonts w:asciiTheme="minorHAnsi" w:hAnsiTheme="minorHAnsi" w:cstheme="minorHAnsi"/>
          <w:sz w:val="22"/>
          <w:szCs w:val="22"/>
          <w:lang w:val="en-GB"/>
        </w:rPr>
        <w:t xml:space="preserve">; </w:t>
      </w:r>
    </w:p>
    <w:p w14:paraId="58AA7AA3" w14:textId="77777777" w:rsidR="00BD1C79" w:rsidRDefault="00390C18" w:rsidP="00D7326E">
      <w:pPr>
        <w:numPr>
          <w:ilvl w:val="2"/>
          <w:numId w:val="1"/>
        </w:numPr>
        <w:spacing w:before="120"/>
        <w:ind w:left="993"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the</w:t>
      </w:r>
      <w:proofErr w:type="gramEnd"/>
      <w:r>
        <w:rPr>
          <w:rFonts w:asciiTheme="minorHAnsi" w:hAnsiTheme="minorHAnsi" w:cstheme="minorHAnsi"/>
          <w:sz w:val="22"/>
          <w:szCs w:val="22"/>
          <w:lang w:val="en-GB"/>
        </w:rPr>
        <w:t xml:space="preserve"> actual implementation of such programmes, </w:t>
      </w:r>
      <w:r w:rsidR="00D947F5">
        <w:rPr>
          <w:rFonts w:asciiTheme="minorHAnsi" w:hAnsiTheme="minorHAnsi" w:cstheme="minorHAnsi"/>
          <w:sz w:val="22"/>
          <w:szCs w:val="22"/>
          <w:lang w:val="en-GB"/>
        </w:rPr>
        <w:t>projects</w:t>
      </w:r>
      <w:r w:rsidR="008C4E16">
        <w:rPr>
          <w:rFonts w:asciiTheme="minorHAnsi" w:hAnsiTheme="minorHAnsi" w:cstheme="minorHAnsi"/>
          <w:sz w:val="22"/>
          <w:szCs w:val="22"/>
          <w:lang w:val="en-GB"/>
        </w:rPr>
        <w:t xml:space="preserve"> and measures</w:t>
      </w:r>
      <w:r w:rsidR="00D947F5">
        <w:rPr>
          <w:rFonts w:asciiTheme="minorHAnsi" w:hAnsiTheme="minorHAnsi" w:cstheme="minorHAnsi"/>
          <w:sz w:val="22"/>
          <w:szCs w:val="22"/>
          <w:lang w:val="en-GB"/>
        </w:rPr>
        <w:t xml:space="preserve"> </w:t>
      </w:r>
      <w:r>
        <w:rPr>
          <w:rFonts w:asciiTheme="minorHAnsi" w:hAnsiTheme="minorHAnsi" w:cstheme="minorHAnsi"/>
          <w:sz w:val="22"/>
          <w:szCs w:val="22"/>
          <w:lang w:val="en-GB"/>
        </w:rPr>
        <w:t>(including constraints and difficultie</w:t>
      </w:r>
      <w:r w:rsidR="00D947F5">
        <w:rPr>
          <w:rFonts w:asciiTheme="minorHAnsi" w:hAnsiTheme="minorHAnsi" w:cstheme="minorHAnsi"/>
          <w:sz w:val="22"/>
          <w:szCs w:val="22"/>
          <w:lang w:val="en-GB"/>
        </w:rPr>
        <w:t>s met, successes and failures).</w:t>
      </w:r>
    </w:p>
    <w:p w14:paraId="1F2F99A8" w14:textId="4EB032C0" w:rsidR="00390C18" w:rsidRDefault="00C92B96" w:rsidP="00D7326E">
      <w:pPr>
        <w:numPr>
          <w:ilvl w:val="1"/>
          <w:numId w:val="1"/>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Evaluating</w:t>
      </w:r>
      <w:r w:rsidR="00390C18">
        <w:rPr>
          <w:rFonts w:asciiTheme="minorHAnsi" w:hAnsiTheme="minorHAnsi" w:cstheme="minorHAnsi"/>
          <w:sz w:val="22"/>
          <w:szCs w:val="22"/>
          <w:lang w:val="en-GB"/>
        </w:rPr>
        <w:t xml:space="preserve"> the outcomes and impacts of policies, strategies programmes, projects and measures </w:t>
      </w:r>
      <w:r w:rsidR="005E2373">
        <w:rPr>
          <w:rFonts w:asciiTheme="minorHAnsi" w:hAnsiTheme="minorHAnsi" w:cstheme="minorHAnsi"/>
          <w:sz w:val="22"/>
          <w:szCs w:val="22"/>
          <w:lang w:val="en-GB"/>
        </w:rPr>
        <w:t xml:space="preserve">relevant to </w:t>
      </w:r>
      <w:r w:rsidR="003444E0">
        <w:rPr>
          <w:rFonts w:asciiTheme="minorHAnsi" w:hAnsiTheme="minorHAnsi" w:cstheme="minorHAnsi"/>
          <w:sz w:val="22"/>
          <w:szCs w:val="22"/>
          <w:lang w:val="en-GB"/>
        </w:rPr>
        <w:t>environment and climate change (</w:t>
      </w:r>
      <w:r w:rsidR="005E2373">
        <w:rPr>
          <w:rFonts w:asciiTheme="minorHAnsi" w:hAnsiTheme="minorHAnsi" w:cstheme="minorHAnsi"/>
          <w:sz w:val="22"/>
          <w:szCs w:val="22"/>
          <w:lang w:val="en-GB"/>
        </w:rPr>
        <w:t>adaptation and mitigation</w:t>
      </w:r>
      <w:r w:rsidR="003444E0">
        <w:rPr>
          <w:rFonts w:asciiTheme="minorHAnsi" w:hAnsiTheme="minorHAnsi" w:cstheme="minorHAnsi"/>
          <w:sz w:val="22"/>
          <w:szCs w:val="22"/>
          <w:lang w:val="en-GB"/>
        </w:rPr>
        <w:t>)</w:t>
      </w:r>
      <w:r w:rsidR="005E2373">
        <w:rPr>
          <w:rFonts w:asciiTheme="minorHAnsi" w:hAnsiTheme="minorHAnsi" w:cstheme="minorHAnsi"/>
          <w:sz w:val="22"/>
          <w:szCs w:val="22"/>
          <w:lang w:val="en-GB"/>
        </w:rPr>
        <w:t xml:space="preserve"> </w:t>
      </w:r>
      <w:r w:rsidR="00390C18">
        <w:rPr>
          <w:rFonts w:asciiTheme="minorHAnsi" w:hAnsiTheme="minorHAnsi" w:cstheme="minorHAnsi"/>
          <w:sz w:val="22"/>
          <w:szCs w:val="22"/>
          <w:lang w:val="en-GB"/>
        </w:rPr>
        <w:t>– typically through the use of outcome and impact indicators</w:t>
      </w:r>
      <w:r w:rsidR="005E2373">
        <w:rPr>
          <w:rFonts w:asciiTheme="minorHAnsi" w:hAnsiTheme="minorHAnsi" w:cstheme="minorHAnsi"/>
          <w:sz w:val="22"/>
          <w:szCs w:val="22"/>
          <w:lang w:val="en-GB"/>
        </w:rPr>
        <w:t>.</w:t>
      </w:r>
      <w:r w:rsidR="00390C18">
        <w:rPr>
          <w:rFonts w:asciiTheme="minorHAnsi" w:hAnsiTheme="minorHAnsi" w:cstheme="minorHAnsi"/>
          <w:sz w:val="22"/>
          <w:szCs w:val="22"/>
          <w:lang w:val="en-GB"/>
        </w:rPr>
        <w:t xml:space="preserve"> </w:t>
      </w:r>
      <w:r w:rsidR="005E2373">
        <w:rPr>
          <w:rFonts w:asciiTheme="minorHAnsi" w:hAnsiTheme="minorHAnsi" w:cstheme="minorHAnsi"/>
          <w:sz w:val="22"/>
          <w:szCs w:val="22"/>
          <w:lang w:val="en-GB"/>
        </w:rPr>
        <w:t>A</w:t>
      </w:r>
      <w:r w:rsidR="00390C18">
        <w:rPr>
          <w:rFonts w:asciiTheme="minorHAnsi" w:hAnsiTheme="minorHAnsi" w:cstheme="minorHAnsi"/>
          <w:sz w:val="22"/>
          <w:szCs w:val="22"/>
          <w:lang w:val="en-GB"/>
        </w:rPr>
        <w:t xml:space="preserve">spects to </w:t>
      </w:r>
      <w:r w:rsidR="005E2373">
        <w:rPr>
          <w:rFonts w:asciiTheme="minorHAnsi" w:hAnsiTheme="minorHAnsi" w:cstheme="minorHAnsi"/>
          <w:sz w:val="22"/>
          <w:szCs w:val="22"/>
          <w:lang w:val="en-GB"/>
        </w:rPr>
        <w:t>monitor</w:t>
      </w:r>
      <w:r w:rsidR="00390C18">
        <w:rPr>
          <w:rFonts w:asciiTheme="minorHAnsi" w:hAnsiTheme="minorHAnsi" w:cstheme="minorHAnsi"/>
          <w:sz w:val="22"/>
          <w:szCs w:val="22"/>
          <w:lang w:val="en-GB"/>
        </w:rPr>
        <w:t xml:space="preserve"> include, for example</w:t>
      </w:r>
      <w:r w:rsidR="00BD1C79">
        <w:rPr>
          <w:rFonts w:asciiTheme="minorHAnsi" w:hAnsiTheme="minorHAnsi" w:cstheme="minorHAnsi"/>
          <w:sz w:val="22"/>
          <w:szCs w:val="22"/>
          <w:lang w:val="en-GB"/>
        </w:rPr>
        <w:t>:</w:t>
      </w:r>
    </w:p>
    <w:p w14:paraId="00267EBA" w14:textId="529ED1B5" w:rsidR="00765857" w:rsidRDefault="004B57A4" w:rsidP="00D7326E">
      <w:pPr>
        <w:numPr>
          <w:ilvl w:val="2"/>
          <w:numId w:val="1"/>
        </w:numPr>
        <w:spacing w:before="120"/>
        <w:ind w:left="993"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the </w:t>
      </w:r>
      <w:r w:rsidR="00C92B96">
        <w:rPr>
          <w:rFonts w:asciiTheme="minorHAnsi" w:hAnsiTheme="minorHAnsi" w:cstheme="minorHAnsi"/>
          <w:sz w:val="22"/>
          <w:szCs w:val="22"/>
          <w:lang w:val="en-GB"/>
        </w:rPr>
        <w:t xml:space="preserve">relevance, </w:t>
      </w:r>
      <w:r>
        <w:rPr>
          <w:rFonts w:asciiTheme="minorHAnsi" w:hAnsiTheme="minorHAnsi" w:cstheme="minorHAnsi"/>
          <w:sz w:val="22"/>
          <w:szCs w:val="22"/>
          <w:lang w:val="en-GB"/>
        </w:rPr>
        <w:t>effectiveness and efficiency</w:t>
      </w:r>
      <w:r w:rsidR="004B7843">
        <w:rPr>
          <w:rFonts w:asciiTheme="minorHAnsi" w:hAnsiTheme="minorHAnsi" w:cstheme="minorHAnsi"/>
          <w:sz w:val="22"/>
          <w:szCs w:val="22"/>
          <w:lang w:val="en-GB"/>
        </w:rPr>
        <w:t xml:space="preserve"> (</w:t>
      </w:r>
      <w:r w:rsidR="00A51771">
        <w:rPr>
          <w:rFonts w:asciiTheme="minorHAnsi" w:hAnsiTheme="minorHAnsi" w:cstheme="minorHAnsi"/>
          <w:sz w:val="22"/>
          <w:szCs w:val="22"/>
          <w:lang w:val="en-GB"/>
        </w:rPr>
        <w:t xml:space="preserve">achievements, </w:t>
      </w:r>
      <w:r w:rsidR="004B7843">
        <w:rPr>
          <w:rFonts w:asciiTheme="minorHAnsi" w:hAnsiTheme="minorHAnsi" w:cstheme="minorHAnsi"/>
          <w:sz w:val="22"/>
          <w:szCs w:val="22"/>
          <w:lang w:val="en-GB"/>
        </w:rPr>
        <w:t>costs and benefits)</w:t>
      </w:r>
      <w:r>
        <w:rPr>
          <w:rFonts w:asciiTheme="minorHAnsi" w:hAnsiTheme="minorHAnsi" w:cstheme="minorHAnsi"/>
          <w:sz w:val="22"/>
          <w:szCs w:val="22"/>
          <w:lang w:val="en-GB"/>
        </w:rPr>
        <w:t xml:space="preserve"> of </w:t>
      </w:r>
      <w:r w:rsidR="003444E0">
        <w:rPr>
          <w:rFonts w:asciiTheme="minorHAnsi" w:hAnsiTheme="minorHAnsi" w:cstheme="minorHAnsi"/>
          <w:sz w:val="22"/>
          <w:szCs w:val="22"/>
          <w:lang w:val="en-GB"/>
        </w:rPr>
        <w:t>environment and climate change (</w:t>
      </w:r>
      <w:r>
        <w:rPr>
          <w:rFonts w:asciiTheme="minorHAnsi" w:hAnsiTheme="minorHAnsi" w:cstheme="minorHAnsi"/>
          <w:sz w:val="22"/>
          <w:szCs w:val="22"/>
          <w:lang w:val="en-GB"/>
        </w:rPr>
        <w:t>adaptation and mitigation</w:t>
      </w:r>
      <w:r w:rsidR="003444E0">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D947F5">
        <w:rPr>
          <w:rFonts w:asciiTheme="minorHAnsi" w:hAnsiTheme="minorHAnsi" w:cstheme="minorHAnsi"/>
          <w:sz w:val="22"/>
          <w:szCs w:val="22"/>
          <w:lang w:val="en-GB"/>
        </w:rPr>
        <w:t>programmes, projects</w:t>
      </w:r>
      <w:r w:rsidR="008C4E16">
        <w:rPr>
          <w:rFonts w:asciiTheme="minorHAnsi" w:hAnsiTheme="minorHAnsi" w:cstheme="minorHAnsi"/>
          <w:sz w:val="22"/>
          <w:szCs w:val="22"/>
          <w:lang w:val="en-GB"/>
        </w:rPr>
        <w:t xml:space="preserve"> and measures</w:t>
      </w:r>
      <w:r>
        <w:rPr>
          <w:rStyle w:val="FootnoteReference"/>
          <w:rFonts w:asciiTheme="minorHAnsi" w:hAnsiTheme="minorHAnsi" w:cstheme="minorHAnsi"/>
          <w:sz w:val="22"/>
          <w:szCs w:val="22"/>
          <w:lang w:val="en-GB"/>
        </w:rPr>
        <w:footnoteReference w:id="2"/>
      </w:r>
      <w:r w:rsidR="00765857">
        <w:rPr>
          <w:rFonts w:asciiTheme="minorHAnsi" w:hAnsiTheme="minorHAnsi" w:cstheme="minorHAnsi"/>
          <w:sz w:val="22"/>
          <w:szCs w:val="22"/>
          <w:lang w:val="en-GB"/>
        </w:rPr>
        <w:t>;</w:t>
      </w:r>
    </w:p>
    <w:p w14:paraId="5FD85DFD" w14:textId="77777777" w:rsidR="00BD1C79" w:rsidRDefault="00A51771" w:rsidP="00D7326E">
      <w:pPr>
        <w:numPr>
          <w:ilvl w:val="2"/>
          <w:numId w:val="1"/>
        </w:numPr>
        <w:spacing w:before="120"/>
        <w:ind w:left="993"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their expected and </w:t>
      </w:r>
      <w:r w:rsidR="00C92B96">
        <w:rPr>
          <w:rFonts w:asciiTheme="minorHAnsi" w:hAnsiTheme="minorHAnsi" w:cstheme="minorHAnsi"/>
          <w:sz w:val="22"/>
          <w:szCs w:val="22"/>
          <w:lang w:val="en-GB"/>
        </w:rPr>
        <w:t xml:space="preserve">unanticipated impacts, </w:t>
      </w:r>
      <w:r w:rsidR="00765857">
        <w:rPr>
          <w:rFonts w:asciiTheme="minorHAnsi" w:hAnsiTheme="minorHAnsi" w:cstheme="minorHAnsi"/>
          <w:sz w:val="22"/>
          <w:szCs w:val="22"/>
          <w:lang w:val="en-GB"/>
        </w:rPr>
        <w:t xml:space="preserve">and </w:t>
      </w:r>
      <w:r w:rsidR="00C92B96">
        <w:rPr>
          <w:rFonts w:asciiTheme="minorHAnsi" w:hAnsiTheme="minorHAnsi" w:cstheme="minorHAnsi"/>
          <w:sz w:val="22"/>
          <w:szCs w:val="22"/>
          <w:lang w:val="en-GB"/>
        </w:rPr>
        <w:t>their long-term sustainability</w:t>
      </w:r>
      <w:r w:rsidR="00D947F5">
        <w:rPr>
          <w:rFonts w:asciiTheme="minorHAnsi" w:hAnsiTheme="minorHAnsi" w:cstheme="minorHAnsi"/>
          <w:sz w:val="22"/>
          <w:szCs w:val="22"/>
          <w:lang w:val="en-GB"/>
        </w:rPr>
        <w:t>, including</w:t>
      </w:r>
      <w:r w:rsidR="008C4E16">
        <w:rPr>
          <w:rFonts w:asciiTheme="minorHAnsi" w:hAnsiTheme="minorHAnsi" w:cstheme="minorHAnsi"/>
          <w:sz w:val="22"/>
          <w:szCs w:val="22"/>
          <w:lang w:val="en-GB"/>
        </w:rPr>
        <w:t xml:space="preserve"> for example</w:t>
      </w:r>
      <w:r w:rsidR="00D947F5">
        <w:rPr>
          <w:rFonts w:asciiTheme="minorHAnsi" w:hAnsiTheme="minorHAnsi" w:cstheme="minorHAnsi"/>
          <w:sz w:val="22"/>
          <w:szCs w:val="22"/>
          <w:lang w:val="en-GB"/>
        </w:rPr>
        <w:t>:</w:t>
      </w:r>
    </w:p>
    <w:p w14:paraId="0A9AAA80" w14:textId="77777777" w:rsidR="004B57A4" w:rsidRDefault="008C4E16" w:rsidP="00D7326E">
      <w:pPr>
        <w:numPr>
          <w:ilvl w:val="2"/>
          <w:numId w:val="6"/>
        </w:numPr>
        <w:spacing w:before="120"/>
        <w:ind w:left="1418" w:hanging="425"/>
        <w:rPr>
          <w:rFonts w:asciiTheme="minorHAnsi" w:hAnsiTheme="minorHAnsi" w:cstheme="minorHAnsi"/>
          <w:sz w:val="22"/>
          <w:szCs w:val="22"/>
          <w:lang w:val="en-GB"/>
        </w:rPr>
      </w:pPr>
      <w:r>
        <w:rPr>
          <w:rFonts w:asciiTheme="minorHAnsi" w:hAnsiTheme="minorHAnsi" w:cstheme="minorHAnsi"/>
          <w:sz w:val="22"/>
          <w:szCs w:val="22"/>
          <w:lang w:val="en-GB"/>
        </w:rPr>
        <w:t xml:space="preserve">the observed </w:t>
      </w:r>
      <w:r w:rsidR="00961C62">
        <w:rPr>
          <w:rFonts w:asciiTheme="minorHAnsi" w:hAnsiTheme="minorHAnsi" w:cstheme="minorHAnsi"/>
          <w:sz w:val="22"/>
          <w:szCs w:val="22"/>
          <w:lang w:val="en-GB"/>
        </w:rPr>
        <w:t xml:space="preserve">evolution in the resilience and adaptive capacity of vulnerable groups (e.g. women, children, farmers, coastal communities, </w:t>
      </w:r>
      <w:r w:rsidR="006721BD">
        <w:rPr>
          <w:rFonts w:asciiTheme="minorHAnsi" w:hAnsiTheme="minorHAnsi" w:cstheme="minorHAnsi"/>
          <w:sz w:val="22"/>
          <w:szCs w:val="22"/>
          <w:lang w:val="en-GB"/>
        </w:rPr>
        <w:t xml:space="preserve">poor communities, </w:t>
      </w:r>
      <w:r w:rsidR="00961C62">
        <w:rPr>
          <w:rFonts w:asciiTheme="minorHAnsi" w:hAnsiTheme="minorHAnsi" w:cstheme="minorHAnsi"/>
          <w:sz w:val="22"/>
          <w:szCs w:val="22"/>
          <w:lang w:val="en-GB"/>
        </w:rPr>
        <w:t>...) and key sectors;</w:t>
      </w:r>
    </w:p>
    <w:p w14:paraId="6A8BAE77" w14:textId="77777777" w:rsidR="00C92B96" w:rsidRDefault="008C4E16" w:rsidP="00D7326E">
      <w:pPr>
        <w:numPr>
          <w:ilvl w:val="2"/>
          <w:numId w:val="6"/>
        </w:numPr>
        <w:spacing w:before="120"/>
        <w:ind w:left="1418" w:hanging="425"/>
        <w:rPr>
          <w:rFonts w:asciiTheme="minorHAnsi" w:hAnsiTheme="minorHAnsi" w:cstheme="minorHAnsi"/>
          <w:sz w:val="22"/>
          <w:szCs w:val="22"/>
          <w:lang w:val="en-GB"/>
        </w:rPr>
      </w:pPr>
      <w:r>
        <w:rPr>
          <w:rFonts w:asciiTheme="minorHAnsi" w:hAnsiTheme="minorHAnsi" w:cstheme="minorHAnsi"/>
          <w:sz w:val="22"/>
          <w:szCs w:val="22"/>
          <w:lang w:val="en-GB"/>
        </w:rPr>
        <w:t xml:space="preserve">the </w:t>
      </w:r>
      <w:r w:rsidR="00961C62">
        <w:rPr>
          <w:rFonts w:asciiTheme="minorHAnsi" w:hAnsiTheme="minorHAnsi" w:cstheme="minorHAnsi"/>
          <w:sz w:val="22"/>
          <w:szCs w:val="22"/>
          <w:lang w:val="en-GB"/>
        </w:rPr>
        <w:t>creation of green jobs</w:t>
      </w:r>
      <w:r w:rsidR="00C92B96">
        <w:rPr>
          <w:rFonts w:asciiTheme="minorHAnsi" w:hAnsiTheme="minorHAnsi" w:cstheme="minorHAnsi"/>
          <w:sz w:val="22"/>
          <w:szCs w:val="22"/>
          <w:lang w:val="en-GB"/>
        </w:rPr>
        <w:t>;</w:t>
      </w:r>
    </w:p>
    <w:p w14:paraId="0BB0ED64" w14:textId="77777777" w:rsidR="00961C62" w:rsidRDefault="00961C62" w:rsidP="00D7326E">
      <w:pPr>
        <w:numPr>
          <w:ilvl w:val="2"/>
          <w:numId w:val="6"/>
        </w:numPr>
        <w:spacing w:before="120"/>
        <w:ind w:left="1418" w:hanging="425"/>
        <w:rPr>
          <w:rFonts w:asciiTheme="minorHAnsi" w:hAnsiTheme="minorHAnsi" w:cstheme="minorHAnsi"/>
          <w:sz w:val="22"/>
          <w:szCs w:val="22"/>
          <w:lang w:val="en-GB"/>
        </w:rPr>
      </w:pPr>
      <w:r>
        <w:rPr>
          <w:rFonts w:asciiTheme="minorHAnsi" w:hAnsiTheme="minorHAnsi" w:cstheme="minorHAnsi"/>
          <w:sz w:val="22"/>
          <w:szCs w:val="22"/>
          <w:lang w:val="en-GB"/>
        </w:rPr>
        <w:t xml:space="preserve"> the share of economic growth that can be considered to </w:t>
      </w:r>
      <w:r w:rsidR="00C92B96">
        <w:rPr>
          <w:rFonts w:asciiTheme="minorHAnsi" w:hAnsiTheme="minorHAnsi" w:cstheme="minorHAnsi"/>
          <w:sz w:val="22"/>
          <w:szCs w:val="22"/>
          <w:lang w:val="en-GB"/>
        </w:rPr>
        <w:t xml:space="preserve">be </w:t>
      </w:r>
      <w:r>
        <w:rPr>
          <w:rFonts w:asciiTheme="minorHAnsi" w:hAnsiTheme="minorHAnsi" w:cstheme="minorHAnsi"/>
          <w:sz w:val="22"/>
          <w:szCs w:val="22"/>
          <w:lang w:val="en-GB"/>
        </w:rPr>
        <w:t>‘green growth’;</w:t>
      </w:r>
    </w:p>
    <w:p w14:paraId="1D8FC6DC" w14:textId="31DFEC83" w:rsidR="00961C62" w:rsidRDefault="00961C62" w:rsidP="00D7326E">
      <w:pPr>
        <w:numPr>
          <w:ilvl w:val="2"/>
          <w:numId w:val="1"/>
        </w:numPr>
        <w:spacing w:before="120"/>
        <w:ind w:left="993"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overall</w:t>
      </w:r>
      <w:proofErr w:type="gramEnd"/>
      <w:r>
        <w:rPr>
          <w:rFonts w:asciiTheme="minorHAnsi" w:hAnsiTheme="minorHAnsi" w:cstheme="minorHAnsi"/>
          <w:sz w:val="22"/>
          <w:szCs w:val="22"/>
          <w:lang w:val="en-GB"/>
        </w:rPr>
        <w:t xml:space="preserve"> progress towards </w:t>
      </w:r>
      <w:r w:rsidR="003444E0">
        <w:rPr>
          <w:rFonts w:asciiTheme="minorHAnsi" w:hAnsiTheme="minorHAnsi" w:cstheme="minorHAnsi"/>
          <w:sz w:val="22"/>
          <w:szCs w:val="22"/>
          <w:lang w:val="en-GB"/>
        </w:rPr>
        <w:t xml:space="preserve">environmentally sustainable, </w:t>
      </w:r>
      <w:r>
        <w:rPr>
          <w:rFonts w:asciiTheme="minorHAnsi" w:hAnsiTheme="minorHAnsi" w:cstheme="minorHAnsi"/>
          <w:sz w:val="22"/>
          <w:szCs w:val="22"/>
          <w:lang w:val="en-GB"/>
        </w:rPr>
        <w:t xml:space="preserve">climate-resilient, low-emission development. </w:t>
      </w:r>
    </w:p>
    <w:p w14:paraId="2FCC9BDF" w14:textId="77777777" w:rsidR="00EB02EC" w:rsidRDefault="00EB02EC" w:rsidP="00E41A2C">
      <w:pPr>
        <w:rPr>
          <w:rFonts w:asciiTheme="minorHAnsi" w:hAnsiTheme="minorHAnsi" w:cstheme="minorHAnsi"/>
          <w:sz w:val="22"/>
          <w:szCs w:val="22"/>
          <w:lang w:val="en-GB"/>
        </w:rPr>
      </w:pPr>
    </w:p>
    <w:p w14:paraId="57848B75" w14:textId="77777777" w:rsidR="003039CE" w:rsidRPr="003039CE" w:rsidRDefault="008C4E16" w:rsidP="00E41A2C">
      <w:pPr>
        <w:rPr>
          <w:rFonts w:asciiTheme="minorHAnsi" w:hAnsiTheme="minorHAnsi" w:cstheme="minorHAnsi"/>
          <w:i/>
          <w:sz w:val="22"/>
          <w:szCs w:val="22"/>
          <w:lang w:val="en-GB"/>
        </w:rPr>
      </w:pPr>
      <w:r>
        <w:rPr>
          <w:rFonts w:asciiTheme="minorHAnsi" w:hAnsiTheme="minorHAnsi" w:cstheme="minorHAnsi"/>
          <w:i/>
          <w:sz w:val="22"/>
          <w:szCs w:val="22"/>
          <w:lang w:val="en-GB"/>
        </w:rPr>
        <w:t xml:space="preserve">Performance assessment frameworks </w:t>
      </w:r>
      <w:r w:rsidR="003039CE" w:rsidRPr="003039CE">
        <w:rPr>
          <w:rFonts w:asciiTheme="minorHAnsi" w:hAnsiTheme="minorHAnsi" w:cstheme="minorHAnsi"/>
          <w:i/>
          <w:sz w:val="22"/>
          <w:szCs w:val="22"/>
          <w:lang w:val="en-GB"/>
        </w:rPr>
        <w:t>and budget support</w:t>
      </w:r>
    </w:p>
    <w:p w14:paraId="12E6F25B" w14:textId="77777777" w:rsidR="003039CE" w:rsidRDefault="003039CE" w:rsidP="003039CE">
      <w:pPr>
        <w:rPr>
          <w:rFonts w:asciiTheme="minorHAnsi" w:hAnsiTheme="minorHAnsi" w:cstheme="minorHAnsi"/>
          <w:sz w:val="22"/>
          <w:szCs w:val="22"/>
          <w:lang w:val="en-GB"/>
        </w:rPr>
      </w:pPr>
    </w:p>
    <w:p w14:paraId="40EC4149" w14:textId="77777777" w:rsidR="0008556D" w:rsidRDefault="0008556D" w:rsidP="00D7326E">
      <w:pPr>
        <w:numPr>
          <w:ilvl w:val="0"/>
          <w:numId w:val="1"/>
        </w:numPr>
        <w:ind w:left="426" w:hanging="426"/>
        <w:rPr>
          <w:rFonts w:asciiTheme="minorHAnsi" w:hAnsiTheme="minorHAnsi" w:cstheme="minorHAnsi"/>
          <w:sz w:val="22"/>
          <w:szCs w:val="22"/>
          <w:lang w:val="en-GB"/>
        </w:rPr>
      </w:pPr>
      <w:r w:rsidRPr="0008556D">
        <w:rPr>
          <w:rFonts w:asciiTheme="minorHAnsi" w:hAnsiTheme="minorHAnsi" w:cstheme="minorHAnsi"/>
          <w:sz w:val="22"/>
          <w:szCs w:val="22"/>
          <w:lang w:val="en-GB"/>
        </w:rPr>
        <w:t xml:space="preserve">There is a double </w:t>
      </w:r>
      <w:r w:rsidRPr="0008556D">
        <w:rPr>
          <w:rFonts w:asciiTheme="minorHAnsi" w:hAnsiTheme="minorHAnsi" w:cstheme="minorHAnsi"/>
          <w:i/>
          <w:sz w:val="22"/>
          <w:szCs w:val="22"/>
          <w:lang w:val="en-GB"/>
        </w:rPr>
        <w:t xml:space="preserve">relationship between </w:t>
      </w:r>
      <w:r w:rsidR="008C4E16">
        <w:rPr>
          <w:rFonts w:asciiTheme="minorHAnsi" w:hAnsiTheme="minorHAnsi" w:cstheme="minorHAnsi"/>
          <w:i/>
          <w:sz w:val="22"/>
          <w:szCs w:val="22"/>
          <w:lang w:val="en-GB"/>
        </w:rPr>
        <w:t>PAFs</w:t>
      </w:r>
      <w:r w:rsidRPr="0008556D">
        <w:rPr>
          <w:rFonts w:asciiTheme="minorHAnsi" w:hAnsiTheme="minorHAnsi" w:cstheme="minorHAnsi"/>
          <w:i/>
          <w:sz w:val="22"/>
          <w:szCs w:val="22"/>
          <w:lang w:val="en-GB"/>
        </w:rPr>
        <w:t xml:space="preserve"> and budget support</w:t>
      </w:r>
      <w:r w:rsidR="004F4F46">
        <w:rPr>
          <w:rFonts w:asciiTheme="minorHAnsi" w:hAnsiTheme="minorHAnsi" w:cstheme="minorHAnsi"/>
          <w:sz w:val="22"/>
          <w:szCs w:val="22"/>
          <w:lang w:val="en-GB"/>
        </w:rPr>
        <w:t xml:space="preserve"> (EC 2007a, EC 2007b)</w:t>
      </w:r>
      <w:r w:rsidRPr="0008556D">
        <w:rPr>
          <w:rFonts w:asciiTheme="minorHAnsi" w:hAnsiTheme="minorHAnsi" w:cstheme="minorHAnsi"/>
          <w:sz w:val="22"/>
          <w:szCs w:val="22"/>
          <w:lang w:val="en-GB"/>
        </w:rPr>
        <w:t>:</w:t>
      </w:r>
    </w:p>
    <w:p w14:paraId="42915826" w14:textId="77777777" w:rsidR="0008556D" w:rsidRDefault="003039CE" w:rsidP="00D7326E">
      <w:pPr>
        <w:numPr>
          <w:ilvl w:val="1"/>
          <w:numId w:val="1"/>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Progress measured against the</w:t>
      </w:r>
      <w:r w:rsidRPr="003039CE">
        <w:rPr>
          <w:rFonts w:asciiTheme="minorHAnsi" w:hAnsiTheme="minorHAnsi" w:cstheme="minorHAnsi"/>
          <w:sz w:val="22"/>
          <w:szCs w:val="22"/>
          <w:lang w:val="en-GB"/>
        </w:rPr>
        <w:t xml:space="preserve"> targets </w:t>
      </w:r>
      <w:r>
        <w:rPr>
          <w:rFonts w:asciiTheme="minorHAnsi" w:hAnsiTheme="minorHAnsi" w:cstheme="minorHAnsi"/>
          <w:sz w:val="22"/>
          <w:szCs w:val="22"/>
          <w:lang w:val="en-GB"/>
        </w:rPr>
        <w:t xml:space="preserve">set out </w:t>
      </w:r>
      <w:r w:rsidR="0008556D">
        <w:rPr>
          <w:rFonts w:asciiTheme="minorHAnsi" w:hAnsiTheme="minorHAnsi" w:cstheme="minorHAnsi"/>
          <w:sz w:val="22"/>
          <w:szCs w:val="22"/>
          <w:lang w:val="en-GB"/>
        </w:rPr>
        <w:t xml:space="preserve">in </w:t>
      </w:r>
      <w:r>
        <w:rPr>
          <w:rFonts w:asciiTheme="minorHAnsi" w:hAnsiTheme="minorHAnsi" w:cstheme="minorHAnsi"/>
          <w:sz w:val="22"/>
          <w:szCs w:val="22"/>
          <w:lang w:val="en-GB"/>
        </w:rPr>
        <w:t xml:space="preserve">the PAF </w:t>
      </w:r>
      <w:r w:rsidR="0008556D">
        <w:rPr>
          <w:rFonts w:asciiTheme="minorHAnsi" w:hAnsiTheme="minorHAnsi" w:cstheme="minorHAnsi"/>
          <w:sz w:val="22"/>
          <w:szCs w:val="22"/>
          <w:lang w:val="en-GB"/>
        </w:rPr>
        <w:t>of</w:t>
      </w:r>
      <w:r>
        <w:rPr>
          <w:rFonts w:asciiTheme="minorHAnsi" w:hAnsiTheme="minorHAnsi" w:cstheme="minorHAnsi"/>
          <w:sz w:val="22"/>
          <w:szCs w:val="22"/>
          <w:lang w:val="en-GB"/>
        </w:rPr>
        <w:t xml:space="preserve"> a strategy or programme </w:t>
      </w:r>
      <w:r w:rsidRPr="003039CE">
        <w:rPr>
          <w:rFonts w:asciiTheme="minorHAnsi" w:hAnsiTheme="minorHAnsi" w:cstheme="minorHAnsi"/>
          <w:sz w:val="22"/>
          <w:szCs w:val="22"/>
          <w:lang w:val="en-GB"/>
        </w:rPr>
        <w:t>provides opportunities for policy dialogue in the context of budget support</w:t>
      </w:r>
      <w:r w:rsidR="0008556D">
        <w:rPr>
          <w:rFonts w:asciiTheme="minorHAnsi" w:hAnsiTheme="minorHAnsi" w:cstheme="minorHAnsi"/>
          <w:sz w:val="22"/>
          <w:szCs w:val="22"/>
          <w:lang w:val="en-GB"/>
        </w:rPr>
        <w:t xml:space="preserve">. </w:t>
      </w:r>
    </w:p>
    <w:p w14:paraId="5CEF8058" w14:textId="77777777" w:rsidR="0008556D" w:rsidRDefault="0008556D" w:rsidP="00D7326E">
      <w:pPr>
        <w:numPr>
          <w:ilvl w:val="1"/>
          <w:numId w:val="1"/>
        </w:numPr>
        <w:spacing w:before="120"/>
        <w:ind w:left="709" w:hanging="284"/>
        <w:rPr>
          <w:rFonts w:asciiTheme="minorHAnsi" w:hAnsiTheme="minorHAnsi" w:cstheme="minorHAnsi"/>
          <w:sz w:val="22"/>
          <w:szCs w:val="22"/>
          <w:lang w:val="en-GB"/>
        </w:rPr>
      </w:pPr>
      <w:r w:rsidRPr="0008556D">
        <w:rPr>
          <w:rFonts w:asciiTheme="minorHAnsi" w:hAnsiTheme="minorHAnsi" w:cstheme="minorHAnsi"/>
          <w:sz w:val="22"/>
          <w:szCs w:val="22"/>
          <w:lang w:val="en-GB"/>
        </w:rPr>
        <w:t>In the case of EC budget support, performance against a chosen sub-set of criteria and targets also determines the amount of disbursements</w:t>
      </w:r>
      <w:r>
        <w:rPr>
          <w:rFonts w:asciiTheme="minorHAnsi" w:hAnsiTheme="minorHAnsi" w:cstheme="minorHAnsi"/>
          <w:sz w:val="22"/>
          <w:szCs w:val="22"/>
          <w:lang w:val="en-GB"/>
        </w:rPr>
        <w:t xml:space="preserve"> (see Module 8 for further explanations)</w:t>
      </w:r>
      <w:r w:rsidRPr="0008556D">
        <w:rPr>
          <w:rFonts w:asciiTheme="minorHAnsi" w:hAnsiTheme="minorHAnsi" w:cstheme="minorHAnsi"/>
          <w:sz w:val="22"/>
          <w:szCs w:val="22"/>
          <w:lang w:val="en-GB"/>
        </w:rPr>
        <w:t>.</w:t>
      </w:r>
    </w:p>
    <w:p w14:paraId="6B1BA84D" w14:textId="57017F94" w:rsidR="003039CE" w:rsidRPr="003039CE" w:rsidRDefault="0008556D" w:rsidP="0008556D">
      <w:pPr>
        <w:spacing w:before="120"/>
        <w:ind w:left="426"/>
        <w:rPr>
          <w:rFonts w:asciiTheme="minorHAnsi" w:hAnsiTheme="minorHAnsi" w:cstheme="minorHAnsi"/>
          <w:sz w:val="22"/>
          <w:szCs w:val="22"/>
          <w:lang w:val="en-GB"/>
        </w:rPr>
      </w:pPr>
      <w:r w:rsidRPr="0008556D">
        <w:rPr>
          <w:rFonts w:asciiTheme="minorHAnsi" w:hAnsiTheme="minorHAnsi" w:cstheme="minorHAnsi"/>
          <w:sz w:val="22"/>
          <w:szCs w:val="22"/>
          <w:lang w:val="en-GB"/>
        </w:rPr>
        <w:t>Increasingly, the PAF associated with development</w:t>
      </w:r>
      <w:r w:rsidR="006B3884">
        <w:rPr>
          <w:rFonts w:asciiTheme="minorHAnsi" w:hAnsiTheme="minorHAnsi" w:cstheme="minorHAnsi"/>
          <w:sz w:val="22"/>
          <w:szCs w:val="22"/>
          <w:lang w:val="en-GB"/>
        </w:rPr>
        <w:t>,</w:t>
      </w:r>
      <w:r w:rsidRPr="0008556D">
        <w:rPr>
          <w:rFonts w:asciiTheme="minorHAnsi" w:hAnsiTheme="minorHAnsi" w:cstheme="minorHAnsi"/>
          <w:sz w:val="22"/>
          <w:szCs w:val="22"/>
          <w:lang w:val="en-GB"/>
        </w:rPr>
        <w:t xml:space="preserve"> poverty reduction </w:t>
      </w:r>
      <w:r w:rsidR="006B3884">
        <w:rPr>
          <w:rFonts w:asciiTheme="minorHAnsi" w:hAnsiTheme="minorHAnsi" w:cstheme="minorHAnsi"/>
          <w:sz w:val="22"/>
          <w:szCs w:val="22"/>
          <w:lang w:val="en-GB"/>
        </w:rPr>
        <w:t xml:space="preserve">and sector </w:t>
      </w:r>
      <w:r w:rsidRPr="0008556D">
        <w:rPr>
          <w:rFonts w:asciiTheme="minorHAnsi" w:hAnsiTheme="minorHAnsi" w:cstheme="minorHAnsi"/>
          <w:sz w:val="22"/>
          <w:szCs w:val="22"/>
          <w:lang w:val="en-GB"/>
        </w:rPr>
        <w:t xml:space="preserve">strategies is likely to include indicators and targets associated with </w:t>
      </w:r>
      <w:r w:rsidR="003444E0">
        <w:rPr>
          <w:rFonts w:asciiTheme="minorHAnsi" w:hAnsiTheme="minorHAnsi" w:cstheme="minorHAnsi"/>
          <w:sz w:val="22"/>
          <w:szCs w:val="22"/>
          <w:lang w:val="en-GB"/>
        </w:rPr>
        <w:t xml:space="preserve">environmental integration and </w:t>
      </w:r>
      <w:r w:rsidRPr="0008556D">
        <w:rPr>
          <w:rFonts w:asciiTheme="minorHAnsi" w:hAnsiTheme="minorHAnsi" w:cstheme="minorHAnsi"/>
          <w:sz w:val="22"/>
          <w:szCs w:val="22"/>
          <w:lang w:val="en-GB"/>
        </w:rPr>
        <w:t xml:space="preserve">climate change adaptation, disaster risk reduction, energy efficiency, </w:t>
      </w:r>
      <w:r>
        <w:rPr>
          <w:rFonts w:asciiTheme="minorHAnsi" w:hAnsiTheme="minorHAnsi" w:cstheme="minorHAnsi"/>
          <w:sz w:val="22"/>
          <w:szCs w:val="22"/>
          <w:lang w:val="en-GB"/>
        </w:rPr>
        <w:t xml:space="preserve">emission reductions, </w:t>
      </w:r>
      <w:r w:rsidRPr="0008556D">
        <w:rPr>
          <w:rFonts w:asciiTheme="minorHAnsi" w:hAnsiTheme="minorHAnsi" w:cstheme="minorHAnsi"/>
          <w:sz w:val="22"/>
          <w:szCs w:val="22"/>
          <w:lang w:val="en-GB"/>
        </w:rPr>
        <w:t>etc.</w:t>
      </w:r>
      <w:r>
        <w:rPr>
          <w:rFonts w:asciiTheme="minorHAnsi" w:hAnsiTheme="minorHAnsi" w:cstheme="minorHAnsi"/>
          <w:sz w:val="22"/>
          <w:szCs w:val="22"/>
          <w:lang w:val="en-GB"/>
        </w:rPr>
        <w:t xml:space="preserve"> </w:t>
      </w:r>
      <w:r w:rsidRPr="0008556D">
        <w:rPr>
          <w:rFonts w:asciiTheme="minorHAnsi" w:hAnsiTheme="minorHAnsi" w:cstheme="minorHAnsi"/>
          <w:sz w:val="22"/>
          <w:szCs w:val="22"/>
          <w:lang w:val="en-GB"/>
        </w:rPr>
        <w:t>This entails that these aspects are likely to be increasingly raised in the policy dialogue</w:t>
      </w:r>
      <w:r w:rsidR="0016384B">
        <w:rPr>
          <w:rFonts w:asciiTheme="minorHAnsi" w:hAnsiTheme="minorHAnsi" w:cstheme="minorHAnsi"/>
          <w:sz w:val="22"/>
          <w:szCs w:val="22"/>
          <w:lang w:val="en-GB"/>
        </w:rPr>
        <w:t>.</w:t>
      </w:r>
      <w:r w:rsidRPr="0008556D">
        <w:rPr>
          <w:rFonts w:asciiTheme="minorHAnsi" w:hAnsiTheme="minorHAnsi" w:cstheme="minorHAnsi"/>
          <w:sz w:val="22"/>
          <w:szCs w:val="22"/>
          <w:lang w:val="en-GB"/>
        </w:rPr>
        <w:t xml:space="preserve"> </w:t>
      </w:r>
      <w:r w:rsidR="00551E75">
        <w:rPr>
          <w:rFonts w:asciiTheme="minorHAnsi" w:hAnsiTheme="minorHAnsi" w:cstheme="minorHAnsi"/>
          <w:sz w:val="22"/>
          <w:szCs w:val="22"/>
          <w:lang w:val="en-GB"/>
        </w:rPr>
        <w:t>Likewise</w:t>
      </w:r>
      <w:r w:rsidRPr="0008556D">
        <w:rPr>
          <w:rFonts w:asciiTheme="minorHAnsi" w:hAnsiTheme="minorHAnsi" w:cstheme="minorHAnsi"/>
          <w:sz w:val="22"/>
          <w:szCs w:val="22"/>
          <w:lang w:val="en-GB"/>
        </w:rPr>
        <w:t xml:space="preserve">, with the agreement of the government concerned (since disbursement </w:t>
      </w:r>
      <w:r w:rsidR="006B3884">
        <w:rPr>
          <w:rFonts w:asciiTheme="minorHAnsi" w:hAnsiTheme="minorHAnsi" w:cstheme="minorHAnsi"/>
          <w:sz w:val="22"/>
          <w:szCs w:val="22"/>
          <w:lang w:val="en-GB"/>
        </w:rPr>
        <w:t xml:space="preserve">triggers are always </w:t>
      </w:r>
      <w:r w:rsidR="00551E75">
        <w:rPr>
          <w:rFonts w:asciiTheme="minorHAnsi" w:hAnsiTheme="minorHAnsi" w:cstheme="minorHAnsi"/>
          <w:sz w:val="22"/>
          <w:szCs w:val="22"/>
          <w:lang w:val="en-GB"/>
        </w:rPr>
        <w:t>the result of a negotiation</w:t>
      </w:r>
      <w:r w:rsidRPr="0008556D">
        <w:rPr>
          <w:rFonts w:asciiTheme="minorHAnsi" w:hAnsiTheme="minorHAnsi" w:cstheme="minorHAnsi"/>
          <w:sz w:val="22"/>
          <w:szCs w:val="22"/>
          <w:lang w:val="en-GB"/>
        </w:rPr>
        <w:t xml:space="preserve">), achievements in </w:t>
      </w:r>
      <w:r w:rsidR="006B3884">
        <w:rPr>
          <w:rFonts w:asciiTheme="minorHAnsi" w:hAnsiTheme="minorHAnsi" w:cstheme="minorHAnsi"/>
          <w:sz w:val="22"/>
          <w:szCs w:val="22"/>
          <w:lang w:val="en-GB"/>
        </w:rPr>
        <w:t xml:space="preserve">the field of </w:t>
      </w:r>
      <w:r w:rsidR="003444E0">
        <w:rPr>
          <w:rFonts w:asciiTheme="minorHAnsi" w:hAnsiTheme="minorHAnsi" w:cstheme="minorHAnsi"/>
          <w:sz w:val="22"/>
          <w:szCs w:val="22"/>
          <w:lang w:val="en-GB"/>
        </w:rPr>
        <w:t xml:space="preserve">environment and </w:t>
      </w:r>
      <w:r w:rsidR="006B3884">
        <w:rPr>
          <w:rFonts w:asciiTheme="minorHAnsi" w:hAnsiTheme="minorHAnsi" w:cstheme="minorHAnsi"/>
          <w:sz w:val="22"/>
          <w:szCs w:val="22"/>
          <w:lang w:val="en-GB"/>
        </w:rPr>
        <w:t>climate change</w:t>
      </w:r>
      <w:r w:rsidR="0069519D">
        <w:rPr>
          <w:rFonts w:asciiTheme="minorHAnsi" w:hAnsiTheme="minorHAnsi" w:cstheme="minorHAnsi"/>
          <w:sz w:val="22"/>
          <w:szCs w:val="22"/>
          <w:lang w:val="en-GB"/>
        </w:rPr>
        <w:t xml:space="preserve"> are likely to be increasingly </w:t>
      </w:r>
      <w:r w:rsidRPr="0008556D">
        <w:rPr>
          <w:rFonts w:asciiTheme="minorHAnsi" w:hAnsiTheme="minorHAnsi" w:cstheme="minorHAnsi"/>
          <w:sz w:val="22"/>
          <w:szCs w:val="22"/>
          <w:lang w:val="en-GB"/>
        </w:rPr>
        <w:t>used to determine actual budget support disbursements, in a results-oriented perspective.</w:t>
      </w:r>
    </w:p>
    <w:p w14:paraId="1F14873D" w14:textId="77777777" w:rsidR="003039CE" w:rsidRDefault="003039CE" w:rsidP="00E41A2C">
      <w:pPr>
        <w:rPr>
          <w:rFonts w:asciiTheme="minorHAnsi" w:hAnsiTheme="minorHAnsi" w:cstheme="minorHAnsi"/>
          <w:sz w:val="22"/>
          <w:szCs w:val="22"/>
          <w:lang w:val="en-GB"/>
        </w:rPr>
      </w:pPr>
    </w:p>
    <w:p w14:paraId="7194ECF9" w14:textId="77777777" w:rsidR="007110E1" w:rsidRPr="00703706" w:rsidRDefault="007110E1" w:rsidP="00C0293F">
      <w:pPr>
        <w:pBdr>
          <w:bottom w:val="single" w:sz="6" w:space="1" w:color="auto"/>
        </w:pBdr>
        <w:rPr>
          <w:rFonts w:asciiTheme="minorHAnsi" w:hAnsiTheme="minorHAnsi" w:cstheme="minorHAnsi"/>
          <w:sz w:val="22"/>
          <w:szCs w:val="22"/>
          <w:lang w:val="en-GB"/>
        </w:rPr>
      </w:pPr>
    </w:p>
    <w:p w14:paraId="79540709" w14:textId="77777777" w:rsidR="004F4310" w:rsidRPr="00703706" w:rsidRDefault="004F4310" w:rsidP="00C0293F">
      <w:pPr>
        <w:rPr>
          <w:rFonts w:asciiTheme="minorHAnsi" w:hAnsiTheme="minorHAnsi" w:cstheme="minorHAnsi"/>
          <w:b/>
          <w:smallCaps/>
          <w:sz w:val="22"/>
          <w:szCs w:val="22"/>
          <w:lang w:val="en-GB"/>
        </w:rPr>
      </w:pPr>
    </w:p>
    <w:p w14:paraId="279EEAC5" w14:textId="77777777" w:rsidR="00CB3482" w:rsidRPr="00703706" w:rsidRDefault="000B3735" w:rsidP="00C0293F">
      <w:pPr>
        <w:rPr>
          <w:rFonts w:asciiTheme="minorHAnsi" w:hAnsiTheme="minorHAnsi" w:cstheme="minorHAnsi"/>
          <w:b/>
          <w:smallCaps/>
          <w:sz w:val="22"/>
          <w:szCs w:val="22"/>
          <w:lang w:val="en-GB"/>
        </w:rPr>
      </w:pPr>
      <w:r>
        <w:rPr>
          <w:rFonts w:asciiTheme="minorHAnsi" w:hAnsiTheme="minorHAnsi" w:cstheme="minorHAnsi"/>
          <w:b/>
          <w:smallCaps/>
          <w:sz w:val="22"/>
          <w:szCs w:val="22"/>
          <w:lang w:val="en-GB"/>
        </w:rPr>
        <w:t>R</w:t>
      </w:r>
      <w:r w:rsidR="00CB3482" w:rsidRPr="00703706">
        <w:rPr>
          <w:rFonts w:asciiTheme="minorHAnsi" w:hAnsiTheme="minorHAnsi" w:cstheme="minorHAnsi"/>
          <w:b/>
          <w:smallCaps/>
          <w:sz w:val="22"/>
          <w:szCs w:val="22"/>
          <w:lang w:val="en-GB"/>
        </w:rPr>
        <w:t>eferences:</w:t>
      </w:r>
    </w:p>
    <w:p w14:paraId="16A13CD8" w14:textId="77777777" w:rsidR="008F0D6D" w:rsidRDefault="008F0D6D" w:rsidP="008F0D6D">
      <w:pPr>
        <w:rPr>
          <w:rFonts w:asciiTheme="minorHAnsi" w:hAnsiTheme="minorHAnsi" w:cstheme="minorHAnsi"/>
          <w:sz w:val="22"/>
          <w:szCs w:val="22"/>
          <w:lang w:val="en-GB"/>
        </w:rPr>
      </w:pPr>
    </w:p>
    <w:p w14:paraId="42A7E390" w14:textId="77777777" w:rsidR="008F0D6D" w:rsidRDefault="008F0D6D" w:rsidP="008F0D6D">
      <w:pPr>
        <w:rPr>
          <w:rFonts w:asciiTheme="minorHAnsi" w:hAnsiTheme="minorHAnsi" w:cstheme="minorHAnsi"/>
          <w:sz w:val="22"/>
          <w:szCs w:val="22"/>
          <w:lang w:val="en-GB"/>
        </w:rPr>
      </w:pPr>
      <w:proofErr w:type="spellStart"/>
      <w:r w:rsidRPr="00770F01">
        <w:rPr>
          <w:rFonts w:asciiTheme="minorHAnsi" w:hAnsiTheme="minorHAnsi" w:cstheme="minorHAnsi"/>
          <w:sz w:val="22"/>
          <w:szCs w:val="22"/>
          <w:lang w:val="en-GB"/>
        </w:rPr>
        <w:lastRenderedPageBreak/>
        <w:t>Ceccato</w:t>
      </w:r>
      <w:proofErr w:type="spellEnd"/>
      <w:r w:rsidRPr="00770F01">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P., </w:t>
      </w:r>
      <w:proofErr w:type="spellStart"/>
      <w:r>
        <w:rPr>
          <w:rFonts w:asciiTheme="minorHAnsi" w:hAnsiTheme="minorHAnsi" w:cstheme="minorHAnsi"/>
          <w:sz w:val="22"/>
          <w:szCs w:val="22"/>
          <w:lang w:val="en-GB"/>
        </w:rPr>
        <w:t>Ghebremeskel</w:t>
      </w:r>
      <w:proofErr w:type="spellEnd"/>
      <w:r>
        <w:rPr>
          <w:rFonts w:asciiTheme="minorHAnsi" w:hAnsiTheme="minorHAnsi" w:cstheme="minorHAnsi"/>
          <w:sz w:val="22"/>
          <w:szCs w:val="22"/>
          <w:lang w:val="en-GB"/>
        </w:rPr>
        <w:t xml:space="preserve"> T., </w:t>
      </w:r>
      <w:proofErr w:type="spellStart"/>
      <w:r>
        <w:rPr>
          <w:rFonts w:asciiTheme="minorHAnsi" w:hAnsiTheme="minorHAnsi" w:cstheme="minorHAnsi"/>
          <w:sz w:val="22"/>
          <w:szCs w:val="22"/>
          <w:lang w:val="en-GB"/>
        </w:rPr>
        <w:t>Jaiteh</w:t>
      </w:r>
      <w:proofErr w:type="spellEnd"/>
      <w:r>
        <w:rPr>
          <w:rFonts w:asciiTheme="minorHAnsi" w:hAnsiTheme="minorHAnsi" w:cstheme="minorHAnsi"/>
          <w:sz w:val="22"/>
          <w:szCs w:val="22"/>
          <w:lang w:val="en-GB"/>
        </w:rPr>
        <w:t xml:space="preserve"> M., Graves P., Levy M., </w:t>
      </w:r>
      <w:proofErr w:type="spellStart"/>
      <w:r>
        <w:rPr>
          <w:rFonts w:asciiTheme="minorHAnsi" w:hAnsiTheme="minorHAnsi" w:cstheme="minorHAnsi"/>
          <w:sz w:val="22"/>
          <w:szCs w:val="22"/>
          <w:lang w:val="en-GB"/>
        </w:rPr>
        <w:t>Ghebreselassie</w:t>
      </w:r>
      <w:proofErr w:type="spellEnd"/>
      <w:r>
        <w:rPr>
          <w:rFonts w:asciiTheme="minorHAnsi" w:hAnsiTheme="minorHAnsi" w:cstheme="minorHAnsi"/>
          <w:sz w:val="22"/>
          <w:szCs w:val="22"/>
          <w:lang w:val="en-GB"/>
        </w:rPr>
        <w:t xml:space="preserve"> S., </w:t>
      </w:r>
      <w:proofErr w:type="spellStart"/>
      <w:r>
        <w:rPr>
          <w:rFonts w:asciiTheme="minorHAnsi" w:hAnsiTheme="minorHAnsi" w:cstheme="minorHAnsi"/>
          <w:sz w:val="22"/>
          <w:szCs w:val="22"/>
          <w:lang w:val="en-GB"/>
        </w:rPr>
        <w:t>Ogbamariam</w:t>
      </w:r>
      <w:proofErr w:type="spellEnd"/>
      <w:r>
        <w:rPr>
          <w:rFonts w:asciiTheme="minorHAnsi" w:hAnsiTheme="minorHAnsi" w:cstheme="minorHAnsi"/>
          <w:sz w:val="22"/>
          <w:szCs w:val="22"/>
          <w:lang w:val="en-GB"/>
        </w:rPr>
        <w:t xml:space="preserve"> A., </w:t>
      </w:r>
      <w:proofErr w:type="spellStart"/>
      <w:r>
        <w:rPr>
          <w:rFonts w:asciiTheme="minorHAnsi" w:hAnsiTheme="minorHAnsi" w:cstheme="minorHAnsi"/>
          <w:sz w:val="22"/>
          <w:szCs w:val="22"/>
          <w:lang w:val="en-GB"/>
        </w:rPr>
        <w:t>Barnston</w:t>
      </w:r>
      <w:proofErr w:type="spellEnd"/>
      <w:r>
        <w:rPr>
          <w:rFonts w:asciiTheme="minorHAnsi" w:hAnsiTheme="minorHAnsi" w:cstheme="minorHAnsi"/>
          <w:sz w:val="22"/>
          <w:szCs w:val="22"/>
          <w:lang w:val="en-GB"/>
        </w:rPr>
        <w:t xml:space="preserve"> A., Bell M., del Corral J., Connor S., </w:t>
      </w:r>
      <w:proofErr w:type="spellStart"/>
      <w:r>
        <w:rPr>
          <w:rFonts w:asciiTheme="minorHAnsi" w:hAnsiTheme="minorHAnsi" w:cstheme="minorHAnsi"/>
          <w:sz w:val="22"/>
          <w:szCs w:val="22"/>
          <w:lang w:val="en-GB"/>
        </w:rPr>
        <w:t>Fesseha</w:t>
      </w:r>
      <w:proofErr w:type="spellEnd"/>
      <w:r>
        <w:rPr>
          <w:rFonts w:asciiTheme="minorHAnsi" w:hAnsiTheme="minorHAnsi" w:cstheme="minorHAnsi"/>
          <w:sz w:val="22"/>
          <w:szCs w:val="22"/>
          <w:lang w:val="en-GB"/>
        </w:rPr>
        <w:t xml:space="preserve"> I., </w:t>
      </w:r>
      <w:proofErr w:type="spellStart"/>
      <w:r>
        <w:rPr>
          <w:rFonts w:asciiTheme="minorHAnsi" w:hAnsiTheme="minorHAnsi" w:cstheme="minorHAnsi"/>
          <w:sz w:val="22"/>
          <w:szCs w:val="22"/>
          <w:lang w:val="en-GB"/>
        </w:rPr>
        <w:t>Brantly</w:t>
      </w:r>
      <w:proofErr w:type="spellEnd"/>
      <w:r>
        <w:rPr>
          <w:rFonts w:asciiTheme="minorHAnsi" w:hAnsiTheme="minorHAnsi" w:cstheme="minorHAnsi"/>
          <w:sz w:val="22"/>
          <w:szCs w:val="22"/>
          <w:lang w:val="en-GB"/>
        </w:rPr>
        <w:t xml:space="preserve"> E. &amp; Thomson M. </w:t>
      </w:r>
      <w:r w:rsidRPr="00770F01">
        <w:rPr>
          <w:rFonts w:asciiTheme="minorHAnsi" w:hAnsiTheme="minorHAnsi" w:cstheme="minorHAnsi"/>
          <w:sz w:val="22"/>
          <w:szCs w:val="22"/>
          <w:lang w:val="en-GB"/>
        </w:rPr>
        <w:t xml:space="preserve">(2007) – ‘Malaria Stratification, Climate, and Epidemic Early Warning in Eritrea’, </w:t>
      </w:r>
      <w:r>
        <w:rPr>
          <w:rFonts w:asciiTheme="minorHAnsi" w:hAnsiTheme="minorHAnsi" w:cstheme="minorHAnsi"/>
          <w:i/>
          <w:sz w:val="22"/>
          <w:szCs w:val="22"/>
          <w:lang w:val="en-GB"/>
        </w:rPr>
        <w:t>American</w:t>
      </w:r>
      <w:r w:rsidRPr="00770F01">
        <w:rPr>
          <w:rFonts w:asciiTheme="minorHAnsi" w:hAnsiTheme="minorHAnsi" w:cstheme="minorHAnsi"/>
          <w:i/>
          <w:sz w:val="22"/>
          <w:szCs w:val="22"/>
          <w:lang w:val="en-GB"/>
        </w:rPr>
        <w:t xml:space="preserve"> J</w:t>
      </w:r>
      <w:r>
        <w:rPr>
          <w:rFonts w:asciiTheme="minorHAnsi" w:hAnsiTheme="minorHAnsi" w:cstheme="minorHAnsi"/>
          <w:i/>
          <w:sz w:val="22"/>
          <w:szCs w:val="22"/>
          <w:lang w:val="en-GB"/>
        </w:rPr>
        <w:t>ournal of</w:t>
      </w:r>
      <w:r w:rsidRPr="00770F01">
        <w:rPr>
          <w:rFonts w:asciiTheme="minorHAnsi" w:hAnsiTheme="minorHAnsi" w:cstheme="minorHAnsi"/>
          <w:i/>
          <w:sz w:val="22"/>
          <w:szCs w:val="22"/>
          <w:lang w:val="en-GB"/>
        </w:rPr>
        <w:t xml:space="preserve"> Trop</w:t>
      </w:r>
      <w:r>
        <w:rPr>
          <w:rFonts w:asciiTheme="minorHAnsi" w:hAnsiTheme="minorHAnsi" w:cstheme="minorHAnsi"/>
          <w:i/>
          <w:sz w:val="22"/>
          <w:szCs w:val="22"/>
          <w:lang w:val="en-GB"/>
        </w:rPr>
        <w:t xml:space="preserve">ical </w:t>
      </w:r>
      <w:r w:rsidRPr="00770F01">
        <w:rPr>
          <w:rFonts w:asciiTheme="minorHAnsi" w:hAnsiTheme="minorHAnsi" w:cstheme="minorHAnsi"/>
          <w:i/>
          <w:sz w:val="22"/>
          <w:szCs w:val="22"/>
          <w:lang w:val="en-GB"/>
        </w:rPr>
        <w:t>Med</w:t>
      </w:r>
      <w:r w:rsidR="00E1680C">
        <w:rPr>
          <w:rFonts w:asciiTheme="minorHAnsi" w:hAnsiTheme="minorHAnsi" w:cstheme="minorHAnsi"/>
          <w:i/>
          <w:sz w:val="22"/>
          <w:szCs w:val="22"/>
          <w:lang w:val="en-GB"/>
        </w:rPr>
        <w:t>icine and</w:t>
      </w:r>
      <w:r w:rsidRPr="00770F01">
        <w:rPr>
          <w:rFonts w:asciiTheme="minorHAnsi" w:hAnsiTheme="minorHAnsi" w:cstheme="minorHAnsi"/>
          <w:i/>
          <w:sz w:val="22"/>
          <w:szCs w:val="22"/>
          <w:lang w:val="en-GB"/>
        </w:rPr>
        <w:t xml:space="preserve"> Hyg</w:t>
      </w:r>
      <w:r>
        <w:rPr>
          <w:rFonts w:asciiTheme="minorHAnsi" w:hAnsiTheme="minorHAnsi" w:cstheme="minorHAnsi"/>
          <w:i/>
          <w:sz w:val="22"/>
          <w:szCs w:val="22"/>
          <w:lang w:val="en-GB"/>
        </w:rPr>
        <w:t>iene</w:t>
      </w:r>
      <w:r w:rsidRPr="00770F01">
        <w:rPr>
          <w:rFonts w:asciiTheme="minorHAnsi" w:hAnsiTheme="minorHAnsi" w:cstheme="minorHAnsi"/>
          <w:sz w:val="22"/>
          <w:szCs w:val="22"/>
          <w:lang w:val="en-GB"/>
        </w:rPr>
        <w:t xml:space="preserve"> 77(suppl. 6): 61-68</w:t>
      </w:r>
      <w:r>
        <w:rPr>
          <w:rFonts w:asciiTheme="minorHAnsi" w:hAnsiTheme="minorHAnsi" w:cstheme="minorHAnsi"/>
          <w:sz w:val="22"/>
          <w:szCs w:val="22"/>
          <w:lang w:val="en-GB"/>
        </w:rPr>
        <w:t xml:space="preserve">. Available from: </w:t>
      </w:r>
      <w:hyperlink r:id="rId14" w:history="1">
        <w:r w:rsidRPr="00780C42">
          <w:rPr>
            <w:rStyle w:val="Hyperlink"/>
            <w:rFonts w:asciiTheme="minorHAnsi" w:hAnsiTheme="minorHAnsi" w:cstheme="minorHAnsi"/>
            <w:sz w:val="22"/>
            <w:szCs w:val="22"/>
            <w:lang w:val="en-GB"/>
          </w:rPr>
          <w:t>http://www.ajtmh.org</w:t>
        </w:r>
      </w:hyperlink>
      <w:r>
        <w:rPr>
          <w:rFonts w:asciiTheme="minorHAnsi" w:hAnsiTheme="minorHAnsi" w:cstheme="minorHAnsi"/>
          <w:sz w:val="22"/>
          <w:szCs w:val="22"/>
          <w:lang w:val="en-GB"/>
        </w:rPr>
        <w:t>.</w:t>
      </w:r>
    </w:p>
    <w:p w14:paraId="3DD1F4E3" w14:textId="77777777" w:rsidR="008F0D6D" w:rsidRDefault="008F0D6D" w:rsidP="000F195F">
      <w:pPr>
        <w:rPr>
          <w:rFonts w:asciiTheme="minorHAnsi" w:hAnsiTheme="minorHAnsi" w:cstheme="minorHAnsi"/>
          <w:sz w:val="22"/>
          <w:szCs w:val="22"/>
          <w:lang w:val="en-GB"/>
        </w:rPr>
      </w:pPr>
    </w:p>
    <w:p w14:paraId="3AAC7FAF" w14:textId="77777777" w:rsidR="00545715" w:rsidRPr="0053026C" w:rsidRDefault="00545715" w:rsidP="00545715">
      <w:pPr>
        <w:rPr>
          <w:rFonts w:asciiTheme="minorHAnsi" w:hAnsiTheme="minorHAnsi" w:cstheme="minorHAnsi"/>
          <w:i/>
          <w:sz w:val="22"/>
          <w:szCs w:val="22"/>
          <w:lang w:val="en-GB"/>
        </w:rPr>
      </w:pPr>
      <w:proofErr w:type="spellStart"/>
      <w:r>
        <w:rPr>
          <w:rFonts w:asciiTheme="minorHAnsi" w:hAnsiTheme="minorHAnsi" w:cstheme="minorHAnsi"/>
          <w:sz w:val="22"/>
          <w:szCs w:val="22"/>
          <w:lang w:val="en-GB"/>
        </w:rPr>
        <w:t>Dalal</w:t>
      </w:r>
      <w:proofErr w:type="spellEnd"/>
      <w:r>
        <w:rPr>
          <w:rFonts w:asciiTheme="minorHAnsi" w:hAnsiTheme="minorHAnsi" w:cstheme="minorHAnsi"/>
          <w:sz w:val="22"/>
          <w:szCs w:val="22"/>
          <w:lang w:val="en-GB"/>
        </w:rPr>
        <w:t>-Clayton</w:t>
      </w:r>
      <w:r w:rsidRPr="0053026C">
        <w:rPr>
          <w:rFonts w:asciiTheme="minorHAnsi" w:hAnsiTheme="minorHAnsi" w:cstheme="minorHAnsi"/>
          <w:sz w:val="22"/>
          <w:szCs w:val="22"/>
          <w:lang w:val="en-GB"/>
        </w:rPr>
        <w:t xml:space="preserve"> B. &amp; </w:t>
      </w:r>
      <w:r>
        <w:rPr>
          <w:rFonts w:asciiTheme="minorHAnsi" w:hAnsiTheme="minorHAnsi" w:cstheme="minorHAnsi"/>
          <w:sz w:val="22"/>
          <w:szCs w:val="22"/>
          <w:lang w:val="en-GB"/>
        </w:rPr>
        <w:t>B</w:t>
      </w:r>
      <w:r w:rsidRPr="0053026C">
        <w:rPr>
          <w:rFonts w:asciiTheme="minorHAnsi" w:hAnsiTheme="minorHAnsi" w:cstheme="minorHAnsi"/>
          <w:sz w:val="22"/>
          <w:szCs w:val="22"/>
          <w:lang w:val="en-GB"/>
        </w:rPr>
        <w:t xml:space="preserve">ass S. (2009) </w:t>
      </w:r>
      <w:proofErr w:type="gramStart"/>
      <w:r w:rsidRPr="00542E45">
        <w:rPr>
          <w:rFonts w:asciiTheme="minorHAnsi" w:hAnsiTheme="minorHAnsi" w:cstheme="minorHAnsi"/>
          <w:i/>
          <w:sz w:val="22"/>
          <w:szCs w:val="22"/>
          <w:lang w:val="en-GB"/>
        </w:rPr>
        <w:t>The</w:t>
      </w:r>
      <w:proofErr w:type="gramEnd"/>
      <w:r w:rsidRPr="00542E45">
        <w:rPr>
          <w:rFonts w:asciiTheme="minorHAnsi" w:hAnsiTheme="minorHAnsi" w:cstheme="minorHAnsi"/>
          <w:i/>
          <w:sz w:val="22"/>
          <w:szCs w:val="22"/>
          <w:lang w:val="en-GB"/>
        </w:rPr>
        <w:t xml:space="preserve"> challenges of environmental mainstreaming: experience of integrating environment into development institutions and decisions</w:t>
      </w:r>
      <w:r w:rsidRPr="0053026C">
        <w:rPr>
          <w:rFonts w:asciiTheme="minorHAnsi" w:hAnsiTheme="minorHAnsi" w:cstheme="minorHAnsi"/>
          <w:sz w:val="22"/>
          <w:szCs w:val="22"/>
          <w:lang w:val="en-GB"/>
        </w:rPr>
        <w:t xml:space="preserve">. International Institute for Environment and Development, London. Available from: </w:t>
      </w:r>
      <w:hyperlink r:id="rId15" w:history="1">
        <w:r w:rsidRPr="0053026C">
          <w:rPr>
            <w:rStyle w:val="Hyperlink"/>
            <w:rFonts w:asciiTheme="minorHAnsi" w:hAnsiTheme="minorHAnsi" w:cstheme="minorHAnsi"/>
            <w:sz w:val="22"/>
            <w:szCs w:val="22"/>
            <w:lang w:val="en-GB"/>
          </w:rPr>
          <w:t>http://www.environmental-mainstreaming.org/key-lit.html</w:t>
        </w:r>
      </w:hyperlink>
      <w:r w:rsidRPr="0053026C">
        <w:rPr>
          <w:rFonts w:asciiTheme="minorHAnsi" w:hAnsiTheme="minorHAnsi" w:cstheme="minorHAnsi"/>
          <w:sz w:val="22"/>
          <w:szCs w:val="22"/>
          <w:lang w:val="en-GB"/>
        </w:rPr>
        <w:t>.</w:t>
      </w:r>
    </w:p>
    <w:p w14:paraId="06AB208A" w14:textId="77777777" w:rsidR="00545715" w:rsidRDefault="00545715" w:rsidP="000F195F">
      <w:pPr>
        <w:rPr>
          <w:rFonts w:asciiTheme="minorHAnsi" w:hAnsiTheme="minorHAnsi" w:cstheme="minorHAnsi"/>
          <w:sz w:val="22"/>
          <w:szCs w:val="22"/>
          <w:lang w:val="en-GB"/>
        </w:rPr>
      </w:pPr>
    </w:p>
    <w:p w14:paraId="6E0BF7F1" w14:textId="77777777" w:rsidR="003F1F2F" w:rsidRDefault="008F0D6D" w:rsidP="003F1F2F">
      <w:pPr>
        <w:rPr>
          <w:rFonts w:asciiTheme="minorHAnsi" w:hAnsiTheme="minorHAnsi" w:cstheme="minorHAnsi"/>
          <w:sz w:val="22"/>
          <w:szCs w:val="22"/>
          <w:lang w:val="en-GB"/>
        </w:rPr>
      </w:pPr>
      <w:proofErr w:type="spellStart"/>
      <w:r w:rsidRPr="008F0D6D">
        <w:rPr>
          <w:rFonts w:asciiTheme="minorHAnsi" w:hAnsiTheme="minorHAnsi" w:cstheme="minorHAnsi"/>
          <w:sz w:val="22"/>
          <w:szCs w:val="22"/>
          <w:lang w:val="en-GB"/>
        </w:rPr>
        <w:t>DaSilva</w:t>
      </w:r>
      <w:proofErr w:type="spellEnd"/>
      <w:r w:rsidRPr="008F0D6D">
        <w:rPr>
          <w:rFonts w:asciiTheme="minorHAnsi" w:hAnsiTheme="minorHAnsi" w:cstheme="minorHAnsi"/>
          <w:sz w:val="22"/>
          <w:szCs w:val="22"/>
          <w:lang w:val="en-GB"/>
        </w:rPr>
        <w:t xml:space="preserve"> J., </w:t>
      </w:r>
      <w:proofErr w:type="spellStart"/>
      <w:r w:rsidRPr="008F0D6D">
        <w:rPr>
          <w:rFonts w:asciiTheme="minorHAnsi" w:hAnsiTheme="minorHAnsi" w:cstheme="minorHAnsi"/>
          <w:sz w:val="22"/>
          <w:szCs w:val="22"/>
          <w:lang w:val="en-GB"/>
        </w:rPr>
        <w:t>Garanganga</w:t>
      </w:r>
      <w:proofErr w:type="spellEnd"/>
      <w:r w:rsidRPr="008F0D6D">
        <w:rPr>
          <w:rFonts w:asciiTheme="minorHAnsi" w:hAnsiTheme="minorHAnsi" w:cstheme="minorHAnsi"/>
          <w:sz w:val="22"/>
          <w:szCs w:val="22"/>
          <w:lang w:val="en-GB"/>
        </w:rPr>
        <w:t xml:space="preserve"> B., </w:t>
      </w:r>
      <w:proofErr w:type="spellStart"/>
      <w:r w:rsidRPr="008F0D6D">
        <w:rPr>
          <w:rFonts w:asciiTheme="minorHAnsi" w:hAnsiTheme="minorHAnsi" w:cstheme="minorHAnsi"/>
          <w:sz w:val="22"/>
          <w:szCs w:val="22"/>
          <w:lang w:val="en-GB"/>
        </w:rPr>
        <w:t>Teveredzi</w:t>
      </w:r>
      <w:proofErr w:type="spellEnd"/>
      <w:r w:rsidRPr="008F0D6D">
        <w:rPr>
          <w:rFonts w:asciiTheme="minorHAnsi" w:hAnsiTheme="minorHAnsi" w:cstheme="minorHAnsi"/>
          <w:sz w:val="22"/>
          <w:szCs w:val="22"/>
          <w:lang w:val="en-GB"/>
        </w:rPr>
        <w:t xml:space="preserve"> V., Marx S., Mason S. &amp; Connor S. </w:t>
      </w:r>
      <w:r w:rsidR="003F1F2F" w:rsidRPr="00A6159B">
        <w:rPr>
          <w:rFonts w:asciiTheme="minorHAnsi" w:hAnsiTheme="minorHAnsi" w:cstheme="minorHAnsi"/>
          <w:sz w:val="22"/>
          <w:szCs w:val="22"/>
          <w:lang w:val="en-GB"/>
        </w:rPr>
        <w:t xml:space="preserve">(2004) – ‘Improving epidemic malaria planning, preparedness and response in Southern Africa’, </w:t>
      </w:r>
      <w:r w:rsidR="003F1F2F" w:rsidRPr="00A6159B">
        <w:rPr>
          <w:rFonts w:asciiTheme="minorHAnsi" w:hAnsiTheme="minorHAnsi" w:cstheme="minorHAnsi"/>
          <w:i/>
          <w:sz w:val="22"/>
          <w:szCs w:val="22"/>
          <w:lang w:val="en-GB"/>
        </w:rPr>
        <w:t>Malaria Journal</w:t>
      </w:r>
      <w:r w:rsidR="003F1F2F" w:rsidRPr="00A6159B">
        <w:rPr>
          <w:rFonts w:asciiTheme="minorHAnsi" w:hAnsiTheme="minorHAnsi" w:cstheme="minorHAnsi"/>
          <w:sz w:val="22"/>
          <w:szCs w:val="22"/>
          <w:lang w:val="en-GB"/>
        </w:rPr>
        <w:t xml:space="preserve"> 2004, 3:37</w:t>
      </w:r>
      <w:r w:rsidR="003F1F2F">
        <w:rPr>
          <w:rFonts w:asciiTheme="minorHAnsi" w:hAnsiTheme="minorHAnsi" w:cstheme="minorHAnsi"/>
          <w:sz w:val="22"/>
          <w:szCs w:val="22"/>
          <w:lang w:val="en-GB"/>
        </w:rPr>
        <w:t xml:space="preserve">. Available from: </w:t>
      </w:r>
      <w:hyperlink r:id="rId16" w:history="1">
        <w:r w:rsidR="003F1F2F" w:rsidRPr="00780C42">
          <w:rPr>
            <w:rStyle w:val="Hyperlink"/>
            <w:rFonts w:asciiTheme="minorHAnsi" w:hAnsiTheme="minorHAnsi" w:cstheme="minorHAnsi"/>
            <w:sz w:val="22"/>
            <w:szCs w:val="22"/>
            <w:lang w:val="en-GB"/>
          </w:rPr>
          <w:t>http://www.malariajournal.com</w:t>
        </w:r>
      </w:hyperlink>
      <w:r w:rsidR="003F1F2F">
        <w:rPr>
          <w:rFonts w:asciiTheme="minorHAnsi" w:hAnsiTheme="minorHAnsi" w:cstheme="minorHAnsi"/>
          <w:sz w:val="22"/>
          <w:szCs w:val="22"/>
          <w:lang w:val="en-GB"/>
        </w:rPr>
        <w:t>.</w:t>
      </w:r>
    </w:p>
    <w:p w14:paraId="5C33C006" w14:textId="77777777" w:rsidR="003F1F2F" w:rsidRDefault="003F1F2F" w:rsidP="000F195F">
      <w:pPr>
        <w:rPr>
          <w:rFonts w:asciiTheme="minorHAnsi" w:hAnsiTheme="minorHAnsi" w:cstheme="minorHAnsi"/>
          <w:sz w:val="22"/>
          <w:szCs w:val="22"/>
          <w:lang w:val="en-GB"/>
        </w:rPr>
      </w:pPr>
    </w:p>
    <w:p w14:paraId="485AA08A" w14:textId="77777777" w:rsidR="000F195F" w:rsidRDefault="000F195F" w:rsidP="000F195F">
      <w:pPr>
        <w:rPr>
          <w:rFonts w:asciiTheme="minorHAnsi" w:hAnsiTheme="minorHAnsi" w:cstheme="minorHAnsi"/>
          <w:sz w:val="22"/>
          <w:szCs w:val="22"/>
          <w:lang w:val="en-GB"/>
        </w:rPr>
      </w:pPr>
      <w:proofErr w:type="gramStart"/>
      <w:r>
        <w:rPr>
          <w:rFonts w:asciiTheme="minorHAnsi" w:hAnsiTheme="minorHAnsi" w:cstheme="minorHAnsi"/>
          <w:sz w:val="22"/>
          <w:szCs w:val="22"/>
          <w:lang w:val="en-GB"/>
        </w:rPr>
        <w:t xml:space="preserve">EC (2004) </w:t>
      </w:r>
      <w:r>
        <w:rPr>
          <w:rFonts w:asciiTheme="minorHAnsi" w:hAnsiTheme="minorHAnsi" w:cstheme="minorHAnsi"/>
          <w:i/>
          <w:sz w:val="22"/>
          <w:szCs w:val="22"/>
          <w:lang w:val="en-GB"/>
        </w:rPr>
        <w:t>Project Cycle Management Guidelines</w:t>
      </w:r>
      <w:r w:rsidRPr="00E55AFE">
        <w:rPr>
          <w:rFonts w:asciiTheme="minorHAnsi" w:hAnsiTheme="minorHAnsi" w:cstheme="minorHAnsi"/>
          <w:i/>
          <w:sz w:val="22"/>
          <w:szCs w:val="22"/>
          <w:lang w:val="en-GB"/>
        </w:rPr>
        <w:t>.</w:t>
      </w:r>
      <w:proofErr w:type="gramEnd"/>
      <w:r w:rsidRPr="00E55AFE">
        <w:rPr>
          <w:rFonts w:asciiTheme="minorHAnsi" w:hAnsiTheme="minorHAnsi" w:cstheme="minorHAnsi"/>
          <w:i/>
          <w:sz w:val="22"/>
          <w:szCs w:val="22"/>
          <w:lang w:val="en-GB"/>
        </w:rPr>
        <w:t xml:space="preserve"> </w:t>
      </w:r>
      <w:r>
        <w:rPr>
          <w:rFonts w:asciiTheme="minorHAnsi" w:hAnsiTheme="minorHAnsi" w:cstheme="minorHAnsi"/>
          <w:sz w:val="22"/>
          <w:szCs w:val="22"/>
          <w:lang w:val="en-GB"/>
        </w:rPr>
        <w:t xml:space="preserve">Aid Delivery Methods series, Volume 1. </w:t>
      </w:r>
      <w:r w:rsidRPr="00E8694E">
        <w:rPr>
          <w:rFonts w:asciiTheme="minorHAnsi" w:hAnsiTheme="minorHAnsi" w:cstheme="minorHAnsi"/>
          <w:sz w:val="22"/>
          <w:szCs w:val="22"/>
          <w:lang w:val="en-GB"/>
        </w:rPr>
        <w:t xml:space="preserve">European Commission, Brussels. </w:t>
      </w:r>
      <w:r>
        <w:rPr>
          <w:rFonts w:asciiTheme="minorHAnsi" w:hAnsiTheme="minorHAnsi" w:cstheme="minorHAnsi"/>
          <w:sz w:val="22"/>
          <w:szCs w:val="22"/>
          <w:lang w:val="en-GB"/>
        </w:rPr>
        <w:t xml:space="preserve">Available from: </w:t>
      </w:r>
    </w:p>
    <w:p w14:paraId="57CD995C" w14:textId="77777777" w:rsidR="000F195F" w:rsidRPr="00E55AFE" w:rsidRDefault="002D6399" w:rsidP="000F195F">
      <w:pPr>
        <w:rPr>
          <w:rFonts w:asciiTheme="minorHAnsi" w:hAnsiTheme="minorHAnsi" w:cstheme="minorHAnsi"/>
          <w:sz w:val="22"/>
          <w:szCs w:val="22"/>
          <w:lang w:val="en-GB"/>
        </w:rPr>
      </w:pPr>
      <w:hyperlink r:id="rId17" w:history="1">
        <w:r w:rsidR="000F195F" w:rsidRPr="00E55AFE">
          <w:rPr>
            <w:rStyle w:val="Hyperlink"/>
            <w:rFonts w:asciiTheme="minorHAnsi" w:hAnsiTheme="minorHAnsi" w:cstheme="minorHAnsi"/>
            <w:sz w:val="22"/>
            <w:szCs w:val="22"/>
            <w:lang w:val="en-GB"/>
          </w:rPr>
          <w:t>http://ec.europa.eu/europeaid/infopoint/publications/europeaid/documents/49a_adm_pcm_guidelines_2004_en.pdf</w:t>
        </w:r>
      </w:hyperlink>
      <w:r w:rsidR="000F195F" w:rsidRPr="00E55AFE">
        <w:rPr>
          <w:rFonts w:asciiTheme="minorHAnsi" w:hAnsiTheme="minorHAnsi" w:cstheme="minorHAnsi"/>
          <w:sz w:val="22"/>
          <w:szCs w:val="22"/>
          <w:lang w:val="en-GB"/>
        </w:rPr>
        <w:t>.</w:t>
      </w:r>
    </w:p>
    <w:p w14:paraId="0581465A" w14:textId="77777777" w:rsidR="008B6A1D" w:rsidRDefault="008B6A1D" w:rsidP="008B6A1D">
      <w:pPr>
        <w:rPr>
          <w:rFonts w:asciiTheme="minorHAnsi" w:hAnsiTheme="minorHAnsi" w:cstheme="minorHAnsi"/>
          <w:sz w:val="22"/>
          <w:szCs w:val="22"/>
          <w:lang w:val="en-GB"/>
        </w:rPr>
      </w:pPr>
    </w:p>
    <w:p w14:paraId="4B749BB3" w14:textId="77777777" w:rsidR="00432568" w:rsidRPr="004255A9" w:rsidRDefault="004B3401" w:rsidP="00432568">
      <w:pPr>
        <w:rPr>
          <w:rFonts w:asciiTheme="minorHAnsi" w:hAnsiTheme="minorHAnsi" w:cstheme="minorHAnsi"/>
          <w:sz w:val="22"/>
          <w:szCs w:val="22"/>
          <w:lang w:val="en-GB"/>
        </w:rPr>
      </w:pPr>
      <w:r w:rsidRPr="004255A9">
        <w:rPr>
          <w:rFonts w:asciiTheme="minorHAnsi" w:hAnsiTheme="minorHAnsi" w:cstheme="minorHAnsi"/>
          <w:sz w:val="22"/>
          <w:szCs w:val="22"/>
          <w:lang w:val="en-GB"/>
        </w:rPr>
        <w:t xml:space="preserve">EC (2007a) </w:t>
      </w:r>
      <w:r w:rsidRPr="004255A9">
        <w:rPr>
          <w:rFonts w:asciiTheme="minorHAnsi" w:hAnsiTheme="minorHAnsi" w:cstheme="minorHAnsi"/>
          <w:i/>
          <w:sz w:val="22"/>
          <w:szCs w:val="22"/>
          <w:lang w:val="en-GB"/>
        </w:rPr>
        <w:t>Support to Sector Programmes – covering the three financing modalities: Sector Budget Support, Pool Funding and EC project procedures</w:t>
      </w:r>
      <w:r w:rsidRPr="004255A9">
        <w:rPr>
          <w:rFonts w:asciiTheme="minorHAnsi" w:hAnsiTheme="minorHAnsi" w:cstheme="minorHAnsi"/>
          <w:sz w:val="22"/>
          <w:szCs w:val="22"/>
          <w:lang w:val="en-GB"/>
        </w:rPr>
        <w:t xml:space="preserve">. </w:t>
      </w:r>
      <w:proofErr w:type="gramStart"/>
      <w:r w:rsidRPr="004255A9">
        <w:rPr>
          <w:rFonts w:asciiTheme="minorHAnsi" w:hAnsiTheme="minorHAnsi" w:cstheme="minorHAnsi"/>
          <w:sz w:val="22"/>
          <w:szCs w:val="22"/>
          <w:lang w:val="en-GB"/>
        </w:rPr>
        <w:t>Tools and Methods series, Guidelines no. 2.</w:t>
      </w:r>
      <w:proofErr w:type="gramEnd"/>
      <w:r w:rsidRPr="004255A9">
        <w:rPr>
          <w:rFonts w:asciiTheme="minorHAnsi" w:hAnsiTheme="minorHAnsi" w:cstheme="minorHAnsi"/>
          <w:sz w:val="22"/>
          <w:szCs w:val="22"/>
          <w:lang w:val="en-GB"/>
        </w:rPr>
        <w:t xml:space="preserve"> European Commission, Brussels</w:t>
      </w:r>
      <w:r w:rsidR="00432568" w:rsidRPr="004255A9">
        <w:rPr>
          <w:rFonts w:asciiTheme="minorHAnsi" w:hAnsiTheme="minorHAnsi" w:cstheme="minorHAnsi"/>
          <w:sz w:val="22"/>
          <w:szCs w:val="22"/>
          <w:lang w:val="en-GB"/>
        </w:rPr>
        <w:t xml:space="preserve">. Available from: </w:t>
      </w:r>
    </w:p>
    <w:p w14:paraId="5385F3EC" w14:textId="77777777" w:rsidR="004B3401" w:rsidRPr="004255A9" w:rsidRDefault="002D6399" w:rsidP="00432568">
      <w:pPr>
        <w:rPr>
          <w:rFonts w:asciiTheme="minorHAnsi" w:hAnsiTheme="minorHAnsi" w:cstheme="minorHAnsi"/>
          <w:sz w:val="22"/>
          <w:szCs w:val="22"/>
          <w:lang w:val="en-GB"/>
        </w:rPr>
      </w:pPr>
      <w:hyperlink r:id="rId18" w:history="1">
        <w:r w:rsidR="00432568" w:rsidRPr="004255A9">
          <w:rPr>
            <w:rStyle w:val="Hyperlink"/>
            <w:rFonts w:asciiTheme="minorHAnsi" w:hAnsiTheme="minorHAnsi" w:cstheme="minorHAnsi"/>
            <w:sz w:val="22"/>
            <w:szCs w:val="22"/>
            <w:lang w:val="en-GB"/>
          </w:rPr>
          <w:t>http://ec.europa.eu/europeaid/infopoint/publications/europeaid/105a_en.htm</w:t>
        </w:r>
      </w:hyperlink>
      <w:r w:rsidR="00432568" w:rsidRPr="004255A9">
        <w:rPr>
          <w:rFonts w:asciiTheme="minorHAnsi" w:hAnsiTheme="minorHAnsi" w:cstheme="minorHAnsi"/>
          <w:sz w:val="22"/>
          <w:szCs w:val="22"/>
          <w:lang w:val="en-GB"/>
        </w:rPr>
        <w:t>.</w:t>
      </w:r>
    </w:p>
    <w:p w14:paraId="54EB9307" w14:textId="77777777" w:rsidR="00B32144" w:rsidRPr="004255A9" w:rsidRDefault="00B32144" w:rsidP="00B32144">
      <w:pPr>
        <w:rPr>
          <w:rFonts w:asciiTheme="minorHAnsi" w:hAnsiTheme="minorHAnsi" w:cstheme="minorHAnsi"/>
          <w:sz w:val="22"/>
          <w:szCs w:val="22"/>
          <w:lang w:val="en-GB"/>
        </w:rPr>
      </w:pPr>
    </w:p>
    <w:p w14:paraId="6C745BC4" w14:textId="77777777" w:rsidR="00B32144" w:rsidRPr="004255A9" w:rsidRDefault="00B32144" w:rsidP="00B32144">
      <w:pPr>
        <w:rPr>
          <w:rFonts w:asciiTheme="minorHAnsi" w:hAnsiTheme="minorHAnsi" w:cstheme="minorHAnsi"/>
          <w:sz w:val="22"/>
          <w:szCs w:val="22"/>
          <w:lang w:val="en-GB"/>
        </w:rPr>
      </w:pPr>
      <w:proofErr w:type="gramStart"/>
      <w:r w:rsidRPr="004255A9">
        <w:rPr>
          <w:rFonts w:asciiTheme="minorHAnsi" w:hAnsiTheme="minorHAnsi" w:cstheme="minorHAnsi"/>
          <w:sz w:val="22"/>
          <w:szCs w:val="22"/>
          <w:lang w:val="en-GB"/>
        </w:rPr>
        <w:t>EC (2007</w:t>
      </w:r>
      <w:r w:rsidR="004B3401" w:rsidRPr="004255A9">
        <w:rPr>
          <w:rFonts w:asciiTheme="minorHAnsi" w:hAnsiTheme="minorHAnsi" w:cstheme="minorHAnsi"/>
          <w:sz w:val="22"/>
          <w:szCs w:val="22"/>
          <w:lang w:val="en-GB"/>
        </w:rPr>
        <w:t>b</w:t>
      </w:r>
      <w:r w:rsidRPr="004255A9">
        <w:rPr>
          <w:rFonts w:asciiTheme="minorHAnsi" w:hAnsiTheme="minorHAnsi" w:cstheme="minorHAnsi"/>
          <w:sz w:val="22"/>
          <w:szCs w:val="22"/>
          <w:lang w:val="en-GB"/>
        </w:rPr>
        <w:t xml:space="preserve">) </w:t>
      </w:r>
      <w:r w:rsidRPr="004255A9">
        <w:rPr>
          <w:rFonts w:asciiTheme="minorHAnsi" w:hAnsiTheme="minorHAnsi" w:cstheme="minorHAnsi"/>
          <w:i/>
          <w:sz w:val="22"/>
          <w:szCs w:val="22"/>
          <w:lang w:val="en-GB"/>
        </w:rPr>
        <w:t>Guidelines on the Programming, Design &amp; Management of General Budget Support.</w:t>
      </w:r>
      <w:proofErr w:type="gramEnd"/>
      <w:r w:rsidRPr="004255A9">
        <w:rPr>
          <w:rFonts w:asciiTheme="minorHAnsi" w:hAnsiTheme="minorHAnsi" w:cstheme="minorHAnsi"/>
          <w:i/>
          <w:sz w:val="22"/>
          <w:szCs w:val="22"/>
          <w:lang w:val="en-GB"/>
        </w:rPr>
        <w:t xml:space="preserve"> Aid Delivery Methods series</w:t>
      </w:r>
      <w:r w:rsidRPr="004255A9">
        <w:rPr>
          <w:rFonts w:asciiTheme="minorHAnsi" w:hAnsiTheme="minorHAnsi" w:cstheme="minorHAnsi"/>
          <w:sz w:val="22"/>
          <w:szCs w:val="22"/>
          <w:lang w:val="en-GB"/>
        </w:rPr>
        <w:t>. European Commission, Brussels. Available from:</w:t>
      </w:r>
    </w:p>
    <w:p w14:paraId="46F16171" w14:textId="77777777" w:rsidR="00B32144" w:rsidRPr="004255A9" w:rsidRDefault="002D6399" w:rsidP="00B32144">
      <w:pPr>
        <w:rPr>
          <w:rFonts w:asciiTheme="minorHAnsi" w:hAnsiTheme="minorHAnsi" w:cstheme="minorHAnsi"/>
          <w:sz w:val="22"/>
          <w:szCs w:val="22"/>
          <w:lang w:val="en-GB"/>
        </w:rPr>
      </w:pPr>
      <w:hyperlink r:id="rId19" w:history="1">
        <w:r w:rsidR="00B32144" w:rsidRPr="004255A9">
          <w:rPr>
            <w:rStyle w:val="Hyperlink"/>
            <w:rFonts w:asciiTheme="minorHAnsi" w:hAnsiTheme="minorHAnsi" w:cstheme="minorHAnsi"/>
            <w:sz w:val="22"/>
            <w:szCs w:val="22"/>
            <w:lang w:val="en-GB"/>
          </w:rPr>
          <w:t>http://ec.europa.eu/europeaid/infopoint/publications/europeaid/103a_en.htm</w:t>
        </w:r>
      </w:hyperlink>
      <w:r w:rsidR="00AC314F" w:rsidRPr="004255A9">
        <w:rPr>
          <w:rFonts w:asciiTheme="minorHAnsi" w:hAnsiTheme="minorHAnsi" w:cstheme="minorHAnsi"/>
          <w:sz w:val="22"/>
          <w:szCs w:val="22"/>
          <w:lang w:val="en-GB"/>
        </w:rPr>
        <w:t>.</w:t>
      </w:r>
    </w:p>
    <w:p w14:paraId="353413FA" w14:textId="77777777" w:rsidR="00B30819" w:rsidRDefault="00B30819" w:rsidP="00B30819">
      <w:pPr>
        <w:rPr>
          <w:rFonts w:asciiTheme="minorHAnsi" w:hAnsiTheme="minorHAnsi" w:cstheme="minorHAnsi"/>
          <w:sz w:val="22"/>
          <w:szCs w:val="22"/>
          <w:lang w:val="en-GB"/>
        </w:rPr>
      </w:pPr>
    </w:p>
    <w:p w14:paraId="29EF3530" w14:textId="77777777" w:rsidR="006D789D" w:rsidRDefault="006D789D" w:rsidP="006D789D">
      <w:pPr>
        <w:autoSpaceDE w:val="0"/>
        <w:autoSpaceDN w:val="0"/>
        <w:adjustRightInd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ENDA (</w:t>
      </w:r>
      <w:proofErr w:type="spellStart"/>
      <w:r>
        <w:rPr>
          <w:rFonts w:asciiTheme="minorHAnsi" w:hAnsiTheme="minorHAnsi" w:cstheme="minorHAnsi"/>
          <w:sz w:val="22"/>
          <w:szCs w:val="22"/>
          <w:lang w:val="en-GB"/>
        </w:rPr>
        <w:t>n.d</w:t>
      </w:r>
      <w:proofErr w:type="spellEnd"/>
      <w:r>
        <w:rPr>
          <w:rFonts w:asciiTheme="minorHAnsi" w:hAnsiTheme="minorHAnsi" w:cstheme="minorHAnsi"/>
          <w:sz w:val="22"/>
          <w:szCs w:val="22"/>
          <w:lang w:val="en-GB"/>
        </w:rPr>
        <w:t xml:space="preserve">) </w:t>
      </w:r>
      <w:r w:rsidRPr="002505D9">
        <w:rPr>
          <w:rFonts w:asciiTheme="minorHAnsi" w:hAnsiTheme="minorHAnsi" w:cstheme="minorHAnsi"/>
          <w:bCs/>
          <w:i/>
          <w:sz w:val="22"/>
          <w:szCs w:val="22"/>
          <w:lang w:val="en-GB"/>
        </w:rPr>
        <w:t>Capacity strengthening in climate change vulnerability and adaptation strategy assessments</w:t>
      </w:r>
      <w:r>
        <w:rPr>
          <w:rFonts w:asciiTheme="minorHAnsi" w:hAnsiTheme="minorHAnsi" w:cstheme="minorHAnsi"/>
          <w:sz w:val="22"/>
          <w:szCs w:val="22"/>
          <w:lang w:val="en-GB"/>
        </w:rPr>
        <w:t>.</w:t>
      </w:r>
      <w:proofErr w:type="gramEnd"/>
      <w:r>
        <w:rPr>
          <w:rFonts w:asciiTheme="minorHAnsi" w:hAnsiTheme="minorHAnsi" w:cstheme="minorHAnsi"/>
          <w:sz w:val="22"/>
          <w:szCs w:val="22"/>
          <w:lang w:val="en-GB"/>
        </w:rPr>
        <w:t xml:space="preserve"> </w:t>
      </w:r>
      <w:r w:rsidRPr="006D789D">
        <w:rPr>
          <w:rFonts w:asciiTheme="minorHAnsi" w:hAnsiTheme="minorHAnsi" w:cstheme="minorHAnsi"/>
          <w:sz w:val="22"/>
          <w:szCs w:val="22"/>
          <w:lang w:val="en-GB"/>
        </w:rPr>
        <w:t>Module IV: Exercise 2: Vulnerability indicators</w:t>
      </w:r>
      <w:r>
        <w:rPr>
          <w:rFonts w:asciiTheme="minorHAnsi" w:hAnsiTheme="minorHAnsi" w:cstheme="minorHAnsi"/>
          <w:sz w:val="22"/>
          <w:szCs w:val="22"/>
          <w:lang w:val="en-GB"/>
        </w:rPr>
        <w:t xml:space="preserve">. Course materials developed in collaboration with CIAT, Stockholm Environment Institute and </w:t>
      </w:r>
      <w:proofErr w:type="spellStart"/>
      <w:r>
        <w:rPr>
          <w:rFonts w:asciiTheme="minorHAnsi" w:hAnsiTheme="minorHAnsi" w:cstheme="minorHAnsi"/>
          <w:sz w:val="22"/>
          <w:szCs w:val="22"/>
          <w:lang w:val="en-GB"/>
        </w:rPr>
        <w:t>Unitar</w:t>
      </w:r>
      <w:proofErr w:type="spellEnd"/>
      <w:r>
        <w:rPr>
          <w:rFonts w:asciiTheme="minorHAnsi" w:hAnsiTheme="minorHAnsi" w:cstheme="minorHAnsi"/>
          <w:sz w:val="22"/>
          <w:szCs w:val="22"/>
          <w:lang w:val="en-GB"/>
        </w:rPr>
        <w:t xml:space="preserve"> in the context of </w:t>
      </w:r>
      <w:proofErr w:type="spellStart"/>
      <w:r>
        <w:rPr>
          <w:rFonts w:asciiTheme="minorHAnsi" w:hAnsiTheme="minorHAnsi" w:cstheme="minorHAnsi"/>
          <w:sz w:val="22"/>
          <w:szCs w:val="22"/>
          <w:lang w:val="en-GB"/>
        </w:rPr>
        <w:t>Unitar’s</w:t>
      </w:r>
      <w:proofErr w:type="spellEnd"/>
      <w:r>
        <w:rPr>
          <w:rFonts w:asciiTheme="minorHAnsi" w:hAnsiTheme="minorHAnsi" w:cstheme="minorHAnsi"/>
          <w:sz w:val="22"/>
          <w:szCs w:val="22"/>
          <w:lang w:val="en-GB"/>
        </w:rPr>
        <w:t xml:space="preserve"> C3D initiative. [Online] Available from: </w:t>
      </w:r>
      <w:hyperlink r:id="rId20" w:history="1">
        <w:r w:rsidRPr="004D6ACF">
          <w:rPr>
            <w:rStyle w:val="Hyperlink"/>
            <w:rFonts w:asciiTheme="minorHAnsi" w:hAnsiTheme="minorHAnsi" w:cstheme="minorHAnsi"/>
            <w:sz w:val="22"/>
            <w:szCs w:val="22"/>
            <w:lang w:val="en-GB"/>
          </w:rPr>
          <w:t>http://www.c3d-unitar.org/c3d/</w:t>
        </w:r>
      </w:hyperlink>
      <w:r w:rsidRPr="006D789D">
        <w:rPr>
          <w:lang w:val="en-GB"/>
        </w:rPr>
        <w:t>.</w:t>
      </w:r>
    </w:p>
    <w:p w14:paraId="58D84455" w14:textId="77777777" w:rsidR="006D789D" w:rsidRDefault="006D789D" w:rsidP="00B30819">
      <w:pPr>
        <w:rPr>
          <w:rFonts w:asciiTheme="minorHAnsi" w:hAnsiTheme="minorHAnsi" w:cstheme="minorHAnsi"/>
          <w:sz w:val="22"/>
          <w:szCs w:val="22"/>
          <w:lang w:val="en-GB"/>
        </w:rPr>
      </w:pPr>
    </w:p>
    <w:p w14:paraId="7BC25F2C" w14:textId="77777777" w:rsidR="00B30819" w:rsidRDefault="00B30819" w:rsidP="00B30819">
      <w:pPr>
        <w:rPr>
          <w:rFonts w:asciiTheme="minorHAnsi" w:hAnsiTheme="minorHAnsi" w:cstheme="minorHAnsi"/>
          <w:sz w:val="22"/>
          <w:szCs w:val="22"/>
          <w:lang w:val="en-GB"/>
        </w:rPr>
      </w:pPr>
      <w:r>
        <w:rPr>
          <w:rFonts w:asciiTheme="minorHAnsi" w:hAnsiTheme="minorHAnsi" w:cstheme="minorHAnsi"/>
          <w:sz w:val="22"/>
          <w:szCs w:val="22"/>
          <w:lang w:val="en-GB"/>
        </w:rPr>
        <w:t xml:space="preserve">OECD (2002) </w:t>
      </w:r>
      <w:r>
        <w:rPr>
          <w:rFonts w:asciiTheme="minorHAnsi" w:hAnsiTheme="minorHAnsi" w:cstheme="minorHAnsi"/>
          <w:i/>
          <w:sz w:val="22"/>
          <w:szCs w:val="22"/>
          <w:lang w:val="en-GB"/>
        </w:rPr>
        <w:t>Glossary of Key Terms in Evaluation and Results Based Management</w:t>
      </w:r>
      <w:r>
        <w:rPr>
          <w:rFonts w:asciiTheme="minorHAnsi" w:hAnsiTheme="minorHAnsi" w:cstheme="minorHAnsi"/>
          <w:sz w:val="22"/>
          <w:szCs w:val="22"/>
          <w:lang w:val="en-GB"/>
        </w:rPr>
        <w:t xml:space="preserve">. </w:t>
      </w:r>
      <w:r w:rsidRPr="00A8343D">
        <w:rPr>
          <w:rFonts w:asciiTheme="minorHAnsi" w:hAnsiTheme="minorHAnsi" w:cstheme="minorHAnsi"/>
          <w:sz w:val="22"/>
          <w:szCs w:val="22"/>
          <w:lang w:val="en-GB"/>
        </w:rPr>
        <w:t>OE</w:t>
      </w:r>
      <w:r>
        <w:rPr>
          <w:rFonts w:asciiTheme="minorHAnsi" w:hAnsiTheme="minorHAnsi" w:cstheme="minorHAnsi"/>
          <w:sz w:val="22"/>
          <w:szCs w:val="22"/>
          <w:lang w:val="en-GB"/>
        </w:rPr>
        <w:t>CD Publishing, Paris. Available from:</w:t>
      </w:r>
    </w:p>
    <w:p w14:paraId="6ACA0335" w14:textId="77777777" w:rsidR="00B30819" w:rsidRPr="00167938" w:rsidRDefault="002D6399" w:rsidP="00B30819">
      <w:pPr>
        <w:rPr>
          <w:rFonts w:asciiTheme="minorHAnsi" w:hAnsiTheme="minorHAnsi" w:cstheme="minorHAnsi"/>
          <w:sz w:val="22"/>
          <w:szCs w:val="22"/>
          <w:lang w:val="en-GB"/>
        </w:rPr>
      </w:pPr>
      <w:hyperlink r:id="rId21" w:history="1">
        <w:r w:rsidR="00B30819" w:rsidRPr="00167938">
          <w:rPr>
            <w:rStyle w:val="Hyperlink"/>
            <w:rFonts w:asciiTheme="minorHAnsi" w:hAnsiTheme="minorHAnsi" w:cstheme="minorHAnsi"/>
            <w:sz w:val="22"/>
            <w:szCs w:val="22"/>
            <w:lang w:val="en-GB"/>
          </w:rPr>
          <w:t>http://www.oecd.org/dataoecd/29/21/2754804.pdf</w:t>
        </w:r>
      </w:hyperlink>
      <w:r w:rsidR="00B30819" w:rsidRPr="00167938">
        <w:rPr>
          <w:rFonts w:asciiTheme="minorHAnsi" w:hAnsiTheme="minorHAnsi" w:cstheme="minorHAnsi"/>
          <w:sz w:val="22"/>
          <w:szCs w:val="22"/>
          <w:lang w:val="en-GB"/>
        </w:rPr>
        <w:t>.</w:t>
      </w:r>
    </w:p>
    <w:p w14:paraId="62E9FB91" w14:textId="77777777" w:rsidR="00B30819" w:rsidRPr="0073453D" w:rsidRDefault="00B30819" w:rsidP="00B30819">
      <w:pPr>
        <w:autoSpaceDE w:val="0"/>
        <w:autoSpaceDN w:val="0"/>
        <w:adjustRightInd w:val="0"/>
        <w:rPr>
          <w:rFonts w:asciiTheme="minorHAnsi" w:hAnsiTheme="minorHAnsi" w:cstheme="minorHAnsi"/>
          <w:sz w:val="22"/>
          <w:szCs w:val="22"/>
          <w:lang w:val="en-US"/>
        </w:rPr>
      </w:pPr>
    </w:p>
    <w:p w14:paraId="4564D87F" w14:textId="77777777" w:rsidR="00B30819" w:rsidRDefault="00B30819" w:rsidP="00B30819">
      <w:pPr>
        <w:rPr>
          <w:rFonts w:asciiTheme="minorHAnsi" w:hAnsiTheme="minorHAnsi" w:cstheme="minorHAnsi"/>
          <w:sz w:val="22"/>
          <w:szCs w:val="22"/>
          <w:lang w:val="en-GB"/>
        </w:rPr>
      </w:pPr>
      <w:r>
        <w:rPr>
          <w:rFonts w:asciiTheme="minorHAnsi" w:hAnsiTheme="minorHAnsi" w:cstheme="minorHAnsi"/>
          <w:sz w:val="22"/>
          <w:szCs w:val="22"/>
          <w:lang w:val="en-GB"/>
        </w:rPr>
        <w:t>OECD (2009a</w:t>
      </w:r>
      <w:r w:rsidRPr="0053026C">
        <w:rPr>
          <w:rFonts w:asciiTheme="minorHAnsi" w:hAnsiTheme="minorHAnsi" w:cstheme="minorHAnsi"/>
          <w:sz w:val="22"/>
          <w:szCs w:val="22"/>
          <w:lang w:val="en-GB"/>
        </w:rPr>
        <w:t xml:space="preserve">) </w:t>
      </w:r>
      <w:r w:rsidRPr="00542E45">
        <w:rPr>
          <w:rFonts w:asciiTheme="minorHAnsi" w:hAnsiTheme="minorHAnsi" w:cstheme="minorHAnsi"/>
          <w:i/>
          <w:sz w:val="22"/>
          <w:szCs w:val="22"/>
          <w:lang w:val="en-GB"/>
        </w:rPr>
        <w:t>Integrating Climate Change Adaptation into Development Co-operation: Policy guidance</w:t>
      </w:r>
      <w:r w:rsidRPr="0053026C">
        <w:rPr>
          <w:rFonts w:asciiTheme="minorHAnsi" w:hAnsiTheme="minorHAnsi" w:cstheme="minorHAnsi"/>
          <w:sz w:val="22"/>
          <w:szCs w:val="22"/>
          <w:lang w:val="en-GB"/>
        </w:rPr>
        <w:t xml:space="preserve">. OECD Publishing, Paris. </w:t>
      </w:r>
      <w:r>
        <w:rPr>
          <w:rFonts w:asciiTheme="minorHAnsi" w:hAnsiTheme="minorHAnsi" w:cstheme="minorHAnsi"/>
          <w:sz w:val="22"/>
          <w:szCs w:val="22"/>
          <w:lang w:val="en-GB"/>
        </w:rPr>
        <w:t>[Read-only, browse-it edition]</w:t>
      </w:r>
      <w:r w:rsidRPr="0053026C">
        <w:rPr>
          <w:rFonts w:asciiTheme="minorHAnsi" w:hAnsiTheme="minorHAnsi" w:cstheme="minorHAnsi"/>
          <w:sz w:val="22"/>
          <w:szCs w:val="22"/>
          <w:lang w:val="en-GB"/>
        </w:rPr>
        <w:t xml:space="preserve"> </w:t>
      </w:r>
      <w:r>
        <w:rPr>
          <w:rFonts w:asciiTheme="minorHAnsi" w:hAnsiTheme="minorHAnsi" w:cstheme="minorHAnsi"/>
          <w:sz w:val="22"/>
          <w:szCs w:val="22"/>
          <w:lang w:val="en-GB"/>
        </w:rPr>
        <w:t>A</w:t>
      </w:r>
      <w:r w:rsidRPr="0053026C">
        <w:rPr>
          <w:rFonts w:asciiTheme="minorHAnsi" w:hAnsiTheme="minorHAnsi" w:cstheme="minorHAnsi"/>
          <w:sz w:val="22"/>
          <w:szCs w:val="22"/>
          <w:lang w:val="en-GB"/>
        </w:rPr>
        <w:t xml:space="preserve">vailable from: </w:t>
      </w:r>
    </w:p>
    <w:p w14:paraId="48D24C6A" w14:textId="77777777" w:rsidR="00B30819" w:rsidRPr="0053026C" w:rsidRDefault="002D6399" w:rsidP="00B30819">
      <w:pPr>
        <w:rPr>
          <w:rFonts w:asciiTheme="minorHAnsi" w:hAnsiTheme="minorHAnsi" w:cstheme="minorHAnsi"/>
          <w:i/>
          <w:sz w:val="22"/>
          <w:szCs w:val="22"/>
          <w:lang w:val="en-GB"/>
        </w:rPr>
      </w:pPr>
      <w:hyperlink r:id="rId22" w:history="1">
        <w:r w:rsidR="00B30819" w:rsidRPr="0053026C">
          <w:rPr>
            <w:rStyle w:val="Hyperlink"/>
            <w:rFonts w:asciiTheme="minorHAnsi" w:hAnsiTheme="minorHAnsi" w:cstheme="minorHAnsi"/>
            <w:sz w:val="22"/>
            <w:szCs w:val="22"/>
            <w:lang w:val="en-GB"/>
          </w:rPr>
          <w:t>http://browse.oecdbookshop.org/oecd/pdfs/browseit/4309171E.PDF</w:t>
        </w:r>
      </w:hyperlink>
      <w:r w:rsidR="00B30819" w:rsidRPr="0053026C">
        <w:rPr>
          <w:rFonts w:asciiTheme="minorHAnsi" w:hAnsiTheme="minorHAnsi" w:cstheme="minorHAnsi"/>
          <w:sz w:val="22"/>
          <w:szCs w:val="22"/>
          <w:lang w:val="en-GB"/>
        </w:rPr>
        <w:t>.</w:t>
      </w:r>
    </w:p>
    <w:p w14:paraId="46CA54E6" w14:textId="77777777" w:rsidR="00E1680C" w:rsidRDefault="00E1680C" w:rsidP="00E1680C">
      <w:pPr>
        <w:rPr>
          <w:rFonts w:asciiTheme="minorHAnsi" w:hAnsiTheme="minorHAnsi" w:cstheme="minorHAnsi"/>
          <w:sz w:val="22"/>
          <w:szCs w:val="22"/>
          <w:lang w:val="en-GB"/>
        </w:rPr>
      </w:pPr>
    </w:p>
    <w:p w14:paraId="5B27E5F4" w14:textId="77777777" w:rsidR="00E1680C" w:rsidRDefault="00E1680C" w:rsidP="00E1680C">
      <w:pPr>
        <w:rPr>
          <w:rFonts w:asciiTheme="minorHAnsi" w:hAnsiTheme="minorHAnsi" w:cstheme="minorHAnsi"/>
          <w:sz w:val="22"/>
          <w:szCs w:val="22"/>
          <w:lang w:val="en-GB"/>
        </w:rPr>
      </w:pPr>
      <w:r w:rsidRPr="00875351">
        <w:rPr>
          <w:rFonts w:asciiTheme="minorHAnsi" w:hAnsiTheme="minorHAnsi" w:cstheme="minorHAnsi"/>
          <w:sz w:val="22"/>
          <w:szCs w:val="22"/>
          <w:lang w:val="en-GB"/>
        </w:rPr>
        <w:t xml:space="preserve">Thomson </w:t>
      </w:r>
      <w:r>
        <w:rPr>
          <w:rFonts w:asciiTheme="minorHAnsi" w:hAnsiTheme="minorHAnsi" w:cstheme="minorHAnsi"/>
          <w:sz w:val="22"/>
          <w:szCs w:val="22"/>
          <w:lang w:val="en-GB"/>
        </w:rPr>
        <w:t xml:space="preserve">M., Mason S., </w:t>
      </w:r>
      <w:proofErr w:type="spellStart"/>
      <w:r>
        <w:rPr>
          <w:rFonts w:asciiTheme="minorHAnsi" w:hAnsiTheme="minorHAnsi" w:cstheme="minorHAnsi"/>
          <w:sz w:val="22"/>
          <w:szCs w:val="22"/>
          <w:lang w:val="en-GB"/>
        </w:rPr>
        <w:t>Phindela</w:t>
      </w:r>
      <w:proofErr w:type="spellEnd"/>
      <w:r>
        <w:rPr>
          <w:rFonts w:asciiTheme="minorHAnsi" w:hAnsiTheme="minorHAnsi" w:cstheme="minorHAnsi"/>
          <w:sz w:val="22"/>
          <w:szCs w:val="22"/>
          <w:lang w:val="en-GB"/>
        </w:rPr>
        <w:t xml:space="preserve"> T. &amp; Connor S. </w:t>
      </w:r>
      <w:r w:rsidRPr="00875351">
        <w:rPr>
          <w:rFonts w:ascii="Calibri" w:eastAsia="Calibri" w:hAnsi="Calibri" w:cs="Calibri"/>
          <w:sz w:val="22"/>
          <w:szCs w:val="22"/>
          <w:lang w:val="en-GB"/>
        </w:rPr>
        <w:t>(200</w:t>
      </w:r>
      <w:r>
        <w:rPr>
          <w:rFonts w:asciiTheme="minorHAnsi" w:hAnsiTheme="minorHAnsi" w:cstheme="minorHAnsi"/>
          <w:sz w:val="22"/>
          <w:szCs w:val="22"/>
          <w:lang w:val="en-GB"/>
        </w:rPr>
        <w:t>5</w:t>
      </w:r>
      <w:r w:rsidRPr="00875351">
        <w:rPr>
          <w:rFonts w:ascii="Calibri" w:eastAsia="Calibri" w:hAnsi="Calibri" w:cs="Calibri"/>
          <w:sz w:val="22"/>
          <w:szCs w:val="22"/>
          <w:lang w:val="en-GB"/>
        </w:rPr>
        <w:t xml:space="preserve">) – ‘Use of rainfall and sea surface temperature monitoring for malaria early warning in Botswana’, </w:t>
      </w:r>
      <w:r>
        <w:rPr>
          <w:rFonts w:asciiTheme="minorHAnsi" w:hAnsiTheme="minorHAnsi" w:cstheme="minorHAnsi"/>
          <w:i/>
          <w:sz w:val="22"/>
          <w:szCs w:val="22"/>
          <w:lang w:val="en-GB"/>
        </w:rPr>
        <w:t>American</w:t>
      </w:r>
      <w:r w:rsidRPr="00770F01">
        <w:rPr>
          <w:rFonts w:ascii="Calibri" w:eastAsia="Calibri" w:hAnsi="Calibri" w:cs="Calibri"/>
          <w:i/>
          <w:sz w:val="22"/>
          <w:szCs w:val="22"/>
          <w:lang w:val="en-GB"/>
        </w:rPr>
        <w:t xml:space="preserve"> J</w:t>
      </w:r>
      <w:r>
        <w:rPr>
          <w:rFonts w:asciiTheme="minorHAnsi" w:hAnsiTheme="minorHAnsi" w:cstheme="minorHAnsi"/>
          <w:i/>
          <w:sz w:val="22"/>
          <w:szCs w:val="22"/>
          <w:lang w:val="en-GB"/>
        </w:rPr>
        <w:t>ournal of</w:t>
      </w:r>
      <w:r w:rsidRPr="00770F01">
        <w:rPr>
          <w:rFonts w:ascii="Calibri" w:eastAsia="Calibri" w:hAnsi="Calibri" w:cs="Calibri"/>
          <w:i/>
          <w:sz w:val="22"/>
          <w:szCs w:val="22"/>
          <w:lang w:val="en-GB"/>
        </w:rPr>
        <w:t xml:space="preserve"> Trop</w:t>
      </w:r>
      <w:r>
        <w:rPr>
          <w:rFonts w:asciiTheme="minorHAnsi" w:hAnsiTheme="minorHAnsi" w:cstheme="minorHAnsi"/>
          <w:i/>
          <w:sz w:val="22"/>
          <w:szCs w:val="22"/>
          <w:lang w:val="en-GB"/>
        </w:rPr>
        <w:t>ical</w:t>
      </w:r>
      <w:r w:rsidRPr="00770F01">
        <w:rPr>
          <w:rFonts w:ascii="Calibri" w:eastAsia="Calibri" w:hAnsi="Calibri" w:cs="Calibri"/>
          <w:i/>
          <w:sz w:val="22"/>
          <w:szCs w:val="22"/>
          <w:lang w:val="en-GB"/>
        </w:rPr>
        <w:t xml:space="preserve"> Med</w:t>
      </w:r>
      <w:r>
        <w:rPr>
          <w:rFonts w:asciiTheme="minorHAnsi" w:hAnsiTheme="minorHAnsi" w:cstheme="minorHAnsi"/>
          <w:i/>
          <w:sz w:val="22"/>
          <w:szCs w:val="22"/>
          <w:lang w:val="en-GB"/>
        </w:rPr>
        <w:t xml:space="preserve">icine and </w:t>
      </w:r>
      <w:r w:rsidRPr="00770F01">
        <w:rPr>
          <w:rFonts w:ascii="Calibri" w:eastAsia="Calibri" w:hAnsi="Calibri" w:cs="Calibri"/>
          <w:i/>
          <w:sz w:val="22"/>
          <w:szCs w:val="22"/>
          <w:lang w:val="en-GB"/>
        </w:rPr>
        <w:t>Hyg</w:t>
      </w:r>
      <w:r>
        <w:rPr>
          <w:rFonts w:asciiTheme="minorHAnsi" w:hAnsiTheme="minorHAnsi" w:cstheme="minorHAnsi"/>
          <w:i/>
          <w:sz w:val="22"/>
          <w:szCs w:val="22"/>
          <w:lang w:val="en-GB"/>
        </w:rPr>
        <w:t>iene</w:t>
      </w:r>
      <w:r>
        <w:rPr>
          <w:rFonts w:asciiTheme="minorHAnsi" w:hAnsiTheme="minorHAnsi" w:cstheme="minorHAnsi"/>
          <w:sz w:val="22"/>
          <w:szCs w:val="22"/>
          <w:lang w:val="en-GB"/>
        </w:rPr>
        <w:t xml:space="preserve"> </w:t>
      </w:r>
      <w:r w:rsidRPr="00875351">
        <w:rPr>
          <w:rFonts w:ascii="Calibri" w:eastAsia="Calibri" w:hAnsi="Calibri" w:cs="Calibri"/>
          <w:sz w:val="22"/>
          <w:szCs w:val="22"/>
          <w:lang w:val="en-GB"/>
        </w:rPr>
        <w:t>73(1): 214-221</w:t>
      </w:r>
      <w:r>
        <w:rPr>
          <w:rFonts w:asciiTheme="minorHAnsi" w:hAnsiTheme="minorHAnsi" w:cstheme="minorHAnsi"/>
          <w:sz w:val="22"/>
          <w:szCs w:val="22"/>
          <w:lang w:val="en-GB"/>
        </w:rPr>
        <w:t xml:space="preserve">. Available from: </w:t>
      </w:r>
      <w:hyperlink r:id="rId23" w:history="1">
        <w:r w:rsidRPr="00780C42">
          <w:rPr>
            <w:rStyle w:val="Hyperlink"/>
            <w:rFonts w:asciiTheme="minorHAnsi" w:hAnsiTheme="minorHAnsi" w:cstheme="minorHAnsi"/>
            <w:sz w:val="22"/>
            <w:szCs w:val="22"/>
            <w:lang w:val="en-GB"/>
          </w:rPr>
          <w:t>http://www.ajtmh.org</w:t>
        </w:r>
      </w:hyperlink>
      <w:r>
        <w:rPr>
          <w:rFonts w:asciiTheme="minorHAnsi" w:hAnsiTheme="minorHAnsi" w:cstheme="minorHAnsi"/>
          <w:sz w:val="22"/>
          <w:szCs w:val="22"/>
          <w:lang w:val="en-GB"/>
        </w:rPr>
        <w:t>.</w:t>
      </w:r>
    </w:p>
    <w:p w14:paraId="24AD98C9" w14:textId="77777777" w:rsidR="004541A1" w:rsidRPr="004541A1" w:rsidRDefault="004541A1" w:rsidP="004541A1">
      <w:pPr>
        <w:rPr>
          <w:rFonts w:asciiTheme="minorHAnsi" w:hAnsiTheme="minorHAnsi" w:cstheme="minorHAnsi"/>
          <w:sz w:val="22"/>
          <w:szCs w:val="22"/>
          <w:lang w:val="en-GB"/>
        </w:rPr>
      </w:pPr>
    </w:p>
    <w:p w14:paraId="32CB1403" w14:textId="77777777" w:rsidR="004541A1" w:rsidRPr="004541A1" w:rsidRDefault="004541A1" w:rsidP="004541A1">
      <w:pPr>
        <w:rPr>
          <w:rFonts w:asciiTheme="minorHAnsi" w:hAnsiTheme="minorHAnsi" w:cstheme="minorHAnsi"/>
          <w:sz w:val="22"/>
          <w:szCs w:val="22"/>
          <w:lang w:val="en-GB"/>
        </w:rPr>
      </w:pPr>
      <w:r w:rsidRPr="004541A1">
        <w:rPr>
          <w:rFonts w:asciiTheme="minorHAnsi" w:hAnsiTheme="minorHAnsi" w:cstheme="minorHAnsi"/>
          <w:sz w:val="22"/>
          <w:szCs w:val="22"/>
          <w:lang w:val="en-GB"/>
        </w:rPr>
        <w:t xml:space="preserve">Thomson M., </w:t>
      </w:r>
      <w:proofErr w:type="spellStart"/>
      <w:r w:rsidRPr="004541A1">
        <w:rPr>
          <w:rFonts w:asciiTheme="minorHAnsi" w:hAnsiTheme="minorHAnsi" w:cstheme="minorHAnsi"/>
          <w:sz w:val="22"/>
          <w:szCs w:val="22"/>
          <w:lang w:val="en-GB"/>
        </w:rPr>
        <w:t>Doblas</w:t>
      </w:r>
      <w:proofErr w:type="spellEnd"/>
      <w:r w:rsidRPr="004541A1">
        <w:rPr>
          <w:rFonts w:asciiTheme="minorHAnsi" w:hAnsiTheme="minorHAnsi" w:cstheme="minorHAnsi"/>
          <w:sz w:val="22"/>
          <w:szCs w:val="22"/>
          <w:lang w:val="en-GB"/>
        </w:rPr>
        <w:t xml:space="preserve">-Reyes F., Mason S., </w:t>
      </w:r>
      <w:proofErr w:type="spellStart"/>
      <w:r w:rsidRPr="004541A1">
        <w:rPr>
          <w:rFonts w:asciiTheme="minorHAnsi" w:hAnsiTheme="minorHAnsi" w:cstheme="minorHAnsi"/>
          <w:sz w:val="22"/>
          <w:szCs w:val="22"/>
          <w:lang w:val="en-GB"/>
        </w:rPr>
        <w:t>Hagedorn</w:t>
      </w:r>
      <w:proofErr w:type="spellEnd"/>
      <w:r w:rsidRPr="004541A1">
        <w:rPr>
          <w:rFonts w:asciiTheme="minorHAnsi" w:hAnsiTheme="minorHAnsi" w:cstheme="minorHAnsi"/>
          <w:sz w:val="22"/>
          <w:szCs w:val="22"/>
          <w:lang w:val="en-GB"/>
        </w:rPr>
        <w:t xml:space="preserve"> R., Connor S., </w:t>
      </w:r>
      <w:proofErr w:type="spellStart"/>
      <w:r w:rsidRPr="004541A1">
        <w:rPr>
          <w:rFonts w:asciiTheme="minorHAnsi" w:hAnsiTheme="minorHAnsi" w:cstheme="minorHAnsi"/>
          <w:sz w:val="22"/>
          <w:szCs w:val="22"/>
          <w:lang w:val="en-GB"/>
        </w:rPr>
        <w:t>Phindela</w:t>
      </w:r>
      <w:proofErr w:type="spellEnd"/>
      <w:r w:rsidRPr="004541A1">
        <w:rPr>
          <w:rFonts w:asciiTheme="minorHAnsi" w:hAnsiTheme="minorHAnsi" w:cstheme="minorHAnsi"/>
          <w:sz w:val="22"/>
          <w:szCs w:val="22"/>
          <w:lang w:val="en-GB"/>
        </w:rPr>
        <w:t xml:space="preserve"> T., Morse A. &amp; Palmer T. (2006) – ‘Malaria early warnings based on seasonal climate forecasts from multi-model ensembles’, </w:t>
      </w:r>
      <w:r w:rsidRPr="004541A1">
        <w:rPr>
          <w:rFonts w:asciiTheme="minorHAnsi" w:hAnsiTheme="minorHAnsi" w:cstheme="minorHAnsi"/>
          <w:i/>
          <w:sz w:val="22"/>
          <w:szCs w:val="22"/>
          <w:lang w:val="en-GB"/>
        </w:rPr>
        <w:t>Nature</w:t>
      </w:r>
      <w:r w:rsidRPr="004541A1">
        <w:rPr>
          <w:rFonts w:asciiTheme="minorHAnsi" w:hAnsiTheme="minorHAnsi" w:cstheme="minorHAnsi"/>
          <w:sz w:val="22"/>
          <w:szCs w:val="22"/>
          <w:lang w:val="en-GB"/>
        </w:rPr>
        <w:t xml:space="preserve"> 439: 576-579.</w:t>
      </w:r>
    </w:p>
    <w:p w14:paraId="33CB8B63" w14:textId="77777777" w:rsidR="00E1680C" w:rsidRDefault="00E1680C" w:rsidP="00276DEA">
      <w:pPr>
        <w:rPr>
          <w:rFonts w:asciiTheme="minorHAnsi" w:hAnsiTheme="minorHAnsi" w:cstheme="minorHAnsi"/>
          <w:sz w:val="22"/>
          <w:szCs w:val="22"/>
          <w:lang w:val="en-GB"/>
        </w:rPr>
      </w:pPr>
    </w:p>
    <w:p w14:paraId="22AF15B4" w14:textId="77777777" w:rsidR="006D789D" w:rsidRDefault="006D789D" w:rsidP="006D789D">
      <w:pPr>
        <w:rPr>
          <w:rFonts w:asciiTheme="minorHAnsi" w:hAnsiTheme="minorHAnsi" w:cstheme="minorHAnsi"/>
          <w:sz w:val="22"/>
          <w:szCs w:val="22"/>
          <w:lang w:val="en-GB"/>
        </w:rPr>
      </w:pPr>
      <w:r>
        <w:rPr>
          <w:rFonts w:asciiTheme="minorHAnsi" w:hAnsiTheme="minorHAnsi" w:cstheme="minorHAnsi"/>
          <w:sz w:val="22"/>
          <w:szCs w:val="22"/>
          <w:lang w:val="en-GB"/>
        </w:rPr>
        <w:t xml:space="preserve">UNDP (2011) </w:t>
      </w:r>
      <w:r>
        <w:rPr>
          <w:rFonts w:asciiTheme="minorHAnsi" w:hAnsiTheme="minorHAnsi" w:cstheme="minorHAnsi"/>
          <w:i/>
          <w:sz w:val="22"/>
          <w:szCs w:val="22"/>
          <w:lang w:val="en-GB"/>
        </w:rPr>
        <w:t>Practitioner’s Guide: Capacity Development for Environmental Sustainability</w:t>
      </w:r>
      <w:r>
        <w:rPr>
          <w:rFonts w:asciiTheme="minorHAnsi" w:hAnsiTheme="minorHAnsi" w:cstheme="minorHAnsi"/>
          <w:sz w:val="22"/>
          <w:szCs w:val="22"/>
          <w:lang w:val="en-GB"/>
        </w:rPr>
        <w:t xml:space="preserve">. United Nations Development Programme, New York. Available from: </w:t>
      </w:r>
    </w:p>
    <w:p w14:paraId="31E071D5" w14:textId="77777777" w:rsidR="006D789D" w:rsidRPr="003309E9" w:rsidRDefault="002D6399" w:rsidP="006D789D">
      <w:pPr>
        <w:rPr>
          <w:rFonts w:asciiTheme="minorHAnsi" w:hAnsiTheme="minorHAnsi" w:cstheme="minorHAnsi"/>
          <w:sz w:val="22"/>
          <w:szCs w:val="22"/>
          <w:lang w:val="en-GB"/>
        </w:rPr>
      </w:pPr>
      <w:hyperlink r:id="rId24" w:history="1">
        <w:r w:rsidR="006D789D" w:rsidRPr="002A43CE">
          <w:rPr>
            <w:rStyle w:val="Hyperlink"/>
            <w:rFonts w:asciiTheme="minorHAnsi" w:hAnsiTheme="minorHAnsi" w:cstheme="minorHAnsi"/>
            <w:sz w:val="22"/>
            <w:szCs w:val="22"/>
            <w:lang w:val="en-GB"/>
          </w:rPr>
          <w:t>http://www.undp.org/mainstreaming/cdes.shtml</w:t>
        </w:r>
      </w:hyperlink>
      <w:r w:rsidR="006D789D">
        <w:rPr>
          <w:rFonts w:asciiTheme="minorHAnsi" w:hAnsiTheme="minorHAnsi" w:cstheme="minorHAnsi"/>
          <w:sz w:val="22"/>
          <w:szCs w:val="22"/>
          <w:lang w:val="en-GB"/>
        </w:rPr>
        <w:t>.</w:t>
      </w:r>
    </w:p>
    <w:p w14:paraId="0A7BD13F" w14:textId="77777777" w:rsidR="006D789D" w:rsidRPr="00276DEA" w:rsidRDefault="006D789D" w:rsidP="00276DEA">
      <w:pPr>
        <w:rPr>
          <w:rFonts w:asciiTheme="minorHAnsi" w:hAnsiTheme="minorHAnsi" w:cstheme="minorHAnsi"/>
          <w:sz w:val="22"/>
          <w:szCs w:val="22"/>
          <w:lang w:val="en-GB"/>
        </w:rPr>
      </w:pPr>
    </w:p>
    <w:p w14:paraId="4B1721B2" w14:textId="77777777" w:rsidR="00276DEA" w:rsidRPr="00276DEA" w:rsidRDefault="00276DEA" w:rsidP="00276DEA">
      <w:pPr>
        <w:rPr>
          <w:rFonts w:asciiTheme="minorHAnsi" w:hAnsiTheme="minorHAnsi" w:cstheme="minorHAnsi"/>
          <w:sz w:val="22"/>
          <w:szCs w:val="22"/>
          <w:lang w:val="en-GB"/>
        </w:rPr>
      </w:pPr>
      <w:r w:rsidRPr="00276DEA">
        <w:rPr>
          <w:rFonts w:asciiTheme="minorHAnsi" w:hAnsiTheme="minorHAnsi" w:cstheme="minorHAnsi"/>
          <w:sz w:val="22"/>
          <w:szCs w:val="22"/>
          <w:lang w:val="en-GB"/>
        </w:rPr>
        <w:lastRenderedPageBreak/>
        <w:t xml:space="preserve">UNDP-UNEP (2011) </w:t>
      </w:r>
      <w:r w:rsidRPr="00276DEA">
        <w:rPr>
          <w:rFonts w:asciiTheme="minorHAnsi" w:hAnsiTheme="minorHAnsi" w:cstheme="minorHAnsi"/>
          <w:i/>
          <w:iCs/>
          <w:sz w:val="22"/>
          <w:szCs w:val="22"/>
          <w:lang w:val="en-GB"/>
        </w:rPr>
        <w:t>Mainstreaming Adaptation to Climate Change into Development Planning: A Guide for Practitioners</w:t>
      </w:r>
      <w:r w:rsidRPr="00276DEA">
        <w:rPr>
          <w:rFonts w:asciiTheme="minorHAnsi" w:hAnsiTheme="minorHAnsi" w:cstheme="minorHAnsi"/>
          <w:iCs/>
          <w:sz w:val="22"/>
          <w:szCs w:val="22"/>
          <w:lang w:val="en-GB"/>
        </w:rPr>
        <w:t xml:space="preserve">. </w:t>
      </w:r>
      <w:proofErr w:type="gramStart"/>
      <w:r w:rsidRPr="00276DEA">
        <w:rPr>
          <w:rFonts w:asciiTheme="minorHAnsi" w:hAnsiTheme="minorHAnsi" w:cstheme="minorHAnsi"/>
          <w:sz w:val="22"/>
          <w:szCs w:val="22"/>
          <w:lang w:val="en-GB"/>
        </w:rPr>
        <w:t>UNDP-UNEP Poverty-Environment Initiative.</w:t>
      </w:r>
      <w:proofErr w:type="gramEnd"/>
      <w:r w:rsidRPr="00276DEA">
        <w:rPr>
          <w:rFonts w:asciiTheme="minorHAnsi" w:hAnsiTheme="minorHAnsi" w:cstheme="minorHAnsi"/>
          <w:sz w:val="22"/>
          <w:szCs w:val="22"/>
          <w:lang w:val="en-GB"/>
        </w:rPr>
        <w:t xml:space="preserve"> Available from: </w:t>
      </w:r>
    </w:p>
    <w:p w14:paraId="51749243" w14:textId="77777777" w:rsidR="00276DEA" w:rsidRPr="00276DEA" w:rsidRDefault="002D6399" w:rsidP="00276DEA">
      <w:pPr>
        <w:rPr>
          <w:rFonts w:asciiTheme="minorHAnsi" w:hAnsiTheme="minorHAnsi" w:cstheme="minorHAnsi"/>
          <w:sz w:val="22"/>
          <w:szCs w:val="22"/>
          <w:lang w:val="en-GB"/>
        </w:rPr>
      </w:pPr>
      <w:hyperlink r:id="rId25" w:history="1">
        <w:r w:rsidR="00276DEA" w:rsidRPr="00276DEA">
          <w:rPr>
            <w:rStyle w:val="Hyperlink"/>
            <w:rFonts w:asciiTheme="minorHAnsi" w:hAnsiTheme="minorHAnsi" w:cstheme="minorHAnsi"/>
            <w:sz w:val="22"/>
            <w:szCs w:val="22"/>
            <w:lang w:val="en-GB"/>
          </w:rPr>
          <w:t>http://www.unpei.org/knowledge-resources/publications.html</w:t>
        </w:r>
      </w:hyperlink>
      <w:r w:rsidR="00276DEA" w:rsidRPr="00276DEA">
        <w:rPr>
          <w:rFonts w:asciiTheme="minorHAnsi" w:hAnsiTheme="minorHAnsi" w:cstheme="minorHAnsi"/>
          <w:sz w:val="22"/>
          <w:szCs w:val="22"/>
          <w:lang w:val="en-GB"/>
        </w:rPr>
        <w:t xml:space="preserve">. </w:t>
      </w:r>
    </w:p>
    <w:p w14:paraId="001C0410" w14:textId="77777777" w:rsidR="00993BFD" w:rsidRPr="00993BFD" w:rsidRDefault="00993BFD" w:rsidP="00993BFD">
      <w:pPr>
        <w:rPr>
          <w:rFonts w:asciiTheme="minorHAnsi" w:hAnsiTheme="minorHAnsi" w:cstheme="minorHAnsi"/>
          <w:b/>
          <w:sz w:val="22"/>
          <w:szCs w:val="22"/>
          <w:lang w:val="en-GB"/>
        </w:rPr>
      </w:pPr>
    </w:p>
    <w:p w14:paraId="4DD4869E" w14:textId="77777777" w:rsidR="00993BFD" w:rsidRDefault="00993BFD" w:rsidP="00276DEA">
      <w:pPr>
        <w:rPr>
          <w:rFonts w:asciiTheme="minorHAnsi" w:hAnsiTheme="minorHAnsi" w:cstheme="minorHAnsi"/>
          <w:sz w:val="22"/>
          <w:szCs w:val="22"/>
          <w:lang w:val="en-GB"/>
        </w:rPr>
      </w:pPr>
      <w:proofErr w:type="gramStart"/>
      <w:r w:rsidRPr="00993BFD">
        <w:rPr>
          <w:rFonts w:asciiTheme="minorHAnsi" w:hAnsiTheme="minorHAnsi" w:cstheme="minorHAnsi"/>
          <w:sz w:val="22"/>
          <w:szCs w:val="22"/>
          <w:lang w:val="en-US"/>
        </w:rPr>
        <w:t>World Bank (</w:t>
      </w:r>
      <w:proofErr w:type="spellStart"/>
      <w:r w:rsidRPr="00993BFD">
        <w:rPr>
          <w:rFonts w:asciiTheme="minorHAnsi" w:hAnsiTheme="minorHAnsi" w:cstheme="minorHAnsi"/>
          <w:sz w:val="22"/>
          <w:szCs w:val="22"/>
          <w:lang w:val="en-US"/>
        </w:rPr>
        <w:t>n.d.</w:t>
      </w:r>
      <w:proofErr w:type="spellEnd"/>
      <w:r w:rsidRPr="00993BFD">
        <w:rPr>
          <w:rFonts w:asciiTheme="minorHAnsi" w:hAnsiTheme="minorHAnsi" w:cstheme="minorHAnsi"/>
          <w:sz w:val="22"/>
          <w:szCs w:val="22"/>
          <w:lang w:val="en-US"/>
        </w:rPr>
        <w:t xml:space="preserve">) </w:t>
      </w:r>
      <w:r w:rsidRPr="00993BFD">
        <w:rPr>
          <w:rFonts w:asciiTheme="minorHAnsi" w:hAnsiTheme="minorHAnsi" w:cstheme="minorHAnsi"/>
          <w:bCs/>
          <w:i/>
          <w:sz w:val="22"/>
          <w:szCs w:val="22"/>
          <w:lang w:val="en-GB"/>
        </w:rPr>
        <w:t>Mainstreaming Adaptation to Climate Change in Agriculture and Natural Resources Management Projects</w:t>
      </w:r>
      <w:r w:rsidR="006E50AB" w:rsidRPr="006E50AB">
        <w:rPr>
          <w:rFonts w:asciiTheme="minorHAnsi" w:hAnsiTheme="minorHAnsi" w:cstheme="minorHAnsi"/>
          <w:bCs/>
          <w:sz w:val="22"/>
          <w:szCs w:val="22"/>
          <w:lang w:val="en-GB"/>
        </w:rPr>
        <w:t>.</w:t>
      </w:r>
      <w:proofErr w:type="gramEnd"/>
      <w:r w:rsidRPr="006E50AB">
        <w:rPr>
          <w:rFonts w:asciiTheme="minorHAnsi" w:hAnsiTheme="minorHAnsi" w:cstheme="minorHAnsi"/>
          <w:bCs/>
          <w:sz w:val="22"/>
          <w:szCs w:val="22"/>
          <w:lang w:val="en-GB"/>
        </w:rPr>
        <w:t xml:space="preserve"> </w:t>
      </w:r>
      <w:proofErr w:type="gramStart"/>
      <w:r w:rsidRPr="006E50AB">
        <w:rPr>
          <w:rFonts w:asciiTheme="minorHAnsi" w:hAnsiTheme="minorHAnsi" w:cstheme="minorHAnsi"/>
          <w:bCs/>
          <w:sz w:val="22"/>
          <w:szCs w:val="22"/>
          <w:lang w:val="en-GB"/>
        </w:rPr>
        <w:t xml:space="preserve">Guidance Note </w:t>
      </w:r>
      <w:r w:rsidR="00804592" w:rsidRPr="006E50AB">
        <w:rPr>
          <w:rFonts w:asciiTheme="minorHAnsi" w:hAnsiTheme="minorHAnsi" w:cstheme="minorHAnsi"/>
          <w:bCs/>
          <w:sz w:val="22"/>
          <w:szCs w:val="22"/>
          <w:lang w:val="en-GB"/>
        </w:rPr>
        <w:t>#</w:t>
      </w:r>
      <w:r w:rsidRPr="006E50AB">
        <w:rPr>
          <w:rFonts w:asciiTheme="minorHAnsi" w:hAnsiTheme="minorHAnsi" w:cstheme="minorHAnsi"/>
          <w:bCs/>
          <w:sz w:val="22"/>
          <w:szCs w:val="22"/>
          <w:lang w:val="en-GB"/>
        </w:rPr>
        <w:t>8 – Monitoring and Evaluation of Adaptation Activities</w:t>
      </w:r>
      <w:r w:rsidR="001B4DA8" w:rsidRPr="006E50AB">
        <w:rPr>
          <w:rFonts w:asciiTheme="minorHAnsi" w:hAnsiTheme="minorHAnsi" w:cstheme="minorHAnsi"/>
          <w:bCs/>
          <w:sz w:val="22"/>
          <w:szCs w:val="22"/>
          <w:lang w:val="en-GB"/>
        </w:rPr>
        <w:t>.</w:t>
      </w:r>
      <w:proofErr w:type="gramEnd"/>
      <w:r w:rsidR="001B4DA8">
        <w:rPr>
          <w:rFonts w:asciiTheme="minorHAnsi" w:hAnsiTheme="minorHAnsi" w:cstheme="minorHAnsi"/>
          <w:bCs/>
          <w:sz w:val="22"/>
          <w:szCs w:val="22"/>
          <w:lang w:val="en-GB"/>
        </w:rPr>
        <w:t xml:space="preserve"> World </w:t>
      </w:r>
      <w:r w:rsidRPr="00993BFD">
        <w:rPr>
          <w:rFonts w:asciiTheme="minorHAnsi" w:hAnsiTheme="minorHAnsi" w:cstheme="minorHAnsi"/>
          <w:bCs/>
          <w:sz w:val="22"/>
          <w:szCs w:val="22"/>
          <w:lang w:val="en-GB"/>
        </w:rPr>
        <w:t xml:space="preserve">Bank, </w:t>
      </w:r>
      <w:r w:rsidRPr="00993BFD">
        <w:rPr>
          <w:rFonts w:asciiTheme="minorHAnsi" w:hAnsiTheme="minorHAnsi" w:cstheme="minorHAnsi"/>
          <w:sz w:val="22"/>
          <w:szCs w:val="22"/>
          <w:lang w:val="en-GB"/>
        </w:rPr>
        <w:t>Washington, DC. [Online]</w:t>
      </w:r>
      <w:r>
        <w:rPr>
          <w:rFonts w:asciiTheme="minorHAnsi" w:hAnsiTheme="minorHAnsi" w:cstheme="minorHAnsi"/>
          <w:sz w:val="22"/>
          <w:szCs w:val="22"/>
          <w:lang w:val="en-GB"/>
        </w:rPr>
        <w:t xml:space="preserve"> Available from</w:t>
      </w:r>
      <w:r w:rsidRPr="00993BFD">
        <w:rPr>
          <w:rFonts w:asciiTheme="minorHAnsi" w:hAnsiTheme="minorHAnsi" w:cstheme="minorHAnsi"/>
          <w:sz w:val="22"/>
          <w:szCs w:val="22"/>
          <w:lang w:val="en-GB"/>
        </w:rPr>
        <w:t>:</w:t>
      </w:r>
      <w:r>
        <w:rPr>
          <w:rFonts w:asciiTheme="minorHAnsi" w:hAnsiTheme="minorHAnsi" w:cstheme="minorHAnsi"/>
          <w:sz w:val="22"/>
          <w:szCs w:val="22"/>
          <w:lang w:val="en-GB"/>
        </w:rPr>
        <w:t xml:space="preserve"> </w:t>
      </w:r>
    </w:p>
    <w:p w14:paraId="6D3D4D10" w14:textId="77777777" w:rsidR="00993BFD" w:rsidRPr="00813767" w:rsidRDefault="002D6399" w:rsidP="00993BFD">
      <w:pPr>
        <w:rPr>
          <w:rFonts w:asciiTheme="minorHAnsi" w:hAnsiTheme="minorHAnsi" w:cstheme="minorHAnsi"/>
          <w:sz w:val="22"/>
          <w:szCs w:val="22"/>
          <w:lang w:val="en-GB"/>
        </w:rPr>
      </w:pPr>
      <w:hyperlink r:id="rId26" w:history="1">
        <w:r w:rsidR="00993BFD" w:rsidRPr="005D4F8A">
          <w:rPr>
            <w:rStyle w:val="Hyperlink"/>
            <w:rFonts w:asciiTheme="minorHAnsi" w:hAnsiTheme="minorHAnsi" w:cstheme="minorHAnsi"/>
            <w:sz w:val="22"/>
            <w:szCs w:val="22"/>
            <w:lang w:val="en-GB"/>
          </w:rPr>
          <w:t>http://climatechange.worldbank.org/climatechange/content/mainstreaming-adaptation-climate-change-agriculture-and-natural-resources-management-project</w:t>
        </w:r>
      </w:hyperlink>
      <w:r w:rsidR="00993BFD" w:rsidRPr="00813767">
        <w:rPr>
          <w:rFonts w:asciiTheme="minorHAnsi" w:hAnsiTheme="minorHAnsi" w:cstheme="minorHAnsi"/>
          <w:sz w:val="22"/>
          <w:szCs w:val="22"/>
          <w:lang w:val="en-GB"/>
        </w:rPr>
        <w:t>.</w:t>
      </w:r>
    </w:p>
    <w:p w14:paraId="63C25C17" w14:textId="77777777" w:rsidR="00C97BCB" w:rsidRDefault="00C97BCB" w:rsidP="00C0293F">
      <w:pPr>
        <w:rPr>
          <w:rFonts w:asciiTheme="minorHAnsi" w:hAnsiTheme="minorHAnsi" w:cstheme="minorHAnsi"/>
          <w:sz w:val="22"/>
          <w:szCs w:val="22"/>
          <w:lang w:val="en-GB"/>
        </w:rPr>
      </w:pPr>
    </w:p>
    <w:p w14:paraId="3253D32B" w14:textId="77777777" w:rsidR="006D789D" w:rsidRDefault="006D789D" w:rsidP="006D789D">
      <w:pPr>
        <w:rPr>
          <w:rFonts w:asciiTheme="minorHAnsi" w:hAnsiTheme="minorHAnsi" w:cstheme="minorHAnsi"/>
          <w:i/>
          <w:sz w:val="22"/>
          <w:szCs w:val="22"/>
          <w:lang w:val="en-GB"/>
        </w:rPr>
      </w:pPr>
      <w:r>
        <w:rPr>
          <w:rFonts w:asciiTheme="minorHAnsi" w:hAnsiTheme="minorHAnsi" w:cstheme="minorHAnsi"/>
          <w:sz w:val="22"/>
          <w:szCs w:val="22"/>
          <w:lang w:val="en-GB"/>
        </w:rPr>
        <w:t xml:space="preserve">World Bank (2010a) </w:t>
      </w:r>
      <w:r w:rsidRPr="00F972D8">
        <w:rPr>
          <w:rFonts w:asciiTheme="minorHAnsi" w:hAnsiTheme="minorHAnsi" w:cstheme="minorHAnsi"/>
          <w:i/>
          <w:sz w:val="22"/>
          <w:szCs w:val="22"/>
          <w:lang w:val="en-GB"/>
        </w:rPr>
        <w:t>Development and Climate Change</w:t>
      </w:r>
      <w:r>
        <w:rPr>
          <w:rFonts w:asciiTheme="minorHAnsi" w:hAnsiTheme="minorHAnsi" w:cstheme="minorHAnsi"/>
          <w:sz w:val="22"/>
          <w:szCs w:val="22"/>
          <w:lang w:val="en-GB"/>
        </w:rPr>
        <w:t xml:space="preserve">. </w:t>
      </w:r>
      <w:proofErr w:type="gramStart"/>
      <w:r>
        <w:rPr>
          <w:rFonts w:asciiTheme="minorHAnsi" w:hAnsiTheme="minorHAnsi" w:cstheme="minorHAnsi"/>
          <w:sz w:val="22"/>
          <w:szCs w:val="22"/>
          <w:lang w:val="en-GB"/>
        </w:rPr>
        <w:t>World Development Report 2010.</w:t>
      </w:r>
      <w:proofErr w:type="gramEnd"/>
      <w:r>
        <w:rPr>
          <w:rFonts w:asciiTheme="minorHAnsi" w:hAnsiTheme="minorHAnsi" w:cstheme="minorHAnsi"/>
          <w:sz w:val="22"/>
          <w:szCs w:val="22"/>
          <w:lang w:val="en-GB"/>
        </w:rPr>
        <w:t xml:space="preserve"> World Bank, Washington, DC. Available from: </w:t>
      </w:r>
      <w:hyperlink r:id="rId27" w:history="1">
        <w:r w:rsidRPr="005D4D2E">
          <w:rPr>
            <w:rStyle w:val="Hyperlink"/>
            <w:rFonts w:asciiTheme="minorHAnsi" w:hAnsiTheme="minorHAnsi" w:cstheme="minorHAnsi"/>
            <w:sz w:val="22"/>
            <w:szCs w:val="22"/>
            <w:lang w:val="en-GB"/>
          </w:rPr>
          <w:t>http://go.worldbank.org/ZXULQ9SCC0</w:t>
        </w:r>
      </w:hyperlink>
      <w:r>
        <w:rPr>
          <w:rFonts w:asciiTheme="minorHAnsi" w:hAnsiTheme="minorHAnsi" w:cstheme="minorHAnsi"/>
          <w:sz w:val="22"/>
          <w:szCs w:val="22"/>
          <w:lang w:val="en-GB"/>
        </w:rPr>
        <w:t>.</w:t>
      </w:r>
    </w:p>
    <w:p w14:paraId="54D8F947" w14:textId="77777777" w:rsidR="006D789D" w:rsidRDefault="006D789D" w:rsidP="00C0293F">
      <w:pPr>
        <w:rPr>
          <w:rFonts w:asciiTheme="minorHAnsi" w:hAnsiTheme="minorHAnsi" w:cstheme="minorHAnsi"/>
          <w:sz w:val="22"/>
          <w:szCs w:val="22"/>
          <w:lang w:val="en-GB"/>
        </w:rPr>
      </w:pPr>
    </w:p>
    <w:p w14:paraId="22DFFEC6" w14:textId="77777777" w:rsidR="00BF6E72" w:rsidRDefault="00BF6E72">
      <w:pPr>
        <w:spacing w:after="200" w:line="276" w:lineRule="auto"/>
        <w:jc w:val="left"/>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063DAD94" w14:textId="52381D60" w:rsidR="00BF6E72" w:rsidRPr="00BF6E72" w:rsidRDefault="00BF6E72" w:rsidP="00BF6E72">
      <w:pPr>
        <w:jc w:val="center"/>
        <w:rPr>
          <w:rFonts w:asciiTheme="minorHAnsi" w:hAnsiTheme="minorHAnsi" w:cstheme="minorHAnsi"/>
          <w:b/>
          <w:color w:val="17365D" w:themeColor="text2" w:themeShade="BF"/>
          <w:sz w:val="24"/>
          <w:lang w:val="en-GB"/>
        </w:rPr>
      </w:pPr>
      <w:r w:rsidRPr="00BF6E72">
        <w:rPr>
          <w:rFonts w:asciiTheme="minorHAnsi" w:hAnsiTheme="minorHAnsi" w:cstheme="minorHAnsi"/>
          <w:b/>
          <w:color w:val="17365D" w:themeColor="text2" w:themeShade="BF"/>
          <w:sz w:val="24"/>
          <w:lang w:val="en-GB"/>
        </w:rPr>
        <w:lastRenderedPageBreak/>
        <w:t>Annex 9.1 – Examples of indicators</w:t>
      </w:r>
      <w:r w:rsidR="003D5C9C">
        <w:rPr>
          <w:rFonts w:asciiTheme="minorHAnsi" w:hAnsiTheme="minorHAnsi" w:cstheme="minorHAnsi"/>
          <w:b/>
          <w:color w:val="17365D" w:themeColor="text2" w:themeShade="BF"/>
          <w:sz w:val="24"/>
          <w:lang w:val="en-GB"/>
        </w:rPr>
        <w:t xml:space="preserve"> for monitoring </w:t>
      </w:r>
      <w:r w:rsidR="00FD7B7E">
        <w:rPr>
          <w:rFonts w:asciiTheme="minorHAnsi" w:hAnsiTheme="minorHAnsi" w:cstheme="minorHAnsi"/>
          <w:b/>
          <w:color w:val="17365D" w:themeColor="text2" w:themeShade="BF"/>
          <w:sz w:val="24"/>
          <w:lang w:val="en-GB"/>
        </w:rPr>
        <w:t xml:space="preserve">environment and </w:t>
      </w:r>
      <w:r w:rsidR="003D5C9C">
        <w:rPr>
          <w:rFonts w:asciiTheme="minorHAnsi" w:hAnsiTheme="minorHAnsi" w:cstheme="minorHAnsi"/>
          <w:b/>
          <w:color w:val="17365D" w:themeColor="text2" w:themeShade="BF"/>
          <w:sz w:val="24"/>
          <w:lang w:val="en-GB"/>
        </w:rPr>
        <w:t xml:space="preserve">climate change </w:t>
      </w:r>
      <w:r w:rsidR="003D5C9C">
        <w:rPr>
          <w:rFonts w:asciiTheme="minorHAnsi" w:hAnsiTheme="minorHAnsi" w:cstheme="minorHAnsi"/>
          <w:b/>
          <w:color w:val="17365D" w:themeColor="text2" w:themeShade="BF"/>
          <w:sz w:val="24"/>
          <w:lang w:val="en-GB"/>
        </w:rPr>
        <w:br/>
        <w:t xml:space="preserve">and </w:t>
      </w:r>
      <w:r w:rsidR="00FD7B7E">
        <w:rPr>
          <w:rFonts w:asciiTheme="minorHAnsi" w:hAnsiTheme="minorHAnsi" w:cstheme="minorHAnsi"/>
          <w:b/>
          <w:color w:val="17365D" w:themeColor="text2" w:themeShade="BF"/>
          <w:sz w:val="24"/>
          <w:lang w:val="en-GB"/>
        </w:rPr>
        <w:t>their</w:t>
      </w:r>
      <w:r w:rsidR="003D5C9C">
        <w:rPr>
          <w:rFonts w:asciiTheme="minorHAnsi" w:hAnsiTheme="minorHAnsi" w:cstheme="minorHAnsi"/>
          <w:b/>
          <w:color w:val="17365D" w:themeColor="text2" w:themeShade="BF"/>
          <w:sz w:val="24"/>
          <w:lang w:val="en-GB"/>
        </w:rPr>
        <w:t xml:space="preserve"> mainstreaming</w:t>
      </w:r>
    </w:p>
    <w:p w14:paraId="0738AA5C" w14:textId="77777777" w:rsidR="00BF6E72" w:rsidRDefault="00BF6E72" w:rsidP="00C0293F">
      <w:pPr>
        <w:rPr>
          <w:rFonts w:asciiTheme="minorHAnsi" w:hAnsiTheme="minorHAnsi" w:cstheme="minorHAnsi"/>
          <w:sz w:val="22"/>
          <w:szCs w:val="22"/>
          <w:lang w:val="en-GB"/>
        </w:rPr>
      </w:pPr>
    </w:p>
    <w:p w14:paraId="23EC499D" w14:textId="77777777" w:rsidR="00BF6E72" w:rsidRPr="00BF6E72" w:rsidRDefault="00BF6E72" w:rsidP="00D7326E">
      <w:pPr>
        <w:pStyle w:val="ListParagraph"/>
        <w:numPr>
          <w:ilvl w:val="0"/>
          <w:numId w:val="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BE5F1" w:themeFill="accent1" w:themeFillTint="33"/>
        <w:spacing w:before="120"/>
        <w:ind w:left="284" w:hanging="284"/>
        <w:rPr>
          <w:rFonts w:ascii="Calibri" w:hAnsi="Calibri" w:cs="Calibri"/>
          <w:b/>
          <w:smallCaps/>
          <w:color w:val="17365D" w:themeColor="text2" w:themeShade="BF"/>
          <w:sz w:val="22"/>
          <w:szCs w:val="22"/>
          <w:lang w:val="en-GB"/>
        </w:rPr>
      </w:pPr>
      <w:r w:rsidRPr="00BF6E72">
        <w:rPr>
          <w:rFonts w:ascii="Calibri" w:hAnsi="Calibri" w:cs="Calibri"/>
          <w:b/>
          <w:smallCaps/>
          <w:color w:val="17365D" w:themeColor="text2" w:themeShade="BF"/>
          <w:sz w:val="22"/>
          <w:szCs w:val="22"/>
          <w:lang w:val="en-GB"/>
        </w:rPr>
        <w:t>Climate risk and vulnerability indicators</w:t>
      </w:r>
    </w:p>
    <w:p w14:paraId="3AD0DCBC" w14:textId="77777777" w:rsidR="00BF6E72" w:rsidRDefault="00BF6E72" w:rsidP="00BF6E72">
      <w:pPr>
        <w:rPr>
          <w:rFonts w:ascii="Calibri" w:hAnsi="Calibri" w:cs="Calibri"/>
          <w:sz w:val="22"/>
          <w:szCs w:val="22"/>
          <w:lang w:val="en-GB"/>
        </w:rPr>
      </w:pPr>
    </w:p>
    <w:p w14:paraId="79B0E3D2" w14:textId="77777777" w:rsidR="00BF6E72" w:rsidRDefault="00BF6E72" w:rsidP="00D7326E">
      <w:pPr>
        <w:pStyle w:val="ListParagraph"/>
        <w:numPr>
          <w:ilvl w:val="0"/>
          <w:numId w:val="10"/>
        </w:numPr>
        <w:ind w:left="284" w:hanging="284"/>
        <w:rPr>
          <w:rFonts w:ascii="Calibri" w:hAnsi="Calibri" w:cs="Calibri"/>
          <w:sz w:val="22"/>
          <w:szCs w:val="22"/>
          <w:lang w:val="en-GB"/>
        </w:rPr>
      </w:pPr>
      <w:r>
        <w:rPr>
          <w:rFonts w:ascii="Calibri" w:hAnsi="Calibri" w:cs="Calibri"/>
          <w:sz w:val="22"/>
          <w:szCs w:val="22"/>
          <w:lang w:val="en-GB"/>
        </w:rPr>
        <w:t>Frequency and intensity of climate-related natural disasters</w:t>
      </w:r>
    </w:p>
    <w:p w14:paraId="1220F317"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Extent of agricultural land at risk of flooding or drought</w:t>
      </w:r>
    </w:p>
    <w:p w14:paraId="151A8051"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Extent of urban areas at risk of flooding or landslides</w:t>
      </w:r>
    </w:p>
    <w:p w14:paraId="34B9576D"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Surface and proportion of key ecosystems (e.g. mangroves, coral reefs, wetlands, peatlands, forests) at risk from climate variability and change and other human pressures</w:t>
      </w:r>
    </w:p>
    <w:p w14:paraId="455BCCAF"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Proportion of population living in low-elevation coastal zones</w:t>
      </w:r>
    </w:p>
    <w:p w14:paraId="6DC8387A"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Population at risk from various types of extreme climatic events</w:t>
      </w:r>
    </w:p>
    <w:p w14:paraId="352B9788"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Infrastructure at risk from various types of extreme climatic events</w:t>
      </w:r>
    </w:p>
    <w:p w14:paraId="646115F2"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Proportion of the population living in poverty; number of poor people</w:t>
      </w:r>
    </w:p>
    <w:p w14:paraId="7B93C113"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Proportion of the population with no or insufficient access to key infrastructure (e.g. clean water, healthcare, transport services, electricity, communication services)</w:t>
      </w:r>
    </w:p>
    <w:p w14:paraId="6E62DFC6" w14:textId="77777777" w:rsidR="00BF6E72" w:rsidRDefault="00BF6E72" w:rsidP="00BF6E72">
      <w:pPr>
        <w:rPr>
          <w:rFonts w:ascii="Calibri" w:hAnsi="Calibri" w:cs="Calibri"/>
          <w:sz w:val="22"/>
          <w:szCs w:val="22"/>
          <w:lang w:val="en-GB"/>
        </w:rPr>
      </w:pPr>
    </w:p>
    <w:p w14:paraId="4AF6C163" w14:textId="16945657" w:rsidR="00DA5E70" w:rsidRPr="00BF6E72" w:rsidRDefault="00DA5E70" w:rsidP="00DA5E70">
      <w:pPr>
        <w:pStyle w:val="ListParagraph"/>
        <w:numPr>
          <w:ilvl w:val="0"/>
          <w:numId w:val="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BE5F1" w:themeFill="accent1" w:themeFillTint="33"/>
        <w:spacing w:before="120"/>
        <w:ind w:left="284" w:hanging="284"/>
        <w:rPr>
          <w:rFonts w:ascii="Calibri" w:hAnsi="Calibri" w:cs="Calibri"/>
          <w:b/>
          <w:smallCaps/>
          <w:color w:val="17365D" w:themeColor="text2" w:themeShade="BF"/>
          <w:sz w:val="22"/>
          <w:szCs w:val="22"/>
          <w:lang w:val="en-GB"/>
        </w:rPr>
      </w:pPr>
      <w:r>
        <w:rPr>
          <w:rFonts w:ascii="Calibri" w:hAnsi="Calibri" w:cs="Calibri"/>
          <w:b/>
          <w:smallCaps/>
          <w:color w:val="17365D" w:themeColor="text2" w:themeShade="BF"/>
          <w:sz w:val="22"/>
          <w:szCs w:val="22"/>
          <w:lang w:val="en-GB"/>
        </w:rPr>
        <w:t>Environment-Poverty/Development Indicators</w:t>
      </w:r>
    </w:p>
    <w:p w14:paraId="65D3227A" w14:textId="77777777" w:rsidR="00DA5E70" w:rsidRDefault="00DA5E70" w:rsidP="00BF6E72">
      <w:pPr>
        <w:rPr>
          <w:rFonts w:ascii="Calibri" w:hAnsi="Calibri" w:cs="Calibri"/>
          <w:sz w:val="22"/>
          <w:szCs w:val="22"/>
          <w:lang w:val="en-GB"/>
        </w:rPr>
      </w:pPr>
    </w:p>
    <w:p w14:paraId="6FDEA1EC" w14:textId="44F0FF1C" w:rsidR="00DA5E70" w:rsidRDefault="00FD7B7E" w:rsidP="00DA5E70">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Proportion of forested area (ha)</w:t>
      </w:r>
    </w:p>
    <w:p w14:paraId="5DF7723D" w14:textId="6C77BB39" w:rsidR="00FD7B7E" w:rsidRDefault="00FD7B7E" w:rsidP="00DA5E70">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Area under designated nature protection (ha)</w:t>
      </w:r>
    </w:p>
    <w:p w14:paraId="3C867EC6" w14:textId="3514997C" w:rsidR="00FD7B7E" w:rsidRDefault="00FD7B7E" w:rsidP="00DA5E70">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Rate of soil erosion (tonnes/ha/year)</w:t>
      </w:r>
    </w:p>
    <w:p w14:paraId="485662AE" w14:textId="2603F030" w:rsidR="00FD7B7E" w:rsidRDefault="00FD7B7E" w:rsidP="00DA5E70">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Water quality index in river system</w:t>
      </w:r>
    </w:p>
    <w:p w14:paraId="7250EF94" w14:textId="371E9FF5" w:rsidR="00FD7B7E" w:rsidRDefault="00FD7B7E" w:rsidP="00DA5E70">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Urban air quality index</w:t>
      </w:r>
    </w:p>
    <w:p w14:paraId="002218D0" w14:textId="578CCD19" w:rsidR="00FD7B7E" w:rsidRDefault="00FD7B7E" w:rsidP="00DA5E70">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Proportion of households with access to an improved water source</w:t>
      </w:r>
    </w:p>
    <w:p w14:paraId="2CEB3CEB" w14:textId="0EE62BC8" w:rsidR="00FD7B7E" w:rsidRDefault="00FD7B7E" w:rsidP="00DA5E70">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Proportion of households with access to sanitation</w:t>
      </w:r>
    </w:p>
    <w:p w14:paraId="2F2A6210" w14:textId="7DF0D229" w:rsidR="00FD7B7E" w:rsidRPr="00FD7B7E" w:rsidRDefault="00FD7B7E" w:rsidP="00FD7B7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Burden of environmental disease</w:t>
      </w:r>
    </w:p>
    <w:p w14:paraId="4564489D" w14:textId="77777777" w:rsidR="00DA5E70" w:rsidRPr="00DA5E70" w:rsidRDefault="00DA5E70" w:rsidP="00DA5E70">
      <w:pPr>
        <w:spacing w:before="60"/>
        <w:rPr>
          <w:rFonts w:ascii="Calibri" w:hAnsi="Calibri" w:cs="Calibri"/>
          <w:sz w:val="22"/>
          <w:szCs w:val="22"/>
          <w:lang w:val="en-GB"/>
        </w:rPr>
      </w:pPr>
    </w:p>
    <w:p w14:paraId="622FA218" w14:textId="77777777" w:rsidR="00BF6E72" w:rsidRPr="00BF6E72" w:rsidRDefault="00BF6E72" w:rsidP="00D7326E">
      <w:pPr>
        <w:pStyle w:val="ListParagraph"/>
        <w:numPr>
          <w:ilvl w:val="0"/>
          <w:numId w:val="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BE5F1" w:themeFill="accent1" w:themeFillTint="33"/>
        <w:spacing w:before="120"/>
        <w:ind w:left="284" w:hanging="284"/>
        <w:rPr>
          <w:rFonts w:ascii="Calibri" w:hAnsi="Calibri" w:cs="Calibri"/>
          <w:b/>
          <w:smallCaps/>
          <w:color w:val="17365D" w:themeColor="text2" w:themeShade="BF"/>
          <w:sz w:val="22"/>
          <w:szCs w:val="22"/>
          <w:lang w:val="en-GB"/>
        </w:rPr>
      </w:pPr>
      <w:r w:rsidRPr="00BF6E72">
        <w:rPr>
          <w:rFonts w:ascii="Calibri" w:hAnsi="Calibri" w:cs="Calibri"/>
          <w:b/>
          <w:smallCaps/>
          <w:color w:val="17365D" w:themeColor="text2" w:themeShade="BF"/>
          <w:sz w:val="22"/>
          <w:szCs w:val="22"/>
          <w:lang w:val="en-GB"/>
        </w:rPr>
        <w:t>Indicators for monitoring policy and institutional change</w:t>
      </w:r>
    </w:p>
    <w:p w14:paraId="586A539A" w14:textId="77777777" w:rsidR="00BF6E72" w:rsidRDefault="00BF6E72" w:rsidP="00BF6E72">
      <w:pPr>
        <w:rPr>
          <w:rFonts w:ascii="Calibri" w:hAnsi="Calibri" w:cs="Calibri"/>
          <w:sz w:val="22"/>
          <w:szCs w:val="22"/>
          <w:lang w:val="en-GB"/>
        </w:rPr>
      </w:pPr>
    </w:p>
    <w:p w14:paraId="02160F78" w14:textId="3AA0DE52"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 xml:space="preserve">Number of national and sector policies and strategies that have been reviewed and updated in the light of </w:t>
      </w:r>
      <w:r w:rsidR="00FD7B7E">
        <w:rPr>
          <w:rFonts w:ascii="Calibri" w:hAnsi="Calibri" w:cs="Calibri"/>
          <w:sz w:val="22"/>
          <w:szCs w:val="22"/>
          <w:lang w:val="en-GB"/>
        </w:rPr>
        <w:t xml:space="preserve">environmental and </w:t>
      </w:r>
      <w:r>
        <w:rPr>
          <w:rFonts w:ascii="Calibri" w:hAnsi="Calibri" w:cs="Calibri"/>
          <w:sz w:val="22"/>
          <w:szCs w:val="22"/>
          <w:lang w:val="en-GB"/>
        </w:rPr>
        <w:t xml:space="preserve">climate change </w:t>
      </w:r>
      <w:r w:rsidR="00FD7B7E">
        <w:rPr>
          <w:rFonts w:ascii="Calibri" w:hAnsi="Calibri" w:cs="Calibri"/>
          <w:sz w:val="22"/>
          <w:szCs w:val="22"/>
          <w:lang w:val="en-GB"/>
        </w:rPr>
        <w:t>(</w:t>
      </w:r>
      <w:r>
        <w:rPr>
          <w:rFonts w:ascii="Calibri" w:hAnsi="Calibri" w:cs="Calibri"/>
          <w:sz w:val="22"/>
          <w:szCs w:val="22"/>
          <w:lang w:val="en-GB"/>
        </w:rPr>
        <w:t>adaptation and mitigation</w:t>
      </w:r>
      <w:r w:rsidR="00FD7B7E">
        <w:rPr>
          <w:rFonts w:ascii="Calibri" w:hAnsi="Calibri" w:cs="Calibri"/>
          <w:sz w:val="22"/>
          <w:szCs w:val="22"/>
          <w:lang w:val="en-GB"/>
        </w:rPr>
        <w:t>)</w:t>
      </w:r>
      <w:r>
        <w:rPr>
          <w:rFonts w:ascii="Calibri" w:hAnsi="Calibri" w:cs="Calibri"/>
          <w:sz w:val="22"/>
          <w:szCs w:val="22"/>
          <w:lang w:val="en-GB"/>
        </w:rPr>
        <w:t xml:space="preserve"> considerations</w:t>
      </w:r>
    </w:p>
    <w:p w14:paraId="235C1DE0" w14:textId="1D4770D6"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R</w:t>
      </w:r>
      <w:r w:rsidRPr="005522CA">
        <w:rPr>
          <w:rFonts w:ascii="Calibri" w:hAnsi="Calibri" w:cs="Calibri"/>
          <w:sz w:val="22"/>
          <w:szCs w:val="22"/>
          <w:lang w:val="en-GB"/>
        </w:rPr>
        <w:t xml:space="preserve">esources allocated to </w:t>
      </w:r>
      <w:r w:rsidR="00FD7B7E">
        <w:rPr>
          <w:rFonts w:ascii="Calibri" w:hAnsi="Calibri" w:cs="Calibri"/>
          <w:sz w:val="22"/>
          <w:szCs w:val="22"/>
          <w:lang w:val="en-GB"/>
        </w:rPr>
        <w:t>environmental integration and/or climate change (</w:t>
      </w:r>
      <w:r w:rsidRPr="005522CA">
        <w:rPr>
          <w:rFonts w:ascii="Calibri" w:hAnsi="Calibri" w:cs="Calibri"/>
          <w:sz w:val="22"/>
          <w:szCs w:val="22"/>
          <w:lang w:val="en-GB"/>
        </w:rPr>
        <w:t xml:space="preserve">adaptation </w:t>
      </w:r>
      <w:r>
        <w:rPr>
          <w:rFonts w:ascii="Calibri" w:hAnsi="Calibri" w:cs="Calibri"/>
          <w:sz w:val="22"/>
          <w:szCs w:val="22"/>
          <w:lang w:val="en-GB"/>
        </w:rPr>
        <w:t>and/or mitigation</w:t>
      </w:r>
      <w:r w:rsidR="00FD7B7E">
        <w:rPr>
          <w:rFonts w:ascii="Calibri" w:hAnsi="Calibri" w:cs="Calibri"/>
          <w:sz w:val="22"/>
          <w:szCs w:val="22"/>
          <w:lang w:val="en-GB"/>
        </w:rPr>
        <w:t>)</w:t>
      </w:r>
      <w:r>
        <w:rPr>
          <w:rFonts w:ascii="Calibri" w:hAnsi="Calibri" w:cs="Calibri"/>
          <w:sz w:val="22"/>
          <w:szCs w:val="22"/>
          <w:lang w:val="en-GB"/>
        </w:rPr>
        <w:t xml:space="preserve"> </w:t>
      </w:r>
      <w:r w:rsidRPr="005522CA">
        <w:rPr>
          <w:rFonts w:ascii="Calibri" w:hAnsi="Calibri" w:cs="Calibri"/>
          <w:sz w:val="22"/>
          <w:szCs w:val="22"/>
          <w:lang w:val="en-GB"/>
        </w:rPr>
        <w:t>measures in the national budget</w:t>
      </w:r>
    </w:p>
    <w:p w14:paraId="1FF2E575" w14:textId="58C083FA" w:rsidR="00BF6E72" w:rsidRPr="00441E9C" w:rsidRDefault="00BF6E72" w:rsidP="00D7326E">
      <w:pPr>
        <w:pStyle w:val="ListParagraph"/>
        <w:numPr>
          <w:ilvl w:val="0"/>
          <w:numId w:val="11"/>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Number of government and non-governmental organisations with d</w:t>
      </w:r>
      <w:r w:rsidRPr="00441E9C">
        <w:rPr>
          <w:rFonts w:ascii="Calibri" w:hAnsi="Calibri" w:cs="Calibri"/>
          <w:sz w:val="22"/>
          <w:szCs w:val="22"/>
          <w:lang w:val="en-GB"/>
        </w:rPr>
        <w:t>efined mandates, structures</w:t>
      </w:r>
      <w:r>
        <w:rPr>
          <w:rFonts w:ascii="Calibri" w:hAnsi="Calibri" w:cs="Calibri"/>
          <w:sz w:val="22"/>
          <w:szCs w:val="22"/>
          <w:lang w:val="en-GB"/>
        </w:rPr>
        <w:t>,</w:t>
      </w:r>
      <w:r w:rsidRPr="00441E9C">
        <w:rPr>
          <w:rFonts w:ascii="Calibri" w:hAnsi="Calibri" w:cs="Calibri"/>
          <w:sz w:val="22"/>
          <w:szCs w:val="22"/>
          <w:lang w:val="en-GB"/>
        </w:rPr>
        <w:t xml:space="preserve"> functions</w:t>
      </w:r>
      <w:r>
        <w:rPr>
          <w:rFonts w:ascii="Calibri" w:hAnsi="Calibri" w:cs="Calibri"/>
          <w:sz w:val="22"/>
          <w:szCs w:val="22"/>
          <w:lang w:val="en-GB"/>
        </w:rPr>
        <w:t xml:space="preserve"> and procedures in place to support the mainstreaming of </w:t>
      </w:r>
      <w:r w:rsidR="00FD7B7E">
        <w:rPr>
          <w:rFonts w:ascii="Calibri" w:hAnsi="Calibri" w:cs="Calibri"/>
          <w:sz w:val="22"/>
          <w:szCs w:val="22"/>
          <w:lang w:val="en-GB"/>
        </w:rPr>
        <w:t xml:space="preserve">environment and/or </w:t>
      </w:r>
      <w:r w:rsidRPr="00441E9C">
        <w:rPr>
          <w:rFonts w:ascii="Calibri" w:hAnsi="Calibri" w:cs="Calibri"/>
          <w:sz w:val="22"/>
          <w:szCs w:val="22"/>
          <w:lang w:val="en-GB"/>
        </w:rPr>
        <w:t xml:space="preserve">climate change </w:t>
      </w:r>
      <w:r>
        <w:rPr>
          <w:rFonts w:ascii="Calibri" w:hAnsi="Calibri" w:cs="Calibri"/>
          <w:sz w:val="22"/>
          <w:szCs w:val="22"/>
          <w:lang w:val="en-GB"/>
        </w:rPr>
        <w:t>in their work</w:t>
      </w:r>
    </w:p>
    <w:p w14:paraId="44598422" w14:textId="3464FDCA"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Number of people/Proportion of</w:t>
      </w:r>
      <w:r w:rsidRPr="006E2C34">
        <w:rPr>
          <w:rFonts w:ascii="Calibri" w:hAnsi="Calibri" w:cs="Calibri"/>
          <w:bCs/>
          <w:sz w:val="22"/>
          <w:szCs w:val="22"/>
          <w:lang w:val="en-GB"/>
        </w:rPr>
        <w:t xml:space="preserve"> staff </w:t>
      </w:r>
      <w:r w:rsidRPr="005B57E9">
        <w:rPr>
          <w:rFonts w:ascii="Calibri" w:hAnsi="Calibri" w:cs="Calibri"/>
          <w:bCs/>
          <w:sz w:val="22"/>
          <w:szCs w:val="22"/>
          <w:lang w:val="en-GB"/>
        </w:rPr>
        <w:t>trained in</w:t>
      </w:r>
      <w:r>
        <w:rPr>
          <w:rFonts w:ascii="Calibri" w:hAnsi="Calibri" w:cs="Calibri"/>
          <w:bCs/>
          <w:sz w:val="22"/>
          <w:szCs w:val="22"/>
          <w:lang w:val="en-GB"/>
        </w:rPr>
        <w:t xml:space="preserve"> generic or specific competences required </w:t>
      </w:r>
      <w:r w:rsidRPr="005B57E9">
        <w:rPr>
          <w:rFonts w:ascii="Calibri" w:hAnsi="Calibri" w:cs="Calibri"/>
          <w:sz w:val="22"/>
          <w:szCs w:val="22"/>
          <w:lang w:val="en-GB"/>
        </w:rPr>
        <w:t xml:space="preserve">to </w:t>
      </w:r>
      <w:r>
        <w:rPr>
          <w:rFonts w:ascii="Calibri" w:hAnsi="Calibri" w:cs="Calibri"/>
          <w:sz w:val="22"/>
          <w:szCs w:val="22"/>
          <w:lang w:val="en-GB"/>
        </w:rPr>
        <w:t>mainstream</w:t>
      </w:r>
      <w:r w:rsidRPr="006E2C34">
        <w:rPr>
          <w:rFonts w:ascii="Calibri" w:hAnsi="Calibri" w:cs="Calibri"/>
          <w:sz w:val="22"/>
          <w:szCs w:val="22"/>
          <w:lang w:val="en-GB"/>
        </w:rPr>
        <w:t xml:space="preserve"> </w:t>
      </w:r>
      <w:r w:rsidR="00FD7B7E">
        <w:rPr>
          <w:rFonts w:ascii="Calibri" w:hAnsi="Calibri" w:cs="Calibri"/>
          <w:sz w:val="22"/>
          <w:szCs w:val="22"/>
          <w:lang w:val="en-GB"/>
        </w:rPr>
        <w:t xml:space="preserve">environment and/or </w:t>
      </w:r>
      <w:r w:rsidRPr="006E2C34">
        <w:rPr>
          <w:rFonts w:ascii="Calibri" w:hAnsi="Calibri" w:cs="Calibri"/>
          <w:sz w:val="22"/>
          <w:szCs w:val="22"/>
          <w:lang w:val="en-GB"/>
        </w:rPr>
        <w:t xml:space="preserve">climate change </w:t>
      </w:r>
      <w:r w:rsidR="00FD7B7E">
        <w:rPr>
          <w:rFonts w:ascii="Calibri" w:hAnsi="Calibri" w:cs="Calibri"/>
          <w:sz w:val="22"/>
          <w:szCs w:val="22"/>
          <w:lang w:val="en-GB"/>
        </w:rPr>
        <w:t>(</w:t>
      </w:r>
      <w:r>
        <w:rPr>
          <w:rFonts w:ascii="Calibri" w:hAnsi="Calibri" w:cs="Calibri"/>
          <w:sz w:val="22"/>
          <w:szCs w:val="22"/>
          <w:lang w:val="en-GB"/>
        </w:rPr>
        <w:t>adaptation and/or mitigation</w:t>
      </w:r>
      <w:r w:rsidR="00FD7B7E">
        <w:rPr>
          <w:rFonts w:ascii="Calibri" w:hAnsi="Calibri" w:cs="Calibri"/>
          <w:sz w:val="22"/>
          <w:szCs w:val="22"/>
          <w:lang w:val="en-GB"/>
        </w:rPr>
        <w:t>)</w:t>
      </w:r>
      <w:r>
        <w:rPr>
          <w:rFonts w:ascii="Calibri" w:hAnsi="Calibri" w:cs="Calibri"/>
          <w:sz w:val="22"/>
          <w:szCs w:val="22"/>
          <w:lang w:val="en-GB"/>
        </w:rPr>
        <w:t xml:space="preserve"> in</w:t>
      </w:r>
      <w:r w:rsidRPr="006E2C34">
        <w:rPr>
          <w:rFonts w:ascii="Calibri" w:hAnsi="Calibri" w:cs="Calibri"/>
          <w:sz w:val="22"/>
          <w:szCs w:val="22"/>
          <w:lang w:val="en-GB"/>
        </w:rPr>
        <w:t xml:space="preserve"> their work </w:t>
      </w:r>
    </w:p>
    <w:p w14:paraId="392EE2E5"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 xml:space="preserve">Number of monitoring </w:t>
      </w:r>
      <w:r w:rsidRPr="00CD7717">
        <w:rPr>
          <w:rFonts w:ascii="Calibri" w:hAnsi="Calibri" w:cs="Calibri"/>
          <w:sz w:val="22"/>
          <w:szCs w:val="22"/>
          <w:lang w:val="en-GB"/>
        </w:rPr>
        <w:t xml:space="preserve">systems </w:t>
      </w:r>
      <w:r>
        <w:rPr>
          <w:rFonts w:ascii="Calibri" w:hAnsi="Calibri" w:cs="Calibri"/>
          <w:sz w:val="22"/>
          <w:szCs w:val="22"/>
          <w:lang w:val="en-GB"/>
        </w:rPr>
        <w:t>upgraded</w:t>
      </w:r>
      <w:r w:rsidRPr="00CD7717">
        <w:rPr>
          <w:rFonts w:ascii="Calibri" w:hAnsi="Calibri" w:cs="Calibri"/>
          <w:sz w:val="22"/>
          <w:szCs w:val="22"/>
          <w:lang w:val="en-GB"/>
        </w:rPr>
        <w:t xml:space="preserve"> to track climate trends</w:t>
      </w:r>
      <w:r>
        <w:rPr>
          <w:rFonts w:ascii="Calibri" w:hAnsi="Calibri" w:cs="Calibri"/>
          <w:sz w:val="22"/>
          <w:szCs w:val="22"/>
          <w:lang w:val="en-GB"/>
        </w:rPr>
        <w:t>, climate-related risks and vulnerabilities,</w:t>
      </w:r>
      <w:r w:rsidRPr="00CD7717">
        <w:rPr>
          <w:rFonts w:ascii="Calibri" w:hAnsi="Calibri" w:cs="Calibri"/>
          <w:sz w:val="22"/>
          <w:szCs w:val="22"/>
          <w:lang w:val="en-GB"/>
        </w:rPr>
        <w:t xml:space="preserve"> and the </w:t>
      </w:r>
      <w:r>
        <w:rPr>
          <w:rFonts w:ascii="Calibri" w:hAnsi="Calibri" w:cs="Calibri"/>
          <w:sz w:val="22"/>
          <w:szCs w:val="22"/>
          <w:lang w:val="en-GB"/>
        </w:rPr>
        <w:t>implementation and outcomes of adaptation and mitigation responses</w:t>
      </w:r>
    </w:p>
    <w:p w14:paraId="216904DA" w14:textId="54EBEA33" w:rsidR="00FD7B7E" w:rsidRDefault="00FD7B7E"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Number of monitoring systems upgraded to track trends in environmental parameters significantly linked to poverty/development</w:t>
      </w:r>
    </w:p>
    <w:p w14:paraId="56C33D29" w14:textId="6A37D396"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Timeliness and quality of periodic repor</w:t>
      </w:r>
      <w:r w:rsidR="00FD7B7E">
        <w:rPr>
          <w:rFonts w:ascii="Calibri" w:hAnsi="Calibri" w:cs="Calibri"/>
          <w:sz w:val="22"/>
          <w:szCs w:val="22"/>
          <w:lang w:val="en-GB"/>
        </w:rPr>
        <w:t>ts prepared by the national body</w:t>
      </w:r>
      <w:r>
        <w:rPr>
          <w:rFonts w:ascii="Calibri" w:hAnsi="Calibri" w:cs="Calibri"/>
          <w:sz w:val="22"/>
          <w:szCs w:val="22"/>
          <w:lang w:val="en-GB"/>
        </w:rPr>
        <w:t xml:space="preserve"> in charge of coordinating the response to climate change</w:t>
      </w:r>
    </w:p>
    <w:p w14:paraId="7ABD18B3" w14:textId="6DB34E84" w:rsidR="00FD7B7E" w:rsidRPr="006E2C34" w:rsidRDefault="00FD7B7E"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lastRenderedPageBreak/>
        <w:t>Timeliness and quality of periodic reports prepared by the national body in cargo of coordinating environmental mainstreaming</w:t>
      </w:r>
    </w:p>
    <w:p w14:paraId="1B0E4329" w14:textId="054D560D"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Regularity of, and participation rate in, national coordination meetings convened by the body</w:t>
      </w:r>
      <w:r w:rsidR="00FD7B7E">
        <w:rPr>
          <w:rFonts w:ascii="Calibri" w:hAnsi="Calibri" w:cs="Calibri"/>
          <w:sz w:val="22"/>
          <w:szCs w:val="22"/>
          <w:lang w:val="en-GB"/>
        </w:rPr>
        <w:t>(</w:t>
      </w:r>
      <w:proofErr w:type="spellStart"/>
      <w:r w:rsidR="00FD7B7E">
        <w:rPr>
          <w:rFonts w:ascii="Calibri" w:hAnsi="Calibri" w:cs="Calibri"/>
          <w:sz w:val="22"/>
          <w:szCs w:val="22"/>
          <w:lang w:val="en-GB"/>
        </w:rPr>
        <w:t>ies</w:t>
      </w:r>
      <w:proofErr w:type="spellEnd"/>
      <w:r w:rsidR="00FD7B7E">
        <w:rPr>
          <w:rFonts w:ascii="Calibri" w:hAnsi="Calibri" w:cs="Calibri"/>
          <w:sz w:val="22"/>
          <w:szCs w:val="22"/>
          <w:lang w:val="en-GB"/>
        </w:rPr>
        <w:t>)</w:t>
      </w:r>
      <w:r>
        <w:rPr>
          <w:rFonts w:ascii="Calibri" w:hAnsi="Calibri" w:cs="Calibri"/>
          <w:sz w:val="22"/>
          <w:szCs w:val="22"/>
          <w:lang w:val="en-GB"/>
        </w:rPr>
        <w:t xml:space="preserve"> in charge of coordinating the national response to climate change</w:t>
      </w:r>
      <w:r w:rsidR="00FD7B7E">
        <w:rPr>
          <w:rFonts w:ascii="Calibri" w:hAnsi="Calibri" w:cs="Calibri"/>
          <w:sz w:val="22"/>
          <w:szCs w:val="22"/>
          <w:lang w:val="en-GB"/>
        </w:rPr>
        <w:t xml:space="preserve"> / environmental mainstreaming</w:t>
      </w:r>
    </w:p>
    <w:p w14:paraId="0D3339A4" w14:textId="4B8A25B4"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Rate of implementation of planned stakeholder consultations on climate-</w:t>
      </w:r>
      <w:r w:rsidR="00FD7B7E">
        <w:rPr>
          <w:rFonts w:ascii="Calibri" w:hAnsi="Calibri" w:cs="Calibri"/>
          <w:sz w:val="22"/>
          <w:szCs w:val="22"/>
          <w:lang w:val="en-GB"/>
        </w:rPr>
        <w:t xml:space="preserve"> and environment-</w:t>
      </w:r>
      <w:r>
        <w:rPr>
          <w:rFonts w:ascii="Calibri" w:hAnsi="Calibri" w:cs="Calibri"/>
          <w:sz w:val="22"/>
          <w:szCs w:val="22"/>
          <w:lang w:val="en-GB"/>
        </w:rPr>
        <w:t>related issues</w:t>
      </w:r>
    </w:p>
    <w:p w14:paraId="0136EF78" w14:textId="0DD559F4"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Proportion of surveyed ‘key informants’ who declare tangible progress is being achieved in the policy and institutional setup for mainstreaming climate change</w:t>
      </w:r>
      <w:r>
        <w:rPr>
          <w:rStyle w:val="FootnoteReference"/>
          <w:rFonts w:ascii="Calibri" w:hAnsi="Calibri"/>
          <w:sz w:val="22"/>
          <w:szCs w:val="22"/>
          <w:lang w:val="en-GB"/>
        </w:rPr>
        <w:footnoteReference w:id="3"/>
      </w:r>
      <w:r w:rsidR="00FD7B7E">
        <w:rPr>
          <w:rFonts w:ascii="Calibri" w:hAnsi="Calibri" w:cs="Calibri"/>
          <w:sz w:val="22"/>
          <w:szCs w:val="22"/>
          <w:lang w:val="en-GB"/>
        </w:rPr>
        <w:t xml:space="preserve"> and/or environmental mainstreaming</w:t>
      </w:r>
    </w:p>
    <w:p w14:paraId="338D8C7C" w14:textId="77777777" w:rsidR="00BF6E72" w:rsidRDefault="00BF6E72" w:rsidP="00BF6E72">
      <w:pPr>
        <w:rPr>
          <w:rFonts w:ascii="Calibri" w:hAnsi="Calibri" w:cs="Calibri"/>
          <w:sz w:val="22"/>
          <w:szCs w:val="22"/>
          <w:lang w:val="en-GB"/>
        </w:rPr>
      </w:pPr>
    </w:p>
    <w:p w14:paraId="58534C3C" w14:textId="77777777" w:rsidR="00BF6E72" w:rsidRPr="00BF6E72" w:rsidRDefault="00BF6E72" w:rsidP="00D7326E">
      <w:pPr>
        <w:pStyle w:val="ListParagraph"/>
        <w:numPr>
          <w:ilvl w:val="0"/>
          <w:numId w:val="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BE5F1" w:themeFill="accent1" w:themeFillTint="33"/>
        <w:spacing w:before="120"/>
        <w:ind w:left="284" w:hanging="284"/>
        <w:rPr>
          <w:rFonts w:ascii="Calibri" w:hAnsi="Calibri" w:cs="Calibri"/>
          <w:b/>
          <w:smallCaps/>
          <w:color w:val="17365D" w:themeColor="text2" w:themeShade="BF"/>
          <w:sz w:val="22"/>
          <w:szCs w:val="22"/>
          <w:lang w:val="en-GB"/>
        </w:rPr>
      </w:pPr>
      <w:r w:rsidRPr="00BF6E72">
        <w:rPr>
          <w:rFonts w:ascii="Calibri" w:hAnsi="Calibri" w:cs="Calibri"/>
          <w:b/>
          <w:smallCaps/>
          <w:color w:val="17365D" w:themeColor="text2" w:themeShade="BF"/>
          <w:sz w:val="22"/>
          <w:szCs w:val="22"/>
          <w:lang w:val="en-GB"/>
        </w:rPr>
        <w:t>Indicators for monitoring policy implementation</w:t>
      </w:r>
    </w:p>
    <w:p w14:paraId="0EA08150" w14:textId="77777777" w:rsidR="00BF6E72" w:rsidRDefault="00BF6E72" w:rsidP="00BF6E72">
      <w:pPr>
        <w:rPr>
          <w:rFonts w:ascii="Calibri" w:hAnsi="Calibri" w:cs="Calibri"/>
          <w:sz w:val="22"/>
          <w:szCs w:val="22"/>
          <w:lang w:val="en-GB"/>
        </w:rPr>
      </w:pPr>
    </w:p>
    <w:p w14:paraId="3E8D9E3F"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N</w:t>
      </w:r>
      <w:r w:rsidRPr="00872E98">
        <w:rPr>
          <w:rFonts w:ascii="Calibri" w:hAnsi="Calibri" w:cs="Calibri"/>
          <w:sz w:val="22"/>
          <w:szCs w:val="22"/>
          <w:lang w:val="en-GB"/>
        </w:rPr>
        <w:t xml:space="preserve">umber of </w:t>
      </w:r>
      <w:r>
        <w:rPr>
          <w:rFonts w:ascii="Calibri" w:hAnsi="Calibri" w:cs="Calibri"/>
          <w:sz w:val="22"/>
          <w:szCs w:val="22"/>
          <w:lang w:val="en-GB"/>
        </w:rPr>
        <w:t>ongoing and completed activities under the national development/poverty reduction strategy that are linked to the mainstreaming of climate change</w:t>
      </w:r>
    </w:p>
    <w:p w14:paraId="59FCBBF7"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Proportion of climate-related priority actions identified in national or sector action plans that are or have been implemented</w:t>
      </w:r>
    </w:p>
    <w:p w14:paraId="4FC3CDD8" w14:textId="5D502571"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 xml:space="preserve">Number of </w:t>
      </w:r>
      <w:r w:rsidR="00F416E7">
        <w:rPr>
          <w:rFonts w:ascii="Calibri" w:hAnsi="Calibri" w:cs="Calibri"/>
          <w:sz w:val="22"/>
          <w:szCs w:val="22"/>
          <w:lang w:val="en-GB"/>
        </w:rPr>
        <w:t xml:space="preserve">environment- and/or </w:t>
      </w:r>
      <w:r>
        <w:rPr>
          <w:rFonts w:ascii="Calibri" w:hAnsi="Calibri" w:cs="Calibri"/>
          <w:sz w:val="22"/>
          <w:szCs w:val="22"/>
          <w:lang w:val="en-GB"/>
        </w:rPr>
        <w:t>climate-related pilot projects implemented and evaluated for the purpose of drawing lessons and defining best practices</w:t>
      </w:r>
    </w:p>
    <w:p w14:paraId="25BCAC84" w14:textId="66B93D8F"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 xml:space="preserve">Number of ongoing and completed research projects with a focus on </w:t>
      </w:r>
      <w:r w:rsidR="00F416E7">
        <w:rPr>
          <w:rFonts w:ascii="Calibri" w:hAnsi="Calibri" w:cs="Calibri"/>
          <w:sz w:val="22"/>
          <w:szCs w:val="22"/>
          <w:lang w:val="en-GB"/>
        </w:rPr>
        <w:t xml:space="preserve">environmental integration and/or </w:t>
      </w:r>
      <w:r>
        <w:rPr>
          <w:rFonts w:ascii="Calibri" w:hAnsi="Calibri" w:cs="Calibri"/>
          <w:sz w:val="22"/>
          <w:szCs w:val="22"/>
          <w:lang w:val="en-GB"/>
        </w:rPr>
        <w:t>climate change adaptation and/or mitigation</w:t>
      </w:r>
    </w:p>
    <w:p w14:paraId="5232FDA6" w14:textId="158CD724"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Proportion of capital expenditure projects submitted for public financing for which climate risk screening</w:t>
      </w:r>
      <w:r w:rsidR="00F416E7">
        <w:rPr>
          <w:rFonts w:ascii="Calibri" w:hAnsi="Calibri" w:cs="Calibri"/>
          <w:sz w:val="22"/>
          <w:szCs w:val="22"/>
          <w:lang w:val="en-GB"/>
        </w:rPr>
        <w:t xml:space="preserve"> / strategic environmental assessment screening</w:t>
      </w:r>
      <w:r>
        <w:rPr>
          <w:rFonts w:ascii="Calibri" w:hAnsi="Calibri" w:cs="Calibri"/>
          <w:sz w:val="22"/>
          <w:szCs w:val="22"/>
          <w:lang w:val="en-GB"/>
        </w:rPr>
        <w:t xml:space="preserve"> was undertaken</w:t>
      </w:r>
    </w:p>
    <w:p w14:paraId="09399DE7" w14:textId="572646BC"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 xml:space="preserve">Number of regulations adopted to support </w:t>
      </w:r>
      <w:r w:rsidR="00F416E7">
        <w:rPr>
          <w:rFonts w:ascii="Calibri" w:hAnsi="Calibri" w:cs="Calibri"/>
          <w:sz w:val="22"/>
          <w:szCs w:val="22"/>
          <w:lang w:val="en-GB"/>
        </w:rPr>
        <w:t xml:space="preserve">environmental integration and/or climate change </w:t>
      </w:r>
      <w:r>
        <w:rPr>
          <w:rFonts w:ascii="Calibri" w:hAnsi="Calibri" w:cs="Calibri"/>
          <w:sz w:val="22"/>
          <w:szCs w:val="22"/>
          <w:lang w:val="en-GB"/>
        </w:rPr>
        <w:t>adaptation (e.g. zoning codes, building codes)</w:t>
      </w:r>
    </w:p>
    <w:p w14:paraId="026B5D2C"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Number/Proportion of local development plans based on climate-proofed territorial planning</w:t>
      </w:r>
    </w:p>
    <w:p w14:paraId="6BE20193" w14:textId="548D615B" w:rsidR="00BF6E72" w:rsidRPr="003125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sidRPr="00312572">
        <w:rPr>
          <w:rFonts w:ascii="Calibri" w:hAnsi="Calibri" w:cs="Calibri"/>
          <w:sz w:val="22"/>
          <w:szCs w:val="22"/>
          <w:lang w:val="en-GB"/>
        </w:rPr>
        <w:t>Number</w:t>
      </w:r>
      <w:r>
        <w:rPr>
          <w:rFonts w:ascii="Calibri" w:hAnsi="Calibri" w:cs="Calibri"/>
          <w:sz w:val="22"/>
          <w:szCs w:val="22"/>
          <w:lang w:val="en-GB"/>
        </w:rPr>
        <w:t>/Proportion</w:t>
      </w:r>
      <w:r w:rsidRPr="00312572">
        <w:rPr>
          <w:rFonts w:ascii="Calibri" w:hAnsi="Calibri" w:cs="Calibri"/>
          <w:sz w:val="22"/>
          <w:szCs w:val="22"/>
          <w:lang w:val="en-GB"/>
        </w:rPr>
        <w:t xml:space="preserve"> of farmers trained in climate change adaptation</w:t>
      </w:r>
      <w:r w:rsidR="00F416E7">
        <w:rPr>
          <w:rFonts w:ascii="Calibri" w:hAnsi="Calibri" w:cs="Calibri"/>
          <w:sz w:val="22"/>
          <w:szCs w:val="22"/>
          <w:lang w:val="en-GB"/>
        </w:rPr>
        <w:t>,</w:t>
      </w:r>
      <w:r w:rsidRPr="00312572">
        <w:rPr>
          <w:rFonts w:ascii="Calibri" w:hAnsi="Calibri" w:cs="Calibri"/>
          <w:sz w:val="22"/>
          <w:szCs w:val="22"/>
          <w:lang w:val="en-GB"/>
        </w:rPr>
        <w:t xml:space="preserve"> management of climate risks</w:t>
      </w:r>
      <w:r w:rsidR="00F416E7">
        <w:rPr>
          <w:rFonts w:ascii="Calibri" w:hAnsi="Calibri" w:cs="Calibri"/>
          <w:sz w:val="22"/>
          <w:szCs w:val="22"/>
          <w:lang w:val="en-GB"/>
        </w:rPr>
        <w:t xml:space="preserve"> and/or management of environmentally-sound farming (e.g. sound use of pesticides, conservation agriculture, water-efficient irrigation)</w:t>
      </w:r>
    </w:p>
    <w:p w14:paraId="58636521"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 xml:space="preserve">Proportion of households (urban/rural) effectively covered by early warning </w:t>
      </w:r>
      <w:r w:rsidRPr="0077381D">
        <w:rPr>
          <w:rFonts w:ascii="Calibri" w:hAnsi="Calibri" w:cs="Calibri"/>
          <w:sz w:val="22"/>
          <w:szCs w:val="22"/>
          <w:lang w:val="en-GB"/>
        </w:rPr>
        <w:t xml:space="preserve">systems for </w:t>
      </w:r>
      <w:r w:rsidRPr="00CF1CC9">
        <w:rPr>
          <w:rFonts w:ascii="Calibri" w:hAnsi="Calibri" w:cs="Calibri"/>
          <w:sz w:val="22"/>
          <w:szCs w:val="22"/>
          <w:lang w:val="en-GB"/>
        </w:rPr>
        <w:t>climate-related natural disasters</w:t>
      </w:r>
    </w:p>
    <w:p w14:paraId="782B9626"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Proportion of private houses, government buildings, industrial facilities, other infrastructure built or retrofitted according to ‘climate-proofed’ building standards</w:t>
      </w:r>
    </w:p>
    <w:p w14:paraId="3B2C36FA"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Proportion of residential buildings built or retrofitted to meet energy efficiency standards</w:t>
      </w:r>
    </w:p>
    <w:p w14:paraId="2A45E25F" w14:textId="42DBE740"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 xml:space="preserve">Proportion of industrial facilities (in a given sector, of a given size) periodically </w:t>
      </w:r>
      <w:r w:rsidR="00F416E7">
        <w:rPr>
          <w:rFonts w:ascii="Calibri" w:hAnsi="Calibri" w:cs="Calibri"/>
          <w:sz w:val="22"/>
          <w:szCs w:val="22"/>
          <w:lang w:val="en-GB"/>
        </w:rPr>
        <w:t>checked for compliance with GHG-</w:t>
      </w:r>
      <w:r>
        <w:rPr>
          <w:rFonts w:ascii="Calibri" w:hAnsi="Calibri" w:cs="Calibri"/>
          <w:sz w:val="22"/>
          <w:szCs w:val="22"/>
          <w:lang w:val="en-GB"/>
        </w:rPr>
        <w:t xml:space="preserve">emission </w:t>
      </w:r>
      <w:r w:rsidR="00F416E7">
        <w:rPr>
          <w:rFonts w:ascii="Calibri" w:hAnsi="Calibri" w:cs="Calibri"/>
          <w:sz w:val="22"/>
          <w:szCs w:val="22"/>
          <w:lang w:val="en-GB"/>
        </w:rPr>
        <w:t xml:space="preserve">and environmental </w:t>
      </w:r>
      <w:r>
        <w:rPr>
          <w:rFonts w:ascii="Calibri" w:hAnsi="Calibri" w:cs="Calibri"/>
          <w:sz w:val="22"/>
          <w:szCs w:val="22"/>
          <w:lang w:val="en-GB"/>
        </w:rPr>
        <w:t>standards</w:t>
      </w:r>
      <w:r w:rsidR="00F416E7">
        <w:rPr>
          <w:rFonts w:ascii="Calibri" w:hAnsi="Calibri" w:cs="Calibri"/>
          <w:sz w:val="22"/>
          <w:szCs w:val="22"/>
          <w:lang w:val="en-GB"/>
        </w:rPr>
        <w:t xml:space="preserve"> </w:t>
      </w:r>
    </w:p>
    <w:p w14:paraId="09434DC8" w14:textId="2C49F966" w:rsidR="00F416E7" w:rsidRDefault="00F416E7"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Number of industrial facilities in possession of an Environmental Management System certification</w:t>
      </w:r>
    </w:p>
    <w:p w14:paraId="560A3046"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Forest areas under management arrangements that effectively protect them from degradation and deforestation</w:t>
      </w:r>
    </w:p>
    <w:p w14:paraId="5FEADE7F" w14:textId="77777777" w:rsidR="00BF6E72" w:rsidRDefault="00BF6E72" w:rsidP="00BF6E72">
      <w:pPr>
        <w:rPr>
          <w:rFonts w:ascii="Calibri" w:hAnsi="Calibri" w:cs="Calibri"/>
          <w:sz w:val="22"/>
          <w:szCs w:val="22"/>
          <w:lang w:val="en-GB"/>
        </w:rPr>
      </w:pPr>
    </w:p>
    <w:p w14:paraId="50668BA6" w14:textId="77777777" w:rsidR="00BF6E72" w:rsidRPr="00BF6E72" w:rsidRDefault="00BF6E72" w:rsidP="00D7326E">
      <w:pPr>
        <w:pStyle w:val="ListParagraph"/>
        <w:numPr>
          <w:ilvl w:val="0"/>
          <w:numId w:val="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BE5F1" w:themeFill="accent1" w:themeFillTint="33"/>
        <w:spacing w:before="120"/>
        <w:ind w:left="284" w:hanging="284"/>
        <w:rPr>
          <w:rFonts w:ascii="Calibri" w:hAnsi="Calibri" w:cs="Calibri"/>
          <w:b/>
          <w:smallCaps/>
          <w:color w:val="17365D" w:themeColor="text2" w:themeShade="BF"/>
          <w:sz w:val="22"/>
          <w:szCs w:val="22"/>
          <w:lang w:val="en-GB"/>
        </w:rPr>
      </w:pPr>
      <w:r w:rsidRPr="00BF6E72">
        <w:rPr>
          <w:rFonts w:ascii="Calibri" w:hAnsi="Calibri" w:cs="Calibri"/>
          <w:b/>
          <w:smallCaps/>
          <w:color w:val="17365D" w:themeColor="text2" w:themeShade="BF"/>
          <w:sz w:val="22"/>
          <w:szCs w:val="22"/>
          <w:lang w:val="en-GB"/>
        </w:rPr>
        <w:t>Indicators for monitoring policy outcomes</w:t>
      </w:r>
    </w:p>
    <w:p w14:paraId="09082D29" w14:textId="77777777" w:rsidR="00BF6E72" w:rsidRDefault="00BF6E72" w:rsidP="00BF6E72">
      <w:pPr>
        <w:rPr>
          <w:rFonts w:ascii="Calibri" w:hAnsi="Calibri" w:cs="Calibri"/>
          <w:sz w:val="22"/>
          <w:szCs w:val="22"/>
          <w:lang w:val="en-GB"/>
        </w:rPr>
      </w:pPr>
    </w:p>
    <w:p w14:paraId="19B926CF" w14:textId="2CF17EB8"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 xml:space="preserve">Loss of life and injuries from </w:t>
      </w:r>
      <w:r w:rsidR="00F416E7">
        <w:rPr>
          <w:rFonts w:ascii="Calibri" w:hAnsi="Calibri" w:cs="Calibri"/>
          <w:sz w:val="22"/>
          <w:szCs w:val="22"/>
          <w:lang w:val="en-GB"/>
        </w:rPr>
        <w:t xml:space="preserve">environment- and/or </w:t>
      </w:r>
      <w:r>
        <w:rPr>
          <w:rFonts w:ascii="Calibri" w:hAnsi="Calibri" w:cs="Calibri"/>
          <w:sz w:val="22"/>
          <w:szCs w:val="22"/>
          <w:lang w:val="en-GB"/>
        </w:rPr>
        <w:t>climate-related disasters</w:t>
      </w:r>
    </w:p>
    <w:p w14:paraId="47972951" w14:textId="0D18E56A" w:rsidR="00F416E7" w:rsidRDefault="00F416E7"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Burden of environmental disease</w:t>
      </w:r>
    </w:p>
    <w:p w14:paraId="6F128D6A"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Economic losses and damages from climate-related disasters (</w:t>
      </w:r>
      <w:r w:rsidRPr="00283666">
        <w:rPr>
          <w:rFonts w:ascii="Calibri" w:hAnsi="Calibri" w:cs="Calibri"/>
          <w:sz w:val="22"/>
          <w:szCs w:val="22"/>
          <w:lang w:val="en-GB"/>
        </w:rPr>
        <w:t xml:space="preserve">annual total, % </w:t>
      </w:r>
      <w:r>
        <w:rPr>
          <w:rFonts w:ascii="Calibri" w:hAnsi="Calibri" w:cs="Calibri"/>
          <w:sz w:val="22"/>
          <w:szCs w:val="22"/>
          <w:lang w:val="en-GB"/>
        </w:rPr>
        <w:t xml:space="preserve">of </w:t>
      </w:r>
      <w:r w:rsidRPr="00283666">
        <w:rPr>
          <w:rFonts w:ascii="Calibri" w:hAnsi="Calibri" w:cs="Calibri"/>
          <w:sz w:val="22"/>
          <w:szCs w:val="22"/>
          <w:lang w:val="en-GB"/>
        </w:rPr>
        <w:t>GDP</w:t>
      </w:r>
      <w:r>
        <w:rPr>
          <w:rFonts w:ascii="Calibri" w:hAnsi="Calibri" w:cs="Calibri"/>
          <w:sz w:val="22"/>
          <w:szCs w:val="22"/>
          <w:lang w:val="en-GB"/>
        </w:rPr>
        <w:t>)</w:t>
      </w:r>
    </w:p>
    <w:p w14:paraId="35C820E2"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lastRenderedPageBreak/>
        <w:t xml:space="preserve">Proportion, and </w:t>
      </w:r>
      <w:r w:rsidRPr="00283666">
        <w:rPr>
          <w:rFonts w:ascii="Calibri" w:hAnsi="Calibri" w:cs="Calibri"/>
          <w:sz w:val="22"/>
          <w:szCs w:val="22"/>
          <w:lang w:val="en-GB"/>
        </w:rPr>
        <w:t>productivity</w:t>
      </w:r>
      <w:r>
        <w:rPr>
          <w:rFonts w:ascii="Calibri" w:hAnsi="Calibri" w:cs="Calibri"/>
          <w:sz w:val="22"/>
          <w:szCs w:val="22"/>
          <w:lang w:val="en-GB"/>
        </w:rPr>
        <w:t>,</w:t>
      </w:r>
      <w:r w:rsidRPr="00283666">
        <w:rPr>
          <w:rFonts w:ascii="Calibri" w:hAnsi="Calibri" w:cs="Calibri"/>
          <w:sz w:val="22"/>
          <w:szCs w:val="22"/>
          <w:lang w:val="en-GB"/>
        </w:rPr>
        <w:t xml:space="preserve"> of </w:t>
      </w:r>
      <w:r>
        <w:rPr>
          <w:rFonts w:ascii="Calibri" w:hAnsi="Calibri" w:cs="Calibri"/>
          <w:sz w:val="22"/>
          <w:szCs w:val="22"/>
          <w:lang w:val="en-GB"/>
        </w:rPr>
        <w:t>farm</w:t>
      </w:r>
      <w:r w:rsidRPr="00283666">
        <w:rPr>
          <w:rFonts w:ascii="Calibri" w:hAnsi="Calibri" w:cs="Calibri"/>
          <w:sz w:val="22"/>
          <w:szCs w:val="22"/>
          <w:lang w:val="en-GB"/>
        </w:rPr>
        <w:t xml:space="preserve">land exploited using seed varieties, technologies and/or farming practices </w:t>
      </w:r>
      <w:r>
        <w:rPr>
          <w:rFonts w:ascii="Calibri" w:hAnsi="Calibri" w:cs="Calibri"/>
          <w:sz w:val="22"/>
          <w:szCs w:val="22"/>
          <w:lang w:val="en-GB"/>
        </w:rPr>
        <w:t xml:space="preserve">selected </w:t>
      </w:r>
      <w:r w:rsidRPr="00283666">
        <w:rPr>
          <w:rFonts w:ascii="Calibri" w:hAnsi="Calibri" w:cs="Calibri"/>
          <w:sz w:val="22"/>
          <w:szCs w:val="22"/>
          <w:lang w:val="en-GB"/>
        </w:rPr>
        <w:t xml:space="preserve">to </w:t>
      </w:r>
      <w:r>
        <w:rPr>
          <w:rFonts w:ascii="Calibri" w:hAnsi="Calibri" w:cs="Calibri"/>
          <w:sz w:val="22"/>
          <w:szCs w:val="22"/>
          <w:lang w:val="en-GB"/>
        </w:rPr>
        <w:t xml:space="preserve">better </w:t>
      </w:r>
      <w:r w:rsidRPr="00283666">
        <w:rPr>
          <w:rFonts w:ascii="Calibri" w:hAnsi="Calibri" w:cs="Calibri"/>
          <w:sz w:val="22"/>
          <w:szCs w:val="22"/>
          <w:lang w:val="en-GB"/>
        </w:rPr>
        <w:t>cope with climate variability and extremes</w:t>
      </w:r>
    </w:p>
    <w:p w14:paraId="0F25D6F2" w14:textId="39B3C7AC" w:rsidR="00F416E7" w:rsidRPr="00283666" w:rsidRDefault="00F416E7"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Proportion and productivity of farmland exploited using best agricultural practices (BAPs)</w:t>
      </w:r>
    </w:p>
    <w:p w14:paraId="59A23DDD"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Number/Proportion of farmers covered by an insurance against climate risks</w:t>
      </w:r>
    </w:p>
    <w:p w14:paraId="402C373A"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Number/Proportion of farmers with access to timely weather and climate forecasts</w:t>
      </w:r>
    </w:p>
    <w:p w14:paraId="7B4F9424"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sidRPr="008E7860">
        <w:rPr>
          <w:rFonts w:ascii="Calibri" w:hAnsi="Calibri" w:cs="Calibri"/>
          <w:sz w:val="22"/>
          <w:szCs w:val="22"/>
          <w:lang w:val="en-GB"/>
        </w:rPr>
        <w:t>Number</w:t>
      </w:r>
      <w:r>
        <w:rPr>
          <w:rFonts w:ascii="Calibri" w:hAnsi="Calibri" w:cs="Calibri"/>
          <w:sz w:val="22"/>
          <w:szCs w:val="22"/>
          <w:lang w:val="en-GB"/>
        </w:rPr>
        <w:t>/Proportion</w:t>
      </w:r>
      <w:r w:rsidRPr="008E7860">
        <w:rPr>
          <w:rFonts w:ascii="Calibri" w:hAnsi="Calibri" w:cs="Calibri"/>
          <w:sz w:val="22"/>
          <w:szCs w:val="22"/>
          <w:lang w:val="en-GB"/>
        </w:rPr>
        <w:t xml:space="preserve"> of farmers adopting  high-yielding livestock breeds and  pasture  development for reducing methane production </w:t>
      </w:r>
    </w:p>
    <w:p w14:paraId="40FFEF72" w14:textId="3591B9B6" w:rsidR="00F416E7" w:rsidRPr="008E7860" w:rsidRDefault="00F416E7"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Number/Proportion of farmers employing conservation agriculture practices</w:t>
      </w:r>
    </w:p>
    <w:p w14:paraId="36F334BF" w14:textId="77777777" w:rsidR="00BF6E72" w:rsidRPr="00283666"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sidRPr="00283666">
        <w:rPr>
          <w:rFonts w:ascii="Calibri" w:hAnsi="Calibri" w:cs="Calibri"/>
          <w:sz w:val="22"/>
          <w:szCs w:val="22"/>
          <w:lang w:val="en-GB"/>
        </w:rPr>
        <w:t>Carbon dioxide and other GHG emissions (annual total, per capita, % change against a base year) by source (deforestation, agriculture</w:t>
      </w:r>
      <w:r w:rsidR="00F675B2">
        <w:rPr>
          <w:rFonts w:ascii="Calibri" w:hAnsi="Calibri" w:cs="Calibri"/>
          <w:sz w:val="22"/>
          <w:szCs w:val="22"/>
          <w:lang w:val="en-GB"/>
        </w:rPr>
        <w:t>, ...</w:t>
      </w:r>
      <w:r w:rsidRPr="00283666">
        <w:rPr>
          <w:rFonts w:ascii="Calibri" w:hAnsi="Calibri" w:cs="Calibri"/>
          <w:sz w:val="22"/>
          <w:szCs w:val="22"/>
          <w:lang w:val="en-GB"/>
        </w:rPr>
        <w:t>)</w:t>
      </w:r>
    </w:p>
    <w:p w14:paraId="2B3B4D0B" w14:textId="77777777" w:rsidR="00BF6E72" w:rsidRPr="00283666"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sidRPr="00283666">
        <w:rPr>
          <w:rFonts w:ascii="Calibri" w:hAnsi="Calibri" w:cs="Calibri"/>
          <w:sz w:val="22"/>
          <w:szCs w:val="22"/>
          <w:lang w:val="en-GB"/>
        </w:rPr>
        <w:t>Carbon intensity of economic activity (tonnes of CO</w:t>
      </w:r>
      <w:r w:rsidRPr="00283666">
        <w:rPr>
          <w:rFonts w:ascii="Calibri" w:hAnsi="Calibri" w:cs="Calibri"/>
          <w:sz w:val="22"/>
          <w:szCs w:val="22"/>
          <w:vertAlign w:val="subscript"/>
          <w:lang w:val="en-GB"/>
        </w:rPr>
        <w:t>2</w:t>
      </w:r>
      <w:r>
        <w:rPr>
          <w:rFonts w:ascii="Calibri" w:hAnsi="Calibri" w:cs="Calibri"/>
          <w:sz w:val="22"/>
          <w:szCs w:val="22"/>
          <w:lang w:val="en-GB"/>
        </w:rPr>
        <w:t xml:space="preserve"> per 1,000$</w:t>
      </w:r>
      <w:r w:rsidRPr="00283666">
        <w:rPr>
          <w:rFonts w:ascii="Calibri" w:hAnsi="Calibri" w:cs="Calibri"/>
          <w:sz w:val="22"/>
          <w:szCs w:val="22"/>
          <w:lang w:val="en-GB"/>
        </w:rPr>
        <w:t xml:space="preserve"> GDP)</w:t>
      </w:r>
    </w:p>
    <w:p w14:paraId="1D0767AE"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sidRPr="00283666">
        <w:rPr>
          <w:rFonts w:ascii="Calibri" w:hAnsi="Calibri" w:cs="Calibri"/>
          <w:sz w:val="22"/>
          <w:szCs w:val="22"/>
          <w:lang w:val="en-GB"/>
        </w:rPr>
        <w:t>Share of fossil fuels and renewable energy in total primary energy supply (by type of fuel and energy source)</w:t>
      </w:r>
    </w:p>
    <w:p w14:paraId="40213908"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Proportion of vehicles meeting given emission standards</w:t>
      </w:r>
    </w:p>
    <w:p w14:paraId="5595B1EF" w14:textId="328E5808"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 xml:space="preserve">Proportion of industrial facilities (in a given sector, of a given size) meeting given emission </w:t>
      </w:r>
      <w:r w:rsidR="00F416E7">
        <w:rPr>
          <w:rFonts w:ascii="Calibri" w:hAnsi="Calibri" w:cs="Calibri"/>
          <w:sz w:val="22"/>
          <w:szCs w:val="22"/>
          <w:lang w:val="en-GB"/>
        </w:rPr>
        <w:t xml:space="preserve">effluent discharge </w:t>
      </w:r>
      <w:r>
        <w:rPr>
          <w:rFonts w:ascii="Calibri" w:hAnsi="Calibri" w:cs="Calibri"/>
          <w:sz w:val="22"/>
          <w:szCs w:val="22"/>
          <w:lang w:val="en-GB"/>
        </w:rPr>
        <w:t>standards</w:t>
      </w:r>
    </w:p>
    <w:p w14:paraId="6AD80958" w14:textId="77777777" w:rsidR="00BF6E72"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Amount of methane captured from landfills and used to produce heat and power</w:t>
      </w:r>
    </w:p>
    <w:p w14:paraId="19D3E760" w14:textId="716017C0" w:rsidR="00F416E7" w:rsidRDefault="00F416E7"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Proportion of household/industrial water receiving adequate treatment/disposal</w:t>
      </w:r>
    </w:p>
    <w:p w14:paraId="7CEB67E8" w14:textId="77777777" w:rsidR="00BF6E72" w:rsidRPr="00283666" w:rsidRDefault="00BF6E72" w:rsidP="00D7326E">
      <w:pPr>
        <w:pStyle w:val="ListParagraph"/>
        <w:numPr>
          <w:ilvl w:val="0"/>
          <w:numId w:val="10"/>
        </w:numPr>
        <w:spacing w:before="60"/>
        <w:ind w:left="284" w:hanging="284"/>
        <w:contextualSpacing w:val="0"/>
        <w:rPr>
          <w:rFonts w:ascii="Calibri" w:hAnsi="Calibri" w:cs="Calibri"/>
          <w:sz w:val="22"/>
          <w:szCs w:val="22"/>
          <w:lang w:val="en-GB"/>
        </w:rPr>
      </w:pPr>
      <w:r>
        <w:rPr>
          <w:rFonts w:ascii="Calibri" w:hAnsi="Calibri" w:cs="Calibri"/>
          <w:sz w:val="22"/>
          <w:szCs w:val="22"/>
          <w:lang w:val="en-GB"/>
        </w:rPr>
        <w:t>Contribution of climate-related ‘green growth’ activities to economic growth</w:t>
      </w:r>
    </w:p>
    <w:p w14:paraId="6DFE21B2" w14:textId="77777777" w:rsidR="00BF6E72" w:rsidRDefault="00BF6E72" w:rsidP="00BF6E72">
      <w:pPr>
        <w:rPr>
          <w:rFonts w:ascii="Calibri" w:hAnsi="Calibri" w:cs="Calibri"/>
          <w:sz w:val="22"/>
          <w:szCs w:val="22"/>
          <w:lang w:val="en-GB"/>
        </w:rPr>
      </w:pPr>
    </w:p>
    <w:p w14:paraId="495F9197" w14:textId="77777777" w:rsidR="00BF6E72" w:rsidRPr="00BF6E72" w:rsidRDefault="00BF6E72" w:rsidP="00BF6E72">
      <w:pPr>
        <w:jc w:val="center"/>
        <w:rPr>
          <w:rFonts w:ascii="Calibri" w:hAnsi="Calibri" w:cs="Calibri"/>
          <w:color w:val="17365D" w:themeColor="text2" w:themeShade="BF"/>
          <w:sz w:val="22"/>
          <w:szCs w:val="22"/>
          <w:lang w:val="en-GB"/>
        </w:rPr>
      </w:pPr>
      <w:r w:rsidRPr="00BF6E72">
        <w:rPr>
          <w:rFonts w:ascii="Calibri" w:hAnsi="Calibri" w:cs="Calibri"/>
          <w:color w:val="17365D" w:themeColor="text2" w:themeShade="BF"/>
          <w:sz w:val="22"/>
          <w:szCs w:val="22"/>
          <w:lang w:val="en-GB"/>
        </w:rPr>
        <w:t>-----</w:t>
      </w:r>
    </w:p>
    <w:p w14:paraId="7261254B" w14:textId="77777777" w:rsidR="00BF6E72" w:rsidRPr="00BF6E72" w:rsidRDefault="00BF6E72" w:rsidP="00BF6E72">
      <w:pPr>
        <w:rPr>
          <w:rFonts w:ascii="Calibri" w:hAnsi="Calibri" w:cs="Calibri"/>
          <w:color w:val="17365D" w:themeColor="text2" w:themeShade="BF"/>
          <w:sz w:val="22"/>
          <w:szCs w:val="22"/>
          <w:lang w:val="en-GB"/>
        </w:rPr>
      </w:pPr>
    </w:p>
    <w:p w14:paraId="13E0AD7A" w14:textId="77777777" w:rsidR="00BF6E72" w:rsidRPr="00BF6E72" w:rsidRDefault="00BF6E72" w:rsidP="00BF6E72">
      <w:pPr>
        <w:rPr>
          <w:rFonts w:ascii="Calibri" w:hAnsi="Calibri" w:cs="Calibri"/>
          <w:b/>
          <w:color w:val="17365D" w:themeColor="text2" w:themeShade="BF"/>
          <w:sz w:val="20"/>
          <w:szCs w:val="20"/>
          <w:lang w:val="en-GB"/>
        </w:rPr>
      </w:pPr>
      <w:r w:rsidRPr="00BF6E72">
        <w:rPr>
          <w:rFonts w:ascii="Calibri" w:hAnsi="Calibri" w:cs="Calibri"/>
          <w:b/>
          <w:color w:val="17365D" w:themeColor="text2" w:themeShade="BF"/>
          <w:sz w:val="20"/>
          <w:szCs w:val="20"/>
          <w:lang w:val="en-GB"/>
        </w:rPr>
        <w:t>Sources:</w:t>
      </w:r>
    </w:p>
    <w:p w14:paraId="2D6BE548" w14:textId="77777777" w:rsidR="00BF6E72" w:rsidRPr="00BF6E72" w:rsidRDefault="00BF6E72" w:rsidP="00BF6E72">
      <w:pPr>
        <w:spacing w:before="80"/>
        <w:rPr>
          <w:rFonts w:ascii="Calibri" w:hAnsi="Calibri" w:cs="Calibri"/>
          <w:color w:val="17365D" w:themeColor="text2" w:themeShade="BF"/>
          <w:sz w:val="20"/>
          <w:szCs w:val="20"/>
          <w:lang w:val="en-GB"/>
        </w:rPr>
      </w:pPr>
      <w:proofErr w:type="gramStart"/>
      <w:r w:rsidRPr="00BF6E72">
        <w:rPr>
          <w:rFonts w:ascii="Calibri" w:hAnsi="Calibri" w:cs="Calibri"/>
          <w:b/>
          <w:color w:val="17365D" w:themeColor="text2" w:themeShade="BF"/>
          <w:sz w:val="20"/>
          <w:szCs w:val="20"/>
          <w:lang w:val="en-GB"/>
        </w:rPr>
        <w:t>ENDA (</w:t>
      </w:r>
      <w:proofErr w:type="spellStart"/>
      <w:r w:rsidRPr="00BF6E72">
        <w:rPr>
          <w:rFonts w:ascii="Calibri" w:hAnsi="Calibri" w:cs="Calibri"/>
          <w:b/>
          <w:color w:val="17365D" w:themeColor="text2" w:themeShade="BF"/>
          <w:sz w:val="20"/>
          <w:szCs w:val="20"/>
          <w:lang w:val="en-GB"/>
        </w:rPr>
        <w:t>n.d.</w:t>
      </w:r>
      <w:proofErr w:type="spellEnd"/>
      <w:r w:rsidRPr="00BF6E72">
        <w:rPr>
          <w:rFonts w:ascii="Calibri" w:hAnsi="Calibri" w:cs="Calibri"/>
          <w:b/>
          <w:color w:val="17365D" w:themeColor="text2" w:themeShade="BF"/>
          <w:sz w:val="20"/>
          <w:szCs w:val="20"/>
          <w:lang w:val="en-GB"/>
        </w:rPr>
        <w:t xml:space="preserve">) </w:t>
      </w:r>
      <w:r w:rsidRPr="00BF6E72">
        <w:rPr>
          <w:rFonts w:ascii="Calibri" w:hAnsi="Calibri" w:cs="Calibri"/>
          <w:b/>
          <w:bCs/>
          <w:i/>
          <w:color w:val="17365D" w:themeColor="text2" w:themeShade="BF"/>
          <w:sz w:val="20"/>
          <w:szCs w:val="20"/>
          <w:lang w:val="en-GB"/>
        </w:rPr>
        <w:t>Capacity strengthening in climate change vulnerability and adaptation strategy assessments</w:t>
      </w:r>
      <w:r w:rsidRPr="00BF6E72">
        <w:rPr>
          <w:rFonts w:ascii="Calibri" w:hAnsi="Calibri" w:cs="Calibri"/>
          <w:b/>
          <w:color w:val="17365D" w:themeColor="text2" w:themeShade="BF"/>
          <w:sz w:val="20"/>
          <w:szCs w:val="20"/>
          <w:lang w:val="en-GB"/>
        </w:rPr>
        <w:t>.</w:t>
      </w:r>
      <w:proofErr w:type="gramEnd"/>
      <w:r w:rsidRPr="00BF6E72">
        <w:rPr>
          <w:rFonts w:ascii="Calibri" w:hAnsi="Calibri" w:cs="Calibri"/>
          <w:b/>
          <w:color w:val="17365D" w:themeColor="text2" w:themeShade="BF"/>
          <w:sz w:val="20"/>
          <w:szCs w:val="20"/>
          <w:lang w:val="en-GB"/>
        </w:rPr>
        <w:t xml:space="preserve"> </w:t>
      </w:r>
      <w:r w:rsidRPr="00BF6E72">
        <w:rPr>
          <w:rFonts w:ascii="Calibri" w:hAnsi="Calibri" w:cs="Calibri"/>
          <w:color w:val="17365D" w:themeColor="text2" w:themeShade="BF"/>
          <w:sz w:val="20"/>
          <w:szCs w:val="20"/>
          <w:lang w:val="en-GB"/>
        </w:rPr>
        <w:t>[Online]</w:t>
      </w:r>
      <w:r w:rsidRPr="00BF6E72">
        <w:rPr>
          <w:rFonts w:ascii="Calibri" w:hAnsi="Calibri" w:cs="Calibri"/>
          <w:b/>
          <w:color w:val="17365D" w:themeColor="text2" w:themeShade="BF"/>
          <w:sz w:val="20"/>
          <w:szCs w:val="20"/>
          <w:lang w:val="en-GB"/>
        </w:rPr>
        <w:t xml:space="preserve"> </w:t>
      </w:r>
      <w:r w:rsidRPr="00BF6E72">
        <w:rPr>
          <w:rFonts w:ascii="Calibri" w:hAnsi="Calibri" w:cs="Calibri"/>
          <w:color w:val="17365D" w:themeColor="text2" w:themeShade="BF"/>
          <w:sz w:val="20"/>
          <w:szCs w:val="20"/>
          <w:lang w:val="en-GB"/>
        </w:rPr>
        <w:t>Module IV, Exercise 2: Vulnerability indicators.</w:t>
      </w:r>
    </w:p>
    <w:p w14:paraId="1F47CB55" w14:textId="77777777" w:rsidR="00BF6E72" w:rsidRPr="00BF6E72" w:rsidRDefault="00BF6E72" w:rsidP="00BF6E72">
      <w:pPr>
        <w:spacing w:before="80"/>
        <w:rPr>
          <w:rFonts w:ascii="Calibri" w:hAnsi="Calibri" w:cs="Calibri"/>
          <w:b/>
          <w:color w:val="17365D" w:themeColor="text2" w:themeShade="BF"/>
          <w:sz w:val="20"/>
          <w:szCs w:val="20"/>
          <w:lang w:val="en-GB"/>
        </w:rPr>
      </w:pPr>
      <w:r w:rsidRPr="00BF6E72">
        <w:rPr>
          <w:rFonts w:ascii="Calibri" w:hAnsi="Calibri" w:cs="Calibri"/>
          <w:b/>
          <w:color w:val="17365D" w:themeColor="text2" w:themeShade="BF"/>
          <w:sz w:val="20"/>
          <w:szCs w:val="20"/>
          <w:lang w:val="en-GB"/>
        </w:rPr>
        <w:t xml:space="preserve">GCCA Support </w:t>
      </w:r>
      <w:proofErr w:type="gramStart"/>
      <w:r w:rsidRPr="00BF6E72">
        <w:rPr>
          <w:rFonts w:ascii="Calibri" w:hAnsi="Calibri" w:cs="Calibri"/>
          <w:b/>
          <w:color w:val="17365D" w:themeColor="text2" w:themeShade="BF"/>
          <w:sz w:val="20"/>
          <w:szCs w:val="20"/>
          <w:lang w:val="en-GB"/>
        </w:rPr>
        <w:t>Facility</w:t>
      </w:r>
      <w:r>
        <w:rPr>
          <w:rFonts w:ascii="Calibri" w:hAnsi="Calibri" w:cs="Calibri"/>
          <w:b/>
          <w:color w:val="17365D" w:themeColor="text2" w:themeShade="BF"/>
          <w:sz w:val="20"/>
          <w:szCs w:val="20"/>
          <w:lang w:val="en-GB"/>
        </w:rPr>
        <w:t>,</w:t>
      </w:r>
      <w:proofErr w:type="gramEnd"/>
      <w:r>
        <w:rPr>
          <w:rFonts w:ascii="Calibri" w:hAnsi="Calibri" w:cs="Calibri"/>
          <w:b/>
          <w:color w:val="17365D" w:themeColor="text2" w:themeShade="BF"/>
          <w:sz w:val="20"/>
          <w:szCs w:val="20"/>
          <w:lang w:val="en-GB"/>
        </w:rPr>
        <w:t xml:space="preserve"> based on GCCA project documents</w:t>
      </w:r>
      <w:r w:rsidRPr="00BF6E72">
        <w:rPr>
          <w:rFonts w:ascii="Calibri" w:hAnsi="Calibri" w:cs="Calibri"/>
          <w:b/>
          <w:color w:val="17365D" w:themeColor="text2" w:themeShade="BF"/>
          <w:sz w:val="20"/>
          <w:szCs w:val="20"/>
          <w:lang w:val="en-GB"/>
        </w:rPr>
        <w:t>.</w:t>
      </w:r>
    </w:p>
    <w:p w14:paraId="20503CFE" w14:textId="77777777" w:rsidR="00BF6E72" w:rsidRPr="00BF6E72" w:rsidRDefault="00BF6E72" w:rsidP="00BF6E72">
      <w:pPr>
        <w:spacing w:before="80"/>
        <w:rPr>
          <w:rFonts w:ascii="Calibri" w:hAnsi="Calibri" w:cs="Calibri"/>
          <w:color w:val="17365D" w:themeColor="text2" w:themeShade="BF"/>
          <w:sz w:val="20"/>
          <w:szCs w:val="20"/>
          <w:lang w:val="en-GB"/>
        </w:rPr>
      </w:pPr>
      <w:r w:rsidRPr="00BF6E72">
        <w:rPr>
          <w:rFonts w:ascii="Calibri" w:hAnsi="Calibri" w:cs="Calibri"/>
          <w:b/>
          <w:color w:val="17365D" w:themeColor="text2" w:themeShade="BF"/>
          <w:sz w:val="20"/>
          <w:szCs w:val="20"/>
          <w:lang w:val="en-GB"/>
        </w:rPr>
        <w:t xml:space="preserve">UNDP (2011) </w:t>
      </w:r>
      <w:r w:rsidRPr="00BF6E72">
        <w:rPr>
          <w:rFonts w:ascii="Calibri" w:hAnsi="Calibri" w:cs="Calibri"/>
          <w:b/>
          <w:i/>
          <w:color w:val="17365D" w:themeColor="text2" w:themeShade="BF"/>
          <w:sz w:val="20"/>
          <w:szCs w:val="20"/>
          <w:lang w:val="en-GB"/>
        </w:rPr>
        <w:t>Practitioner’s Guide: Capacity Development for Environmental Sustainability</w:t>
      </w:r>
      <w:r w:rsidRPr="00BF6E72">
        <w:rPr>
          <w:rFonts w:ascii="Calibri" w:hAnsi="Calibri" w:cs="Calibri"/>
          <w:b/>
          <w:color w:val="17365D" w:themeColor="text2" w:themeShade="BF"/>
          <w:sz w:val="20"/>
          <w:szCs w:val="20"/>
          <w:lang w:val="en-GB"/>
        </w:rPr>
        <w:t>.</w:t>
      </w:r>
      <w:r w:rsidRPr="00BF6E72">
        <w:rPr>
          <w:rFonts w:ascii="Calibri" w:hAnsi="Calibri" w:cs="Calibri"/>
          <w:color w:val="17365D" w:themeColor="text2" w:themeShade="BF"/>
          <w:sz w:val="20"/>
          <w:szCs w:val="20"/>
          <w:lang w:val="en-GB"/>
        </w:rPr>
        <w:t xml:space="preserve"> </w:t>
      </w:r>
      <w:r w:rsidRPr="00BF6E72">
        <w:rPr>
          <w:rFonts w:ascii="Calibri" w:hAnsi="Calibri" w:cs="Calibri"/>
          <w:color w:val="17365D" w:themeColor="text2" w:themeShade="BF"/>
          <w:sz w:val="20"/>
          <w:szCs w:val="20"/>
          <w:lang w:val="en-GB"/>
        </w:rPr>
        <w:br/>
        <w:t>United Nations Development Programme, New York. Annex A – Tool #3: Possible capacity development responses, pp. 63-71.</w:t>
      </w:r>
    </w:p>
    <w:p w14:paraId="4140B032" w14:textId="77777777" w:rsidR="00BF6E72" w:rsidRPr="00BF6E72" w:rsidRDefault="00BF6E72" w:rsidP="00BF6E72">
      <w:pPr>
        <w:spacing w:before="80"/>
        <w:rPr>
          <w:rFonts w:ascii="Calibri" w:hAnsi="Calibri" w:cs="Calibri"/>
          <w:color w:val="17365D" w:themeColor="text2" w:themeShade="BF"/>
          <w:sz w:val="20"/>
          <w:szCs w:val="20"/>
          <w:lang w:val="en-GB"/>
        </w:rPr>
      </w:pPr>
      <w:r w:rsidRPr="00BF6E72">
        <w:rPr>
          <w:rFonts w:ascii="Calibri" w:hAnsi="Calibri" w:cs="Calibri"/>
          <w:b/>
          <w:color w:val="17365D" w:themeColor="text2" w:themeShade="BF"/>
          <w:sz w:val="20"/>
          <w:szCs w:val="20"/>
          <w:lang w:val="en-GB"/>
        </w:rPr>
        <w:t xml:space="preserve">UNDP-UNEP (2011) </w:t>
      </w:r>
      <w:r w:rsidRPr="00BF6E72">
        <w:rPr>
          <w:rFonts w:ascii="Calibri" w:hAnsi="Calibri" w:cs="Calibri"/>
          <w:b/>
          <w:i/>
          <w:iCs/>
          <w:color w:val="17365D" w:themeColor="text2" w:themeShade="BF"/>
          <w:sz w:val="20"/>
          <w:szCs w:val="20"/>
          <w:lang w:val="en-GB"/>
        </w:rPr>
        <w:t>Mainstreaming Adaptation to Climate Change into Development Planning: A Guide for Practitioners</w:t>
      </w:r>
      <w:r w:rsidRPr="00BF6E72">
        <w:rPr>
          <w:rFonts w:ascii="Calibri" w:hAnsi="Calibri" w:cs="Calibri"/>
          <w:b/>
          <w:iCs/>
          <w:color w:val="17365D" w:themeColor="text2" w:themeShade="BF"/>
          <w:sz w:val="20"/>
          <w:szCs w:val="20"/>
          <w:lang w:val="en-GB"/>
        </w:rPr>
        <w:t>.</w:t>
      </w:r>
      <w:r w:rsidRPr="00BF6E72">
        <w:rPr>
          <w:rFonts w:ascii="Calibri" w:hAnsi="Calibri" w:cs="Calibri"/>
          <w:iCs/>
          <w:color w:val="17365D" w:themeColor="text2" w:themeShade="BF"/>
          <w:sz w:val="20"/>
          <w:szCs w:val="20"/>
          <w:lang w:val="en-GB"/>
        </w:rPr>
        <w:t xml:space="preserve"> </w:t>
      </w:r>
      <w:proofErr w:type="gramStart"/>
      <w:r w:rsidRPr="00BF6E72">
        <w:rPr>
          <w:rFonts w:ascii="Calibri" w:hAnsi="Calibri" w:cs="Calibri"/>
          <w:color w:val="17365D" w:themeColor="text2" w:themeShade="BF"/>
          <w:sz w:val="20"/>
          <w:szCs w:val="20"/>
          <w:lang w:val="en-GB"/>
        </w:rPr>
        <w:t>UNDP-UNEP Poverty-Environment Facility.</w:t>
      </w:r>
      <w:proofErr w:type="gramEnd"/>
      <w:r w:rsidRPr="00BF6E72">
        <w:rPr>
          <w:rFonts w:ascii="Calibri" w:hAnsi="Calibri" w:cs="Calibri"/>
          <w:color w:val="17365D" w:themeColor="text2" w:themeShade="BF"/>
          <w:sz w:val="20"/>
          <w:szCs w:val="20"/>
          <w:lang w:val="en-GB"/>
        </w:rPr>
        <w:t xml:space="preserve"> Section 6.1 ‘Strengthening the monitoring system’.</w:t>
      </w:r>
    </w:p>
    <w:p w14:paraId="69B4326C" w14:textId="77777777" w:rsidR="00BF6E72" w:rsidRPr="00BF6E72" w:rsidRDefault="00BF6E72" w:rsidP="00BF6E72">
      <w:pPr>
        <w:spacing w:before="80"/>
        <w:rPr>
          <w:rFonts w:ascii="Calibri" w:hAnsi="Calibri" w:cs="Calibri"/>
          <w:bCs/>
          <w:color w:val="17365D" w:themeColor="text2" w:themeShade="BF"/>
          <w:sz w:val="20"/>
          <w:szCs w:val="20"/>
          <w:lang w:val="en-GB"/>
        </w:rPr>
      </w:pPr>
      <w:proofErr w:type="gramStart"/>
      <w:r w:rsidRPr="00BF6E72">
        <w:rPr>
          <w:rFonts w:ascii="Calibri" w:hAnsi="Calibri" w:cs="Calibri"/>
          <w:b/>
          <w:color w:val="17365D" w:themeColor="text2" w:themeShade="BF"/>
          <w:sz w:val="20"/>
          <w:szCs w:val="20"/>
          <w:lang w:val="en-US"/>
        </w:rPr>
        <w:t>World Bank (</w:t>
      </w:r>
      <w:proofErr w:type="spellStart"/>
      <w:r w:rsidRPr="00BF6E72">
        <w:rPr>
          <w:rFonts w:ascii="Calibri" w:hAnsi="Calibri" w:cs="Calibri"/>
          <w:b/>
          <w:color w:val="17365D" w:themeColor="text2" w:themeShade="BF"/>
          <w:sz w:val="20"/>
          <w:szCs w:val="20"/>
          <w:lang w:val="en-US"/>
        </w:rPr>
        <w:t>n.d.</w:t>
      </w:r>
      <w:proofErr w:type="spellEnd"/>
      <w:r w:rsidRPr="00BF6E72">
        <w:rPr>
          <w:rFonts w:ascii="Calibri" w:hAnsi="Calibri" w:cs="Calibri"/>
          <w:b/>
          <w:color w:val="17365D" w:themeColor="text2" w:themeShade="BF"/>
          <w:sz w:val="20"/>
          <w:szCs w:val="20"/>
          <w:lang w:val="en-US"/>
        </w:rPr>
        <w:t xml:space="preserve">) </w:t>
      </w:r>
      <w:r w:rsidRPr="00BF6E72">
        <w:rPr>
          <w:rFonts w:ascii="Calibri" w:hAnsi="Calibri" w:cs="Calibri"/>
          <w:b/>
          <w:bCs/>
          <w:i/>
          <w:color w:val="17365D" w:themeColor="text2" w:themeShade="BF"/>
          <w:sz w:val="20"/>
          <w:szCs w:val="20"/>
          <w:lang w:val="en-GB"/>
        </w:rPr>
        <w:t>Mainstreaming Adaptation to Climate Change in Agriculture and Natural Resources Management Projects</w:t>
      </w:r>
      <w:r w:rsidRPr="00BF6E72">
        <w:rPr>
          <w:rFonts w:ascii="Calibri" w:hAnsi="Calibri" w:cs="Calibri"/>
          <w:b/>
          <w:bCs/>
          <w:color w:val="17365D" w:themeColor="text2" w:themeShade="BF"/>
          <w:sz w:val="20"/>
          <w:szCs w:val="20"/>
          <w:lang w:val="en-GB"/>
        </w:rPr>
        <w:t>.</w:t>
      </w:r>
      <w:proofErr w:type="gramEnd"/>
      <w:r w:rsidRPr="00BF6E72">
        <w:rPr>
          <w:rFonts w:ascii="Calibri" w:hAnsi="Calibri" w:cs="Calibri"/>
          <w:b/>
          <w:bCs/>
          <w:color w:val="17365D" w:themeColor="text2" w:themeShade="BF"/>
          <w:sz w:val="20"/>
          <w:szCs w:val="20"/>
          <w:lang w:val="en-GB"/>
        </w:rPr>
        <w:t xml:space="preserve"> </w:t>
      </w:r>
      <w:r w:rsidRPr="00BF6E72">
        <w:rPr>
          <w:rFonts w:ascii="Calibri" w:hAnsi="Calibri" w:cs="Calibri"/>
          <w:bCs/>
          <w:color w:val="17365D" w:themeColor="text2" w:themeShade="BF"/>
          <w:sz w:val="20"/>
          <w:szCs w:val="20"/>
          <w:lang w:val="en-GB"/>
        </w:rPr>
        <w:t xml:space="preserve">World Bank, </w:t>
      </w:r>
      <w:r w:rsidRPr="00BF6E72">
        <w:rPr>
          <w:rFonts w:ascii="Calibri" w:hAnsi="Calibri" w:cs="Calibri"/>
          <w:color w:val="17365D" w:themeColor="text2" w:themeShade="BF"/>
          <w:sz w:val="20"/>
          <w:szCs w:val="20"/>
          <w:lang w:val="en-GB"/>
        </w:rPr>
        <w:t>Washington, DC.</w:t>
      </w:r>
      <w:r w:rsidRPr="00BF6E72">
        <w:rPr>
          <w:rFonts w:ascii="Calibri" w:hAnsi="Calibri" w:cs="Calibri"/>
          <w:b/>
          <w:color w:val="17365D" w:themeColor="text2" w:themeShade="BF"/>
          <w:sz w:val="20"/>
          <w:szCs w:val="20"/>
          <w:lang w:val="en-GB"/>
        </w:rPr>
        <w:t xml:space="preserve"> </w:t>
      </w:r>
      <w:proofErr w:type="gramStart"/>
      <w:r w:rsidRPr="00BF6E72">
        <w:rPr>
          <w:rFonts w:ascii="Calibri" w:hAnsi="Calibri" w:cs="Calibri"/>
          <w:bCs/>
          <w:color w:val="17365D" w:themeColor="text2" w:themeShade="BF"/>
          <w:sz w:val="20"/>
          <w:szCs w:val="20"/>
          <w:lang w:val="en-GB"/>
        </w:rPr>
        <w:t>Guidance Note #8 – Monitoring and Evaluation of Adaptation Activities.</w:t>
      </w:r>
      <w:proofErr w:type="gramEnd"/>
    </w:p>
    <w:p w14:paraId="40FF4548" w14:textId="77777777" w:rsidR="00BF6E72" w:rsidRPr="00BF6E72" w:rsidRDefault="00BF6E72" w:rsidP="00BF6E72">
      <w:pPr>
        <w:spacing w:before="80"/>
        <w:rPr>
          <w:rFonts w:ascii="Calibri" w:hAnsi="Calibri" w:cs="Calibri"/>
          <w:color w:val="17365D" w:themeColor="text2" w:themeShade="BF"/>
          <w:sz w:val="20"/>
          <w:szCs w:val="20"/>
          <w:lang w:val="en-GB"/>
        </w:rPr>
      </w:pPr>
      <w:r w:rsidRPr="00BF6E72">
        <w:rPr>
          <w:rFonts w:ascii="Calibri" w:hAnsi="Calibri" w:cs="Calibri"/>
          <w:b/>
          <w:color w:val="17365D" w:themeColor="text2" w:themeShade="BF"/>
          <w:sz w:val="20"/>
          <w:szCs w:val="20"/>
          <w:lang w:val="en-GB"/>
        </w:rPr>
        <w:t xml:space="preserve">World Bank (2010a) </w:t>
      </w:r>
      <w:r w:rsidRPr="00BF6E72">
        <w:rPr>
          <w:rFonts w:ascii="Calibri" w:hAnsi="Calibri" w:cs="Calibri"/>
          <w:b/>
          <w:i/>
          <w:color w:val="17365D" w:themeColor="text2" w:themeShade="BF"/>
          <w:sz w:val="20"/>
          <w:szCs w:val="20"/>
          <w:lang w:val="en-GB"/>
        </w:rPr>
        <w:t>Development and Climate Change</w:t>
      </w:r>
      <w:r w:rsidRPr="00BF6E72">
        <w:rPr>
          <w:rFonts w:ascii="Calibri" w:hAnsi="Calibri" w:cs="Calibri"/>
          <w:b/>
          <w:color w:val="17365D" w:themeColor="text2" w:themeShade="BF"/>
          <w:sz w:val="20"/>
          <w:szCs w:val="20"/>
          <w:lang w:val="en-GB"/>
        </w:rPr>
        <w:t xml:space="preserve">. </w:t>
      </w:r>
      <w:proofErr w:type="gramStart"/>
      <w:r w:rsidRPr="00BF6E72">
        <w:rPr>
          <w:rFonts w:ascii="Calibri" w:hAnsi="Calibri" w:cs="Calibri"/>
          <w:b/>
          <w:color w:val="17365D" w:themeColor="text2" w:themeShade="BF"/>
          <w:sz w:val="20"/>
          <w:szCs w:val="20"/>
          <w:lang w:val="en-GB"/>
        </w:rPr>
        <w:t>World Development Report 2010.</w:t>
      </w:r>
      <w:proofErr w:type="gramEnd"/>
      <w:r w:rsidRPr="00BF6E72">
        <w:rPr>
          <w:rFonts w:ascii="Calibri" w:hAnsi="Calibri" w:cs="Calibri"/>
          <w:color w:val="17365D" w:themeColor="text2" w:themeShade="BF"/>
          <w:sz w:val="20"/>
          <w:szCs w:val="20"/>
          <w:lang w:val="en-GB"/>
        </w:rPr>
        <w:t xml:space="preserve"> World Bank, Washington, DC. </w:t>
      </w:r>
      <w:proofErr w:type="gramStart"/>
      <w:r w:rsidRPr="00BF6E72">
        <w:rPr>
          <w:rFonts w:ascii="Calibri" w:hAnsi="Calibri" w:cs="Calibri"/>
          <w:color w:val="17365D" w:themeColor="text2" w:themeShade="BF"/>
          <w:sz w:val="20"/>
          <w:szCs w:val="20"/>
          <w:lang w:val="en-GB"/>
        </w:rPr>
        <w:t>Selected indicators, pp. 361-373.</w:t>
      </w:r>
      <w:proofErr w:type="gramEnd"/>
    </w:p>
    <w:sectPr w:rsidR="00BF6E72" w:rsidRPr="00BF6E72" w:rsidSect="004528F8">
      <w:headerReference w:type="default" r:id="rId28"/>
      <w:footerReference w:type="default" r:id="rId29"/>
      <w:pgSz w:w="11906" w:h="16838" w:code="9"/>
      <w:pgMar w:top="1134" w:right="1418" w:bottom="1134" w:left="1276" w:header="709" w:footer="567"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E93BB" w14:textId="77777777" w:rsidR="006C67CF" w:rsidRDefault="006C67CF" w:rsidP="00CD7634">
      <w:r>
        <w:separator/>
      </w:r>
    </w:p>
  </w:endnote>
  <w:endnote w:type="continuationSeparator" w:id="0">
    <w:p w14:paraId="474FAF7B" w14:textId="77777777" w:rsidR="006C67CF" w:rsidRDefault="006C67CF" w:rsidP="00CD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Cambria Math">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SimSun">
    <w:altName w:val="Arial Unicode MS"/>
    <w:panose1 w:val="00000000000000000000"/>
    <w:charset w:val="86"/>
    <w:family w:val="auto"/>
    <w:notTrueType/>
    <w:pitch w:val="variable"/>
    <w:sig w:usb0="00000001" w:usb1="080E0000" w:usb2="00000010" w:usb3="00000000" w:csb0="00040000"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5" w:type="dxa"/>
      <w:tblInd w:w="-709" w:type="dxa"/>
      <w:tblLayout w:type="fixed"/>
      <w:tblCellMar>
        <w:left w:w="0" w:type="dxa"/>
        <w:right w:w="0" w:type="dxa"/>
      </w:tblCellMar>
      <w:tblLook w:val="00A0" w:firstRow="1" w:lastRow="0" w:firstColumn="1" w:lastColumn="0" w:noHBand="0" w:noVBand="0"/>
    </w:tblPr>
    <w:tblGrid>
      <w:gridCol w:w="10065"/>
      <w:gridCol w:w="20"/>
    </w:tblGrid>
    <w:tr w:rsidR="006C67CF" w:rsidRPr="00352593" w14:paraId="5D0B3BD8" w14:textId="77777777" w:rsidTr="00405D53">
      <w:tc>
        <w:tcPr>
          <w:tcW w:w="10065" w:type="dxa"/>
          <w:vAlign w:val="center"/>
        </w:tcPr>
        <w:p w14:paraId="688D0B30" w14:textId="77777777" w:rsidR="006C67CF" w:rsidRPr="007C472C" w:rsidRDefault="006C67CF" w:rsidP="00405D53">
          <w:pPr>
            <w:pStyle w:val="Footer"/>
            <w:jc w:val="center"/>
            <w:rPr>
              <w:lang w:val="en-GB"/>
            </w:rPr>
          </w:pPr>
          <w:r w:rsidRPr="007C472C">
            <w:rPr>
              <w:noProof/>
              <w:lang w:val="en-US"/>
            </w:rPr>
            <w:drawing>
              <wp:inline distT="0" distB="0" distL="0" distR="0" wp14:anchorId="72B32EC9" wp14:editId="5F16D405">
                <wp:extent cx="1114806" cy="775335"/>
                <wp:effectExtent l="19050" t="0" r="9144" b="0"/>
                <wp:docPr id="1" name="Picture 1" descr="C:\Users\catherine\Pictures\GCCA+EC\logo_ce-en-rvb-lr_2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erine\Pictures\GCCA+EC\logo_ce-en-rvb-lr_2012-01.jpg"/>
                        <pic:cNvPicPr>
                          <a:picLocks noChangeAspect="1" noChangeArrowheads="1"/>
                        </pic:cNvPicPr>
                      </pic:nvPicPr>
                      <pic:blipFill>
                        <a:blip r:embed="rId1"/>
                        <a:srcRect/>
                        <a:stretch>
                          <a:fillRect/>
                        </a:stretch>
                      </pic:blipFill>
                      <pic:spPr bwMode="auto">
                        <a:xfrm>
                          <a:off x="0" y="0"/>
                          <a:ext cx="1114806" cy="775335"/>
                        </a:xfrm>
                        <a:prstGeom prst="rect">
                          <a:avLst/>
                        </a:prstGeom>
                        <a:noFill/>
                        <a:ln w="9525">
                          <a:noFill/>
                          <a:miter lim="800000"/>
                          <a:headEnd/>
                          <a:tailEnd/>
                        </a:ln>
                      </pic:spPr>
                    </pic:pic>
                  </a:graphicData>
                </a:graphic>
              </wp:inline>
            </w:drawing>
          </w:r>
        </w:p>
      </w:tc>
      <w:tc>
        <w:tcPr>
          <w:tcW w:w="20" w:type="dxa"/>
          <w:vAlign w:val="bottom"/>
        </w:tcPr>
        <w:p w14:paraId="05F32CD3" w14:textId="110A8EAE" w:rsidR="006C67CF" w:rsidRPr="007C472C" w:rsidRDefault="006C67CF" w:rsidP="007C472C">
          <w:pPr>
            <w:pStyle w:val="Footer"/>
            <w:rPr>
              <w:lang w:val="en-GB"/>
            </w:rPr>
          </w:pPr>
        </w:p>
      </w:tc>
    </w:tr>
  </w:tbl>
  <w:p w14:paraId="1303B938" w14:textId="77777777" w:rsidR="006C67CF" w:rsidRPr="007C472C" w:rsidRDefault="006C67CF" w:rsidP="007C472C">
    <w:pPr>
      <w:pStyle w:val="Footer"/>
      <w:rPr>
        <w:sz w:val="4"/>
        <w:szCs w:val="4"/>
        <w:lang w:val="en-G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9C062" w14:textId="77777777" w:rsidR="006C67CF" w:rsidRPr="00C0293F" w:rsidRDefault="006C67CF" w:rsidP="00D624F0">
    <w:pPr>
      <w:pStyle w:val="Footer"/>
      <w:pBdr>
        <w:top w:val="single" w:sz="4" w:space="1" w:color="auto"/>
      </w:pBdr>
      <w:tabs>
        <w:tab w:val="clear" w:pos="9072"/>
        <w:tab w:val="right" w:pos="9214"/>
      </w:tabs>
      <w:jc w:val="center"/>
      <w:rPr>
        <w:rFonts w:asciiTheme="minorHAnsi" w:hAnsiTheme="minorHAnsi" w:cstheme="minorHAnsi"/>
        <w:sz w:val="12"/>
        <w:szCs w:val="12"/>
      </w:rPr>
    </w:pPr>
  </w:p>
  <w:p w14:paraId="04C653C9" w14:textId="77777777" w:rsidR="006C67CF" w:rsidRPr="00D410C4" w:rsidRDefault="006C67CF" w:rsidP="00D624F0">
    <w:pPr>
      <w:pStyle w:val="Footer"/>
      <w:tabs>
        <w:tab w:val="clear" w:pos="9072"/>
        <w:tab w:val="right" w:pos="9214"/>
        <w:tab w:val="right" w:pos="14601"/>
      </w:tabs>
      <w:jc w:val="left"/>
      <w:rPr>
        <w:rFonts w:asciiTheme="minorHAnsi" w:hAnsiTheme="minorHAnsi" w:cstheme="minorHAnsi"/>
        <w:sz w:val="20"/>
        <w:szCs w:val="20"/>
        <w:lang w:val="en-GB"/>
      </w:rPr>
    </w:pPr>
    <w:r>
      <w:rPr>
        <w:rFonts w:asciiTheme="minorHAnsi" w:hAnsiTheme="minorHAnsi" w:cstheme="minorHAnsi"/>
        <w:sz w:val="20"/>
        <w:szCs w:val="20"/>
        <w:lang w:val="en-GB"/>
      </w:rPr>
      <w:t>Module 9</w:t>
    </w:r>
    <w:r w:rsidRPr="00D410C4">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Mainstreaming </w:t>
    </w:r>
    <w:r w:rsidRPr="00D410C4">
      <w:rPr>
        <w:rFonts w:asciiTheme="minorHAnsi" w:hAnsiTheme="minorHAnsi" w:cstheme="minorHAnsi"/>
        <w:sz w:val="20"/>
        <w:szCs w:val="20"/>
        <w:lang w:val="en-GB"/>
      </w:rPr>
      <w:t>climate change</w:t>
    </w:r>
    <w:r>
      <w:rPr>
        <w:rFonts w:asciiTheme="minorHAnsi" w:hAnsiTheme="minorHAnsi" w:cstheme="minorHAnsi"/>
        <w:sz w:val="20"/>
        <w:szCs w:val="20"/>
        <w:lang w:val="en-GB"/>
      </w:rPr>
      <w:t xml:space="preserve"> in monitoring systems</w:t>
    </w:r>
    <w:r>
      <w:rPr>
        <w:rFonts w:asciiTheme="minorHAnsi" w:hAnsiTheme="minorHAnsi" w:cstheme="minorHAnsi"/>
        <w:sz w:val="20"/>
        <w:szCs w:val="20"/>
        <w:lang w:val="en-GB"/>
      </w:rPr>
      <w:tab/>
    </w:r>
    <w:r w:rsidRPr="00D410C4">
      <w:rPr>
        <w:rFonts w:asciiTheme="minorHAnsi" w:hAnsiTheme="minorHAnsi" w:cstheme="minorHAnsi"/>
        <w:sz w:val="20"/>
        <w:szCs w:val="20"/>
        <w:lang w:val="en-GB"/>
      </w:rPr>
      <w:t xml:space="preserve"> </w:t>
    </w:r>
    <w:r w:rsidRPr="00D410C4">
      <w:rPr>
        <w:rFonts w:asciiTheme="minorHAnsi" w:hAnsiTheme="minorHAnsi" w:cstheme="minorHAnsi"/>
        <w:sz w:val="20"/>
        <w:szCs w:val="20"/>
      </w:rPr>
      <w:fldChar w:fldCharType="begin"/>
    </w:r>
    <w:r w:rsidRPr="00D410C4">
      <w:rPr>
        <w:rFonts w:asciiTheme="minorHAnsi" w:hAnsiTheme="minorHAnsi" w:cstheme="minorHAnsi"/>
        <w:sz w:val="20"/>
        <w:szCs w:val="20"/>
        <w:lang w:val="en-GB"/>
      </w:rPr>
      <w:instrText xml:space="preserve"> PAGE   \* MERGEFORMAT </w:instrText>
    </w:r>
    <w:r w:rsidRPr="00D410C4">
      <w:rPr>
        <w:rFonts w:asciiTheme="minorHAnsi" w:hAnsiTheme="minorHAnsi" w:cstheme="minorHAnsi"/>
        <w:sz w:val="20"/>
        <w:szCs w:val="20"/>
      </w:rPr>
      <w:fldChar w:fldCharType="separate"/>
    </w:r>
    <w:r w:rsidR="00150D28">
      <w:rPr>
        <w:rFonts w:asciiTheme="minorHAnsi" w:hAnsiTheme="minorHAnsi" w:cstheme="minorHAnsi"/>
        <w:noProof/>
        <w:sz w:val="20"/>
        <w:szCs w:val="20"/>
        <w:lang w:val="en-GB"/>
      </w:rPr>
      <w:t>8</w:t>
    </w:r>
    <w:r w:rsidRPr="00D410C4">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1B227" w14:textId="77777777" w:rsidR="006C67CF" w:rsidRDefault="006C67CF" w:rsidP="00CD7634">
      <w:r>
        <w:separator/>
      </w:r>
    </w:p>
  </w:footnote>
  <w:footnote w:type="continuationSeparator" w:id="0">
    <w:p w14:paraId="1929343F" w14:textId="77777777" w:rsidR="006C67CF" w:rsidRDefault="006C67CF" w:rsidP="00CD7634">
      <w:r>
        <w:continuationSeparator/>
      </w:r>
    </w:p>
  </w:footnote>
  <w:footnote w:id="1">
    <w:p w14:paraId="09D0BF87" w14:textId="77777777" w:rsidR="006C67CF" w:rsidRPr="00DD3728" w:rsidRDefault="006C67CF">
      <w:pPr>
        <w:pStyle w:val="FootnoteText"/>
        <w:rPr>
          <w:lang w:val="en-GB"/>
        </w:rPr>
      </w:pPr>
      <w:r>
        <w:rPr>
          <w:rStyle w:val="FootnoteReference"/>
        </w:rPr>
        <w:footnoteRef/>
      </w:r>
      <w:r w:rsidRPr="00DD3728">
        <w:rPr>
          <w:lang w:val="en-GB"/>
        </w:rPr>
        <w:t xml:space="preserve"> </w:t>
      </w:r>
      <w:r>
        <w:rPr>
          <w:lang w:val="en-GB"/>
        </w:rPr>
        <w:t>A full logical framework includes two additional columns: one specifying ‘sources of verification’ i.e. the origin of the data and information needed to monitor the chosen ‘objectively verifiable indicators’; and one specifying assumptions and risks i.e. external factors that may influence capacity to achieve objectives.</w:t>
      </w:r>
    </w:p>
  </w:footnote>
  <w:footnote w:id="2">
    <w:p w14:paraId="28504D40" w14:textId="77777777" w:rsidR="006C67CF" w:rsidRPr="004B57A4" w:rsidRDefault="006C67CF">
      <w:pPr>
        <w:pStyle w:val="FootnoteText"/>
        <w:rPr>
          <w:lang w:val="en-GB"/>
        </w:rPr>
      </w:pPr>
      <w:r>
        <w:rPr>
          <w:rStyle w:val="FootnoteReference"/>
        </w:rPr>
        <w:footnoteRef/>
      </w:r>
      <w:r w:rsidRPr="004B57A4">
        <w:rPr>
          <w:lang w:val="en-GB"/>
        </w:rPr>
        <w:t xml:space="preserve"> As far as adaptation is concerned, </w:t>
      </w:r>
      <w:r>
        <w:rPr>
          <w:lang w:val="en-GB"/>
        </w:rPr>
        <w:t>monitoring and assessing</w:t>
      </w:r>
      <w:r w:rsidRPr="004B57A4">
        <w:rPr>
          <w:lang w:val="en-GB"/>
        </w:rPr>
        <w:t xml:space="preserve"> </w:t>
      </w:r>
      <w:r>
        <w:rPr>
          <w:lang w:val="en-GB"/>
        </w:rPr>
        <w:t xml:space="preserve">relevance, </w:t>
      </w:r>
      <w:r w:rsidRPr="004B57A4">
        <w:rPr>
          <w:lang w:val="en-GB"/>
        </w:rPr>
        <w:t xml:space="preserve">effectiveness and efficiency should be possible with regard to current climate risks and variability, but may be difficult </w:t>
      </w:r>
      <w:r>
        <w:rPr>
          <w:lang w:val="en-GB"/>
        </w:rPr>
        <w:t>or impossible with regard to future climate risks and variability, or very infrequent climate events. In the approach to monitoring and evaluation, a distinction has to be made between no- and low-regret measures – which are already justified on the basis of current climate conditions, and adaptation measures aimed at long-term climate change – the effectiveness and efficiency of which cannot be established in the short term (OECD 2009a).</w:t>
      </w:r>
    </w:p>
  </w:footnote>
  <w:footnote w:id="3">
    <w:p w14:paraId="2BB0545D" w14:textId="77777777" w:rsidR="006C67CF" w:rsidRPr="00CD7B44" w:rsidRDefault="006C67CF" w:rsidP="00BF6E72">
      <w:pPr>
        <w:pStyle w:val="FootnoteText"/>
        <w:rPr>
          <w:lang w:val="en-GB"/>
        </w:rPr>
      </w:pPr>
      <w:r>
        <w:rPr>
          <w:rStyle w:val="FootnoteReference"/>
        </w:rPr>
        <w:footnoteRef/>
      </w:r>
      <w:r w:rsidRPr="00CD7B44">
        <w:rPr>
          <w:lang w:val="en-GB"/>
        </w:rPr>
        <w:t xml:space="preserve"> For this indicator</w:t>
      </w:r>
      <w:r>
        <w:rPr>
          <w:lang w:val="en-GB"/>
        </w:rPr>
        <w:t xml:space="preserve"> to be valid</w:t>
      </w:r>
      <w:r w:rsidRPr="00CD7B44">
        <w:rPr>
          <w:lang w:val="en-GB"/>
        </w:rPr>
        <w:t xml:space="preserve">, </w:t>
      </w:r>
      <w:r>
        <w:rPr>
          <w:lang w:val="en-GB"/>
        </w:rPr>
        <w:t>it should be based on a periodic</w:t>
      </w:r>
      <w:r w:rsidRPr="00CD7B44">
        <w:rPr>
          <w:lang w:val="en-GB"/>
        </w:rPr>
        <w:t xml:space="preserve"> survey of a group </w:t>
      </w:r>
      <w:r>
        <w:rPr>
          <w:lang w:val="en-GB"/>
        </w:rPr>
        <w:t>of informants</w:t>
      </w:r>
      <w:r w:rsidRPr="00CD7B44">
        <w:rPr>
          <w:lang w:val="en-GB"/>
        </w:rPr>
        <w:t xml:space="preserve"> representing various</w:t>
      </w:r>
      <w:r>
        <w:rPr>
          <w:lang w:val="en-GB"/>
        </w:rPr>
        <w:t xml:space="preserve"> categories of stakeholders – and the composition of this group should be stable across surveys.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7E762" w14:textId="77777777" w:rsidR="006C67CF" w:rsidRDefault="006C67CF" w:rsidP="00554F21">
    <w:pPr>
      <w:pStyle w:val="Header"/>
      <w:tabs>
        <w:tab w:val="clear" w:pos="9072"/>
        <w:tab w:val="right" w:pos="9923"/>
      </w:tabs>
      <w:ind w:right="-853"/>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618C5" w14:textId="77777777" w:rsidR="006C67CF" w:rsidRDefault="006C67CF" w:rsidP="00D410C4">
    <w:pPr>
      <w:pStyle w:val="Header"/>
      <w:tabs>
        <w:tab w:val="clear" w:pos="9072"/>
        <w:tab w:val="right" w:pos="9923"/>
      </w:tabs>
      <w:ind w:right="-853"/>
    </w:pP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A2FDF"/>
    <w:multiLevelType w:val="hybridMultilevel"/>
    <w:tmpl w:val="5DC0EF9C"/>
    <w:lvl w:ilvl="0" w:tplc="A3C06F4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A3C06F48">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636ABC"/>
    <w:multiLevelType w:val="hybridMultilevel"/>
    <w:tmpl w:val="12D25F02"/>
    <w:lvl w:ilvl="0" w:tplc="1AFCB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AF4ABB"/>
    <w:multiLevelType w:val="multilevel"/>
    <w:tmpl w:val="0A34C0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2D72D1A"/>
    <w:multiLevelType w:val="hybridMultilevel"/>
    <w:tmpl w:val="0CDA75A0"/>
    <w:lvl w:ilvl="0" w:tplc="18049D32">
      <w:start w:val="1"/>
      <w:numFmt w:val="decimal"/>
      <w:lvlText w:val="%1."/>
      <w:lvlJc w:val="left"/>
      <w:pPr>
        <w:ind w:left="720" w:hanging="360"/>
      </w:pPr>
      <w:rPr>
        <w:rFonts w:hint="default"/>
      </w:rPr>
    </w:lvl>
    <w:lvl w:ilvl="1" w:tplc="A6C4239C">
      <w:start w:val="1"/>
      <w:numFmt w:val="bullet"/>
      <w:lvlText w:val="-"/>
      <w:lvlJc w:val="left"/>
      <w:pPr>
        <w:ind w:left="1440" w:hanging="360"/>
      </w:pPr>
      <w:rPr>
        <w:rFonts w:ascii="Calibri" w:eastAsiaTheme="minorHAnsi" w:hAnsi="Calibri" w:cs="Calibri" w:hint="default"/>
      </w:rPr>
    </w:lvl>
    <w:lvl w:ilvl="2" w:tplc="080C0003">
      <w:start w:val="1"/>
      <w:numFmt w:val="bullet"/>
      <w:lvlText w:val="o"/>
      <w:lvlJc w:val="left"/>
      <w:pPr>
        <w:ind w:left="2160" w:hanging="180"/>
      </w:pPr>
      <w:rPr>
        <w:rFonts w:ascii="Courier New" w:hAnsi="Courier New" w:cs="Courier New"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CD0603"/>
    <w:multiLevelType w:val="hybridMultilevel"/>
    <w:tmpl w:val="B8E00DE4"/>
    <w:lvl w:ilvl="0" w:tplc="1AFCB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402EE5"/>
    <w:multiLevelType w:val="hybridMultilevel"/>
    <w:tmpl w:val="7C621FA0"/>
    <w:lvl w:ilvl="0" w:tplc="08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5D061B"/>
    <w:multiLevelType w:val="hybridMultilevel"/>
    <w:tmpl w:val="D3620BC2"/>
    <w:lvl w:ilvl="0" w:tplc="A6C4239C">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F325D9F"/>
    <w:multiLevelType w:val="hybridMultilevel"/>
    <w:tmpl w:val="3E6E7BB6"/>
    <w:lvl w:ilvl="0" w:tplc="5D064CC4">
      <w:start w:val="5"/>
      <w:numFmt w:val="bullet"/>
      <w:pStyle w:val="TablebulletsCPA"/>
      <w:lvlText w:val="-"/>
      <w:lvlJc w:val="left"/>
      <w:pPr>
        <w:ind w:left="383"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6459FE"/>
    <w:multiLevelType w:val="hybridMultilevel"/>
    <w:tmpl w:val="781C6734"/>
    <w:lvl w:ilvl="0" w:tplc="A6C4239C">
      <w:start w:val="1"/>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nsid w:val="64585551"/>
    <w:multiLevelType w:val="hybridMultilevel"/>
    <w:tmpl w:val="9658358A"/>
    <w:lvl w:ilvl="0" w:tplc="08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733861"/>
    <w:multiLevelType w:val="hybridMultilevel"/>
    <w:tmpl w:val="445A7C86"/>
    <w:lvl w:ilvl="0" w:tplc="A6C4239C">
      <w:start w:val="1"/>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nsid w:val="733C0AD8"/>
    <w:multiLevelType w:val="hybridMultilevel"/>
    <w:tmpl w:val="CFC451DC"/>
    <w:lvl w:ilvl="0" w:tplc="080C0011">
      <w:start w:val="1"/>
      <w:numFmt w:val="decimal"/>
      <w:lvlText w:val="%1)"/>
      <w:lvlJc w:val="left"/>
      <w:pPr>
        <w:ind w:left="720" w:hanging="360"/>
      </w:pPr>
      <w:rPr>
        <w:rFonts w:hint="default"/>
      </w:rPr>
    </w:lvl>
    <w:lvl w:ilvl="1" w:tplc="A6C4239C">
      <w:start w:val="1"/>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776F3D09"/>
    <w:multiLevelType w:val="hybridMultilevel"/>
    <w:tmpl w:val="4E64A59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7D174056"/>
    <w:multiLevelType w:val="hybridMultilevel"/>
    <w:tmpl w:val="BC8CC8AA"/>
    <w:lvl w:ilvl="0" w:tplc="04090001">
      <w:start w:val="1"/>
      <w:numFmt w:val="bullet"/>
      <w:lvlText w:val=""/>
      <w:lvlJc w:val="left"/>
      <w:pPr>
        <w:ind w:left="1093" w:hanging="360"/>
      </w:pPr>
      <w:rPr>
        <w:rFonts w:ascii="Symbol" w:hAnsi="Symbol" w:hint="default"/>
      </w:rPr>
    </w:lvl>
    <w:lvl w:ilvl="1" w:tplc="04090003" w:tentative="1">
      <w:start w:val="1"/>
      <w:numFmt w:val="bullet"/>
      <w:lvlText w:val="o"/>
      <w:lvlJc w:val="left"/>
      <w:pPr>
        <w:ind w:left="1813" w:hanging="360"/>
      </w:pPr>
      <w:rPr>
        <w:rFonts w:ascii="Courier New" w:hAnsi="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14">
    <w:nsid w:val="7DA3378B"/>
    <w:multiLevelType w:val="multilevel"/>
    <w:tmpl w:val="2C9487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11"/>
  </w:num>
  <w:num w:numId="3">
    <w:abstractNumId w:val="6"/>
  </w:num>
  <w:num w:numId="4">
    <w:abstractNumId w:val="7"/>
  </w:num>
  <w:num w:numId="5">
    <w:abstractNumId w:val="10"/>
  </w:num>
  <w:num w:numId="6">
    <w:abstractNumId w:val="0"/>
  </w:num>
  <w:num w:numId="7">
    <w:abstractNumId w:val="1"/>
  </w:num>
  <w:num w:numId="8">
    <w:abstractNumId w:val="4"/>
  </w:num>
  <w:num w:numId="9">
    <w:abstractNumId w:val="12"/>
  </w:num>
  <w:num w:numId="10">
    <w:abstractNumId w:val="9"/>
  </w:num>
  <w:num w:numId="11">
    <w:abstractNumId w:val="5"/>
  </w:num>
  <w:num w:numId="12">
    <w:abstractNumId w:val="8"/>
  </w:num>
  <w:num w:numId="13">
    <w:abstractNumId w:val="14"/>
  </w:num>
  <w:num w:numId="14">
    <w:abstractNumId w:val="2"/>
  </w:num>
  <w:num w:numId="1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F8"/>
    <w:rsid w:val="000014E3"/>
    <w:rsid w:val="000035E4"/>
    <w:rsid w:val="00005AD9"/>
    <w:rsid w:val="00005FF6"/>
    <w:rsid w:val="0001310B"/>
    <w:rsid w:val="000146C3"/>
    <w:rsid w:val="000377DF"/>
    <w:rsid w:val="000415E0"/>
    <w:rsid w:val="0004358C"/>
    <w:rsid w:val="00045D9F"/>
    <w:rsid w:val="00051D52"/>
    <w:rsid w:val="00054E2F"/>
    <w:rsid w:val="000603C5"/>
    <w:rsid w:val="00062112"/>
    <w:rsid w:val="0006778F"/>
    <w:rsid w:val="00067E11"/>
    <w:rsid w:val="0008556D"/>
    <w:rsid w:val="00093BD0"/>
    <w:rsid w:val="000963F3"/>
    <w:rsid w:val="00097404"/>
    <w:rsid w:val="000A175D"/>
    <w:rsid w:val="000A59D9"/>
    <w:rsid w:val="000B3735"/>
    <w:rsid w:val="000B4BC5"/>
    <w:rsid w:val="000B714A"/>
    <w:rsid w:val="000C5464"/>
    <w:rsid w:val="000C6A3C"/>
    <w:rsid w:val="000D4B01"/>
    <w:rsid w:val="000D5A24"/>
    <w:rsid w:val="000E13FD"/>
    <w:rsid w:val="000F01A7"/>
    <w:rsid w:val="000F1805"/>
    <w:rsid w:val="000F195F"/>
    <w:rsid w:val="00103F27"/>
    <w:rsid w:val="00106D15"/>
    <w:rsid w:val="0011104F"/>
    <w:rsid w:val="001130F0"/>
    <w:rsid w:val="00123165"/>
    <w:rsid w:val="00124545"/>
    <w:rsid w:val="00132BCA"/>
    <w:rsid w:val="00133A7B"/>
    <w:rsid w:val="00140AC5"/>
    <w:rsid w:val="00143528"/>
    <w:rsid w:val="00143FFB"/>
    <w:rsid w:val="00150D28"/>
    <w:rsid w:val="00155A70"/>
    <w:rsid w:val="00157A2D"/>
    <w:rsid w:val="00161661"/>
    <w:rsid w:val="0016384B"/>
    <w:rsid w:val="001645EE"/>
    <w:rsid w:val="0016504E"/>
    <w:rsid w:val="00165200"/>
    <w:rsid w:val="001669D6"/>
    <w:rsid w:val="001703DE"/>
    <w:rsid w:val="001737E5"/>
    <w:rsid w:val="00173D33"/>
    <w:rsid w:val="00177DA1"/>
    <w:rsid w:val="0018144D"/>
    <w:rsid w:val="001976F7"/>
    <w:rsid w:val="001A1A11"/>
    <w:rsid w:val="001A5F0D"/>
    <w:rsid w:val="001B1FDD"/>
    <w:rsid w:val="001B4DA8"/>
    <w:rsid w:val="001B7446"/>
    <w:rsid w:val="001D1EA3"/>
    <w:rsid w:val="001D469E"/>
    <w:rsid w:val="001D7A0F"/>
    <w:rsid w:val="001E08BE"/>
    <w:rsid w:val="001E2D6D"/>
    <w:rsid w:val="001E6DE1"/>
    <w:rsid w:val="001F29D0"/>
    <w:rsid w:val="00201436"/>
    <w:rsid w:val="00206276"/>
    <w:rsid w:val="00213181"/>
    <w:rsid w:val="002169EE"/>
    <w:rsid w:val="00224A8B"/>
    <w:rsid w:val="0023019E"/>
    <w:rsid w:val="00230E11"/>
    <w:rsid w:val="002346A3"/>
    <w:rsid w:val="00234DE4"/>
    <w:rsid w:val="00237CED"/>
    <w:rsid w:val="00240116"/>
    <w:rsid w:val="00240510"/>
    <w:rsid w:val="00247BD4"/>
    <w:rsid w:val="0025371F"/>
    <w:rsid w:val="00255641"/>
    <w:rsid w:val="00261355"/>
    <w:rsid w:val="00276DEA"/>
    <w:rsid w:val="00290A07"/>
    <w:rsid w:val="00291454"/>
    <w:rsid w:val="00292C65"/>
    <w:rsid w:val="00294372"/>
    <w:rsid w:val="002A7774"/>
    <w:rsid w:val="002A7EBC"/>
    <w:rsid w:val="002B3E52"/>
    <w:rsid w:val="002B5355"/>
    <w:rsid w:val="002C0542"/>
    <w:rsid w:val="002C0666"/>
    <w:rsid w:val="002C5B6A"/>
    <w:rsid w:val="002C6F94"/>
    <w:rsid w:val="002D1A0D"/>
    <w:rsid w:val="002D3000"/>
    <w:rsid w:val="002D31C7"/>
    <w:rsid w:val="002D429B"/>
    <w:rsid w:val="002D4BE6"/>
    <w:rsid w:val="002D4DF0"/>
    <w:rsid w:val="002D54F8"/>
    <w:rsid w:val="002D58B5"/>
    <w:rsid w:val="002D6399"/>
    <w:rsid w:val="002E1615"/>
    <w:rsid w:val="002E4C44"/>
    <w:rsid w:val="002F1C86"/>
    <w:rsid w:val="002F6921"/>
    <w:rsid w:val="002F74EA"/>
    <w:rsid w:val="003010D6"/>
    <w:rsid w:val="0030233B"/>
    <w:rsid w:val="003039CE"/>
    <w:rsid w:val="00305D4E"/>
    <w:rsid w:val="003205C8"/>
    <w:rsid w:val="00332A34"/>
    <w:rsid w:val="0033336B"/>
    <w:rsid w:val="00336BCB"/>
    <w:rsid w:val="003416F2"/>
    <w:rsid w:val="003425D0"/>
    <w:rsid w:val="0034351A"/>
    <w:rsid w:val="003444E0"/>
    <w:rsid w:val="003447F9"/>
    <w:rsid w:val="0034642B"/>
    <w:rsid w:val="00352593"/>
    <w:rsid w:val="00354971"/>
    <w:rsid w:val="00362752"/>
    <w:rsid w:val="00365D22"/>
    <w:rsid w:val="00366E21"/>
    <w:rsid w:val="003716B7"/>
    <w:rsid w:val="00383F24"/>
    <w:rsid w:val="00384C6E"/>
    <w:rsid w:val="003855F9"/>
    <w:rsid w:val="00386FBC"/>
    <w:rsid w:val="0038780B"/>
    <w:rsid w:val="00390C18"/>
    <w:rsid w:val="003A4617"/>
    <w:rsid w:val="003A50CD"/>
    <w:rsid w:val="003B10A1"/>
    <w:rsid w:val="003B2234"/>
    <w:rsid w:val="003B3FEB"/>
    <w:rsid w:val="003B5047"/>
    <w:rsid w:val="003B67CD"/>
    <w:rsid w:val="003B7A50"/>
    <w:rsid w:val="003C1704"/>
    <w:rsid w:val="003C2FD7"/>
    <w:rsid w:val="003C3A18"/>
    <w:rsid w:val="003C64C6"/>
    <w:rsid w:val="003D0010"/>
    <w:rsid w:val="003D2BB4"/>
    <w:rsid w:val="003D5C9C"/>
    <w:rsid w:val="003E0A49"/>
    <w:rsid w:val="003E764B"/>
    <w:rsid w:val="003F0BB2"/>
    <w:rsid w:val="003F1F2F"/>
    <w:rsid w:val="003F59BA"/>
    <w:rsid w:val="003F630C"/>
    <w:rsid w:val="0040424B"/>
    <w:rsid w:val="00405D53"/>
    <w:rsid w:val="004065DE"/>
    <w:rsid w:val="0040730E"/>
    <w:rsid w:val="004129D2"/>
    <w:rsid w:val="004175B0"/>
    <w:rsid w:val="004255A9"/>
    <w:rsid w:val="004316B8"/>
    <w:rsid w:val="00432568"/>
    <w:rsid w:val="00432A85"/>
    <w:rsid w:val="0043409F"/>
    <w:rsid w:val="00434337"/>
    <w:rsid w:val="00435175"/>
    <w:rsid w:val="00442CE9"/>
    <w:rsid w:val="00444699"/>
    <w:rsid w:val="004528F8"/>
    <w:rsid w:val="00452C58"/>
    <w:rsid w:val="004541A1"/>
    <w:rsid w:val="00461483"/>
    <w:rsid w:val="0047325C"/>
    <w:rsid w:val="0049493D"/>
    <w:rsid w:val="00495F68"/>
    <w:rsid w:val="004966E1"/>
    <w:rsid w:val="004A4618"/>
    <w:rsid w:val="004B2328"/>
    <w:rsid w:val="004B3401"/>
    <w:rsid w:val="004B57A4"/>
    <w:rsid w:val="004B67DF"/>
    <w:rsid w:val="004B7843"/>
    <w:rsid w:val="004C0BB2"/>
    <w:rsid w:val="004C292C"/>
    <w:rsid w:val="004C6B73"/>
    <w:rsid w:val="004D0AE2"/>
    <w:rsid w:val="004E613F"/>
    <w:rsid w:val="004E7B54"/>
    <w:rsid w:val="004F09BF"/>
    <w:rsid w:val="004F3D1B"/>
    <w:rsid w:val="004F4310"/>
    <w:rsid w:val="004F4EC6"/>
    <w:rsid w:val="004F4F46"/>
    <w:rsid w:val="00500FBD"/>
    <w:rsid w:val="00523714"/>
    <w:rsid w:val="005277AA"/>
    <w:rsid w:val="005358D8"/>
    <w:rsid w:val="00541080"/>
    <w:rsid w:val="0054504C"/>
    <w:rsid w:val="00545715"/>
    <w:rsid w:val="005463FC"/>
    <w:rsid w:val="00551E75"/>
    <w:rsid w:val="005543D5"/>
    <w:rsid w:val="00554F21"/>
    <w:rsid w:val="0056235D"/>
    <w:rsid w:val="005628D4"/>
    <w:rsid w:val="00565EA4"/>
    <w:rsid w:val="005674D5"/>
    <w:rsid w:val="00567558"/>
    <w:rsid w:val="005702E4"/>
    <w:rsid w:val="00573510"/>
    <w:rsid w:val="00574382"/>
    <w:rsid w:val="00595870"/>
    <w:rsid w:val="005A0F77"/>
    <w:rsid w:val="005A3EA0"/>
    <w:rsid w:val="005B3F48"/>
    <w:rsid w:val="005C303B"/>
    <w:rsid w:val="005C737E"/>
    <w:rsid w:val="005D175D"/>
    <w:rsid w:val="005D41B0"/>
    <w:rsid w:val="005D699C"/>
    <w:rsid w:val="005E2373"/>
    <w:rsid w:val="005E36D1"/>
    <w:rsid w:val="005E7E6E"/>
    <w:rsid w:val="00602600"/>
    <w:rsid w:val="006051B8"/>
    <w:rsid w:val="00605B88"/>
    <w:rsid w:val="00607D09"/>
    <w:rsid w:val="00612B74"/>
    <w:rsid w:val="00614B5A"/>
    <w:rsid w:val="00635F36"/>
    <w:rsid w:val="00636C29"/>
    <w:rsid w:val="00637C84"/>
    <w:rsid w:val="00650EC6"/>
    <w:rsid w:val="00654218"/>
    <w:rsid w:val="00657192"/>
    <w:rsid w:val="00657737"/>
    <w:rsid w:val="00661A80"/>
    <w:rsid w:val="00661B3A"/>
    <w:rsid w:val="006721BD"/>
    <w:rsid w:val="00675337"/>
    <w:rsid w:val="006766C6"/>
    <w:rsid w:val="00676FFB"/>
    <w:rsid w:val="0068222B"/>
    <w:rsid w:val="006825EB"/>
    <w:rsid w:val="00694344"/>
    <w:rsid w:val="0069519D"/>
    <w:rsid w:val="00695461"/>
    <w:rsid w:val="00695657"/>
    <w:rsid w:val="0069659F"/>
    <w:rsid w:val="00697BB4"/>
    <w:rsid w:val="00697D40"/>
    <w:rsid w:val="006A1EF3"/>
    <w:rsid w:val="006A22AE"/>
    <w:rsid w:val="006A283B"/>
    <w:rsid w:val="006A5A0A"/>
    <w:rsid w:val="006A7E31"/>
    <w:rsid w:val="006B3884"/>
    <w:rsid w:val="006B4C40"/>
    <w:rsid w:val="006C0760"/>
    <w:rsid w:val="006C1B5B"/>
    <w:rsid w:val="006C3C43"/>
    <w:rsid w:val="006C67CF"/>
    <w:rsid w:val="006D26B4"/>
    <w:rsid w:val="006D789D"/>
    <w:rsid w:val="006E50AB"/>
    <w:rsid w:val="006F285F"/>
    <w:rsid w:val="006F2CCF"/>
    <w:rsid w:val="006F6267"/>
    <w:rsid w:val="00700FB2"/>
    <w:rsid w:val="00703706"/>
    <w:rsid w:val="00705186"/>
    <w:rsid w:val="00711073"/>
    <w:rsid w:val="007110E1"/>
    <w:rsid w:val="0071140D"/>
    <w:rsid w:val="007156D0"/>
    <w:rsid w:val="0072118D"/>
    <w:rsid w:val="00731F2A"/>
    <w:rsid w:val="00732AEB"/>
    <w:rsid w:val="007451D2"/>
    <w:rsid w:val="00745B8A"/>
    <w:rsid w:val="00747E36"/>
    <w:rsid w:val="0075354E"/>
    <w:rsid w:val="00755F99"/>
    <w:rsid w:val="00761FDA"/>
    <w:rsid w:val="007625B8"/>
    <w:rsid w:val="00762BD1"/>
    <w:rsid w:val="00765857"/>
    <w:rsid w:val="0077595F"/>
    <w:rsid w:val="00775D07"/>
    <w:rsid w:val="00775EFC"/>
    <w:rsid w:val="00783AB1"/>
    <w:rsid w:val="007850BE"/>
    <w:rsid w:val="007860A2"/>
    <w:rsid w:val="00786FA1"/>
    <w:rsid w:val="00790943"/>
    <w:rsid w:val="00791D14"/>
    <w:rsid w:val="007A4272"/>
    <w:rsid w:val="007A49E6"/>
    <w:rsid w:val="007A54CD"/>
    <w:rsid w:val="007C07C6"/>
    <w:rsid w:val="007C1898"/>
    <w:rsid w:val="007C35DB"/>
    <w:rsid w:val="007C3AD3"/>
    <w:rsid w:val="007C472C"/>
    <w:rsid w:val="007C6903"/>
    <w:rsid w:val="007D0A3E"/>
    <w:rsid w:val="007D17E0"/>
    <w:rsid w:val="007E502C"/>
    <w:rsid w:val="007F1F27"/>
    <w:rsid w:val="007F2A32"/>
    <w:rsid w:val="00804592"/>
    <w:rsid w:val="0080550D"/>
    <w:rsid w:val="008137DD"/>
    <w:rsid w:val="008144F5"/>
    <w:rsid w:val="00820072"/>
    <w:rsid w:val="0082106C"/>
    <w:rsid w:val="008224DB"/>
    <w:rsid w:val="008352EE"/>
    <w:rsid w:val="00836B02"/>
    <w:rsid w:val="008422D9"/>
    <w:rsid w:val="00847E9C"/>
    <w:rsid w:val="00851BB4"/>
    <w:rsid w:val="00856F2A"/>
    <w:rsid w:val="008578B2"/>
    <w:rsid w:val="008655A0"/>
    <w:rsid w:val="00865CF2"/>
    <w:rsid w:val="008674F7"/>
    <w:rsid w:val="00870961"/>
    <w:rsid w:val="00870E27"/>
    <w:rsid w:val="00871212"/>
    <w:rsid w:val="00871AF5"/>
    <w:rsid w:val="0087389A"/>
    <w:rsid w:val="008776CC"/>
    <w:rsid w:val="008811B7"/>
    <w:rsid w:val="008823F2"/>
    <w:rsid w:val="0088442E"/>
    <w:rsid w:val="0089064B"/>
    <w:rsid w:val="00892824"/>
    <w:rsid w:val="00892E38"/>
    <w:rsid w:val="008A1264"/>
    <w:rsid w:val="008A208C"/>
    <w:rsid w:val="008A20CD"/>
    <w:rsid w:val="008A354B"/>
    <w:rsid w:val="008B6A1D"/>
    <w:rsid w:val="008C051B"/>
    <w:rsid w:val="008C11A8"/>
    <w:rsid w:val="008C238F"/>
    <w:rsid w:val="008C25B9"/>
    <w:rsid w:val="008C3BA0"/>
    <w:rsid w:val="008C4E16"/>
    <w:rsid w:val="008C5873"/>
    <w:rsid w:val="008C6D81"/>
    <w:rsid w:val="008D3F63"/>
    <w:rsid w:val="008D468C"/>
    <w:rsid w:val="008E2FC7"/>
    <w:rsid w:val="008F076A"/>
    <w:rsid w:val="008F0AC2"/>
    <w:rsid w:val="008F0D6D"/>
    <w:rsid w:val="00903DEA"/>
    <w:rsid w:val="00906065"/>
    <w:rsid w:val="00907EB6"/>
    <w:rsid w:val="0091042C"/>
    <w:rsid w:val="00910519"/>
    <w:rsid w:val="00917F98"/>
    <w:rsid w:val="00920CE9"/>
    <w:rsid w:val="009223DF"/>
    <w:rsid w:val="00923897"/>
    <w:rsid w:val="00943039"/>
    <w:rsid w:val="00961C62"/>
    <w:rsid w:val="00964907"/>
    <w:rsid w:val="009660CB"/>
    <w:rsid w:val="00974C61"/>
    <w:rsid w:val="00980653"/>
    <w:rsid w:val="00982F6D"/>
    <w:rsid w:val="009856DF"/>
    <w:rsid w:val="00987A7F"/>
    <w:rsid w:val="00993BFD"/>
    <w:rsid w:val="00996B83"/>
    <w:rsid w:val="009A71C2"/>
    <w:rsid w:val="009A76BE"/>
    <w:rsid w:val="009B013E"/>
    <w:rsid w:val="009B5977"/>
    <w:rsid w:val="009B5E19"/>
    <w:rsid w:val="009B7294"/>
    <w:rsid w:val="009B74C8"/>
    <w:rsid w:val="009C3FBC"/>
    <w:rsid w:val="009C757A"/>
    <w:rsid w:val="009D0360"/>
    <w:rsid w:val="009D5EBA"/>
    <w:rsid w:val="009E03A8"/>
    <w:rsid w:val="009E44FF"/>
    <w:rsid w:val="009E4E79"/>
    <w:rsid w:val="009E5E67"/>
    <w:rsid w:val="009F5543"/>
    <w:rsid w:val="00A05D26"/>
    <w:rsid w:val="00A12EA3"/>
    <w:rsid w:val="00A133A5"/>
    <w:rsid w:val="00A178C6"/>
    <w:rsid w:val="00A212A7"/>
    <w:rsid w:val="00A26AEB"/>
    <w:rsid w:val="00A26C19"/>
    <w:rsid w:val="00A27B93"/>
    <w:rsid w:val="00A31B17"/>
    <w:rsid w:val="00A32F36"/>
    <w:rsid w:val="00A43575"/>
    <w:rsid w:val="00A43736"/>
    <w:rsid w:val="00A51771"/>
    <w:rsid w:val="00A536AF"/>
    <w:rsid w:val="00A55DF2"/>
    <w:rsid w:val="00A65972"/>
    <w:rsid w:val="00A70A75"/>
    <w:rsid w:val="00A73072"/>
    <w:rsid w:val="00A73A81"/>
    <w:rsid w:val="00A8466B"/>
    <w:rsid w:val="00A92F4D"/>
    <w:rsid w:val="00A94A26"/>
    <w:rsid w:val="00AA6530"/>
    <w:rsid w:val="00AB1EAA"/>
    <w:rsid w:val="00AB6595"/>
    <w:rsid w:val="00AB7DA2"/>
    <w:rsid w:val="00AC314F"/>
    <w:rsid w:val="00AC793B"/>
    <w:rsid w:val="00AD6E3C"/>
    <w:rsid w:val="00AE2CDC"/>
    <w:rsid w:val="00AF2551"/>
    <w:rsid w:val="00AF2B0B"/>
    <w:rsid w:val="00AF3861"/>
    <w:rsid w:val="00AF4DE8"/>
    <w:rsid w:val="00AF77AF"/>
    <w:rsid w:val="00AF7A34"/>
    <w:rsid w:val="00B012E3"/>
    <w:rsid w:val="00B061A6"/>
    <w:rsid w:val="00B14F25"/>
    <w:rsid w:val="00B24501"/>
    <w:rsid w:val="00B24551"/>
    <w:rsid w:val="00B2676F"/>
    <w:rsid w:val="00B2689E"/>
    <w:rsid w:val="00B26D9C"/>
    <w:rsid w:val="00B30819"/>
    <w:rsid w:val="00B32144"/>
    <w:rsid w:val="00B357BF"/>
    <w:rsid w:val="00B442F9"/>
    <w:rsid w:val="00B542CC"/>
    <w:rsid w:val="00B549E0"/>
    <w:rsid w:val="00B563B7"/>
    <w:rsid w:val="00B71717"/>
    <w:rsid w:val="00B74CF0"/>
    <w:rsid w:val="00B75B04"/>
    <w:rsid w:val="00B76810"/>
    <w:rsid w:val="00B774CC"/>
    <w:rsid w:val="00B8003B"/>
    <w:rsid w:val="00B8185B"/>
    <w:rsid w:val="00B87C82"/>
    <w:rsid w:val="00B9107C"/>
    <w:rsid w:val="00BA2151"/>
    <w:rsid w:val="00BA73FE"/>
    <w:rsid w:val="00BB475E"/>
    <w:rsid w:val="00BD054B"/>
    <w:rsid w:val="00BD125E"/>
    <w:rsid w:val="00BD1C79"/>
    <w:rsid w:val="00BD26DD"/>
    <w:rsid w:val="00BD2A9E"/>
    <w:rsid w:val="00BD4A69"/>
    <w:rsid w:val="00BD5F9B"/>
    <w:rsid w:val="00BE066A"/>
    <w:rsid w:val="00BE5A3F"/>
    <w:rsid w:val="00BE6F1B"/>
    <w:rsid w:val="00BF119E"/>
    <w:rsid w:val="00BF6E72"/>
    <w:rsid w:val="00C01B1D"/>
    <w:rsid w:val="00C0293F"/>
    <w:rsid w:val="00C040BF"/>
    <w:rsid w:val="00C047AD"/>
    <w:rsid w:val="00C07593"/>
    <w:rsid w:val="00C12ED4"/>
    <w:rsid w:val="00C16888"/>
    <w:rsid w:val="00C21F11"/>
    <w:rsid w:val="00C230F3"/>
    <w:rsid w:val="00C24A98"/>
    <w:rsid w:val="00C325B4"/>
    <w:rsid w:val="00C33F7A"/>
    <w:rsid w:val="00C4118B"/>
    <w:rsid w:val="00C41328"/>
    <w:rsid w:val="00C5092A"/>
    <w:rsid w:val="00C50F76"/>
    <w:rsid w:val="00C56EC9"/>
    <w:rsid w:val="00C605A7"/>
    <w:rsid w:val="00C66CB4"/>
    <w:rsid w:val="00C711A6"/>
    <w:rsid w:val="00C72996"/>
    <w:rsid w:val="00C739CB"/>
    <w:rsid w:val="00C73F6F"/>
    <w:rsid w:val="00C7579B"/>
    <w:rsid w:val="00C82C3D"/>
    <w:rsid w:val="00C86815"/>
    <w:rsid w:val="00C90E8A"/>
    <w:rsid w:val="00C92B96"/>
    <w:rsid w:val="00C97BCB"/>
    <w:rsid w:val="00CB3482"/>
    <w:rsid w:val="00CB45FA"/>
    <w:rsid w:val="00CB5235"/>
    <w:rsid w:val="00CC270D"/>
    <w:rsid w:val="00CC46CC"/>
    <w:rsid w:val="00CC4A96"/>
    <w:rsid w:val="00CC7799"/>
    <w:rsid w:val="00CD0E88"/>
    <w:rsid w:val="00CD1FC6"/>
    <w:rsid w:val="00CD3292"/>
    <w:rsid w:val="00CD7634"/>
    <w:rsid w:val="00CE39B2"/>
    <w:rsid w:val="00CF19E5"/>
    <w:rsid w:val="00CF4FBB"/>
    <w:rsid w:val="00CF63FE"/>
    <w:rsid w:val="00CF6973"/>
    <w:rsid w:val="00D10C44"/>
    <w:rsid w:val="00D12F1C"/>
    <w:rsid w:val="00D23609"/>
    <w:rsid w:val="00D267CE"/>
    <w:rsid w:val="00D26B37"/>
    <w:rsid w:val="00D410C4"/>
    <w:rsid w:val="00D4634E"/>
    <w:rsid w:val="00D5706C"/>
    <w:rsid w:val="00D624F0"/>
    <w:rsid w:val="00D63AEB"/>
    <w:rsid w:val="00D63E9C"/>
    <w:rsid w:val="00D7326E"/>
    <w:rsid w:val="00D74465"/>
    <w:rsid w:val="00D74E5B"/>
    <w:rsid w:val="00D76C95"/>
    <w:rsid w:val="00D827D7"/>
    <w:rsid w:val="00D839C1"/>
    <w:rsid w:val="00D908B6"/>
    <w:rsid w:val="00D921FD"/>
    <w:rsid w:val="00D947F5"/>
    <w:rsid w:val="00D94B40"/>
    <w:rsid w:val="00DA43EB"/>
    <w:rsid w:val="00DA5E70"/>
    <w:rsid w:val="00DA72F5"/>
    <w:rsid w:val="00DA7CD5"/>
    <w:rsid w:val="00DB174A"/>
    <w:rsid w:val="00DB7217"/>
    <w:rsid w:val="00DC7218"/>
    <w:rsid w:val="00DC725A"/>
    <w:rsid w:val="00DD3728"/>
    <w:rsid w:val="00DD454E"/>
    <w:rsid w:val="00DD58ED"/>
    <w:rsid w:val="00DD65AA"/>
    <w:rsid w:val="00DE0C2D"/>
    <w:rsid w:val="00DE1038"/>
    <w:rsid w:val="00DE176A"/>
    <w:rsid w:val="00DE1FA9"/>
    <w:rsid w:val="00DE2A12"/>
    <w:rsid w:val="00DE2D92"/>
    <w:rsid w:val="00DE4B69"/>
    <w:rsid w:val="00DE52F7"/>
    <w:rsid w:val="00DF4ED9"/>
    <w:rsid w:val="00E0029A"/>
    <w:rsid w:val="00E03C95"/>
    <w:rsid w:val="00E1155E"/>
    <w:rsid w:val="00E1680C"/>
    <w:rsid w:val="00E208BD"/>
    <w:rsid w:val="00E211E8"/>
    <w:rsid w:val="00E21C78"/>
    <w:rsid w:val="00E226FC"/>
    <w:rsid w:val="00E2546F"/>
    <w:rsid w:val="00E261FA"/>
    <w:rsid w:val="00E26879"/>
    <w:rsid w:val="00E31873"/>
    <w:rsid w:val="00E32499"/>
    <w:rsid w:val="00E33041"/>
    <w:rsid w:val="00E4065C"/>
    <w:rsid w:val="00E41A2C"/>
    <w:rsid w:val="00E44804"/>
    <w:rsid w:val="00E4541E"/>
    <w:rsid w:val="00E47EEE"/>
    <w:rsid w:val="00E55033"/>
    <w:rsid w:val="00E562B9"/>
    <w:rsid w:val="00E57515"/>
    <w:rsid w:val="00E62B3F"/>
    <w:rsid w:val="00E67EA4"/>
    <w:rsid w:val="00E747B4"/>
    <w:rsid w:val="00E74B44"/>
    <w:rsid w:val="00E75294"/>
    <w:rsid w:val="00E76D70"/>
    <w:rsid w:val="00E858EB"/>
    <w:rsid w:val="00E908F2"/>
    <w:rsid w:val="00E90D00"/>
    <w:rsid w:val="00E90D69"/>
    <w:rsid w:val="00E95620"/>
    <w:rsid w:val="00E9620D"/>
    <w:rsid w:val="00EA4CED"/>
    <w:rsid w:val="00EA6C24"/>
    <w:rsid w:val="00EB02EC"/>
    <w:rsid w:val="00EB2CA4"/>
    <w:rsid w:val="00EB50E8"/>
    <w:rsid w:val="00EB5117"/>
    <w:rsid w:val="00EB5926"/>
    <w:rsid w:val="00EB70BC"/>
    <w:rsid w:val="00EC0C45"/>
    <w:rsid w:val="00ED329B"/>
    <w:rsid w:val="00EE5DDA"/>
    <w:rsid w:val="00EF28D1"/>
    <w:rsid w:val="00EF4492"/>
    <w:rsid w:val="00EF5CF8"/>
    <w:rsid w:val="00F02034"/>
    <w:rsid w:val="00F06FD0"/>
    <w:rsid w:val="00F12F36"/>
    <w:rsid w:val="00F20C5E"/>
    <w:rsid w:val="00F244FA"/>
    <w:rsid w:val="00F26372"/>
    <w:rsid w:val="00F31B1A"/>
    <w:rsid w:val="00F339E9"/>
    <w:rsid w:val="00F36863"/>
    <w:rsid w:val="00F416E7"/>
    <w:rsid w:val="00F42AAD"/>
    <w:rsid w:val="00F45097"/>
    <w:rsid w:val="00F45913"/>
    <w:rsid w:val="00F45A7F"/>
    <w:rsid w:val="00F52885"/>
    <w:rsid w:val="00F54096"/>
    <w:rsid w:val="00F54C0E"/>
    <w:rsid w:val="00F615F2"/>
    <w:rsid w:val="00F61E82"/>
    <w:rsid w:val="00F62D65"/>
    <w:rsid w:val="00F675B2"/>
    <w:rsid w:val="00F7631C"/>
    <w:rsid w:val="00F774B7"/>
    <w:rsid w:val="00F77BF6"/>
    <w:rsid w:val="00F81246"/>
    <w:rsid w:val="00F81523"/>
    <w:rsid w:val="00F857FF"/>
    <w:rsid w:val="00FA64C4"/>
    <w:rsid w:val="00FA71AE"/>
    <w:rsid w:val="00FA7AD0"/>
    <w:rsid w:val="00FB33CF"/>
    <w:rsid w:val="00FB4589"/>
    <w:rsid w:val="00FB4714"/>
    <w:rsid w:val="00FB70F9"/>
    <w:rsid w:val="00FC23DD"/>
    <w:rsid w:val="00FC2F29"/>
    <w:rsid w:val="00FD4B52"/>
    <w:rsid w:val="00FD6D55"/>
    <w:rsid w:val="00FD7929"/>
    <w:rsid w:val="00FD7B7E"/>
    <w:rsid w:val="00FE13FF"/>
    <w:rsid w:val="00FF1C5A"/>
    <w:rsid w:val="00FF2957"/>
    <w:rsid w:val="00FF2CFE"/>
    <w:rsid w:val="00FF79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03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27"/>
    <w:pPr>
      <w:spacing w:after="0" w:line="240" w:lineRule="auto"/>
      <w:jc w:val="both"/>
    </w:pPr>
    <w:rPr>
      <w:rFonts w:ascii="Cambria Math" w:hAnsi="Cambria Math" w:cs="Times New Roman"/>
      <w:sz w:val="28"/>
      <w:szCs w:val="24"/>
      <w:lang w:val="fr-BE"/>
    </w:rPr>
  </w:style>
  <w:style w:type="paragraph" w:styleId="Heading7">
    <w:name w:val="heading 7"/>
    <w:basedOn w:val="Normal"/>
    <w:next w:val="Normal"/>
    <w:link w:val="Heading7Char"/>
    <w:qFormat/>
    <w:rsid w:val="00B012E3"/>
    <w:pPr>
      <w:keepNext/>
      <w:suppressAutoHyphens/>
      <w:snapToGrid w:val="0"/>
      <w:jc w:val="left"/>
      <w:outlineLvl w:val="6"/>
    </w:pPr>
    <w:rPr>
      <w:rFonts w:ascii="Arial" w:eastAsia="Times New Roman" w:hAnsi="Arial" w:cs="Arial"/>
      <w:b/>
      <w:sz w:val="18"/>
      <w:szCs w:val="18"/>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1F27"/>
    <w:pPr>
      <w:ind w:left="720"/>
      <w:contextualSpacing/>
    </w:pPr>
  </w:style>
  <w:style w:type="character" w:styleId="Hyperlink">
    <w:name w:val="Hyperlink"/>
    <w:aliases w:val="min"/>
    <w:basedOn w:val="DefaultParagraphFont"/>
    <w:uiPriority w:val="99"/>
    <w:rsid w:val="00E1155E"/>
    <w:rPr>
      <w:rFonts w:cs="Arial"/>
      <w:color w:val="0000FF"/>
      <w:sz w:val="16"/>
      <w:szCs w:val="16"/>
      <w:u w:val="single"/>
    </w:rPr>
  </w:style>
  <w:style w:type="paragraph" w:styleId="Header">
    <w:name w:val="header"/>
    <w:basedOn w:val="Normal"/>
    <w:link w:val="HeaderChar"/>
    <w:uiPriority w:val="99"/>
    <w:unhideWhenUsed/>
    <w:rsid w:val="00CD7634"/>
    <w:pPr>
      <w:tabs>
        <w:tab w:val="center" w:pos="4536"/>
        <w:tab w:val="right" w:pos="9072"/>
      </w:tabs>
    </w:pPr>
  </w:style>
  <w:style w:type="character" w:customStyle="1" w:styleId="HeaderChar">
    <w:name w:val="Header Char"/>
    <w:basedOn w:val="DefaultParagraphFont"/>
    <w:link w:val="Header"/>
    <w:uiPriority w:val="99"/>
    <w:rsid w:val="00CD7634"/>
    <w:rPr>
      <w:rFonts w:ascii="Cambria Math" w:hAnsi="Cambria Math" w:cs="Times New Roman"/>
      <w:sz w:val="28"/>
      <w:szCs w:val="24"/>
      <w:lang w:val="fr-BE"/>
    </w:rPr>
  </w:style>
  <w:style w:type="paragraph" w:styleId="Footer">
    <w:name w:val="footer"/>
    <w:basedOn w:val="Normal"/>
    <w:link w:val="FooterChar"/>
    <w:uiPriority w:val="99"/>
    <w:unhideWhenUsed/>
    <w:rsid w:val="00CD7634"/>
    <w:pPr>
      <w:tabs>
        <w:tab w:val="center" w:pos="4536"/>
        <w:tab w:val="right" w:pos="9072"/>
      </w:tabs>
    </w:pPr>
  </w:style>
  <w:style w:type="character" w:customStyle="1" w:styleId="FooterChar">
    <w:name w:val="Footer Char"/>
    <w:basedOn w:val="DefaultParagraphFont"/>
    <w:link w:val="Footer"/>
    <w:uiPriority w:val="99"/>
    <w:rsid w:val="00CD7634"/>
    <w:rPr>
      <w:rFonts w:ascii="Cambria Math" w:hAnsi="Cambria Math" w:cs="Times New Roman"/>
      <w:sz w:val="28"/>
      <w:szCs w:val="24"/>
      <w:lang w:val="fr-BE"/>
    </w:rPr>
  </w:style>
  <w:style w:type="paragraph" w:styleId="FootnoteText">
    <w:name w:val="footnote text"/>
    <w:basedOn w:val="Normal"/>
    <w:link w:val="FootnoteTextChar"/>
    <w:unhideWhenUsed/>
    <w:rsid w:val="007110E1"/>
    <w:rPr>
      <w:sz w:val="20"/>
      <w:szCs w:val="20"/>
    </w:rPr>
  </w:style>
  <w:style w:type="character" w:customStyle="1" w:styleId="FootnoteTextChar">
    <w:name w:val="Footnote Text Char"/>
    <w:basedOn w:val="DefaultParagraphFont"/>
    <w:link w:val="FootnoteText"/>
    <w:uiPriority w:val="99"/>
    <w:rsid w:val="007110E1"/>
    <w:rPr>
      <w:rFonts w:ascii="Cambria Math" w:hAnsi="Cambria Math" w:cs="Times New Roman"/>
      <w:sz w:val="20"/>
      <w:szCs w:val="20"/>
      <w:lang w:val="fr-BE"/>
    </w:rPr>
  </w:style>
  <w:style w:type="character" w:styleId="FootnoteReference">
    <w:name w:val="footnote reference"/>
    <w:basedOn w:val="DefaultParagraphFont"/>
    <w:semiHidden/>
    <w:unhideWhenUsed/>
    <w:rsid w:val="007110E1"/>
    <w:rPr>
      <w:vertAlign w:val="superscript"/>
    </w:rPr>
  </w:style>
  <w:style w:type="paragraph" w:styleId="BalloonText">
    <w:name w:val="Balloon Text"/>
    <w:basedOn w:val="Normal"/>
    <w:link w:val="BalloonTextChar"/>
    <w:uiPriority w:val="99"/>
    <w:semiHidden/>
    <w:unhideWhenUsed/>
    <w:rsid w:val="005543D5"/>
    <w:rPr>
      <w:rFonts w:ascii="Tahoma" w:hAnsi="Tahoma" w:cs="Tahoma"/>
      <w:sz w:val="16"/>
      <w:szCs w:val="16"/>
    </w:rPr>
  </w:style>
  <w:style w:type="character" w:customStyle="1" w:styleId="BalloonTextChar">
    <w:name w:val="Balloon Text Char"/>
    <w:basedOn w:val="DefaultParagraphFont"/>
    <w:link w:val="BalloonText"/>
    <w:uiPriority w:val="99"/>
    <w:semiHidden/>
    <w:rsid w:val="005543D5"/>
    <w:rPr>
      <w:rFonts w:ascii="Tahoma" w:hAnsi="Tahoma" w:cs="Tahoma"/>
      <w:sz w:val="16"/>
      <w:szCs w:val="16"/>
      <w:lang w:val="fr-BE"/>
    </w:rPr>
  </w:style>
  <w:style w:type="character" w:styleId="FollowedHyperlink">
    <w:name w:val="FollowedHyperlink"/>
    <w:basedOn w:val="DefaultParagraphFont"/>
    <w:uiPriority w:val="99"/>
    <w:semiHidden/>
    <w:unhideWhenUsed/>
    <w:rsid w:val="001976F7"/>
    <w:rPr>
      <w:color w:val="800080" w:themeColor="followedHyperlink"/>
      <w:u w:val="single"/>
    </w:rPr>
  </w:style>
  <w:style w:type="paragraph" w:customStyle="1" w:styleId="Coverfooter">
    <w:name w:val="Cover footer"/>
    <w:basedOn w:val="Normal"/>
    <w:uiPriority w:val="99"/>
    <w:rsid w:val="008C3BA0"/>
    <w:pPr>
      <w:spacing w:before="160" w:line="288" w:lineRule="auto"/>
      <w:jc w:val="left"/>
    </w:pPr>
    <w:rPr>
      <w:rFonts w:ascii="Arial" w:eastAsia="Times New Roman" w:hAnsi="Arial"/>
      <w:color w:val="FFFFFF"/>
      <w:sz w:val="21"/>
      <w:szCs w:val="20"/>
      <w:lang w:val="en-GB"/>
    </w:rPr>
  </w:style>
  <w:style w:type="table" w:styleId="TableGrid">
    <w:name w:val="Table Grid"/>
    <w:basedOn w:val="TableNormal"/>
    <w:uiPriority w:val="59"/>
    <w:rsid w:val="00CC4A96"/>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ulletsCPA">
    <w:name w:val="Table bullets CPA"/>
    <w:basedOn w:val="Normal"/>
    <w:qFormat/>
    <w:rsid w:val="003B7A50"/>
    <w:pPr>
      <w:numPr>
        <w:numId w:val="4"/>
      </w:numPr>
      <w:autoSpaceDE w:val="0"/>
      <w:autoSpaceDN w:val="0"/>
      <w:adjustRightInd w:val="0"/>
      <w:spacing w:before="60"/>
      <w:ind w:left="380" w:hanging="357"/>
      <w:jc w:val="left"/>
    </w:pPr>
    <w:rPr>
      <w:rFonts w:asciiTheme="minorHAnsi" w:hAnsiTheme="minorHAnsi"/>
      <w:color w:val="000000"/>
      <w:sz w:val="22"/>
      <w:szCs w:val="22"/>
      <w:lang w:val="en-GB"/>
    </w:rPr>
  </w:style>
  <w:style w:type="paragraph" w:customStyle="1" w:styleId="TablefootnoteCPA">
    <w:name w:val="Table footnote CPA"/>
    <w:basedOn w:val="Normal"/>
    <w:qFormat/>
    <w:rsid w:val="003B7A50"/>
    <w:pPr>
      <w:autoSpaceDE w:val="0"/>
      <w:autoSpaceDN w:val="0"/>
      <w:adjustRightInd w:val="0"/>
      <w:spacing w:before="120"/>
      <w:jc w:val="left"/>
    </w:pPr>
    <w:rPr>
      <w:rFonts w:asciiTheme="minorHAnsi" w:hAnsiTheme="minorHAnsi"/>
      <w:color w:val="000000"/>
      <w:sz w:val="16"/>
      <w:szCs w:val="16"/>
      <w:lang w:val="en-GB"/>
    </w:rPr>
  </w:style>
  <w:style w:type="paragraph" w:customStyle="1" w:styleId="TabletextCPA">
    <w:name w:val="Table text CPA"/>
    <w:basedOn w:val="TablebulletsCPA"/>
    <w:qFormat/>
    <w:rsid w:val="003B7A50"/>
    <w:pPr>
      <w:numPr>
        <w:numId w:val="0"/>
      </w:numPr>
    </w:pPr>
  </w:style>
  <w:style w:type="paragraph" w:customStyle="1" w:styleId="TabletextsmallCPA">
    <w:name w:val="Table text small CPA"/>
    <w:basedOn w:val="TabletextCPA"/>
    <w:qFormat/>
    <w:rsid w:val="003B7A50"/>
    <w:rPr>
      <w:sz w:val="18"/>
    </w:rPr>
  </w:style>
  <w:style w:type="paragraph" w:customStyle="1" w:styleId="Tablesubtitles11smallCPA">
    <w:name w:val="Table subtitles 1.1 small CPA"/>
    <w:basedOn w:val="Normal"/>
    <w:qFormat/>
    <w:rsid w:val="003B7A50"/>
    <w:pPr>
      <w:autoSpaceDE w:val="0"/>
      <w:autoSpaceDN w:val="0"/>
      <w:adjustRightInd w:val="0"/>
      <w:spacing w:before="60" w:line="288" w:lineRule="auto"/>
      <w:jc w:val="left"/>
    </w:pPr>
    <w:rPr>
      <w:rFonts w:asciiTheme="minorHAnsi" w:hAnsiTheme="minorHAnsi"/>
      <w:b/>
      <w:bCs/>
      <w:color w:val="4A442A" w:themeColor="background2" w:themeShade="40"/>
      <w:sz w:val="18"/>
      <w:szCs w:val="22"/>
      <w:lang w:val="en-GB"/>
    </w:rPr>
  </w:style>
  <w:style w:type="paragraph" w:customStyle="1" w:styleId="TablebulletssmallCPA">
    <w:name w:val="Table bullets small CPA"/>
    <w:basedOn w:val="TablebulletsCPA"/>
    <w:qFormat/>
    <w:rsid w:val="003B7A50"/>
    <w:rPr>
      <w:sz w:val="18"/>
    </w:rPr>
  </w:style>
  <w:style w:type="character" w:customStyle="1" w:styleId="Heading7Char">
    <w:name w:val="Heading 7 Char"/>
    <w:basedOn w:val="DefaultParagraphFont"/>
    <w:link w:val="Heading7"/>
    <w:rsid w:val="00B012E3"/>
    <w:rPr>
      <w:rFonts w:ascii="Arial" w:eastAsia="Times New Roman" w:hAnsi="Arial" w:cs="Arial"/>
      <w:b/>
      <w:sz w:val="18"/>
      <w:szCs w:val="18"/>
      <w:lang w:eastAsia="ar-SA"/>
    </w:rPr>
  </w:style>
  <w:style w:type="character" w:styleId="CommentReference">
    <w:name w:val="annotation reference"/>
    <w:basedOn w:val="DefaultParagraphFont"/>
    <w:uiPriority w:val="99"/>
    <w:semiHidden/>
    <w:unhideWhenUsed/>
    <w:rsid w:val="00352593"/>
    <w:rPr>
      <w:sz w:val="16"/>
      <w:szCs w:val="16"/>
    </w:rPr>
  </w:style>
  <w:style w:type="paragraph" w:styleId="CommentText">
    <w:name w:val="annotation text"/>
    <w:basedOn w:val="Normal"/>
    <w:link w:val="CommentTextChar"/>
    <w:uiPriority w:val="99"/>
    <w:semiHidden/>
    <w:unhideWhenUsed/>
    <w:rsid w:val="00352593"/>
    <w:rPr>
      <w:sz w:val="20"/>
      <w:szCs w:val="20"/>
    </w:rPr>
  </w:style>
  <w:style w:type="character" w:customStyle="1" w:styleId="CommentTextChar">
    <w:name w:val="Comment Text Char"/>
    <w:basedOn w:val="DefaultParagraphFont"/>
    <w:link w:val="CommentText"/>
    <w:uiPriority w:val="99"/>
    <w:semiHidden/>
    <w:rsid w:val="00352593"/>
    <w:rPr>
      <w:rFonts w:ascii="Cambria Math" w:hAnsi="Cambria Math"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352593"/>
    <w:rPr>
      <w:b/>
      <w:bCs/>
    </w:rPr>
  </w:style>
  <w:style w:type="character" w:customStyle="1" w:styleId="CommentSubjectChar">
    <w:name w:val="Comment Subject Char"/>
    <w:basedOn w:val="CommentTextChar"/>
    <w:link w:val="CommentSubject"/>
    <w:uiPriority w:val="99"/>
    <w:semiHidden/>
    <w:rsid w:val="00352593"/>
    <w:rPr>
      <w:rFonts w:ascii="Cambria Math" w:hAnsi="Cambria Math" w:cs="Times New Roman"/>
      <w:b/>
      <w:bCs/>
      <w:sz w:val="20"/>
      <w:szCs w:val="20"/>
      <w:lang w:val="fr-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27"/>
    <w:pPr>
      <w:spacing w:after="0" w:line="240" w:lineRule="auto"/>
      <w:jc w:val="both"/>
    </w:pPr>
    <w:rPr>
      <w:rFonts w:ascii="Cambria Math" w:hAnsi="Cambria Math" w:cs="Times New Roman"/>
      <w:sz w:val="28"/>
      <w:szCs w:val="24"/>
      <w:lang w:val="fr-BE"/>
    </w:rPr>
  </w:style>
  <w:style w:type="paragraph" w:styleId="Heading7">
    <w:name w:val="heading 7"/>
    <w:basedOn w:val="Normal"/>
    <w:next w:val="Normal"/>
    <w:link w:val="Heading7Char"/>
    <w:qFormat/>
    <w:rsid w:val="00B012E3"/>
    <w:pPr>
      <w:keepNext/>
      <w:suppressAutoHyphens/>
      <w:snapToGrid w:val="0"/>
      <w:jc w:val="left"/>
      <w:outlineLvl w:val="6"/>
    </w:pPr>
    <w:rPr>
      <w:rFonts w:ascii="Arial" w:eastAsia="Times New Roman" w:hAnsi="Arial" w:cs="Arial"/>
      <w:b/>
      <w:sz w:val="18"/>
      <w:szCs w:val="18"/>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1F27"/>
    <w:pPr>
      <w:ind w:left="720"/>
      <w:contextualSpacing/>
    </w:pPr>
  </w:style>
  <w:style w:type="character" w:styleId="Hyperlink">
    <w:name w:val="Hyperlink"/>
    <w:aliases w:val="min"/>
    <w:basedOn w:val="DefaultParagraphFont"/>
    <w:uiPriority w:val="99"/>
    <w:rsid w:val="00E1155E"/>
    <w:rPr>
      <w:rFonts w:cs="Arial"/>
      <w:color w:val="0000FF"/>
      <w:sz w:val="16"/>
      <w:szCs w:val="16"/>
      <w:u w:val="single"/>
    </w:rPr>
  </w:style>
  <w:style w:type="paragraph" w:styleId="Header">
    <w:name w:val="header"/>
    <w:basedOn w:val="Normal"/>
    <w:link w:val="HeaderChar"/>
    <w:uiPriority w:val="99"/>
    <w:unhideWhenUsed/>
    <w:rsid w:val="00CD7634"/>
    <w:pPr>
      <w:tabs>
        <w:tab w:val="center" w:pos="4536"/>
        <w:tab w:val="right" w:pos="9072"/>
      </w:tabs>
    </w:pPr>
  </w:style>
  <w:style w:type="character" w:customStyle="1" w:styleId="HeaderChar">
    <w:name w:val="Header Char"/>
    <w:basedOn w:val="DefaultParagraphFont"/>
    <w:link w:val="Header"/>
    <w:uiPriority w:val="99"/>
    <w:rsid w:val="00CD7634"/>
    <w:rPr>
      <w:rFonts w:ascii="Cambria Math" w:hAnsi="Cambria Math" w:cs="Times New Roman"/>
      <w:sz w:val="28"/>
      <w:szCs w:val="24"/>
      <w:lang w:val="fr-BE"/>
    </w:rPr>
  </w:style>
  <w:style w:type="paragraph" w:styleId="Footer">
    <w:name w:val="footer"/>
    <w:basedOn w:val="Normal"/>
    <w:link w:val="FooterChar"/>
    <w:uiPriority w:val="99"/>
    <w:unhideWhenUsed/>
    <w:rsid w:val="00CD7634"/>
    <w:pPr>
      <w:tabs>
        <w:tab w:val="center" w:pos="4536"/>
        <w:tab w:val="right" w:pos="9072"/>
      </w:tabs>
    </w:pPr>
  </w:style>
  <w:style w:type="character" w:customStyle="1" w:styleId="FooterChar">
    <w:name w:val="Footer Char"/>
    <w:basedOn w:val="DefaultParagraphFont"/>
    <w:link w:val="Footer"/>
    <w:uiPriority w:val="99"/>
    <w:rsid w:val="00CD7634"/>
    <w:rPr>
      <w:rFonts w:ascii="Cambria Math" w:hAnsi="Cambria Math" w:cs="Times New Roman"/>
      <w:sz w:val="28"/>
      <w:szCs w:val="24"/>
      <w:lang w:val="fr-BE"/>
    </w:rPr>
  </w:style>
  <w:style w:type="paragraph" w:styleId="FootnoteText">
    <w:name w:val="footnote text"/>
    <w:basedOn w:val="Normal"/>
    <w:link w:val="FootnoteTextChar"/>
    <w:unhideWhenUsed/>
    <w:rsid w:val="007110E1"/>
    <w:rPr>
      <w:sz w:val="20"/>
      <w:szCs w:val="20"/>
    </w:rPr>
  </w:style>
  <w:style w:type="character" w:customStyle="1" w:styleId="FootnoteTextChar">
    <w:name w:val="Footnote Text Char"/>
    <w:basedOn w:val="DefaultParagraphFont"/>
    <w:link w:val="FootnoteText"/>
    <w:uiPriority w:val="99"/>
    <w:rsid w:val="007110E1"/>
    <w:rPr>
      <w:rFonts w:ascii="Cambria Math" w:hAnsi="Cambria Math" w:cs="Times New Roman"/>
      <w:sz w:val="20"/>
      <w:szCs w:val="20"/>
      <w:lang w:val="fr-BE"/>
    </w:rPr>
  </w:style>
  <w:style w:type="character" w:styleId="FootnoteReference">
    <w:name w:val="footnote reference"/>
    <w:basedOn w:val="DefaultParagraphFont"/>
    <w:semiHidden/>
    <w:unhideWhenUsed/>
    <w:rsid w:val="007110E1"/>
    <w:rPr>
      <w:vertAlign w:val="superscript"/>
    </w:rPr>
  </w:style>
  <w:style w:type="paragraph" w:styleId="BalloonText">
    <w:name w:val="Balloon Text"/>
    <w:basedOn w:val="Normal"/>
    <w:link w:val="BalloonTextChar"/>
    <w:uiPriority w:val="99"/>
    <w:semiHidden/>
    <w:unhideWhenUsed/>
    <w:rsid w:val="005543D5"/>
    <w:rPr>
      <w:rFonts w:ascii="Tahoma" w:hAnsi="Tahoma" w:cs="Tahoma"/>
      <w:sz w:val="16"/>
      <w:szCs w:val="16"/>
    </w:rPr>
  </w:style>
  <w:style w:type="character" w:customStyle="1" w:styleId="BalloonTextChar">
    <w:name w:val="Balloon Text Char"/>
    <w:basedOn w:val="DefaultParagraphFont"/>
    <w:link w:val="BalloonText"/>
    <w:uiPriority w:val="99"/>
    <w:semiHidden/>
    <w:rsid w:val="005543D5"/>
    <w:rPr>
      <w:rFonts w:ascii="Tahoma" w:hAnsi="Tahoma" w:cs="Tahoma"/>
      <w:sz w:val="16"/>
      <w:szCs w:val="16"/>
      <w:lang w:val="fr-BE"/>
    </w:rPr>
  </w:style>
  <w:style w:type="character" w:styleId="FollowedHyperlink">
    <w:name w:val="FollowedHyperlink"/>
    <w:basedOn w:val="DefaultParagraphFont"/>
    <w:uiPriority w:val="99"/>
    <w:semiHidden/>
    <w:unhideWhenUsed/>
    <w:rsid w:val="001976F7"/>
    <w:rPr>
      <w:color w:val="800080" w:themeColor="followedHyperlink"/>
      <w:u w:val="single"/>
    </w:rPr>
  </w:style>
  <w:style w:type="paragraph" w:customStyle="1" w:styleId="Coverfooter">
    <w:name w:val="Cover footer"/>
    <w:basedOn w:val="Normal"/>
    <w:uiPriority w:val="99"/>
    <w:rsid w:val="008C3BA0"/>
    <w:pPr>
      <w:spacing w:before="160" w:line="288" w:lineRule="auto"/>
      <w:jc w:val="left"/>
    </w:pPr>
    <w:rPr>
      <w:rFonts w:ascii="Arial" w:eastAsia="Times New Roman" w:hAnsi="Arial"/>
      <w:color w:val="FFFFFF"/>
      <w:sz w:val="21"/>
      <w:szCs w:val="20"/>
      <w:lang w:val="en-GB"/>
    </w:rPr>
  </w:style>
  <w:style w:type="table" w:styleId="TableGrid">
    <w:name w:val="Table Grid"/>
    <w:basedOn w:val="TableNormal"/>
    <w:uiPriority w:val="59"/>
    <w:rsid w:val="00CC4A96"/>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ulletsCPA">
    <w:name w:val="Table bullets CPA"/>
    <w:basedOn w:val="Normal"/>
    <w:qFormat/>
    <w:rsid w:val="003B7A50"/>
    <w:pPr>
      <w:numPr>
        <w:numId w:val="4"/>
      </w:numPr>
      <w:autoSpaceDE w:val="0"/>
      <w:autoSpaceDN w:val="0"/>
      <w:adjustRightInd w:val="0"/>
      <w:spacing w:before="60"/>
      <w:ind w:left="380" w:hanging="357"/>
      <w:jc w:val="left"/>
    </w:pPr>
    <w:rPr>
      <w:rFonts w:asciiTheme="minorHAnsi" w:hAnsiTheme="minorHAnsi"/>
      <w:color w:val="000000"/>
      <w:sz w:val="22"/>
      <w:szCs w:val="22"/>
      <w:lang w:val="en-GB"/>
    </w:rPr>
  </w:style>
  <w:style w:type="paragraph" w:customStyle="1" w:styleId="TablefootnoteCPA">
    <w:name w:val="Table footnote CPA"/>
    <w:basedOn w:val="Normal"/>
    <w:qFormat/>
    <w:rsid w:val="003B7A50"/>
    <w:pPr>
      <w:autoSpaceDE w:val="0"/>
      <w:autoSpaceDN w:val="0"/>
      <w:adjustRightInd w:val="0"/>
      <w:spacing w:before="120"/>
      <w:jc w:val="left"/>
    </w:pPr>
    <w:rPr>
      <w:rFonts w:asciiTheme="minorHAnsi" w:hAnsiTheme="minorHAnsi"/>
      <w:color w:val="000000"/>
      <w:sz w:val="16"/>
      <w:szCs w:val="16"/>
      <w:lang w:val="en-GB"/>
    </w:rPr>
  </w:style>
  <w:style w:type="paragraph" w:customStyle="1" w:styleId="TabletextCPA">
    <w:name w:val="Table text CPA"/>
    <w:basedOn w:val="TablebulletsCPA"/>
    <w:qFormat/>
    <w:rsid w:val="003B7A50"/>
    <w:pPr>
      <w:numPr>
        <w:numId w:val="0"/>
      </w:numPr>
    </w:pPr>
  </w:style>
  <w:style w:type="paragraph" w:customStyle="1" w:styleId="TabletextsmallCPA">
    <w:name w:val="Table text small CPA"/>
    <w:basedOn w:val="TabletextCPA"/>
    <w:qFormat/>
    <w:rsid w:val="003B7A50"/>
    <w:rPr>
      <w:sz w:val="18"/>
    </w:rPr>
  </w:style>
  <w:style w:type="paragraph" w:customStyle="1" w:styleId="Tablesubtitles11smallCPA">
    <w:name w:val="Table subtitles 1.1 small CPA"/>
    <w:basedOn w:val="Normal"/>
    <w:qFormat/>
    <w:rsid w:val="003B7A50"/>
    <w:pPr>
      <w:autoSpaceDE w:val="0"/>
      <w:autoSpaceDN w:val="0"/>
      <w:adjustRightInd w:val="0"/>
      <w:spacing w:before="60" w:line="288" w:lineRule="auto"/>
      <w:jc w:val="left"/>
    </w:pPr>
    <w:rPr>
      <w:rFonts w:asciiTheme="minorHAnsi" w:hAnsiTheme="minorHAnsi"/>
      <w:b/>
      <w:bCs/>
      <w:color w:val="4A442A" w:themeColor="background2" w:themeShade="40"/>
      <w:sz w:val="18"/>
      <w:szCs w:val="22"/>
      <w:lang w:val="en-GB"/>
    </w:rPr>
  </w:style>
  <w:style w:type="paragraph" w:customStyle="1" w:styleId="TablebulletssmallCPA">
    <w:name w:val="Table bullets small CPA"/>
    <w:basedOn w:val="TablebulletsCPA"/>
    <w:qFormat/>
    <w:rsid w:val="003B7A50"/>
    <w:rPr>
      <w:sz w:val="18"/>
    </w:rPr>
  </w:style>
  <w:style w:type="character" w:customStyle="1" w:styleId="Heading7Char">
    <w:name w:val="Heading 7 Char"/>
    <w:basedOn w:val="DefaultParagraphFont"/>
    <w:link w:val="Heading7"/>
    <w:rsid w:val="00B012E3"/>
    <w:rPr>
      <w:rFonts w:ascii="Arial" w:eastAsia="Times New Roman" w:hAnsi="Arial" w:cs="Arial"/>
      <w:b/>
      <w:sz w:val="18"/>
      <w:szCs w:val="18"/>
      <w:lang w:eastAsia="ar-SA"/>
    </w:rPr>
  </w:style>
  <w:style w:type="character" w:styleId="CommentReference">
    <w:name w:val="annotation reference"/>
    <w:basedOn w:val="DefaultParagraphFont"/>
    <w:uiPriority w:val="99"/>
    <w:semiHidden/>
    <w:unhideWhenUsed/>
    <w:rsid w:val="00352593"/>
    <w:rPr>
      <w:sz w:val="16"/>
      <w:szCs w:val="16"/>
    </w:rPr>
  </w:style>
  <w:style w:type="paragraph" w:styleId="CommentText">
    <w:name w:val="annotation text"/>
    <w:basedOn w:val="Normal"/>
    <w:link w:val="CommentTextChar"/>
    <w:uiPriority w:val="99"/>
    <w:semiHidden/>
    <w:unhideWhenUsed/>
    <w:rsid w:val="00352593"/>
    <w:rPr>
      <w:sz w:val="20"/>
      <w:szCs w:val="20"/>
    </w:rPr>
  </w:style>
  <w:style w:type="character" w:customStyle="1" w:styleId="CommentTextChar">
    <w:name w:val="Comment Text Char"/>
    <w:basedOn w:val="DefaultParagraphFont"/>
    <w:link w:val="CommentText"/>
    <w:uiPriority w:val="99"/>
    <w:semiHidden/>
    <w:rsid w:val="00352593"/>
    <w:rPr>
      <w:rFonts w:ascii="Cambria Math" w:hAnsi="Cambria Math"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352593"/>
    <w:rPr>
      <w:b/>
      <w:bCs/>
    </w:rPr>
  </w:style>
  <w:style w:type="character" w:customStyle="1" w:styleId="CommentSubjectChar">
    <w:name w:val="Comment Subject Char"/>
    <w:basedOn w:val="CommentTextChar"/>
    <w:link w:val="CommentSubject"/>
    <w:uiPriority w:val="99"/>
    <w:semiHidden/>
    <w:rsid w:val="00352593"/>
    <w:rPr>
      <w:rFonts w:ascii="Cambria Math" w:hAnsi="Cambria Math" w:cs="Times New Roman"/>
      <w:b/>
      <w:bCs/>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0281">
      <w:bodyDiv w:val="1"/>
      <w:marLeft w:val="0"/>
      <w:marRight w:val="0"/>
      <w:marTop w:val="0"/>
      <w:marBottom w:val="0"/>
      <w:divBdr>
        <w:top w:val="none" w:sz="0" w:space="0" w:color="auto"/>
        <w:left w:val="none" w:sz="0" w:space="0" w:color="auto"/>
        <w:bottom w:val="none" w:sz="0" w:space="0" w:color="auto"/>
        <w:right w:val="none" w:sz="0" w:space="0" w:color="auto"/>
      </w:divBdr>
      <w:divsChild>
        <w:div w:id="1823934282">
          <w:marLeft w:val="360"/>
          <w:marRight w:val="0"/>
          <w:marTop w:val="134"/>
          <w:marBottom w:val="0"/>
          <w:divBdr>
            <w:top w:val="none" w:sz="0" w:space="0" w:color="auto"/>
            <w:left w:val="none" w:sz="0" w:space="0" w:color="auto"/>
            <w:bottom w:val="none" w:sz="0" w:space="0" w:color="auto"/>
            <w:right w:val="none" w:sz="0" w:space="0" w:color="auto"/>
          </w:divBdr>
        </w:div>
        <w:div w:id="724640266">
          <w:marLeft w:val="994"/>
          <w:marRight w:val="0"/>
          <w:marTop w:val="115"/>
          <w:marBottom w:val="0"/>
          <w:divBdr>
            <w:top w:val="none" w:sz="0" w:space="0" w:color="auto"/>
            <w:left w:val="none" w:sz="0" w:space="0" w:color="auto"/>
            <w:bottom w:val="none" w:sz="0" w:space="0" w:color="auto"/>
            <w:right w:val="none" w:sz="0" w:space="0" w:color="auto"/>
          </w:divBdr>
        </w:div>
        <w:div w:id="1542740575">
          <w:marLeft w:val="994"/>
          <w:marRight w:val="0"/>
          <w:marTop w:val="115"/>
          <w:marBottom w:val="0"/>
          <w:divBdr>
            <w:top w:val="none" w:sz="0" w:space="0" w:color="auto"/>
            <w:left w:val="none" w:sz="0" w:space="0" w:color="auto"/>
            <w:bottom w:val="none" w:sz="0" w:space="0" w:color="auto"/>
            <w:right w:val="none" w:sz="0" w:space="0" w:color="auto"/>
          </w:divBdr>
        </w:div>
        <w:div w:id="298075601">
          <w:marLeft w:val="360"/>
          <w:marRight w:val="0"/>
          <w:marTop w:val="134"/>
          <w:marBottom w:val="0"/>
          <w:divBdr>
            <w:top w:val="none" w:sz="0" w:space="0" w:color="auto"/>
            <w:left w:val="none" w:sz="0" w:space="0" w:color="auto"/>
            <w:bottom w:val="none" w:sz="0" w:space="0" w:color="auto"/>
            <w:right w:val="none" w:sz="0" w:space="0" w:color="auto"/>
          </w:divBdr>
        </w:div>
      </w:divsChild>
    </w:div>
    <w:div w:id="86391892">
      <w:bodyDiv w:val="1"/>
      <w:marLeft w:val="0"/>
      <w:marRight w:val="0"/>
      <w:marTop w:val="0"/>
      <w:marBottom w:val="0"/>
      <w:divBdr>
        <w:top w:val="none" w:sz="0" w:space="0" w:color="auto"/>
        <w:left w:val="none" w:sz="0" w:space="0" w:color="auto"/>
        <w:bottom w:val="none" w:sz="0" w:space="0" w:color="auto"/>
        <w:right w:val="none" w:sz="0" w:space="0" w:color="auto"/>
      </w:divBdr>
    </w:div>
    <w:div w:id="127627320">
      <w:bodyDiv w:val="1"/>
      <w:marLeft w:val="0"/>
      <w:marRight w:val="0"/>
      <w:marTop w:val="0"/>
      <w:marBottom w:val="0"/>
      <w:divBdr>
        <w:top w:val="none" w:sz="0" w:space="0" w:color="auto"/>
        <w:left w:val="none" w:sz="0" w:space="0" w:color="auto"/>
        <w:bottom w:val="none" w:sz="0" w:space="0" w:color="auto"/>
        <w:right w:val="none" w:sz="0" w:space="0" w:color="auto"/>
      </w:divBdr>
      <w:divsChild>
        <w:div w:id="632178408">
          <w:marLeft w:val="360"/>
          <w:marRight w:val="0"/>
          <w:marTop w:val="134"/>
          <w:marBottom w:val="0"/>
          <w:divBdr>
            <w:top w:val="none" w:sz="0" w:space="0" w:color="auto"/>
            <w:left w:val="none" w:sz="0" w:space="0" w:color="auto"/>
            <w:bottom w:val="none" w:sz="0" w:space="0" w:color="auto"/>
            <w:right w:val="none" w:sz="0" w:space="0" w:color="auto"/>
          </w:divBdr>
        </w:div>
        <w:div w:id="1651059761">
          <w:marLeft w:val="994"/>
          <w:marRight w:val="0"/>
          <w:marTop w:val="115"/>
          <w:marBottom w:val="0"/>
          <w:divBdr>
            <w:top w:val="none" w:sz="0" w:space="0" w:color="auto"/>
            <w:left w:val="none" w:sz="0" w:space="0" w:color="auto"/>
            <w:bottom w:val="none" w:sz="0" w:space="0" w:color="auto"/>
            <w:right w:val="none" w:sz="0" w:space="0" w:color="auto"/>
          </w:divBdr>
        </w:div>
        <w:div w:id="1932351601">
          <w:marLeft w:val="994"/>
          <w:marRight w:val="0"/>
          <w:marTop w:val="115"/>
          <w:marBottom w:val="0"/>
          <w:divBdr>
            <w:top w:val="none" w:sz="0" w:space="0" w:color="auto"/>
            <w:left w:val="none" w:sz="0" w:space="0" w:color="auto"/>
            <w:bottom w:val="none" w:sz="0" w:space="0" w:color="auto"/>
            <w:right w:val="none" w:sz="0" w:space="0" w:color="auto"/>
          </w:divBdr>
        </w:div>
        <w:div w:id="2047293388">
          <w:marLeft w:val="994"/>
          <w:marRight w:val="0"/>
          <w:marTop w:val="115"/>
          <w:marBottom w:val="0"/>
          <w:divBdr>
            <w:top w:val="none" w:sz="0" w:space="0" w:color="auto"/>
            <w:left w:val="none" w:sz="0" w:space="0" w:color="auto"/>
            <w:bottom w:val="none" w:sz="0" w:space="0" w:color="auto"/>
            <w:right w:val="none" w:sz="0" w:space="0" w:color="auto"/>
          </w:divBdr>
        </w:div>
        <w:div w:id="317654761">
          <w:marLeft w:val="994"/>
          <w:marRight w:val="0"/>
          <w:marTop w:val="115"/>
          <w:marBottom w:val="0"/>
          <w:divBdr>
            <w:top w:val="none" w:sz="0" w:space="0" w:color="auto"/>
            <w:left w:val="none" w:sz="0" w:space="0" w:color="auto"/>
            <w:bottom w:val="none" w:sz="0" w:space="0" w:color="auto"/>
            <w:right w:val="none" w:sz="0" w:space="0" w:color="auto"/>
          </w:divBdr>
        </w:div>
        <w:div w:id="484396258">
          <w:marLeft w:val="994"/>
          <w:marRight w:val="0"/>
          <w:marTop w:val="115"/>
          <w:marBottom w:val="0"/>
          <w:divBdr>
            <w:top w:val="none" w:sz="0" w:space="0" w:color="auto"/>
            <w:left w:val="none" w:sz="0" w:space="0" w:color="auto"/>
            <w:bottom w:val="none" w:sz="0" w:space="0" w:color="auto"/>
            <w:right w:val="none" w:sz="0" w:space="0" w:color="auto"/>
          </w:divBdr>
        </w:div>
      </w:divsChild>
    </w:div>
    <w:div w:id="304624151">
      <w:bodyDiv w:val="1"/>
      <w:marLeft w:val="0"/>
      <w:marRight w:val="0"/>
      <w:marTop w:val="0"/>
      <w:marBottom w:val="0"/>
      <w:divBdr>
        <w:top w:val="none" w:sz="0" w:space="0" w:color="auto"/>
        <w:left w:val="none" w:sz="0" w:space="0" w:color="auto"/>
        <w:bottom w:val="none" w:sz="0" w:space="0" w:color="auto"/>
        <w:right w:val="none" w:sz="0" w:space="0" w:color="auto"/>
      </w:divBdr>
      <w:divsChild>
        <w:div w:id="459422519">
          <w:marLeft w:val="360"/>
          <w:marRight w:val="0"/>
          <w:marTop w:val="134"/>
          <w:marBottom w:val="0"/>
          <w:divBdr>
            <w:top w:val="none" w:sz="0" w:space="0" w:color="auto"/>
            <w:left w:val="none" w:sz="0" w:space="0" w:color="auto"/>
            <w:bottom w:val="none" w:sz="0" w:space="0" w:color="auto"/>
            <w:right w:val="none" w:sz="0" w:space="0" w:color="auto"/>
          </w:divBdr>
        </w:div>
        <w:div w:id="1235628486">
          <w:marLeft w:val="994"/>
          <w:marRight w:val="0"/>
          <w:marTop w:val="115"/>
          <w:marBottom w:val="0"/>
          <w:divBdr>
            <w:top w:val="none" w:sz="0" w:space="0" w:color="auto"/>
            <w:left w:val="none" w:sz="0" w:space="0" w:color="auto"/>
            <w:bottom w:val="none" w:sz="0" w:space="0" w:color="auto"/>
            <w:right w:val="none" w:sz="0" w:space="0" w:color="auto"/>
          </w:divBdr>
        </w:div>
      </w:divsChild>
    </w:div>
    <w:div w:id="600144208">
      <w:bodyDiv w:val="1"/>
      <w:marLeft w:val="0"/>
      <w:marRight w:val="0"/>
      <w:marTop w:val="0"/>
      <w:marBottom w:val="0"/>
      <w:divBdr>
        <w:top w:val="none" w:sz="0" w:space="0" w:color="auto"/>
        <w:left w:val="none" w:sz="0" w:space="0" w:color="auto"/>
        <w:bottom w:val="none" w:sz="0" w:space="0" w:color="auto"/>
        <w:right w:val="none" w:sz="0" w:space="0" w:color="auto"/>
      </w:divBdr>
      <w:divsChild>
        <w:div w:id="459804062">
          <w:marLeft w:val="360"/>
          <w:marRight w:val="0"/>
          <w:marTop w:val="134"/>
          <w:marBottom w:val="0"/>
          <w:divBdr>
            <w:top w:val="none" w:sz="0" w:space="0" w:color="auto"/>
            <w:left w:val="none" w:sz="0" w:space="0" w:color="auto"/>
            <w:bottom w:val="none" w:sz="0" w:space="0" w:color="auto"/>
            <w:right w:val="none" w:sz="0" w:space="0" w:color="auto"/>
          </w:divBdr>
        </w:div>
        <w:div w:id="36709600">
          <w:marLeft w:val="994"/>
          <w:marRight w:val="0"/>
          <w:marTop w:val="106"/>
          <w:marBottom w:val="0"/>
          <w:divBdr>
            <w:top w:val="none" w:sz="0" w:space="0" w:color="auto"/>
            <w:left w:val="none" w:sz="0" w:space="0" w:color="auto"/>
            <w:bottom w:val="none" w:sz="0" w:space="0" w:color="auto"/>
            <w:right w:val="none" w:sz="0" w:space="0" w:color="auto"/>
          </w:divBdr>
        </w:div>
        <w:div w:id="1021398764">
          <w:marLeft w:val="994"/>
          <w:marRight w:val="0"/>
          <w:marTop w:val="106"/>
          <w:marBottom w:val="0"/>
          <w:divBdr>
            <w:top w:val="none" w:sz="0" w:space="0" w:color="auto"/>
            <w:left w:val="none" w:sz="0" w:space="0" w:color="auto"/>
            <w:bottom w:val="none" w:sz="0" w:space="0" w:color="auto"/>
            <w:right w:val="none" w:sz="0" w:space="0" w:color="auto"/>
          </w:divBdr>
        </w:div>
        <w:div w:id="1557207033">
          <w:marLeft w:val="994"/>
          <w:marRight w:val="0"/>
          <w:marTop w:val="106"/>
          <w:marBottom w:val="0"/>
          <w:divBdr>
            <w:top w:val="none" w:sz="0" w:space="0" w:color="auto"/>
            <w:left w:val="none" w:sz="0" w:space="0" w:color="auto"/>
            <w:bottom w:val="none" w:sz="0" w:space="0" w:color="auto"/>
            <w:right w:val="none" w:sz="0" w:space="0" w:color="auto"/>
          </w:divBdr>
        </w:div>
        <w:div w:id="863396578">
          <w:marLeft w:val="994"/>
          <w:marRight w:val="0"/>
          <w:marTop w:val="106"/>
          <w:marBottom w:val="0"/>
          <w:divBdr>
            <w:top w:val="none" w:sz="0" w:space="0" w:color="auto"/>
            <w:left w:val="none" w:sz="0" w:space="0" w:color="auto"/>
            <w:bottom w:val="none" w:sz="0" w:space="0" w:color="auto"/>
            <w:right w:val="none" w:sz="0" w:space="0" w:color="auto"/>
          </w:divBdr>
        </w:div>
        <w:div w:id="326325680">
          <w:marLeft w:val="994"/>
          <w:marRight w:val="0"/>
          <w:marTop w:val="106"/>
          <w:marBottom w:val="0"/>
          <w:divBdr>
            <w:top w:val="none" w:sz="0" w:space="0" w:color="auto"/>
            <w:left w:val="none" w:sz="0" w:space="0" w:color="auto"/>
            <w:bottom w:val="none" w:sz="0" w:space="0" w:color="auto"/>
            <w:right w:val="none" w:sz="0" w:space="0" w:color="auto"/>
          </w:divBdr>
        </w:div>
        <w:div w:id="1777362547">
          <w:marLeft w:val="360"/>
          <w:marRight w:val="0"/>
          <w:marTop w:val="134"/>
          <w:marBottom w:val="0"/>
          <w:divBdr>
            <w:top w:val="none" w:sz="0" w:space="0" w:color="auto"/>
            <w:left w:val="none" w:sz="0" w:space="0" w:color="auto"/>
            <w:bottom w:val="none" w:sz="0" w:space="0" w:color="auto"/>
            <w:right w:val="none" w:sz="0" w:space="0" w:color="auto"/>
          </w:divBdr>
        </w:div>
        <w:div w:id="741319">
          <w:marLeft w:val="994"/>
          <w:marRight w:val="0"/>
          <w:marTop w:val="106"/>
          <w:marBottom w:val="0"/>
          <w:divBdr>
            <w:top w:val="none" w:sz="0" w:space="0" w:color="auto"/>
            <w:left w:val="none" w:sz="0" w:space="0" w:color="auto"/>
            <w:bottom w:val="none" w:sz="0" w:space="0" w:color="auto"/>
            <w:right w:val="none" w:sz="0" w:space="0" w:color="auto"/>
          </w:divBdr>
        </w:div>
        <w:div w:id="826214618">
          <w:marLeft w:val="360"/>
          <w:marRight w:val="0"/>
          <w:marTop w:val="125"/>
          <w:marBottom w:val="0"/>
          <w:divBdr>
            <w:top w:val="none" w:sz="0" w:space="0" w:color="auto"/>
            <w:left w:val="none" w:sz="0" w:space="0" w:color="auto"/>
            <w:bottom w:val="none" w:sz="0" w:space="0" w:color="auto"/>
            <w:right w:val="none" w:sz="0" w:space="0" w:color="auto"/>
          </w:divBdr>
        </w:div>
        <w:div w:id="376051811">
          <w:marLeft w:val="360"/>
          <w:marRight w:val="0"/>
          <w:marTop w:val="125"/>
          <w:marBottom w:val="0"/>
          <w:divBdr>
            <w:top w:val="none" w:sz="0" w:space="0" w:color="auto"/>
            <w:left w:val="none" w:sz="0" w:space="0" w:color="auto"/>
            <w:bottom w:val="none" w:sz="0" w:space="0" w:color="auto"/>
            <w:right w:val="none" w:sz="0" w:space="0" w:color="auto"/>
          </w:divBdr>
        </w:div>
      </w:divsChild>
    </w:div>
    <w:div w:id="626590478">
      <w:bodyDiv w:val="1"/>
      <w:marLeft w:val="0"/>
      <w:marRight w:val="0"/>
      <w:marTop w:val="0"/>
      <w:marBottom w:val="0"/>
      <w:divBdr>
        <w:top w:val="none" w:sz="0" w:space="0" w:color="auto"/>
        <w:left w:val="none" w:sz="0" w:space="0" w:color="auto"/>
        <w:bottom w:val="none" w:sz="0" w:space="0" w:color="auto"/>
        <w:right w:val="none" w:sz="0" w:space="0" w:color="auto"/>
      </w:divBdr>
      <w:divsChild>
        <w:div w:id="1599479745">
          <w:marLeft w:val="360"/>
          <w:marRight w:val="0"/>
          <w:marTop w:val="134"/>
          <w:marBottom w:val="0"/>
          <w:divBdr>
            <w:top w:val="none" w:sz="0" w:space="0" w:color="auto"/>
            <w:left w:val="none" w:sz="0" w:space="0" w:color="auto"/>
            <w:bottom w:val="none" w:sz="0" w:space="0" w:color="auto"/>
            <w:right w:val="none" w:sz="0" w:space="0" w:color="auto"/>
          </w:divBdr>
        </w:div>
        <w:div w:id="1128426881">
          <w:marLeft w:val="994"/>
          <w:marRight w:val="0"/>
          <w:marTop w:val="120"/>
          <w:marBottom w:val="0"/>
          <w:divBdr>
            <w:top w:val="none" w:sz="0" w:space="0" w:color="auto"/>
            <w:left w:val="none" w:sz="0" w:space="0" w:color="auto"/>
            <w:bottom w:val="none" w:sz="0" w:space="0" w:color="auto"/>
            <w:right w:val="none" w:sz="0" w:space="0" w:color="auto"/>
          </w:divBdr>
        </w:div>
      </w:divsChild>
    </w:div>
    <w:div w:id="679625157">
      <w:bodyDiv w:val="1"/>
      <w:marLeft w:val="0"/>
      <w:marRight w:val="0"/>
      <w:marTop w:val="0"/>
      <w:marBottom w:val="0"/>
      <w:divBdr>
        <w:top w:val="none" w:sz="0" w:space="0" w:color="auto"/>
        <w:left w:val="none" w:sz="0" w:space="0" w:color="auto"/>
        <w:bottom w:val="none" w:sz="0" w:space="0" w:color="auto"/>
        <w:right w:val="none" w:sz="0" w:space="0" w:color="auto"/>
      </w:divBdr>
      <w:divsChild>
        <w:div w:id="2104909942">
          <w:marLeft w:val="994"/>
          <w:marRight w:val="0"/>
          <w:marTop w:val="115"/>
          <w:marBottom w:val="0"/>
          <w:divBdr>
            <w:top w:val="none" w:sz="0" w:space="0" w:color="auto"/>
            <w:left w:val="none" w:sz="0" w:space="0" w:color="auto"/>
            <w:bottom w:val="none" w:sz="0" w:space="0" w:color="auto"/>
            <w:right w:val="none" w:sz="0" w:space="0" w:color="auto"/>
          </w:divBdr>
        </w:div>
        <w:div w:id="707990439">
          <w:marLeft w:val="994"/>
          <w:marRight w:val="0"/>
          <w:marTop w:val="115"/>
          <w:marBottom w:val="0"/>
          <w:divBdr>
            <w:top w:val="none" w:sz="0" w:space="0" w:color="auto"/>
            <w:left w:val="none" w:sz="0" w:space="0" w:color="auto"/>
            <w:bottom w:val="none" w:sz="0" w:space="0" w:color="auto"/>
            <w:right w:val="none" w:sz="0" w:space="0" w:color="auto"/>
          </w:divBdr>
        </w:div>
        <w:div w:id="1829126821">
          <w:marLeft w:val="994"/>
          <w:marRight w:val="0"/>
          <w:marTop w:val="115"/>
          <w:marBottom w:val="0"/>
          <w:divBdr>
            <w:top w:val="none" w:sz="0" w:space="0" w:color="auto"/>
            <w:left w:val="none" w:sz="0" w:space="0" w:color="auto"/>
            <w:bottom w:val="none" w:sz="0" w:space="0" w:color="auto"/>
            <w:right w:val="none" w:sz="0" w:space="0" w:color="auto"/>
          </w:divBdr>
        </w:div>
        <w:div w:id="1068696099">
          <w:marLeft w:val="994"/>
          <w:marRight w:val="0"/>
          <w:marTop w:val="115"/>
          <w:marBottom w:val="0"/>
          <w:divBdr>
            <w:top w:val="none" w:sz="0" w:space="0" w:color="auto"/>
            <w:left w:val="none" w:sz="0" w:space="0" w:color="auto"/>
            <w:bottom w:val="none" w:sz="0" w:space="0" w:color="auto"/>
            <w:right w:val="none" w:sz="0" w:space="0" w:color="auto"/>
          </w:divBdr>
        </w:div>
        <w:div w:id="123937569">
          <w:marLeft w:val="994"/>
          <w:marRight w:val="0"/>
          <w:marTop w:val="115"/>
          <w:marBottom w:val="0"/>
          <w:divBdr>
            <w:top w:val="none" w:sz="0" w:space="0" w:color="auto"/>
            <w:left w:val="none" w:sz="0" w:space="0" w:color="auto"/>
            <w:bottom w:val="none" w:sz="0" w:space="0" w:color="auto"/>
            <w:right w:val="none" w:sz="0" w:space="0" w:color="auto"/>
          </w:divBdr>
        </w:div>
      </w:divsChild>
    </w:div>
    <w:div w:id="714085688">
      <w:bodyDiv w:val="1"/>
      <w:marLeft w:val="0"/>
      <w:marRight w:val="0"/>
      <w:marTop w:val="0"/>
      <w:marBottom w:val="0"/>
      <w:divBdr>
        <w:top w:val="none" w:sz="0" w:space="0" w:color="auto"/>
        <w:left w:val="none" w:sz="0" w:space="0" w:color="auto"/>
        <w:bottom w:val="none" w:sz="0" w:space="0" w:color="auto"/>
        <w:right w:val="none" w:sz="0" w:space="0" w:color="auto"/>
      </w:divBdr>
      <w:divsChild>
        <w:div w:id="312219484">
          <w:marLeft w:val="994"/>
          <w:marRight w:val="0"/>
          <w:marTop w:val="115"/>
          <w:marBottom w:val="0"/>
          <w:divBdr>
            <w:top w:val="none" w:sz="0" w:space="0" w:color="auto"/>
            <w:left w:val="none" w:sz="0" w:space="0" w:color="auto"/>
            <w:bottom w:val="none" w:sz="0" w:space="0" w:color="auto"/>
            <w:right w:val="none" w:sz="0" w:space="0" w:color="auto"/>
          </w:divBdr>
        </w:div>
      </w:divsChild>
    </w:div>
    <w:div w:id="830021271">
      <w:bodyDiv w:val="1"/>
      <w:marLeft w:val="0"/>
      <w:marRight w:val="0"/>
      <w:marTop w:val="0"/>
      <w:marBottom w:val="0"/>
      <w:divBdr>
        <w:top w:val="none" w:sz="0" w:space="0" w:color="auto"/>
        <w:left w:val="none" w:sz="0" w:space="0" w:color="auto"/>
        <w:bottom w:val="none" w:sz="0" w:space="0" w:color="auto"/>
        <w:right w:val="none" w:sz="0" w:space="0" w:color="auto"/>
      </w:divBdr>
      <w:divsChild>
        <w:div w:id="38751170">
          <w:marLeft w:val="994"/>
          <w:marRight w:val="0"/>
          <w:marTop w:val="115"/>
          <w:marBottom w:val="0"/>
          <w:divBdr>
            <w:top w:val="none" w:sz="0" w:space="0" w:color="auto"/>
            <w:left w:val="none" w:sz="0" w:space="0" w:color="auto"/>
            <w:bottom w:val="none" w:sz="0" w:space="0" w:color="auto"/>
            <w:right w:val="none" w:sz="0" w:space="0" w:color="auto"/>
          </w:divBdr>
        </w:div>
        <w:div w:id="2038192346">
          <w:marLeft w:val="994"/>
          <w:marRight w:val="0"/>
          <w:marTop w:val="115"/>
          <w:marBottom w:val="0"/>
          <w:divBdr>
            <w:top w:val="none" w:sz="0" w:space="0" w:color="auto"/>
            <w:left w:val="none" w:sz="0" w:space="0" w:color="auto"/>
            <w:bottom w:val="none" w:sz="0" w:space="0" w:color="auto"/>
            <w:right w:val="none" w:sz="0" w:space="0" w:color="auto"/>
          </w:divBdr>
        </w:div>
        <w:div w:id="1364600436">
          <w:marLeft w:val="994"/>
          <w:marRight w:val="0"/>
          <w:marTop w:val="115"/>
          <w:marBottom w:val="0"/>
          <w:divBdr>
            <w:top w:val="none" w:sz="0" w:space="0" w:color="auto"/>
            <w:left w:val="none" w:sz="0" w:space="0" w:color="auto"/>
            <w:bottom w:val="none" w:sz="0" w:space="0" w:color="auto"/>
            <w:right w:val="none" w:sz="0" w:space="0" w:color="auto"/>
          </w:divBdr>
        </w:div>
        <w:div w:id="1269237701">
          <w:marLeft w:val="994"/>
          <w:marRight w:val="0"/>
          <w:marTop w:val="115"/>
          <w:marBottom w:val="0"/>
          <w:divBdr>
            <w:top w:val="none" w:sz="0" w:space="0" w:color="auto"/>
            <w:left w:val="none" w:sz="0" w:space="0" w:color="auto"/>
            <w:bottom w:val="none" w:sz="0" w:space="0" w:color="auto"/>
            <w:right w:val="none" w:sz="0" w:space="0" w:color="auto"/>
          </w:divBdr>
        </w:div>
        <w:div w:id="692154434">
          <w:marLeft w:val="994"/>
          <w:marRight w:val="0"/>
          <w:marTop w:val="115"/>
          <w:marBottom w:val="0"/>
          <w:divBdr>
            <w:top w:val="none" w:sz="0" w:space="0" w:color="auto"/>
            <w:left w:val="none" w:sz="0" w:space="0" w:color="auto"/>
            <w:bottom w:val="none" w:sz="0" w:space="0" w:color="auto"/>
            <w:right w:val="none" w:sz="0" w:space="0" w:color="auto"/>
          </w:divBdr>
        </w:div>
      </w:divsChild>
    </w:div>
    <w:div w:id="848063883">
      <w:bodyDiv w:val="1"/>
      <w:marLeft w:val="0"/>
      <w:marRight w:val="0"/>
      <w:marTop w:val="0"/>
      <w:marBottom w:val="0"/>
      <w:divBdr>
        <w:top w:val="none" w:sz="0" w:space="0" w:color="auto"/>
        <w:left w:val="none" w:sz="0" w:space="0" w:color="auto"/>
        <w:bottom w:val="none" w:sz="0" w:space="0" w:color="auto"/>
        <w:right w:val="none" w:sz="0" w:space="0" w:color="auto"/>
      </w:divBdr>
      <w:divsChild>
        <w:div w:id="2110076307">
          <w:marLeft w:val="360"/>
          <w:marRight w:val="0"/>
          <w:marTop w:val="134"/>
          <w:marBottom w:val="0"/>
          <w:divBdr>
            <w:top w:val="none" w:sz="0" w:space="0" w:color="auto"/>
            <w:left w:val="none" w:sz="0" w:space="0" w:color="auto"/>
            <w:bottom w:val="none" w:sz="0" w:space="0" w:color="auto"/>
            <w:right w:val="none" w:sz="0" w:space="0" w:color="auto"/>
          </w:divBdr>
        </w:div>
        <w:div w:id="1732118506">
          <w:marLeft w:val="994"/>
          <w:marRight w:val="0"/>
          <w:marTop w:val="115"/>
          <w:marBottom w:val="0"/>
          <w:divBdr>
            <w:top w:val="none" w:sz="0" w:space="0" w:color="auto"/>
            <w:left w:val="none" w:sz="0" w:space="0" w:color="auto"/>
            <w:bottom w:val="none" w:sz="0" w:space="0" w:color="auto"/>
            <w:right w:val="none" w:sz="0" w:space="0" w:color="auto"/>
          </w:divBdr>
        </w:div>
        <w:div w:id="542520503">
          <w:marLeft w:val="994"/>
          <w:marRight w:val="0"/>
          <w:marTop w:val="115"/>
          <w:marBottom w:val="0"/>
          <w:divBdr>
            <w:top w:val="none" w:sz="0" w:space="0" w:color="auto"/>
            <w:left w:val="none" w:sz="0" w:space="0" w:color="auto"/>
            <w:bottom w:val="none" w:sz="0" w:space="0" w:color="auto"/>
            <w:right w:val="none" w:sz="0" w:space="0" w:color="auto"/>
          </w:divBdr>
        </w:div>
        <w:div w:id="1783958758">
          <w:marLeft w:val="994"/>
          <w:marRight w:val="0"/>
          <w:marTop w:val="115"/>
          <w:marBottom w:val="0"/>
          <w:divBdr>
            <w:top w:val="none" w:sz="0" w:space="0" w:color="auto"/>
            <w:left w:val="none" w:sz="0" w:space="0" w:color="auto"/>
            <w:bottom w:val="none" w:sz="0" w:space="0" w:color="auto"/>
            <w:right w:val="none" w:sz="0" w:space="0" w:color="auto"/>
          </w:divBdr>
        </w:div>
        <w:div w:id="1341003876">
          <w:marLeft w:val="994"/>
          <w:marRight w:val="0"/>
          <w:marTop w:val="115"/>
          <w:marBottom w:val="0"/>
          <w:divBdr>
            <w:top w:val="none" w:sz="0" w:space="0" w:color="auto"/>
            <w:left w:val="none" w:sz="0" w:space="0" w:color="auto"/>
            <w:bottom w:val="none" w:sz="0" w:space="0" w:color="auto"/>
            <w:right w:val="none" w:sz="0" w:space="0" w:color="auto"/>
          </w:divBdr>
        </w:div>
        <w:div w:id="1441023839">
          <w:marLeft w:val="994"/>
          <w:marRight w:val="0"/>
          <w:marTop w:val="115"/>
          <w:marBottom w:val="0"/>
          <w:divBdr>
            <w:top w:val="none" w:sz="0" w:space="0" w:color="auto"/>
            <w:left w:val="none" w:sz="0" w:space="0" w:color="auto"/>
            <w:bottom w:val="none" w:sz="0" w:space="0" w:color="auto"/>
            <w:right w:val="none" w:sz="0" w:space="0" w:color="auto"/>
          </w:divBdr>
        </w:div>
      </w:divsChild>
    </w:div>
    <w:div w:id="1000736715">
      <w:bodyDiv w:val="1"/>
      <w:marLeft w:val="0"/>
      <w:marRight w:val="0"/>
      <w:marTop w:val="0"/>
      <w:marBottom w:val="0"/>
      <w:divBdr>
        <w:top w:val="none" w:sz="0" w:space="0" w:color="auto"/>
        <w:left w:val="none" w:sz="0" w:space="0" w:color="auto"/>
        <w:bottom w:val="none" w:sz="0" w:space="0" w:color="auto"/>
        <w:right w:val="none" w:sz="0" w:space="0" w:color="auto"/>
      </w:divBdr>
      <w:divsChild>
        <w:div w:id="605700197">
          <w:marLeft w:val="994"/>
          <w:marRight w:val="0"/>
          <w:marTop w:val="115"/>
          <w:marBottom w:val="0"/>
          <w:divBdr>
            <w:top w:val="none" w:sz="0" w:space="0" w:color="auto"/>
            <w:left w:val="none" w:sz="0" w:space="0" w:color="auto"/>
            <w:bottom w:val="none" w:sz="0" w:space="0" w:color="auto"/>
            <w:right w:val="none" w:sz="0" w:space="0" w:color="auto"/>
          </w:divBdr>
        </w:div>
        <w:div w:id="1834712338">
          <w:marLeft w:val="994"/>
          <w:marRight w:val="0"/>
          <w:marTop w:val="115"/>
          <w:marBottom w:val="0"/>
          <w:divBdr>
            <w:top w:val="none" w:sz="0" w:space="0" w:color="auto"/>
            <w:left w:val="none" w:sz="0" w:space="0" w:color="auto"/>
            <w:bottom w:val="none" w:sz="0" w:space="0" w:color="auto"/>
            <w:right w:val="none" w:sz="0" w:space="0" w:color="auto"/>
          </w:divBdr>
        </w:div>
        <w:div w:id="1530602179">
          <w:marLeft w:val="994"/>
          <w:marRight w:val="0"/>
          <w:marTop w:val="115"/>
          <w:marBottom w:val="0"/>
          <w:divBdr>
            <w:top w:val="none" w:sz="0" w:space="0" w:color="auto"/>
            <w:left w:val="none" w:sz="0" w:space="0" w:color="auto"/>
            <w:bottom w:val="none" w:sz="0" w:space="0" w:color="auto"/>
            <w:right w:val="none" w:sz="0" w:space="0" w:color="auto"/>
          </w:divBdr>
        </w:div>
        <w:div w:id="306516785">
          <w:marLeft w:val="994"/>
          <w:marRight w:val="0"/>
          <w:marTop w:val="115"/>
          <w:marBottom w:val="0"/>
          <w:divBdr>
            <w:top w:val="none" w:sz="0" w:space="0" w:color="auto"/>
            <w:left w:val="none" w:sz="0" w:space="0" w:color="auto"/>
            <w:bottom w:val="none" w:sz="0" w:space="0" w:color="auto"/>
            <w:right w:val="none" w:sz="0" w:space="0" w:color="auto"/>
          </w:divBdr>
        </w:div>
      </w:divsChild>
    </w:div>
    <w:div w:id="1092508773">
      <w:bodyDiv w:val="1"/>
      <w:marLeft w:val="0"/>
      <w:marRight w:val="0"/>
      <w:marTop w:val="0"/>
      <w:marBottom w:val="0"/>
      <w:divBdr>
        <w:top w:val="none" w:sz="0" w:space="0" w:color="auto"/>
        <w:left w:val="none" w:sz="0" w:space="0" w:color="auto"/>
        <w:bottom w:val="none" w:sz="0" w:space="0" w:color="auto"/>
        <w:right w:val="none" w:sz="0" w:space="0" w:color="auto"/>
      </w:divBdr>
      <w:divsChild>
        <w:div w:id="1821073947">
          <w:marLeft w:val="360"/>
          <w:marRight w:val="0"/>
          <w:marTop w:val="134"/>
          <w:marBottom w:val="0"/>
          <w:divBdr>
            <w:top w:val="none" w:sz="0" w:space="0" w:color="auto"/>
            <w:left w:val="none" w:sz="0" w:space="0" w:color="auto"/>
            <w:bottom w:val="none" w:sz="0" w:space="0" w:color="auto"/>
            <w:right w:val="none" w:sz="0" w:space="0" w:color="auto"/>
          </w:divBdr>
        </w:div>
        <w:div w:id="1109860397">
          <w:marLeft w:val="994"/>
          <w:marRight w:val="0"/>
          <w:marTop w:val="106"/>
          <w:marBottom w:val="0"/>
          <w:divBdr>
            <w:top w:val="none" w:sz="0" w:space="0" w:color="auto"/>
            <w:left w:val="none" w:sz="0" w:space="0" w:color="auto"/>
            <w:bottom w:val="none" w:sz="0" w:space="0" w:color="auto"/>
            <w:right w:val="none" w:sz="0" w:space="0" w:color="auto"/>
          </w:divBdr>
        </w:div>
        <w:div w:id="1564216783">
          <w:marLeft w:val="360"/>
          <w:marRight w:val="0"/>
          <w:marTop w:val="134"/>
          <w:marBottom w:val="0"/>
          <w:divBdr>
            <w:top w:val="none" w:sz="0" w:space="0" w:color="auto"/>
            <w:left w:val="none" w:sz="0" w:space="0" w:color="auto"/>
            <w:bottom w:val="none" w:sz="0" w:space="0" w:color="auto"/>
            <w:right w:val="none" w:sz="0" w:space="0" w:color="auto"/>
          </w:divBdr>
        </w:div>
        <w:div w:id="1536767383">
          <w:marLeft w:val="994"/>
          <w:marRight w:val="0"/>
          <w:marTop w:val="106"/>
          <w:marBottom w:val="0"/>
          <w:divBdr>
            <w:top w:val="none" w:sz="0" w:space="0" w:color="auto"/>
            <w:left w:val="none" w:sz="0" w:space="0" w:color="auto"/>
            <w:bottom w:val="none" w:sz="0" w:space="0" w:color="auto"/>
            <w:right w:val="none" w:sz="0" w:space="0" w:color="auto"/>
          </w:divBdr>
        </w:div>
        <w:div w:id="1897207064">
          <w:marLeft w:val="360"/>
          <w:marRight w:val="0"/>
          <w:marTop w:val="134"/>
          <w:marBottom w:val="0"/>
          <w:divBdr>
            <w:top w:val="none" w:sz="0" w:space="0" w:color="auto"/>
            <w:left w:val="none" w:sz="0" w:space="0" w:color="auto"/>
            <w:bottom w:val="none" w:sz="0" w:space="0" w:color="auto"/>
            <w:right w:val="none" w:sz="0" w:space="0" w:color="auto"/>
          </w:divBdr>
        </w:div>
      </w:divsChild>
    </w:div>
    <w:div w:id="1147285359">
      <w:bodyDiv w:val="1"/>
      <w:marLeft w:val="0"/>
      <w:marRight w:val="0"/>
      <w:marTop w:val="0"/>
      <w:marBottom w:val="0"/>
      <w:divBdr>
        <w:top w:val="none" w:sz="0" w:space="0" w:color="auto"/>
        <w:left w:val="none" w:sz="0" w:space="0" w:color="auto"/>
        <w:bottom w:val="none" w:sz="0" w:space="0" w:color="auto"/>
        <w:right w:val="none" w:sz="0" w:space="0" w:color="auto"/>
      </w:divBdr>
    </w:div>
    <w:div w:id="1350371049">
      <w:bodyDiv w:val="1"/>
      <w:marLeft w:val="0"/>
      <w:marRight w:val="0"/>
      <w:marTop w:val="0"/>
      <w:marBottom w:val="0"/>
      <w:divBdr>
        <w:top w:val="none" w:sz="0" w:space="0" w:color="auto"/>
        <w:left w:val="none" w:sz="0" w:space="0" w:color="auto"/>
        <w:bottom w:val="none" w:sz="0" w:space="0" w:color="auto"/>
        <w:right w:val="none" w:sz="0" w:space="0" w:color="auto"/>
      </w:divBdr>
      <w:divsChild>
        <w:div w:id="96145299">
          <w:marLeft w:val="994"/>
          <w:marRight w:val="0"/>
          <w:marTop w:val="115"/>
          <w:marBottom w:val="0"/>
          <w:divBdr>
            <w:top w:val="none" w:sz="0" w:space="0" w:color="auto"/>
            <w:left w:val="none" w:sz="0" w:space="0" w:color="auto"/>
            <w:bottom w:val="none" w:sz="0" w:space="0" w:color="auto"/>
            <w:right w:val="none" w:sz="0" w:space="0" w:color="auto"/>
          </w:divBdr>
        </w:div>
        <w:div w:id="240069139">
          <w:marLeft w:val="994"/>
          <w:marRight w:val="0"/>
          <w:marTop w:val="115"/>
          <w:marBottom w:val="0"/>
          <w:divBdr>
            <w:top w:val="none" w:sz="0" w:space="0" w:color="auto"/>
            <w:left w:val="none" w:sz="0" w:space="0" w:color="auto"/>
            <w:bottom w:val="none" w:sz="0" w:space="0" w:color="auto"/>
            <w:right w:val="none" w:sz="0" w:space="0" w:color="auto"/>
          </w:divBdr>
        </w:div>
        <w:div w:id="528103117">
          <w:marLeft w:val="994"/>
          <w:marRight w:val="0"/>
          <w:marTop w:val="115"/>
          <w:marBottom w:val="0"/>
          <w:divBdr>
            <w:top w:val="none" w:sz="0" w:space="0" w:color="auto"/>
            <w:left w:val="none" w:sz="0" w:space="0" w:color="auto"/>
            <w:bottom w:val="none" w:sz="0" w:space="0" w:color="auto"/>
            <w:right w:val="none" w:sz="0" w:space="0" w:color="auto"/>
          </w:divBdr>
        </w:div>
        <w:div w:id="1583291586">
          <w:marLeft w:val="994"/>
          <w:marRight w:val="0"/>
          <w:marTop w:val="115"/>
          <w:marBottom w:val="0"/>
          <w:divBdr>
            <w:top w:val="none" w:sz="0" w:space="0" w:color="auto"/>
            <w:left w:val="none" w:sz="0" w:space="0" w:color="auto"/>
            <w:bottom w:val="none" w:sz="0" w:space="0" w:color="auto"/>
            <w:right w:val="none" w:sz="0" w:space="0" w:color="auto"/>
          </w:divBdr>
        </w:div>
      </w:divsChild>
    </w:div>
    <w:div w:id="1384018741">
      <w:bodyDiv w:val="1"/>
      <w:marLeft w:val="0"/>
      <w:marRight w:val="0"/>
      <w:marTop w:val="0"/>
      <w:marBottom w:val="0"/>
      <w:divBdr>
        <w:top w:val="none" w:sz="0" w:space="0" w:color="auto"/>
        <w:left w:val="none" w:sz="0" w:space="0" w:color="auto"/>
        <w:bottom w:val="none" w:sz="0" w:space="0" w:color="auto"/>
        <w:right w:val="none" w:sz="0" w:space="0" w:color="auto"/>
      </w:divBdr>
      <w:divsChild>
        <w:div w:id="1141926845">
          <w:marLeft w:val="360"/>
          <w:marRight w:val="0"/>
          <w:marTop w:val="134"/>
          <w:marBottom w:val="0"/>
          <w:divBdr>
            <w:top w:val="none" w:sz="0" w:space="0" w:color="auto"/>
            <w:left w:val="none" w:sz="0" w:space="0" w:color="auto"/>
            <w:bottom w:val="none" w:sz="0" w:space="0" w:color="auto"/>
            <w:right w:val="none" w:sz="0" w:space="0" w:color="auto"/>
          </w:divBdr>
        </w:div>
        <w:div w:id="1218518432">
          <w:marLeft w:val="994"/>
          <w:marRight w:val="0"/>
          <w:marTop w:val="106"/>
          <w:marBottom w:val="0"/>
          <w:divBdr>
            <w:top w:val="none" w:sz="0" w:space="0" w:color="auto"/>
            <w:left w:val="none" w:sz="0" w:space="0" w:color="auto"/>
            <w:bottom w:val="none" w:sz="0" w:space="0" w:color="auto"/>
            <w:right w:val="none" w:sz="0" w:space="0" w:color="auto"/>
          </w:divBdr>
        </w:div>
        <w:div w:id="371268435">
          <w:marLeft w:val="994"/>
          <w:marRight w:val="0"/>
          <w:marTop w:val="106"/>
          <w:marBottom w:val="0"/>
          <w:divBdr>
            <w:top w:val="none" w:sz="0" w:space="0" w:color="auto"/>
            <w:left w:val="none" w:sz="0" w:space="0" w:color="auto"/>
            <w:bottom w:val="none" w:sz="0" w:space="0" w:color="auto"/>
            <w:right w:val="none" w:sz="0" w:space="0" w:color="auto"/>
          </w:divBdr>
        </w:div>
        <w:div w:id="1549032105">
          <w:marLeft w:val="994"/>
          <w:marRight w:val="0"/>
          <w:marTop w:val="106"/>
          <w:marBottom w:val="0"/>
          <w:divBdr>
            <w:top w:val="none" w:sz="0" w:space="0" w:color="auto"/>
            <w:left w:val="none" w:sz="0" w:space="0" w:color="auto"/>
            <w:bottom w:val="none" w:sz="0" w:space="0" w:color="auto"/>
            <w:right w:val="none" w:sz="0" w:space="0" w:color="auto"/>
          </w:divBdr>
        </w:div>
        <w:div w:id="735936495">
          <w:marLeft w:val="994"/>
          <w:marRight w:val="0"/>
          <w:marTop w:val="106"/>
          <w:marBottom w:val="0"/>
          <w:divBdr>
            <w:top w:val="none" w:sz="0" w:space="0" w:color="auto"/>
            <w:left w:val="none" w:sz="0" w:space="0" w:color="auto"/>
            <w:bottom w:val="none" w:sz="0" w:space="0" w:color="auto"/>
            <w:right w:val="none" w:sz="0" w:space="0" w:color="auto"/>
          </w:divBdr>
        </w:div>
        <w:div w:id="810711304">
          <w:marLeft w:val="994"/>
          <w:marRight w:val="0"/>
          <w:marTop w:val="106"/>
          <w:marBottom w:val="0"/>
          <w:divBdr>
            <w:top w:val="none" w:sz="0" w:space="0" w:color="auto"/>
            <w:left w:val="none" w:sz="0" w:space="0" w:color="auto"/>
            <w:bottom w:val="none" w:sz="0" w:space="0" w:color="auto"/>
            <w:right w:val="none" w:sz="0" w:space="0" w:color="auto"/>
          </w:divBdr>
        </w:div>
        <w:div w:id="1694502551">
          <w:marLeft w:val="360"/>
          <w:marRight w:val="0"/>
          <w:marTop w:val="134"/>
          <w:marBottom w:val="0"/>
          <w:divBdr>
            <w:top w:val="none" w:sz="0" w:space="0" w:color="auto"/>
            <w:left w:val="none" w:sz="0" w:space="0" w:color="auto"/>
            <w:bottom w:val="none" w:sz="0" w:space="0" w:color="auto"/>
            <w:right w:val="none" w:sz="0" w:space="0" w:color="auto"/>
          </w:divBdr>
        </w:div>
        <w:div w:id="856504109">
          <w:marLeft w:val="994"/>
          <w:marRight w:val="0"/>
          <w:marTop w:val="106"/>
          <w:marBottom w:val="0"/>
          <w:divBdr>
            <w:top w:val="none" w:sz="0" w:space="0" w:color="auto"/>
            <w:left w:val="none" w:sz="0" w:space="0" w:color="auto"/>
            <w:bottom w:val="none" w:sz="0" w:space="0" w:color="auto"/>
            <w:right w:val="none" w:sz="0" w:space="0" w:color="auto"/>
          </w:divBdr>
        </w:div>
        <w:div w:id="1304657804">
          <w:marLeft w:val="360"/>
          <w:marRight w:val="0"/>
          <w:marTop w:val="125"/>
          <w:marBottom w:val="0"/>
          <w:divBdr>
            <w:top w:val="none" w:sz="0" w:space="0" w:color="auto"/>
            <w:left w:val="none" w:sz="0" w:space="0" w:color="auto"/>
            <w:bottom w:val="none" w:sz="0" w:space="0" w:color="auto"/>
            <w:right w:val="none" w:sz="0" w:space="0" w:color="auto"/>
          </w:divBdr>
        </w:div>
        <w:div w:id="1389063481">
          <w:marLeft w:val="360"/>
          <w:marRight w:val="0"/>
          <w:marTop w:val="125"/>
          <w:marBottom w:val="0"/>
          <w:divBdr>
            <w:top w:val="none" w:sz="0" w:space="0" w:color="auto"/>
            <w:left w:val="none" w:sz="0" w:space="0" w:color="auto"/>
            <w:bottom w:val="none" w:sz="0" w:space="0" w:color="auto"/>
            <w:right w:val="none" w:sz="0" w:space="0" w:color="auto"/>
          </w:divBdr>
        </w:div>
      </w:divsChild>
    </w:div>
    <w:div w:id="1578831062">
      <w:bodyDiv w:val="1"/>
      <w:marLeft w:val="0"/>
      <w:marRight w:val="0"/>
      <w:marTop w:val="0"/>
      <w:marBottom w:val="0"/>
      <w:divBdr>
        <w:top w:val="none" w:sz="0" w:space="0" w:color="auto"/>
        <w:left w:val="none" w:sz="0" w:space="0" w:color="auto"/>
        <w:bottom w:val="none" w:sz="0" w:space="0" w:color="auto"/>
        <w:right w:val="none" w:sz="0" w:space="0" w:color="auto"/>
      </w:divBdr>
      <w:divsChild>
        <w:div w:id="1419521250">
          <w:marLeft w:val="994"/>
          <w:marRight w:val="0"/>
          <w:marTop w:val="115"/>
          <w:marBottom w:val="0"/>
          <w:divBdr>
            <w:top w:val="none" w:sz="0" w:space="0" w:color="auto"/>
            <w:left w:val="none" w:sz="0" w:space="0" w:color="auto"/>
            <w:bottom w:val="none" w:sz="0" w:space="0" w:color="auto"/>
            <w:right w:val="none" w:sz="0" w:space="0" w:color="auto"/>
          </w:divBdr>
        </w:div>
      </w:divsChild>
    </w:div>
    <w:div w:id="1582132064">
      <w:bodyDiv w:val="1"/>
      <w:marLeft w:val="0"/>
      <w:marRight w:val="0"/>
      <w:marTop w:val="0"/>
      <w:marBottom w:val="0"/>
      <w:divBdr>
        <w:top w:val="none" w:sz="0" w:space="0" w:color="auto"/>
        <w:left w:val="none" w:sz="0" w:space="0" w:color="auto"/>
        <w:bottom w:val="none" w:sz="0" w:space="0" w:color="auto"/>
        <w:right w:val="none" w:sz="0" w:space="0" w:color="auto"/>
      </w:divBdr>
      <w:divsChild>
        <w:div w:id="509804583">
          <w:marLeft w:val="360"/>
          <w:marRight w:val="0"/>
          <w:marTop w:val="134"/>
          <w:marBottom w:val="0"/>
          <w:divBdr>
            <w:top w:val="none" w:sz="0" w:space="0" w:color="auto"/>
            <w:left w:val="none" w:sz="0" w:space="0" w:color="auto"/>
            <w:bottom w:val="none" w:sz="0" w:space="0" w:color="auto"/>
            <w:right w:val="none" w:sz="0" w:space="0" w:color="auto"/>
          </w:divBdr>
        </w:div>
        <w:div w:id="1509562477">
          <w:marLeft w:val="994"/>
          <w:marRight w:val="0"/>
          <w:marTop w:val="115"/>
          <w:marBottom w:val="0"/>
          <w:divBdr>
            <w:top w:val="none" w:sz="0" w:space="0" w:color="auto"/>
            <w:left w:val="none" w:sz="0" w:space="0" w:color="auto"/>
            <w:bottom w:val="none" w:sz="0" w:space="0" w:color="auto"/>
            <w:right w:val="none" w:sz="0" w:space="0" w:color="auto"/>
          </w:divBdr>
        </w:div>
        <w:div w:id="289478823">
          <w:marLeft w:val="994"/>
          <w:marRight w:val="0"/>
          <w:marTop w:val="115"/>
          <w:marBottom w:val="0"/>
          <w:divBdr>
            <w:top w:val="none" w:sz="0" w:space="0" w:color="auto"/>
            <w:left w:val="none" w:sz="0" w:space="0" w:color="auto"/>
            <w:bottom w:val="none" w:sz="0" w:space="0" w:color="auto"/>
            <w:right w:val="none" w:sz="0" w:space="0" w:color="auto"/>
          </w:divBdr>
        </w:div>
      </w:divsChild>
    </w:div>
    <w:div w:id="1615484048">
      <w:bodyDiv w:val="1"/>
      <w:marLeft w:val="0"/>
      <w:marRight w:val="0"/>
      <w:marTop w:val="0"/>
      <w:marBottom w:val="0"/>
      <w:divBdr>
        <w:top w:val="none" w:sz="0" w:space="0" w:color="auto"/>
        <w:left w:val="none" w:sz="0" w:space="0" w:color="auto"/>
        <w:bottom w:val="none" w:sz="0" w:space="0" w:color="auto"/>
        <w:right w:val="none" w:sz="0" w:space="0" w:color="auto"/>
      </w:divBdr>
      <w:divsChild>
        <w:div w:id="1810588521">
          <w:marLeft w:val="994"/>
          <w:marRight w:val="0"/>
          <w:marTop w:val="115"/>
          <w:marBottom w:val="0"/>
          <w:divBdr>
            <w:top w:val="none" w:sz="0" w:space="0" w:color="auto"/>
            <w:left w:val="none" w:sz="0" w:space="0" w:color="auto"/>
            <w:bottom w:val="none" w:sz="0" w:space="0" w:color="auto"/>
            <w:right w:val="none" w:sz="0" w:space="0" w:color="auto"/>
          </w:divBdr>
        </w:div>
      </w:divsChild>
    </w:div>
    <w:div w:id="1626497343">
      <w:bodyDiv w:val="1"/>
      <w:marLeft w:val="0"/>
      <w:marRight w:val="0"/>
      <w:marTop w:val="0"/>
      <w:marBottom w:val="0"/>
      <w:divBdr>
        <w:top w:val="none" w:sz="0" w:space="0" w:color="auto"/>
        <w:left w:val="none" w:sz="0" w:space="0" w:color="auto"/>
        <w:bottom w:val="none" w:sz="0" w:space="0" w:color="auto"/>
        <w:right w:val="none" w:sz="0" w:space="0" w:color="auto"/>
      </w:divBdr>
      <w:divsChild>
        <w:div w:id="1188907990">
          <w:marLeft w:val="360"/>
          <w:marRight w:val="0"/>
          <w:marTop w:val="134"/>
          <w:marBottom w:val="0"/>
          <w:divBdr>
            <w:top w:val="none" w:sz="0" w:space="0" w:color="auto"/>
            <w:left w:val="none" w:sz="0" w:space="0" w:color="auto"/>
            <w:bottom w:val="none" w:sz="0" w:space="0" w:color="auto"/>
            <w:right w:val="none" w:sz="0" w:space="0" w:color="auto"/>
          </w:divBdr>
        </w:div>
        <w:div w:id="1914048396">
          <w:marLeft w:val="994"/>
          <w:marRight w:val="0"/>
          <w:marTop w:val="106"/>
          <w:marBottom w:val="0"/>
          <w:divBdr>
            <w:top w:val="none" w:sz="0" w:space="0" w:color="auto"/>
            <w:left w:val="none" w:sz="0" w:space="0" w:color="auto"/>
            <w:bottom w:val="none" w:sz="0" w:space="0" w:color="auto"/>
            <w:right w:val="none" w:sz="0" w:space="0" w:color="auto"/>
          </w:divBdr>
        </w:div>
        <w:div w:id="51202611">
          <w:marLeft w:val="360"/>
          <w:marRight w:val="0"/>
          <w:marTop w:val="134"/>
          <w:marBottom w:val="0"/>
          <w:divBdr>
            <w:top w:val="none" w:sz="0" w:space="0" w:color="auto"/>
            <w:left w:val="none" w:sz="0" w:space="0" w:color="auto"/>
            <w:bottom w:val="none" w:sz="0" w:space="0" w:color="auto"/>
            <w:right w:val="none" w:sz="0" w:space="0" w:color="auto"/>
          </w:divBdr>
        </w:div>
        <w:div w:id="674066915">
          <w:marLeft w:val="994"/>
          <w:marRight w:val="0"/>
          <w:marTop w:val="106"/>
          <w:marBottom w:val="0"/>
          <w:divBdr>
            <w:top w:val="none" w:sz="0" w:space="0" w:color="auto"/>
            <w:left w:val="none" w:sz="0" w:space="0" w:color="auto"/>
            <w:bottom w:val="none" w:sz="0" w:space="0" w:color="auto"/>
            <w:right w:val="none" w:sz="0" w:space="0" w:color="auto"/>
          </w:divBdr>
        </w:div>
        <w:div w:id="1232543945">
          <w:marLeft w:val="360"/>
          <w:marRight w:val="0"/>
          <w:marTop w:val="134"/>
          <w:marBottom w:val="0"/>
          <w:divBdr>
            <w:top w:val="none" w:sz="0" w:space="0" w:color="auto"/>
            <w:left w:val="none" w:sz="0" w:space="0" w:color="auto"/>
            <w:bottom w:val="none" w:sz="0" w:space="0" w:color="auto"/>
            <w:right w:val="none" w:sz="0" w:space="0" w:color="auto"/>
          </w:divBdr>
        </w:div>
      </w:divsChild>
    </w:div>
    <w:div w:id="1672559222">
      <w:bodyDiv w:val="1"/>
      <w:marLeft w:val="0"/>
      <w:marRight w:val="0"/>
      <w:marTop w:val="0"/>
      <w:marBottom w:val="0"/>
      <w:divBdr>
        <w:top w:val="none" w:sz="0" w:space="0" w:color="auto"/>
        <w:left w:val="none" w:sz="0" w:space="0" w:color="auto"/>
        <w:bottom w:val="none" w:sz="0" w:space="0" w:color="auto"/>
        <w:right w:val="none" w:sz="0" w:space="0" w:color="auto"/>
      </w:divBdr>
      <w:divsChild>
        <w:div w:id="785739489">
          <w:marLeft w:val="360"/>
          <w:marRight w:val="0"/>
          <w:marTop w:val="134"/>
          <w:marBottom w:val="0"/>
          <w:divBdr>
            <w:top w:val="none" w:sz="0" w:space="0" w:color="auto"/>
            <w:left w:val="none" w:sz="0" w:space="0" w:color="auto"/>
            <w:bottom w:val="none" w:sz="0" w:space="0" w:color="auto"/>
            <w:right w:val="none" w:sz="0" w:space="0" w:color="auto"/>
          </w:divBdr>
        </w:div>
        <w:div w:id="1526362501">
          <w:marLeft w:val="994"/>
          <w:marRight w:val="0"/>
          <w:marTop w:val="115"/>
          <w:marBottom w:val="0"/>
          <w:divBdr>
            <w:top w:val="none" w:sz="0" w:space="0" w:color="auto"/>
            <w:left w:val="none" w:sz="0" w:space="0" w:color="auto"/>
            <w:bottom w:val="none" w:sz="0" w:space="0" w:color="auto"/>
            <w:right w:val="none" w:sz="0" w:space="0" w:color="auto"/>
          </w:divBdr>
        </w:div>
        <w:div w:id="423650340">
          <w:marLeft w:val="994"/>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yperlink" Target="http://www.c3d-unitar.org/c3d/" TargetMode="External"/><Relationship Id="rId21" Type="http://schemas.openxmlformats.org/officeDocument/2006/relationships/hyperlink" Target="http://www.oecd.org/dataoecd/29/21/2754804.pdf" TargetMode="External"/><Relationship Id="rId22" Type="http://schemas.openxmlformats.org/officeDocument/2006/relationships/hyperlink" Target="http://browse.oecdbookshop.org/oecd/pdfs/browseit/4309171E.PDF" TargetMode="External"/><Relationship Id="rId23" Type="http://schemas.openxmlformats.org/officeDocument/2006/relationships/hyperlink" Target="http://www.ajtmh.org" TargetMode="External"/><Relationship Id="rId24" Type="http://schemas.openxmlformats.org/officeDocument/2006/relationships/hyperlink" Target="http://www.undp.org/mainstreaming/cdes.shtml" TargetMode="External"/><Relationship Id="rId25" Type="http://schemas.openxmlformats.org/officeDocument/2006/relationships/hyperlink" Target="http://www.unpei.org/knowledge-resources/publications.html" TargetMode="External"/><Relationship Id="rId26" Type="http://schemas.openxmlformats.org/officeDocument/2006/relationships/hyperlink" Target="http://climatechange.worldbank.org/climatechange/content/mainstreaming-adaptation-climate-change-agriculture-and-natural-resources-management-project" TargetMode="External"/><Relationship Id="rId27" Type="http://schemas.openxmlformats.org/officeDocument/2006/relationships/hyperlink" Target="http://go.worldbank.org/ZXULQ9SCC0" TargetMode="External"/><Relationship Id="rId28" Type="http://schemas.openxmlformats.org/officeDocument/2006/relationships/header" Target="header2.xml"/><Relationship Id="rId29" Type="http://schemas.openxmlformats.org/officeDocument/2006/relationships/footer" Target="footer2.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www.ajtmh.org" TargetMode="External"/><Relationship Id="rId15" Type="http://schemas.openxmlformats.org/officeDocument/2006/relationships/hyperlink" Target="http://www.environmental-mainstreaming.org/key-lit.html" TargetMode="External"/><Relationship Id="rId16" Type="http://schemas.openxmlformats.org/officeDocument/2006/relationships/hyperlink" Target="http://www.malariajournal.com" TargetMode="External"/><Relationship Id="rId17" Type="http://schemas.openxmlformats.org/officeDocument/2006/relationships/hyperlink" Target="http://ec.europa.eu/europeaid/infopoint/publications/europeaid/documents/49a_adm_pcm_guidelines_2004_en.pdf" TargetMode="External"/><Relationship Id="rId18" Type="http://schemas.openxmlformats.org/officeDocument/2006/relationships/hyperlink" Target="http://ec.europa.eu/europeaid/infopoint/publications/europeaid/105a_en.htm" TargetMode="External"/><Relationship Id="rId19" Type="http://schemas.openxmlformats.org/officeDocument/2006/relationships/hyperlink" Target="http://ec.europa.eu/europeaid/infopoint/publications/europeaid/103a_en.ht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24CA4CA992ED49B8B6C5E385BAC72F" ma:contentTypeVersion="0" ma:contentTypeDescription="Create a new document." ma:contentTypeScope="" ma:versionID="77384dca7ecd43f6b42e58d7fa3f87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B362B-1E6C-4757-8F1C-D51A702F14EB}">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D69E8A1D-5374-41A1-BBA2-F870B70F3765}">
  <ds:schemaRefs>
    <ds:schemaRef ds:uri="http://schemas.microsoft.com/sharepoint/v3/contenttype/forms"/>
  </ds:schemaRefs>
</ds:datastoreItem>
</file>

<file path=customXml/itemProps3.xml><?xml version="1.0" encoding="utf-8"?>
<ds:datastoreItem xmlns:ds="http://schemas.openxmlformats.org/officeDocument/2006/customXml" ds:itemID="{DF2E95D8-D5FF-4DFD-A9E5-A7F5B938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E6D6E36-1342-604E-ABB7-B9B01582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15</Pages>
  <Words>5964</Words>
  <Characters>33999</Characters>
  <Application>Microsoft Macintosh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Juan Palerm</cp:lastModifiedBy>
  <cp:revision>7</cp:revision>
  <dcterms:created xsi:type="dcterms:W3CDTF">2013-03-31T09:47:00Z</dcterms:created>
  <dcterms:modified xsi:type="dcterms:W3CDTF">2013-03-31T12:21:00Z</dcterms:modified>
</cp:coreProperties>
</file>